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0"/>
        <w:rPr>
          <w:rFonts w:hint="eastAsia" w:ascii="宋体" w:hAnsi="宋体" w:eastAsia="宋体" w:cs="宋体"/>
          <w:b/>
          <w:color w:val="auto"/>
          <w:kern w:val="0"/>
          <w:sz w:val="32"/>
          <w:szCs w:val="32"/>
          <w:highlight w:val="none"/>
          <w:lang w:eastAsia="zh-CN"/>
        </w:rPr>
      </w:pPr>
      <w:bookmarkStart w:id="0" w:name="_Toc29294"/>
      <w:bookmarkStart w:id="1" w:name="_Toc25015"/>
      <w:r>
        <w:rPr>
          <w:rFonts w:hint="eastAsia" w:ascii="宋体" w:hAnsi="宋体" w:eastAsia="宋体" w:cs="宋体"/>
          <w:b/>
          <w:color w:val="auto"/>
          <w:sz w:val="28"/>
          <w:szCs w:val="28"/>
          <w:highlight w:val="none"/>
        </w:rPr>
        <w:t>政府采购项目</w:t>
      </w:r>
      <w:bookmarkEnd w:id="0"/>
      <w:bookmarkEnd w:id="1"/>
    </w:p>
    <w:p>
      <w:pPr>
        <w:pStyle w:val="28"/>
        <w:ind w:left="0" w:leftChars="0" w:firstLine="0" w:firstLineChars="0"/>
        <w:outlineLvl w:val="0"/>
        <w:rPr>
          <w:rFonts w:hint="eastAsia" w:ascii="宋体" w:hAnsi="宋体" w:eastAsia="宋体" w:cs="宋体"/>
          <w:color w:val="auto"/>
          <w:highlight w:val="none"/>
        </w:rPr>
      </w:pPr>
      <w:bookmarkStart w:id="2" w:name="_Toc29440"/>
      <w:bookmarkStart w:id="3" w:name="_Toc31888"/>
      <w:r>
        <w:rPr>
          <w:rFonts w:hint="eastAsia" w:ascii="宋体" w:hAnsi="宋体" w:eastAsia="宋体" w:cs="宋体"/>
          <w:b/>
          <w:color w:val="auto"/>
          <w:sz w:val="28"/>
          <w:szCs w:val="28"/>
          <w:highlight w:val="none"/>
          <w:lang w:val="en-US" w:eastAsia="zh-CN"/>
        </w:rPr>
        <w:t>项目编号：</w:t>
      </w:r>
      <w:bookmarkEnd w:id="2"/>
      <w:bookmarkStart w:id="4" w:name="OLE_LINK6"/>
      <w:bookmarkStart w:id="5" w:name="OLE_LINK106"/>
      <w:r>
        <w:rPr>
          <w:rFonts w:hint="eastAsia" w:ascii="宋体" w:hAnsi="宋体" w:eastAsia="宋体" w:cs="宋体"/>
          <w:b/>
          <w:color w:val="auto"/>
          <w:sz w:val="28"/>
          <w:szCs w:val="28"/>
          <w:highlight w:val="none"/>
          <w:lang w:val="en-US" w:eastAsia="zh-CN"/>
        </w:rPr>
        <w:t>ZZDBJ招2025-004</w:t>
      </w:r>
      <w:bookmarkEnd w:id="3"/>
      <w:bookmarkEnd w:id="4"/>
      <w:r>
        <w:rPr>
          <w:rFonts w:hint="eastAsia" w:ascii="宋体" w:hAnsi="宋体" w:eastAsia="宋体" w:cs="宋体"/>
          <w:b/>
          <w:color w:val="auto"/>
          <w:sz w:val="28"/>
          <w:szCs w:val="28"/>
          <w:highlight w:val="none"/>
          <w:lang w:val="en-US" w:eastAsia="zh-CN"/>
        </w:rPr>
        <w:t xml:space="preserve"> </w:t>
      </w:r>
      <w:bookmarkEnd w:id="5"/>
    </w:p>
    <w:p>
      <w:pPr>
        <w:pStyle w:val="29"/>
        <w:rPr>
          <w:rFonts w:hint="eastAsia" w:ascii="宋体" w:hAnsi="宋体" w:eastAsia="宋体" w:cs="宋体"/>
        </w:rPr>
      </w:pPr>
    </w:p>
    <w:p>
      <w:pPr>
        <w:ind w:left="0" w:leftChars="0" w:firstLine="0" w:firstLineChars="0"/>
        <w:jc w:val="center"/>
        <w:rPr>
          <w:rFonts w:hint="eastAsia" w:ascii="宋体" w:hAnsi="宋体" w:eastAsia="宋体" w:cs="宋体"/>
          <w:b/>
          <w:color w:val="auto"/>
          <w:kern w:val="2"/>
          <w:sz w:val="48"/>
          <w:szCs w:val="4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宋体" w:hAnsi="宋体" w:eastAsia="宋体" w:cs="宋体"/>
          <w:color w:val="auto"/>
          <w:sz w:val="20"/>
          <w:szCs w:val="22"/>
          <w:highlight w:val="none"/>
        </w:rPr>
      </w:pPr>
      <w:bookmarkStart w:id="6" w:name="OLE_LINK2"/>
      <w:bookmarkStart w:id="7" w:name="_Toc9810"/>
      <w:bookmarkStart w:id="8" w:name="OLE_LINK1"/>
      <w:r>
        <w:rPr>
          <w:rFonts w:hint="eastAsia" w:ascii="宋体" w:hAnsi="宋体" w:eastAsia="宋体" w:cs="宋体"/>
          <w:b/>
          <w:color w:val="auto"/>
          <w:kern w:val="2"/>
          <w:sz w:val="44"/>
          <w:szCs w:val="44"/>
          <w:highlight w:val="none"/>
          <w:lang w:val="en-US" w:eastAsia="zh-CN" w:bidi="ar-SA"/>
        </w:rPr>
        <w:t>凤县嘉陵江凤州镇段水毁修复工程</w:t>
      </w:r>
      <w:bookmarkEnd w:id="6"/>
      <w:bookmarkEnd w:id="7"/>
    </w:p>
    <w:bookmarkEnd w:id="8"/>
    <w:p>
      <w:pPr>
        <w:pStyle w:val="47"/>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pStyle w:val="23"/>
        <w:ind w:left="0" w:leftChars="0" w:firstLine="0" w:firstLineChars="0"/>
        <w:rPr>
          <w:rFonts w:hint="eastAsia" w:ascii="宋体" w:hAnsi="宋体" w:eastAsia="宋体" w:cs="宋体"/>
          <w:color w:val="auto"/>
          <w:highlight w:val="none"/>
        </w:rPr>
      </w:pPr>
    </w:p>
    <w:p>
      <w:pPr>
        <w:spacing w:line="720" w:lineRule="auto"/>
        <w:ind w:firstLine="2131" w:firstLineChars="379"/>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sz w:val="56"/>
          <w:szCs w:val="56"/>
          <w:highlight w:val="none"/>
          <w:lang w:eastAsia="zh-CN"/>
        </w:rPr>
        <w:t>竞争性磋商文件</w:t>
      </w:r>
    </w:p>
    <w:p>
      <w:pPr>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rPr>
          <w:rFonts w:hint="eastAsia" w:ascii="宋体" w:hAnsi="宋体" w:eastAsia="宋体" w:cs="宋体"/>
          <w:b/>
          <w:bCs/>
          <w:color w:val="auto"/>
          <w:kern w:val="2"/>
          <w:sz w:val="28"/>
          <w:szCs w:val="28"/>
          <w:highlight w:val="none"/>
          <w:u w:val="none"/>
          <w:lang w:val="en-US" w:eastAsia="zh-CN" w:bidi="ar-SA"/>
        </w:rPr>
      </w:pPr>
      <w:r>
        <w:rPr>
          <w:rFonts w:hint="eastAsia" w:ascii="宋体" w:hAnsi="宋体" w:eastAsia="宋体" w:cs="宋体"/>
          <w:color w:val="auto"/>
          <w:sz w:val="32"/>
          <w:highlight w:val="none"/>
        </w:rPr>
        <w:t xml:space="preserve"> </w:t>
      </w:r>
    </w:p>
    <w:p>
      <w:pPr>
        <w:pStyle w:val="23"/>
        <w:ind w:left="0" w:leftChars="0" w:firstLine="0" w:firstLineChars="0"/>
        <w:rPr>
          <w:rFonts w:hint="eastAsia" w:ascii="宋体" w:hAnsi="宋体" w:eastAsia="宋体" w:cs="宋体"/>
          <w:color w:val="auto"/>
          <w:highlight w:val="none"/>
          <w:lang w:val="en-US" w:eastAsia="zh-CN"/>
        </w:rPr>
      </w:pPr>
    </w:p>
    <w:p>
      <w:pPr>
        <w:pStyle w:val="23"/>
        <w:ind w:left="0" w:leftChars="0" w:firstLine="0" w:firstLineChars="0"/>
        <w:rPr>
          <w:rFonts w:hint="eastAsia" w:ascii="宋体" w:hAnsi="宋体" w:eastAsia="宋体" w:cs="宋体"/>
          <w:color w:val="auto"/>
          <w:highlight w:val="none"/>
          <w:lang w:val="en-US" w:eastAsia="zh-CN"/>
        </w:rPr>
      </w:pPr>
    </w:p>
    <w:p>
      <w:pPr>
        <w:pStyle w:val="23"/>
        <w:ind w:left="0" w:leftChars="0" w:firstLine="0" w:firstLineChars="0"/>
        <w:rPr>
          <w:rFonts w:hint="eastAsia" w:ascii="宋体" w:hAnsi="宋体" w:eastAsia="宋体" w:cs="宋体"/>
          <w:color w:val="auto"/>
          <w:highlight w:val="none"/>
          <w:lang w:val="en-US" w:eastAsia="zh-CN"/>
        </w:rPr>
      </w:pPr>
    </w:p>
    <w:p>
      <w:pPr>
        <w:pStyle w:val="2"/>
        <w:spacing w:line="720" w:lineRule="auto"/>
        <w:ind w:left="0" w:leftChars="0" w:firstLine="602" w:firstLineChars="200"/>
        <w:jc w:val="left"/>
        <w:outlineLvl w:val="9"/>
        <w:rPr>
          <w:rFonts w:hint="eastAsia" w:ascii="宋体" w:hAnsi="宋体" w:eastAsia="宋体" w:cs="宋体"/>
          <w:b/>
          <w:bCs/>
          <w:color w:val="auto"/>
          <w:kern w:val="2"/>
          <w:sz w:val="30"/>
          <w:szCs w:val="30"/>
          <w:highlight w:val="none"/>
          <w:u w:val="none"/>
          <w:lang w:val="en-US" w:eastAsia="zh-CN" w:bidi="ar-SA"/>
        </w:rPr>
      </w:pPr>
      <w:bookmarkStart w:id="9" w:name="_Toc25045"/>
    </w:p>
    <w:p>
      <w:pPr>
        <w:pStyle w:val="2"/>
        <w:spacing w:line="720" w:lineRule="auto"/>
        <w:ind w:left="0" w:leftChars="0" w:firstLine="602" w:firstLineChars="200"/>
        <w:jc w:val="left"/>
        <w:outlineLvl w:val="9"/>
        <w:rPr>
          <w:rFonts w:hint="eastAsia" w:ascii="宋体" w:hAnsi="宋体" w:eastAsia="宋体" w:cs="宋体"/>
          <w:b/>
          <w:bCs/>
          <w:color w:val="auto"/>
          <w:kern w:val="2"/>
          <w:sz w:val="30"/>
          <w:szCs w:val="30"/>
          <w:highlight w:val="none"/>
          <w:u w:val="none"/>
          <w:lang w:val="en-US" w:eastAsia="zh-CN" w:bidi="ar-SA"/>
        </w:rPr>
      </w:pPr>
    </w:p>
    <w:p>
      <w:pPr>
        <w:pStyle w:val="2"/>
        <w:spacing w:line="720" w:lineRule="auto"/>
        <w:ind w:left="0" w:leftChars="0" w:firstLine="602" w:firstLineChars="200"/>
        <w:jc w:val="left"/>
        <w:outlineLvl w:val="0"/>
        <w:rPr>
          <w:rFonts w:hint="eastAsia" w:ascii="宋体" w:hAnsi="宋体" w:eastAsia="宋体" w:cs="宋体"/>
          <w:b/>
          <w:bCs/>
          <w:color w:val="auto"/>
          <w:sz w:val="30"/>
          <w:szCs w:val="30"/>
          <w:highlight w:val="none"/>
          <w:u w:val="none"/>
          <w:lang w:eastAsia="zh-CN"/>
        </w:rPr>
      </w:pPr>
      <w:bookmarkStart w:id="10" w:name="_Toc7127"/>
      <w:r>
        <w:rPr>
          <w:rFonts w:hint="eastAsia" w:ascii="宋体" w:hAnsi="宋体" w:eastAsia="宋体" w:cs="宋体"/>
          <w:b/>
          <w:bCs/>
          <w:color w:val="auto"/>
          <w:kern w:val="2"/>
          <w:sz w:val="30"/>
          <w:szCs w:val="30"/>
          <w:highlight w:val="none"/>
          <w:u w:val="none"/>
          <w:lang w:val="en-US" w:eastAsia="zh-CN" w:bidi="ar-SA"/>
        </w:rPr>
        <w:t>采 购 人:</w:t>
      </w:r>
      <w:r>
        <w:rPr>
          <w:rFonts w:hint="eastAsia" w:ascii="宋体" w:hAnsi="宋体" w:eastAsia="宋体" w:cs="宋体"/>
          <w:b/>
          <w:bCs/>
          <w:color w:val="auto"/>
          <w:kern w:val="2"/>
          <w:sz w:val="30"/>
          <w:szCs w:val="30"/>
          <w:highlight w:val="none"/>
          <w:u w:val="single"/>
          <w:lang w:val="en-US" w:eastAsia="zh-CN" w:bidi="ar-SA"/>
        </w:rPr>
        <w:t xml:space="preserve">    凤县凤州镇人民政府      </w:t>
      </w:r>
      <w:r>
        <w:rPr>
          <w:rFonts w:hint="eastAsia" w:ascii="宋体" w:hAnsi="宋体" w:eastAsia="宋体" w:cs="宋体"/>
          <w:b/>
          <w:bCs/>
          <w:color w:val="auto"/>
          <w:kern w:val="2"/>
          <w:sz w:val="30"/>
          <w:szCs w:val="30"/>
          <w:highlight w:val="none"/>
          <w:u w:val="none"/>
          <w:lang w:val="en-US" w:eastAsia="zh-CN" w:bidi="ar-SA"/>
        </w:rPr>
        <w:t>（盖章）</w:t>
      </w:r>
      <w:bookmarkEnd w:id="9"/>
      <w:bookmarkEnd w:id="10"/>
    </w:p>
    <w:p>
      <w:pPr>
        <w:spacing w:line="720" w:lineRule="auto"/>
        <w:ind w:left="0" w:leftChars="0" w:firstLine="602" w:firstLineChars="200"/>
        <w:jc w:val="both"/>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u w:val="none"/>
          <w:lang w:eastAsia="zh-CN"/>
        </w:rPr>
        <w:t>采购代理机构</w:t>
      </w:r>
      <w:r>
        <w:rPr>
          <w:rFonts w:hint="eastAsia" w:ascii="宋体" w:hAnsi="宋体" w:eastAsia="宋体" w:cs="宋体"/>
          <w:b/>
          <w:bCs/>
          <w:color w:val="auto"/>
          <w:sz w:val="30"/>
          <w:szCs w:val="30"/>
          <w:highlight w:val="none"/>
          <w:u w:val="none"/>
          <w:lang w:val="en-US" w:eastAsia="zh-CN"/>
        </w:rPr>
        <w:t>:</w:t>
      </w:r>
      <w:bookmarkStart w:id="11" w:name="OLE_LINK93"/>
      <w:r>
        <w:rPr>
          <w:rFonts w:hint="eastAsia" w:ascii="宋体" w:hAnsi="宋体" w:eastAsia="宋体" w:cs="宋体"/>
          <w:b/>
          <w:bCs/>
          <w:color w:val="auto"/>
          <w:sz w:val="30"/>
          <w:szCs w:val="30"/>
          <w:highlight w:val="none"/>
          <w:u w:val="single"/>
          <w:lang w:eastAsia="zh-CN"/>
        </w:rPr>
        <w:t>中智达项目管理有限公司</w:t>
      </w:r>
      <w:bookmarkEnd w:id="11"/>
      <w:r>
        <w:rPr>
          <w:rFonts w:hint="eastAsia" w:ascii="宋体" w:hAnsi="宋体" w:eastAsia="宋体" w:cs="宋体"/>
          <w:b/>
          <w:bCs/>
          <w:color w:val="auto"/>
          <w:sz w:val="30"/>
          <w:szCs w:val="30"/>
          <w:highlight w:val="none"/>
          <w:u w:val="none"/>
          <w:lang w:eastAsia="zh-CN"/>
        </w:rPr>
        <w:t>（盖章）</w:t>
      </w:r>
    </w:p>
    <w:p>
      <w:pPr>
        <w:keepNext w:val="0"/>
        <w:keepLines w:val="0"/>
        <w:pageBreakBefore w:val="0"/>
        <w:widowControl w:val="0"/>
        <w:kinsoku/>
        <w:wordWrap/>
        <w:overflowPunct/>
        <w:topLinePunct w:val="0"/>
        <w:autoSpaceDE/>
        <w:autoSpaceDN/>
        <w:bidi w:val="0"/>
        <w:adjustRightInd/>
        <w:snapToGrid/>
        <w:spacing w:line="720" w:lineRule="auto"/>
        <w:ind w:firstLine="2813" w:firstLineChars="934"/>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二○二</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eastAsia="zh-CN"/>
        </w:rPr>
        <w:t>年五月</w:t>
      </w:r>
    </w:p>
    <w:sdt>
      <w:sdtPr>
        <w:rPr>
          <w:rFonts w:ascii="宋体" w:hAnsi="宋体" w:eastAsia="宋体" w:cs="Times New Roman"/>
          <w:kern w:val="2"/>
          <w:sz w:val="28"/>
          <w:szCs w:val="28"/>
          <w:lang w:val="en-US" w:eastAsia="zh-CN" w:bidi="ar-SA"/>
        </w:rPr>
        <w:id w:val="14747074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pStyle w:val="88"/>
            <w:tabs>
              <w:tab w:val="right" w:leader="dot" w:pos="9172"/>
            </w:tabs>
          </w:pPr>
          <w:r>
            <w:rPr>
              <w:rFonts w:hint="eastAsia" w:ascii="宋体" w:hAnsi="宋体" w:eastAsia="宋体" w:cs="宋体"/>
              <w:color w:val="auto"/>
              <w:sz w:val="32"/>
              <w:szCs w:val="32"/>
              <w:highlight w:val="none"/>
              <w:lang w:val="en-US" w:eastAsia="zh-CN"/>
            </w:rPr>
            <w:fldChar w:fldCharType="begin"/>
          </w:r>
          <w:r>
            <w:rPr>
              <w:rFonts w:hint="eastAsia" w:ascii="宋体" w:hAnsi="宋体" w:eastAsia="宋体" w:cs="宋体"/>
              <w:color w:val="auto"/>
              <w:sz w:val="32"/>
              <w:szCs w:val="32"/>
              <w:highlight w:val="none"/>
              <w:lang w:val="en-US" w:eastAsia="zh-CN"/>
            </w:rPr>
            <w:instrText xml:space="preserve">TOC \o "1-1" \h \u </w:instrText>
          </w:r>
          <w:r>
            <w:rPr>
              <w:rFonts w:hint="eastAsia" w:ascii="宋体" w:hAnsi="宋体" w:eastAsia="宋体" w:cs="宋体"/>
              <w:color w:val="auto"/>
              <w:sz w:val="32"/>
              <w:szCs w:val="32"/>
              <w:highlight w:val="none"/>
              <w:lang w:val="en-US" w:eastAsia="zh-CN"/>
            </w:rPr>
            <w:fldChar w:fldCharType="separate"/>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t xml:space="preserve">第一章  </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_Toc32219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rPr>
            <w:t>竞争性磋商公告</w:t>
          </w:r>
          <w:r>
            <w:rPr>
              <w:sz w:val="28"/>
              <w:szCs w:val="28"/>
            </w:rPr>
            <w:tab/>
          </w:r>
          <w:r>
            <w:rPr>
              <w:sz w:val="28"/>
              <w:szCs w:val="28"/>
            </w:rPr>
            <w:fldChar w:fldCharType="begin"/>
          </w:r>
          <w:r>
            <w:rPr>
              <w:sz w:val="28"/>
              <w:szCs w:val="28"/>
            </w:rPr>
            <w:instrText xml:space="preserve"> PAGEREF _Toc32219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_Toc30469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 xml:space="preserve">第二章  </w:t>
          </w:r>
          <w:r>
            <w:rPr>
              <w:rFonts w:hint="eastAsia" w:ascii="宋体" w:hAnsi="宋体" w:eastAsia="宋体" w:cs="宋体"/>
              <w:sz w:val="28"/>
              <w:szCs w:val="28"/>
              <w:highlight w:val="none"/>
            </w:rPr>
            <w:t>供应商须知</w:t>
          </w:r>
          <w:r>
            <w:rPr>
              <w:sz w:val="28"/>
              <w:szCs w:val="28"/>
            </w:rPr>
            <w:tab/>
          </w:r>
          <w:r>
            <w:rPr>
              <w:sz w:val="28"/>
              <w:szCs w:val="28"/>
            </w:rPr>
            <w:fldChar w:fldCharType="begin"/>
          </w:r>
          <w:r>
            <w:rPr>
              <w:sz w:val="28"/>
              <w:szCs w:val="28"/>
            </w:rPr>
            <w:instrText xml:space="preserve"> PAGEREF _Toc30469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_Toc1142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rPr>
            <w:t xml:space="preserve">第三章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资格审查办法</w:t>
          </w:r>
          <w:r>
            <w:rPr>
              <w:sz w:val="28"/>
              <w:szCs w:val="28"/>
            </w:rPr>
            <w:tab/>
          </w:r>
          <w:r>
            <w:rPr>
              <w:sz w:val="28"/>
              <w:szCs w:val="28"/>
            </w:rPr>
            <w:fldChar w:fldCharType="begin"/>
          </w:r>
          <w:r>
            <w:rPr>
              <w:sz w:val="28"/>
              <w:szCs w:val="28"/>
            </w:rPr>
            <w:instrText xml:space="preserve"> PAGEREF _Toc1142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_Toc1049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rPr>
            <w:t xml:space="preserve">第四章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磋商</w:t>
          </w:r>
          <w:r>
            <w:rPr>
              <w:rFonts w:hint="eastAsia" w:ascii="宋体" w:hAnsi="宋体" w:eastAsia="宋体" w:cs="宋体"/>
              <w:sz w:val="28"/>
              <w:szCs w:val="28"/>
              <w:highlight w:val="none"/>
            </w:rPr>
            <w:t>办法</w:t>
          </w:r>
          <w:r>
            <w:rPr>
              <w:sz w:val="28"/>
              <w:szCs w:val="28"/>
            </w:rPr>
            <w:tab/>
          </w:r>
          <w:r>
            <w:rPr>
              <w:sz w:val="28"/>
              <w:szCs w:val="28"/>
            </w:rPr>
            <w:fldChar w:fldCharType="begin"/>
          </w:r>
          <w:r>
            <w:rPr>
              <w:sz w:val="28"/>
              <w:szCs w:val="28"/>
            </w:rPr>
            <w:instrText xml:space="preserve"> PAGEREF _Toc1049 \h </w:instrText>
          </w:r>
          <w:r>
            <w:rPr>
              <w:sz w:val="28"/>
              <w:szCs w:val="28"/>
            </w:rPr>
            <w:fldChar w:fldCharType="separate"/>
          </w:r>
          <w:r>
            <w:rPr>
              <w:sz w:val="28"/>
              <w:szCs w:val="28"/>
            </w:rPr>
            <w:t>41</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_Toc15231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bCs/>
              <w:sz w:val="28"/>
              <w:szCs w:val="28"/>
              <w:highlight w:val="none"/>
              <w:lang w:val="en-US" w:eastAsia="zh-CN"/>
            </w:rPr>
            <w:t xml:space="preserve">第五章  </w:t>
          </w:r>
          <w:r>
            <w:rPr>
              <w:rFonts w:hint="eastAsia" w:ascii="宋体" w:hAnsi="宋体" w:eastAsia="宋体" w:cs="宋体"/>
              <w:bCs/>
              <w:sz w:val="28"/>
              <w:szCs w:val="28"/>
              <w:highlight w:val="none"/>
            </w:rPr>
            <w:t>采购需求</w:t>
          </w:r>
          <w:r>
            <w:rPr>
              <w:sz w:val="28"/>
              <w:szCs w:val="28"/>
            </w:rPr>
            <w:tab/>
          </w:r>
          <w:r>
            <w:rPr>
              <w:sz w:val="28"/>
              <w:szCs w:val="28"/>
            </w:rPr>
            <w:fldChar w:fldCharType="begin"/>
          </w:r>
          <w:r>
            <w:rPr>
              <w:sz w:val="28"/>
              <w:szCs w:val="28"/>
            </w:rPr>
            <w:instrText xml:space="preserve"> PAGEREF _Toc15231 \h </w:instrText>
          </w:r>
          <w:r>
            <w:rPr>
              <w:sz w:val="28"/>
              <w:szCs w:val="28"/>
            </w:rPr>
            <w:fldChar w:fldCharType="separate"/>
          </w:r>
          <w:r>
            <w:rPr>
              <w:sz w:val="28"/>
              <w:szCs w:val="28"/>
            </w:rPr>
            <w:t>52</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_Toc19202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rPr>
            <w:t>第六章  政府采购合同格式</w:t>
          </w:r>
          <w:r>
            <w:rPr>
              <w:sz w:val="28"/>
              <w:szCs w:val="28"/>
            </w:rPr>
            <w:tab/>
          </w:r>
          <w:r>
            <w:rPr>
              <w:sz w:val="28"/>
              <w:szCs w:val="28"/>
            </w:rPr>
            <w:fldChar w:fldCharType="begin"/>
          </w:r>
          <w:r>
            <w:rPr>
              <w:sz w:val="28"/>
              <w:szCs w:val="28"/>
            </w:rPr>
            <w:instrText xml:space="preserve"> PAGEREF _Toc19202 \h </w:instrText>
          </w:r>
          <w:r>
            <w:rPr>
              <w:sz w:val="28"/>
              <w:szCs w:val="28"/>
            </w:rPr>
            <w:fldChar w:fldCharType="separate"/>
          </w:r>
          <w:r>
            <w:rPr>
              <w:sz w:val="28"/>
              <w:szCs w:val="28"/>
            </w:rPr>
            <w:t>58</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_Toc2544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lang w:eastAsia="zh-CN"/>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竞争性</w:t>
          </w:r>
          <w:r>
            <w:rPr>
              <w:rFonts w:hint="eastAsia" w:ascii="宋体" w:hAnsi="宋体" w:eastAsia="宋体" w:cs="宋体"/>
              <w:sz w:val="28"/>
              <w:szCs w:val="28"/>
              <w:highlight w:val="none"/>
              <w:lang w:eastAsia="zh-CN"/>
            </w:rPr>
            <w:t>磋商</w:t>
          </w:r>
          <w:r>
            <w:rPr>
              <w:rFonts w:hint="eastAsia" w:ascii="宋体" w:hAnsi="宋体" w:eastAsia="宋体" w:cs="宋体"/>
              <w:sz w:val="28"/>
              <w:szCs w:val="28"/>
              <w:highlight w:val="none"/>
            </w:rPr>
            <w:t>响应文件格式</w:t>
          </w:r>
          <w:r>
            <w:rPr>
              <w:sz w:val="28"/>
              <w:szCs w:val="28"/>
            </w:rPr>
            <w:tab/>
          </w:r>
          <w:r>
            <w:rPr>
              <w:sz w:val="28"/>
              <w:szCs w:val="28"/>
            </w:rPr>
            <w:fldChar w:fldCharType="begin"/>
          </w:r>
          <w:r>
            <w:rPr>
              <w:sz w:val="28"/>
              <w:szCs w:val="28"/>
            </w:rPr>
            <w:instrText xml:space="preserve"> PAGEREF _Toc2544 \h </w:instrText>
          </w:r>
          <w:r>
            <w:rPr>
              <w:sz w:val="28"/>
              <w:szCs w:val="28"/>
            </w:rPr>
            <w:fldChar w:fldCharType="separate"/>
          </w:r>
          <w:r>
            <w:rPr>
              <w:sz w:val="28"/>
              <w:szCs w:val="28"/>
            </w:rPr>
            <w:t>60</w:t>
          </w:r>
          <w:r>
            <w:rPr>
              <w:sz w:val="28"/>
              <w:szCs w:val="28"/>
            </w:rPr>
            <w:fldChar w:fldCharType="end"/>
          </w:r>
          <w:r>
            <w:rPr>
              <w:rFonts w:hint="eastAsia" w:ascii="宋体" w:hAnsi="宋体" w:eastAsia="宋体" w:cs="宋体"/>
              <w:color w:val="auto"/>
              <w:sz w:val="28"/>
              <w:szCs w:val="28"/>
              <w:highlight w:val="none"/>
              <w:lang w:val="en-US" w:eastAsia="zh-CN"/>
            </w:rPr>
            <w:fldChar w:fldCharType="end"/>
          </w:r>
        </w:p>
        <w:p>
          <w:pPr>
            <w:pStyle w:val="88"/>
            <w:tabs>
              <w:tab w:val="right" w:leader="dot" w:pos="9172"/>
            </w:tabs>
            <w:rPr>
              <w:sz w:val="28"/>
              <w:szCs w:val="28"/>
            </w:rPr>
          </w:pPr>
        </w:p>
        <w:p>
          <w:pPr>
            <w:spacing w:line="720" w:lineRule="auto"/>
            <w:ind w:firstLine="64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Cs w:val="32"/>
              <w:highlight w:val="none"/>
              <w:lang w:val="en-US" w:eastAsia="zh-CN"/>
            </w:rPr>
            <w:fldChar w:fldCharType="end"/>
          </w:r>
        </w:p>
      </w:sdtContent>
    </w:sdt>
    <w:p>
      <w:pPr>
        <w:pStyle w:val="2"/>
        <w:rPr>
          <w:rFonts w:hint="eastAsia" w:ascii="宋体" w:hAnsi="宋体" w:eastAsia="宋体" w:cs="宋体"/>
          <w:color w:val="auto"/>
          <w:highlight w:val="none"/>
          <w:lang w:val="en-US" w:eastAsia="zh-CN"/>
        </w:rPr>
      </w:pPr>
    </w:p>
    <w:p>
      <w:pPr>
        <w:spacing w:line="520" w:lineRule="exact"/>
        <w:ind w:firstLine="198" w:firstLineChars="62"/>
        <w:rPr>
          <w:rFonts w:hint="eastAsia" w:ascii="宋体" w:hAnsi="宋体" w:eastAsia="宋体" w:cs="宋体"/>
          <w:color w:val="auto"/>
          <w:sz w:val="32"/>
          <w:szCs w:val="32"/>
          <w:highlight w:val="none"/>
        </w:rPr>
      </w:pPr>
    </w:p>
    <w:p>
      <w:pPr>
        <w:spacing w:line="520" w:lineRule="exact"/>
        <w:ind w:firstLine="640"/>
        <w:rPr>
          <w:rFonts w:hint="eastAsia" w:ascii="宋体" w:hAnsi="宋体" w:eastAsia="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color w:val="auto"/>
          <w:kern w:val="2"/>
          <w:sz w:val="44"/>
          <w:szCs w:val="44"/>
          <w:highlight w:val="none"/>
          <w:lang w:val="en-US" w:eastAsia="zh-CN" w:bidi="ar-SA"/>
        </w:rPr>
        <w:sectPr>
          <w:headerReference r:id="rId5" w:type="default"/>
          <w:footerReference r:id="rId6"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docGrid w:type="lines" w:linePitch="314" w:charSpace="0"/>
        </w:sectPr>
      </w:pPr>
      <w:bookmarkStart w:id="12" w:name="_Toc452708685"/>
      <w:bookmarkStart w:id="13" w:name="_Toc458515047"/>
      <w:bookmarkStart w:id="14" w:name="_Toc26998"/>
      <w:bookmarkStart w:id="15" w:name="_Toc13183"/>
    </w:p>
    <w:p>
      <w:pPr>
        <w:pStyle w:val="3"/>
        <w:bidi w:val="0"/>
        <w:jc w:val="center"/>
        <w:rPr>
          <w:rFonts w:hint="eastAsia"/>
          <w:sz w:val="32"/>
          <w:szCs w:val="32"/>
        </w:rPr>
      </w:pPr>
      <w:bookmarkStart w:id="16" w:name="_Toc32219"/>
      <w:r>
        <w:rPr>
          <w:rFonts w:hint="eastAsia"/>
          <w:sz w:val="32"/>
          <w:szCs w:val="32"/>
          <w:lang w:val="en-US" w:eastAsia="zh-CN"/>
        </w:rPr>
        <w:t xml:space="preserve">第一章  </w:t>
      </w:r>
      <w:r>
        <w:rPr>
          <w:rFonts w:hint="eastAsia"/>
          <w:sz w:val="32"/>
          <w:szCs w:val="32"/>
        </w:rPr>
        <w:t>竞争性磋商公告</w:t>
      </w:r>
      <w:bookmarkEnd w:id="16"/>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rPr>
      </w:pPr>
      <w:r>
        <w:rPr>
          <w:rFonts w:hint="eastAsia" w:ascii="宋体" w:hAnsi="宋体" w:eastAsia="宋体" w:cs="宋体"/>
          <w:b/>
          <w:sz w:val="24"/>
          <w:szCs w:val="24"/>
        </w:rPr>
        <w:t xml:space="preserve"> </w:t>
      </w:r>
      <w:bookmarkStart w:id="17" w:name="_Toc32584"/>
      <w:r>
        <w:rPr>
          <w:rFonts w:hint="eastAsia" w:ascii="宋体" w:hAnsi="宋体" w:eastAsia="宋体" w:cs="宋体"/>
          <w:b/>
          <w:sz w:val="24"/>
          <w:szCs w:val="24"/>
        </w:rPr>
        <w:t>项目概况</w:t>
      </w:r>
      <w:bookmarkEnd w:id="17"/>
    </w:p>
    <w:p>
      <w:pPr>
        <w:pStyle w:val="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凤县嘉陵江凤州镇段水毁修复工程采购项目的潜在供应商应在【全国公共资源交易平台（陕西省·宝鸡市）宝鸡市公共资源交易中心】获取采购文件，并于 2025年05月23日 14时00分 （北京时间）前提交响应文件。</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项目编号：ZZDBJ招2025-004</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项目名称：凤县嘉陵江凤州镇段水毁修复工程</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预算金额：1,550,000.00元</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合同包1(凤县嘉陵江凤州镇段水毁修复工程):</w:t>
      </w:r>
    </w:p>
    <w:p>
      <w:pPr>
        <w:pStyle w:val="90"/>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合同包预算金额：1,550,000.00元</w:t>
      </w:r>
    </w:p>
    <w:p>
      <w:pPr>
        <w:pStyle w:val="90"/>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合同包最高限价：1,548,686.91元</w:t>
      </w:r>
    </w:p>
    <w:tbl>
      <w:tblPr>
        <w:tblStyle w:val="30"/>
        <w:tblW w:w="97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2"/>
        <w:gridCol w:w="986"/>
        <w:gridCol w:w="1918"/>
        <w:gridCol w:w="1072"/>
        <w:gridCol w:w="1553"/>
        <w:gridCol w:w="1740"/>
        <w:gridCol w:w="17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986"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918"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072"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553"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40"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714"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986"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堤坝工程施工</w:t>
            </w:r>
          </w:p>
        </w:tc>
        <w:tc>
          <w:tcPr>
            <w:tcW w:w="1918"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凤县嘉陵江凤州镇段水毁修复工程</w:t>
            </w:r>
          </w:p>
        </w:tc>
        <w:tc>
          <w:tcPr>
            <w:tcW w:w="1072"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553"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740"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1,550,000.00</w:t>
            </w:r>
          </w:p>
        </w:tc>
        <w:tc>
          <w:tcPr>
            <w:tcW w:w="1714" w:type="dxa"/>
            <w:vAlign w:val="center"/>
          </w:tcPr>
          <w:p>
            <w:pPr>
              <w:pStyle w:val="9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1,548,686.91</w:t>
            </w:r>
          </w:p>
        </w:tc>
      </w:tr>
    </w:tbl>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合同履行期限：工期：40日历天 质保期：一年</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合同包1(凤县嘉陵江凤州镇段水毁修复工程)落实政府采购政策需满足的资格要求如下:</w:t>
      </w:r>
    </w:p>
    <w:p>
      <w:pPr>
        <w:pStyle w:val="90"/>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（4）《财政部 发展改革委 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（5）《财政部民政部中国残疾人联合会关于促进残疾人就业政府采购政策的通知》--（财库〔2017〕141号）；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（8）其他需要落实的政府采购政策；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（9）如遇国家政策调整或者有最新文件按最新政策执行。</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合同包1(凤县嘉陵江凤州镇段水毁修复工程)特定资格要求如下:</w:t>
      </w:r>
    </w:p>
    <w:p>
      <w:pPr>
        <w:pStyle w:val="90"/>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8" w:name="OLE_LINK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具有独立承担民事责任能力的企业法人、事业法人或其他组织，提供三证合一</w:t>
      </w:r>
    </w:p>
    <w:p>
      <w:pPr>
        <w:pStyle w:val="90"/>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sz w:val="24"/>
          <w:szCs w:val="24"/>
        </w:rPr>
        <w:t>的营业执照（事业单位须提供事业单位法人证、组织机构代码证等证明文件；其他组织应提供合法证明文件）；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供应商应授权合法的人员参加投标全过程，其中法定代表人直接参加投标的，须出具法人身份证明，并与营业执照上信息一致，法定代表人授权代表参加投标的，须出具法定代表人授权书及授权代表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（3）供应商须具备水利水电工程施工总承包三级及以上资质、具有建设行政主管部门颁发的安全生产许可证；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拟委派项目经理须为本单位在职人员，具有水利水电工程二级（含二级）及以上注册建造师证书、具有有效的安全生产考核合格证，拟派项目经理在本单位2024年5月至今任意3个月职工养老保险缴纳证明，且无在建项目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（5）财务状况报告：提供2023或2024年度的财务审计报告（成立时间至提交投标文件截止时间不足一年的可提供成立后任意时段的资产负债表）或开标前三个月内其基本存款账户开户银行出具的资信证明；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（6）税收缴纳证明：提供2024年5月至今任意3个月的纳税证明或完税证明，纳税证明或完税证明上应有代收机构或税务机关的公章或业务专用章，依法免税的供应商应提供相关文件证明；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社会保障资金缴纳证明：提供2024年5月至今任意3个月的社会保障资金缴存单据或社保机构开具的社会保险参保缴费情况证明，单据或证明上应有社保机构或收机构的公章或业务专用章。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（8）提供具有履行本合同所必需的设备和专业技术能力的承诺书；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（9）近三年无重大违法记录书面声明：参加本次采购活动前三年内，在经营活动中无重大违法记录的书面声明。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信用记录：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（11）单位负责人为同一人或者存在直接控股、管理关系的不同供应商，不得参加同一合同项下的政府采购活动；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rPr>
        <w:t>（12）本项目不接受联合体投标（提供承诺书）。</w:t>
      </w:r>
    </w:p>
    <w:bookmarkEnd w:id="18"/>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2025年05月12日 至 2025年05月16日 ，每天上午 09:00:00 至 12:00:00 ，下午 14:00:00 至 18:00:00 （北京时间）</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途径：【全国公共资源交易平台（陕西省·宝鸡市）宝鸡市公共资源交易中心】</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 0元</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截止时间： </w:t>
      </w:r>
      <w:bookmarkStart w:id="19" w:name="OLE_LINK107"/>
      <w:r>
        <w:rPr>
          <w:rFonts w:hint="eastAsia" w:ascii="宋体" w:hAnsi="宋体" w:eastAsia="宋体" w:cs="宋体"/>
          <w:sz w:val="24"/>
          <w:szCs w:val="24"/>
        </w:rPr>
        <w:t>2025年05月23日 14时00分00秒</w:t>
      </w:r>
      <w:bookmarkEnd w:id="19"/>
      <w:r>
        <w:rPr>
          <w:rFonts w:hint="eastAsia" w:ascii="宋体" w:hAnsi="宋体" w:eastAsia="宋体" w:cs="宋体"/>
          <w:sz w:val="24"/>
          <w:szCs w:val="24"/>
        </w:rPr>
        <w:t xml:space="preserve"> （北京时间）</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地点：全国公共资源交易平台（陕西省·宝鸡市）宝鸡市公共资源交易中心在线提交</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2025年05月23日 14时00分00秒 （北京时间）</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地点：全国公共资源交易平台(陕西省·宝鸡市)宝鸡市公共资源交易中心-不见面开标大厅</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1.请供应商按照陕西省财政厅关于政府采购投标人注册登记有关事项的通知中的要求，通过陕西省政府采购网注册登记加入陕西省政府采购投标人库。</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获取方式：打开【全国公共资源交易平台（陕西省·宝鸡市）】网站，使用CA证书登录全国公共资源交易平台（陕西省宝鸡市）宝鸡市公共资源交易中心交易平台〖首页〉电子交易平台〉企业端〗后，在〖招标公告/出让公告〗模块中选择有意向的项目点击“我要投标”进行报名。报名成功后即可从〖我的项目〉项目流程〉交易文件下载〗中下载电子招标文件（*.SXSZF格式）；</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3.投标人在网上填写的单位信息(单位名称、营业执照相关信息）应与招标文件要求及后期上传的电子投标文件中相关信息一致，否则造成资格审查不通过的后果投标人自负。</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4.提交投标文件的方式：从宝鸡市公共资源交易平台〖首页·〉电子交易平台·〉陕西政府采购交易系统·〉企业端〗登录，登录后切换到〖我的项 目〗模块，依次点选〖项目流程·〉项目管理·〉上传投标文件〗上传加密后的电子投标文件（*.SXSTF）。</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5.开标形式：本项目将采用“不见面开标”形式。操作说明详见平台〖首页·〉服务指南·〉下载专区〗中的《宝鸡公共资源交易不见面开标大厅投标人操作手册》。</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6.本项目竞争性磋商公告在《陕西省政府采购网》和《全国公共资源交易平台（陕西省·宝鸡市）》发布。</w:t>
      </w:r>
    </w:p>
    <w:p>
      <w:pPr>
        <w:pStyle w:val="9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7.本项目专门面向中小企业整体预留。</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名称：凤县凤州镇人民政府</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地址：陕西省凤县凤州镇学府路中段</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联系方式：0917- 4717381</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w:t>
      </w:r>
      <w:bookmarkStart w:id="20" w:name="OLE_LINK108"/>
      <w:r>
        <w:rPr>
          <w:rFonts w:hint="eastAsia" w:ascii="宋体" w:hAnsi="宋体" w:eastAsia="宋体" w:cs="宋体"/>
          <w:sz w:val="24"/>
          <w:szCs w:val="24"/>
        </w:rPr>
        <w:t>中智达项目管理有限公司</w:t>
      </w:r>
      <w:bookmarkEnd w:id="20"/>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地址：陕西省宝鸡市金台区陕西省宝鸡市金台区陈仓镇东岭社区东岭金融广场B座1401室</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联系方式：0917-3818210</w:t>
      </w:r>
    </w:p>
    <w:p>
      <w:pPr>
        <w:pStyle w:val="90"/>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项目联系人：王工</w:t>
      </w:r>
    </w:p>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电话：0917-3818210</w:t>
      </w:r>
    </w:p>
    <w:p>
      <w:pPr>
        <w:pStyle w:val="90"/>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r>
        <w:rPr>
          <w:rFonts w:hint="eastAsia" w:ascii="宋体" w:hAnsi="宋体" w:eastAsia="宋体" w:cs="宋体"/>
          <w:sz w:val="24"/>
          <w:szCs w:val="24"/>
        </w:rPr>
        <w:t>中智达项目管理有限公司</w:t>
      </w:r>
      <w:r>
        <w:rPr>
          <w:rFonts w:hint="eastAsia" w:ascii="宋体" w:hAnsi="宋体" w:eastAsia="宋体" w:cs="宋体"/>
          <w:sz w:val="28"/>
          <w:szCs w:val="28"/>
        </w:rPr>
        <w:br w:type="textWrapping"/>
      </w:r>
    </w:p>
    <w:p>
      <w:pPr>
        <w:pStyle w:val="90"/>
        <w:rPr>
          <w:rFonts w:hint="eastAsia" w:ascii="宋体" w:hAnsi="宋体" w:eastAsia="宋体" w:cs="宋体"/>
          <w:sz w:val="28"/>
          <w:szCs w:val="28"/>
          <w:lang w:val="en-US" w:eastAsia="zh-Hans"/>
        </w:rPr>
      </w:pPr>
    </w:p>
    <w:p>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rPr>
          <w:rFonts w:hint="eastAsia" w:ascii="宋体" w:hAnsi="宋体" w:eastAsia="宋体" w:cs="宋体"/>
          <w:highlight w:val="none"/>
        </w:rPr>
      </w:pPr>
    </w:p>
    <w:p>
      <w:pPr>
        <w:pStyle w:val="46"/>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3"/>
        <w:pageBreakBefore w:val="0"/>
        <w:numPr>
          <w:ilvl w:val="0"/>
          <w:numId w:val="0"/>
        </w:numPr>
        <w:kinsoku/>
        <w:wordWrap/>
        <w:overflowPunct/>
        <w:topLinePunct w:val="0"/>
        <w:autoSpaceDE/>
        <w:autoSpaceDN/>
        <w:bidi w:val="0"/>
        <w:adjustRightInd/>
        <w:snapToGrid/>
        <w:spacing w:line="360" w:lineRule="auto"/>
        <w:jc w:val="center"/>
        <w:outlineLvl w:val="0"/>
        <w:rPr>
          <w:rFonts w:hint="eastAsia" w:ascii="宋体" w:hAnsi="宋体" w:eastAsia="宋体" w:cs="宋体"/>
          <w:color w:val="auto"/>
          <w:sz w:val="32"/>
          <w:szCs w:val="32"/>
          <w:highlight w:val="none"/>
        </w:rPr>
      </w:pPr>
      <w:bookmarkStart w:id="21" w:name="_Toc30469"/>
      <w:r>
        <w:rPr>
          <w:rFonts w:hint="eastAsia" w:ascii="宋体" w:hAnsi="宋体" w:eastAsia="宋体" w:cs="宋体"/>
          <w:color w:val="auto"/>
          <w:sz w:val="32"/>
          <w:szCs w:val="32"/>
          <w:highlight w:val="none"/>
          <w:lang w:val="en-US" w:eastAsia="zh-CN"/>
        </w:rPr>
        <w:t xml:space="preserve">第二章  </w:t>
      </w:r>
      <w:r>
        <w:rPr>
          <w:rFonts w:hint="eastAsia" w:ascii="宋体" w:hAnsi="宋体" w:eastAsia="宋体" w:cs="宋体"/>
          <w:color w:val="auto"/>
          <w:sz w:val="32"/>
          <w:szCs w:val="32"/>
          <w:highlight w:val="none"/>
        </w:rPr>
        <w:t>供应商须知</w:t>
      </w:r>
      <w:bookmarkEnd w:id="21"/>
    </w:p>
    <w:p>
      <w:pPr>
        <w:pageBreakBefore w:val="0"/>
        <w:numPr>
          <w:ilvl w:val="0"/>
          <w:numId w:val="2"/>
        </w:numPr>
        <w:kinsoku/>
        <w:wordWrap/>
        <w:overflowPunct/>
        <w:topLinePunct w:val="0"/>
        <w:autoSpaceDE/>
        <w:autoSpaceDN/>
        <w:bidi w:val="0"/>
        <w:adjustRightInd/>
        <w:snapToGrid/>
        <w:spacing w:line="360" w:lineRule="auto"/>
        <w:ind w:firstLine="64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供应商须知前附表</w:t>
      </w:r>
    </w:p>
    <w:tbl>
      <w:tblPr>
        <w:tblStyle w:val="30"/>
        <w:tblpPr w:leftFromText="180" w:rightFromText="180" w:vertAnchor="text" w:horzAnchor="page" w:tblpX="1296" w:tblpY="372"/>
        <w:tblOverlap w:val="never"/>
        <w:tblW w:w="96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07"/>
        <w:gridCol w:w="6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6836"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6836"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bookmarkStart w:id="22" w:name="OLE_LINK97"/>
            <w:bookmarkStart w:id="23" w:name="OLE_LINK96"/>
            <w:bookmarkStart w:id="225" w:name="_GoBack"/>
            <w:r>
              <w:rPr>
                <w:rFonts w:hint="eastAsia" w:ascii="宋体" w:hAnsi="宋体" w:eastAsia="宋体" w:cs="宋体"/>
                <w:color w:val="auto"/>
                <w:sz w:val="21"/>
                <w:szCs w:val="21"/>
                <w:highlight w:val="none"/>
                <w:lang w:val="en-US" w:eastAsia="zh-CN"/>
              </w:rPr>
              <w:t>凤县凤州镇人民政府</w:t>
            </w:r>
            <w:bookmarkEnd w:id="22"/>
            <w:r>
              <w:rPr>
                <w:rFonts w:hint="eastAsia" w:ascii="宋体" w:hAnsi="宋体" w:eastAsia="宋体" w:cs="宋体"/>
                <w:color w:val="auto"/>
                <w:sz w:val="21"/>
                <w:szCs w:val="21"/>
                <w:highlight w:val="none"/>
                <w:lang w:val="en-US" w:eastAsia="zh-CN"/>
              </w:rPr>
              <w:t xml:space="preserve"> </w:t>
            </w:r>
            <w:bookmarkEnd w:id="225"/>
            <w:bookmarkEnd w:id="23"/>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联系人：魏先生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联系方式：0917- 4717381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w:t>
            </w:r>
          </w:p>
        </w:tc>
        <w:tc>
          <w:tcPr>
            <w:tcW w:w="6836"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 xml:space="preserve">中智达项目管理有限公司   </w:t>
            </w:r>
          </w:p>
          <w:p>
            <w:pPr>
              <w:keepNext w:val="0"/>
              <w:keepLines w:val="0"/>
              <w:pageBreakBefore w:val="0"/>
              <w:widowControl w:val="0"/>
              <w:tabs>
                <w:tab w:val="left" w:pos="-200"/>
                <w:tab w:val="left" w:pos="0"/>
              </w:tabs>
              <w:kinsoku/>
              <w:wordWrap/>
              <w:overflowPunct/>
              <w:topLinePunct w:val="0"/>
              <w:autoSpaceDE/>
              <w:autoSpaceDN/>
              <w:bidi w:val="0"/>
              <w:adjustRightInd/>
              <w:snapToGrid/>
              <w:spacing w:beforeAutospacing="0" w:afterAutospacing="0" w:line="24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 xml:space="preserve">陕西省宝鸡市金台区金台大道东岭金融广场B座1401室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 xml:space="preserve">王女士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0917-3818210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并且符合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文件规定资格条件和参加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竞争的法人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项目名称</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bookmarkStart w:id="24" w:name="OLE_LINK4"/>
            <w:bookmarkStart w:id="25" w:name="OLE_LINK95"/>
            <w:r>
              <w:rPr>
                <w:rFonts w:hint="eastAsia" w:ascii="宋体" w:hAnsi="宋体" w:eastAsia="宋体" w:cs="宋体"/>
                <w:color w:val="auto"/>
                <w:sz w:val="21"/>
                <w:szCs w:val="21"/>
                <w:highlight w:val="none"/>
                <w:lang w:eastAsia="zh-CN"/>
              </w:rPr>
              <w:t>凤县嘉陵江凤州镇</w:t>
            </w:r>
            <w:bookmarkEnd w:id="24"/>
            <w:r>
              <w:rPr>
                <w:rFonts w:hint="eastAsia" w:ascii="宋体" w:hAnsi="宋体" w:eastAsia="宋体" w:cs="宋体"/>
                <w:color w:val="auto"/>
                <w:sz w:val="21"/>
                <w:szCs w:val="21"/>
                <w:highlight w:val="none"/>
                <w:lang w:eastAsia="zh-CN"/>
              </w:rPr>
              <w:t>段水毁修复工程</w:t>
            </w:r>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采购项目编号</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bookmarkStart w:id="26" w:name="OLE_LINK103"/>
            <w:bookmarkStart w:id="27" w:name="OLE_LINK100"/>
            <w:r>
              <w:rPr>
                <w:rFonts w:hint="eastAsia" w:ascii="宋体" w:hAnsi="宋体" w:eastAsia="宋体" w:cs="宋体"/>
                <w:color w:val="auto"/>
                <w:sz w:val="21"/>
                <w:szCs w:val="21"/>
                <w:highlight w:val="none"/>
                <w:lang w:val="en-US" w:eastAsia="zh-CN"/>
              </w:rPr>
              <w:t>ZZDBJ招2025-004</w:t>
            </w:r>
            <w:bookmarkEnd w:id="26"/>
            <w:r>
              <w:rPr>
                <w:rFonts w:hint="eastAsia" w:ascii="宋体" w:hAnsi="宋体" w:eastAsia="宋体" w:cs="宋体"/>
                <w:color w:val="auto"/>
                <w:sz w:val="21"/>
                <w:szCs w:val="21"/>
                <w:highlight w:val="none"/>
                <w:lang w:val="en-US" w:eastAsia="zh-CN"/>
              </w:rPr>
              <w:t xml:space="preserve"> </w:t>
            </w:r>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007" w:type="dxa"/>
            <w:tcBorders>
              <w:bottom w:val="single" w:color="auto" w:sz="4" w:space="0"/>
            </w:tcBorders>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预算金额</w:t>
            </w:r>
          </w:p>
        </w:tc>
        <w:tc>
          <w:tcPr>
            <w:tcW w:w="6836" w:type="dxa"/>
            <w:tcBorders>
              <w:bottom w:val="single" w:color="auto" w:sz="4" w:space="0"/>
            </w:tcBorders>
            <w:vAlign w:val="center"/>
          </w:tcPr>
          <w:p>
            <w:pPr>
              <w:pStyle w:val="85"/>
              <w:spacing w:line="32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本项目预算金额：</w:t>
            </w:r>
            <w:r>
              <w:rPr>
                <w:rFonts w:hint="eastAsia" w:ascii="宋体" w:hAnsi="宋体" w:eastAsia="宋体" w:cs="宋体"/>
                <w:sz w:val="21"/>
                <w:szCs w:val="21"/>
                <w:highlight w:val="none"/>
                <w:lang w:val="en-US" w:eastAsia="zh-CN"/>
              </w:rPr>
              <w:t>1550000.00元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007" w:type="dxa"/>
            <w:tcBorders>
              <w:top w:val="single" w:color="auto" w:sz="4" w:space="0"/>
            </w:tcBorders>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最高限价</w:t>
            </w:r>
          </w:p>
        </w:tc>
        <w:tc>
          <w:tcPr>
            <w:tcW w:w="6836" w:type="dxa"/>
            <w:tcBorders>
              <w:top w:val="single" w:color="auto" w:sz="4" w:space="0"/>
            </w:tcBorders>
            <w:vAlign w:val="center"/>
          </w:tcPr>
          <w:p>
            <w:pPr>
              <w:keepNext w:val="0"/>
              <w:keepLines w:val="0"/>
              <w:widowControl/>
              <w:suppressLineNumbers w:val="0"/>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本项目最高限价：1548686.91元 ；投标人报价超出最高限价的，作为不实质性响应采购文件，按无效投标处理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资金来源</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007" w:type="dxa"/>
            <w:vAlign w:val="center"/>
          </w:tcPr>
          <w:p>
            <w:pPr>
              <w:pStyle w:val="85"/>
              <w:ind w:left="38"/>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是否预留份额专门</w:t>
            </w:r>
          </w:p>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面向中小企业采购</w:t>
            </w:r>
          </w:p>
        </w:tc>
        <w:tc>
          <w:tcPr>
            <w:tcW w:w="6836" w:type="dxa"/>
            <w:vAlign w:val="center"/>
          </w:tcPr>
          <w:p>
            <w:pPr>
              <w:pStyle w:val="85"/>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kern w:val="2"/>
                <w:sz w:val="21"/>
                <w:szCs w:val="21"/>
                <w:highlight w:val="none"/>
                <w:lang w:val="en-US" w:eastAsia="zh-CN" w:bidi="ar-SA"/>
              </w:rPr>
              <w:t>本项目专门面向中小企业采购，供应商应当为中小企业（含残疾人福利性单位）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007" w:type="dxa"/>
            <w:vAlign w:val="center"/>
          </w:tcPr>
          <w:p>
            <w:pPr>
              <w:pStyle w:val="85"/>
              <w:ind w:left="38" w:lef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tc>
        <w:tc>
          <w:tcPr>
            <w:tcW w:w="6836" w:type="dxa"/>
            <w:vAlign w:val="center"/>
          </w:tcPr>
          <w:p>
            <w:pPr>
              <w:pStyle w:val="85"/>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007" w:type="dxa"/>
            <w:vAlign w:val="center"/>
          </w:tcPr>
          <w:p>
            <w:pPr>
              <w:pStyle w:val="85"/>
              <w:ind w:left="38" w:leftChars="0"/>
              <w:jc w:val="center"/>
              <w:rPr>
                <w:rFonts w:hint="eastAsia" w:ascii="宋体" w:hAnsi="宋体" w:eastAsia="宋体" w:cs="宋体"/>
                <w:color w:val="auto"/>
                <w:kern w:val="0"/>
                <w:sz w:val="21"/>
                <w:szCs w:val="21"/>
                <w:highlight w:val="none"/>
                <w:lang w:val="zh-CN" w:eastAsia="zh-CN" w:bidi="ar-SA"/>
              </w:rPr>
            </w:pPr>
            <w:bookmarkStart w:id="28" w:name="OLE_LINK15"/>
            <w:r>
              <w:rPr>
                <w:rFonts w:hint="eastAsia" w:ascii="宋体" w:hAnsi="宋体" w:eastAsia="宋体" w:cs="宋体"/>
                <w:color w:val="auto"/>
                <w:sz w:val="21"/>
                <w:szCs w:val="21"/>
                <w:highlight w:val="none"/>
                <w:lang w:val="zh-CN"/>
              </w:rPr>
              <w:t>合同价格形式</w:t>
            </w:r>
            <w:bookmarkEnd w:id="28"/>
          </w:p>
        </w:tc>
        <w:tc>
          <w:tcPr>
            <w:tcW w:w="6836" w:type="dxa"/>
            <w:vAlign w:val="center"/>
          </w:tcPr>
          <w:p>
            <w:pPr>
              <w:pStyle w:val="8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总价合同</w:t>
            </w:r>
          </w:p>
          <w:p>
            <w:pPr>
              <w:pStyle w:val="85"/>
              <w:jc w:val="both"/>
              <w:rPr>
                <w:rFonts w:hint="eastAsia" w:ascii="宋体" w:hAnsi="宋体" w:eastAsia="宋体" w:cs="宋体"/>
                <w:color w:val="auto"/>
                <w:sz w:val="21"/>
                <w:szCs w:val="21"/>
                <w:highlight w:val="none"/>
                <w:lang w:val="en-US" w:eastAsia="zh-CN"/>
              </w:rPr>
            </w:pPr>
            <w:bookmarkStart w:id="29" w:name="OLE_LINK36"/>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固定</w:t>
            </w:r>
            <w:r>
              <w:rPr>
                <w:rFonts w:hint="eastAsia" w:ascii="宋体" w:hAnsi="宋体" w:eastAsia="宋体" w:cs="宋体"/>
                <w:color w:val="auto"/>
                <w:sz w:val="21"/>
                <w:szCs w:val="21"/>
                <w:highlight w:val="none"/>
                <w:lang w:val="en-US" w:eastAsia="zh-CN"/>
              </w:rPr>
              <w:t>综合单价合同</w:t>
            </w:r>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工期（合同履行期）</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bookmarkStart w:id="30" w:name="OLE_LINK101"/>
            <w:r>
              <w:rPr>
                <w:rFonts w:hint="eastAsia" w:ascii="宋体" w:hAnsi="宋体" w:eastAsia="宋体" w:cs="宋体"/>
                <w:sz w:val="21"/>
                <w:szCs w:val="21"/>
                <w:highlight w:val="none"/>
                <w:lang w:val="en-US" w:eastAsia="zh-CN"/>
              </w:rPr>
              <w:t>40日历天</w:t>
            </w:r>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施工地点</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凤县嘉陵江凤州镇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质量标准</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1"/>
                <w:szCs w:val="21"/>
                <w:highlight w:val="none"/>
                <w:lang w:val="en-US" w:eastAsia="zh-CN"/>
              </w:rPr>
            </w:pPr>
            <w:bookmarkStart w:id="31" w:name="OLE_LINK102"/>
            <w:r>
              <w:rPr>
                <w:rFonts w:hint="eastAsia" w:ascii="宋体" w:hAnsi="宋体" w:eastAsia="宋体" w:cs="宋体"/>
                <w:color w:val="auto"/>
                <w:kern w:val="0"/>
                <w:sz w:val="21"/>
                <w:szCs w:val="21"/>
                <w:highlight w:val="none"/>
                <w:lang w:val="en-US" w:eastAsia="zh-CN"/>
              </w:rPr>
              <w:t>合格</w:t>
            </w:r>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28"/>
                <w:kern w:val="0"/>
                <w:sz w:val="21"/>
                <w:szCs w:val="21"/>
                <w:highlight w:val="none"/>
              </w:rPr>
            </w:pPr>
            <w:r>
              <w:rPr>
                <w:rFonts w:hint="eastAsia" w:ascii="宋体" w:hAnsi="宋体" w:eastAsia="宋体" w:cs="宋体"/>
                <w:color w:val="auto"/>
                <w:sz w:val="21"/>
                <w:szCs w:val="21"/>
                <w:highlight w:val="none"/>
                <w:lang w:val="zh-CN"/>
              </w:rPr>
              <w:t>联合体投标</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现场勘查、标前答疑会</w:t>
            </w:r>
          </w:p>
        </w:tc>
        <w:tc>
          <w:tcPr>
            <w:tcW w:w="683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不组织。采购人认为有必要，另行书面通知。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文件的其他文件</w:t>
            </w:r>
          </w:p>
        </w:tc>
        <w:tc>
          <w:tcPr>
            <w:tcW w:w="683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文件的澄清、修改书及有关补充通知为</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投标人对招标文件</w:t>
            </w:r>
          </w:p>
          <w:p>
            <w:pPr>
              <w:pStyle w:val="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提出质疑的时间、形式</w:t>
            </w:r>
          </w:p>
        </w:tc>
        <w:tc>
          <w:tcPr>
            <w:tcW w:w="6836" w:type="dxa"/>
            <w:vAlign w:val="center"/>
          </w:tcPr>
          <w:p>
            <w:pPr>
              <w:pStyle w:val="85"/>
              <w:spacing w:line="320" w:lineRule="exact"/>
              <w:ind w:left="840" w:leftChars="100" w:hanging="630" w:hanging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时间：自投标人下载招标文件之日起7个工作日内，超过期限的采购人或采购代理机构不再受理</w:t>
            </w:r>
          </w:p>
          <w:p>
            <w:pPr>
              <w:pStyle w:val="85"/>
              <w:spacing w:line="320" w:lineRule="exact"/>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形式：☑书面</w:t>
            </w:r>
          </w:p>
          <w:p>
            <w:pPr>
              <w:pStyle w:val="85"/>
              <w:spacing w:line="320" w:lineRule="exact"/>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□在线（电子文件）</w:t>
            </w:r>
          </w:p>
          <w:p>
            <w:pPr>
              <w:pStyle w:val="85"/>
              <w:spacing w:line="32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投标人认为采购过程、成交结果使自己的权益受到损害的，可以在知道或应知其权益受到损害之日起7个工作日内提出质疑，形式同上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对投标人提出质疑</w:t>
            </w:r>
          </w:p>
          <w:p>
            <w:pPr>
              <w:pStyle w:val="8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答复时间、形式</w:t>
            </w:r>
          </w:p>
        </w:tc>
        <w:tc>
          <w:tcPr>
            <w:tcW w:w="6836" w:type="dxa"/>
            <w:vAlign w:val="center"/>
          </w:tcPr>
          <w:p>
            <w:pPr>
              <w:pStyle w:val="85"/>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时间：自收到投标人质疑函之日起7个工作日内</w:t>
            </w:r>
          </w:p>
          <w:p>
            <w:pPr>
              <w:pStyle w:val="85"/>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形式：书面形式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2007" w:type="dxa"/>
            <w:vAlign w:val="center"/>
          </w:tcPr>
          <w:p>
            <w:pPr>
              <w:pStyle w:val="85"/>
              <w:ind w:left="33"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有效期</w:t>
            </w:r>
          </w:p>
        </w:tc>
        <w:tc>
          <w:tcPr>
            <w:tcW w:w="6836" w:type="dxa"/>
            <w:vAlign w:val="center"/>
          </w:tcPr>
          <w:p>
            <w:pPr>
              <w:pStyle w:val="85"/>
              <w:ind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从投标截止日起90日历</w:t>
            </w:r>
            <w:r>
              <w:rPr>
                <w:rFonts w:hint="eastAsia" w:ascii="宋体" w:hAnsi="宋体" w:eastAsia="宋体" w:cs="宋体"/>
                <w:color w:val="auto"/>
                <w:sz w:val="21"/>
                <w:szCs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保证金</w:t>
            </w:r>
          </w:p>
        </w:tc>
        <w:tc>
          <w:tcPr>
            <w:tcW w:w="683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lang w:val="en-US" w:eastAsia="zh-CN"/>
              </w:rPr>
              <w:t>磋商保证金</w:t>
            </w:r>
            <w:r>
              <w:rPr>
                <w:rFonts w:hint="eastAsia"/>
              </w:rPr>
              <w:t xml:space="preserve">的金额：￥ </w:t>
            </w:r>
            <w:r>
              <w:rPr>
                <w:rFonts w:hint="eastAsia"/>
                <w:lang w:val="en-US" w:eastAsia="zh-CN"/>
              </w:rPr>
              <w:t>20000.00</w:t>
            </w:r>
            <w:r>
              <w:rPr>
                <w:rFonts w:hint="eastAsia"/>
              </w:rPr>
              <w:t xml:space="preserve">元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lang w:val="en-US" w:eastAsia="zh-CN"/>
              </w:rPr>
              <w:t>磋商保证金</w:t>
            </w:r>
            <w:r>
              <w:rPr>
                <w:rFonts w:hint="eastAsia"/>
              </w:rPr>
              <w:t>的形式：以银行转账或者金融机构、担保机构</w:t>
            </w:r>
            <w:r>
              <w:rPr>
                <w:rFonts w:hint="eastAsia"/>
                <w:lang w:eastAsia="zh-CN"/>
              </w:rPr>
              <w:t>出</w:t>
            </w:r>
            <w:r>
              <w:rPr>
                <w:rFonts w:hint="eastAsia"/>
              </w:rPr>
              <w:t>具的保函等非现金形式提交。银行转账可以采取支票、电汇、网银、汇票、本票等方式，均应从基本账户转出</w:t>
            </w:r>
            <w:r>
              <w:rPr>
                <w:rFonts w:hint="eastAsia"/>
                <w:lang w:val="en-US" w:eastAsia="zh-CN"/>
              </w:rPr>
              <w:t>磋商保证金</w:t>
            </w:r>
            <w:r>
              <w:rPr>
                <w:rFonts w:hint="eastAsia"/>
              </w:rPr>
              <w:t>的收款单位：</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lang w:val="zh-CN" w:eastAsia="zh-CN"/>
              </w:rPr>
            </w:pPr>
            <w:r>
              <w:rPr>
                <w:rFonts w:hint="eastAsia"/>
                <w:lang w:val="zh-CN" w:eastAsia="zh-CN"/>
              </w:rPr>
              <w:t>户    名：宝鸡市公共资源交易中心保证金专户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lang w:val="zh-CN" w:eastAsia="zh-CN"/>
              </w:rPr>
            </w:pPr>
            <w:r>
              <w:rPr>
                <w:rFonts w:hint="eastAsia"/>
                <w:lang w:val="zh-CN" w:eastAsia="zh-CN"/>
              </w:rPr>
              <w:t>开 户 行：</w:t>
            </w:r>
            <w:r>
              <w:rPr>
                <w:rFonts w:hint="eastAsia"/>
                <w:lang w:val="en-US" w:eastAsia="zh-CN"/>
              </w:rPr>
              <w:t>长安银行股份有限公司宝鸡分行营业部</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lang w:val="en-US" w:eastAsia="zh-CN"/>
              </w:rPr>
            </w:pPr>
            <w:r>
              <w:rPr>
                <w:rFonts w:hint="eastAsia"/>
                <w:lang w:val="zh-CN" w:eastAsia="zh-CN"/>
              </w:rPr>
              <w:t>银行账号：</w:t>
            </w:r>
            <w:r>
              <w:rPr>
                <w:rFonts w:hint="eastAsia"/>
                <w:lang w:val="en-US" w:eastAsia="zh-CN"/>
              </w:rPr>
              <w:t>80602000142101980613242</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rPr>
            </w:pPr>
            <w:r>
              <w:rPr>
                <w:rFonts w:hint="eastAsia"/>
              </w:rPr>
              <w:t>注：请各</w:t>
            </w:r>
            <w:r>
              <w:rPr>
                <w:rFonts w:hint="eastAsia"/>
                <w:lang w:val="en-US" w:eastAsia="zh-CN"/>
              </w:rPr>
              <w:t>投标人</w:t>
            </w:r>
            <w:r>
              <w:rPr>
                <w:rFonts w:hint="eastAsia"/>
              </w:rPr>
              <w:t>按照要求及时缴纳</w:t>
            </w:r>
            <w:r>
              <w:rPr>
                <w:rFonts w:hint="eastAsia"/>
                <w:lang w:eastAsia="zh-CN"/>
              </w:rPr>
              <w:t>磋商保证金</w:t>
            </w:r>
            <w:r>
              <w:rPr>
                <w:rFonts w:hint="eastAsia"/>
              </w:rPr>
              <w:t>，如因自身原因发生错误，产生的不利后果均由</w:t>
            </w:r>
            <w:r>
              <w:rPr>
                <w:rFonts w:hint="eastAsia"/>
                <w:lang w:eastAsia="zh-CN"/>
              </w:rPr>
              <w:t>投标人</w:t>
            </w:r>
            <w:r>
              <w:rPr>
                <w:rFonts w:hint="eastAsia"/>
              </w:rPr>
              <w:t>自行承担。</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lang w:val="zh-CN"/>
              </w:rPr>
            </w:pPr>
            <w:r>
              <w:rPr>
                <w:rFonts w:hint="eastAsia"/>
                <w:lang w:val="en-US" w:eastAsia="zh-CN"/>
              </w:rPr>
              <w:t>转账时应注明：账号后5位数字。</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lang w:val="en-US" w:eastAsia="zh-CN"/>
              </w:rPr>
              <w:t>1.</w:t>
            </w:r>
            <w:r>
              <w:rPr>
                <w:rFonts w:hint="eastAsia"/>
              </w:rPr>
              <w:t>投标人应按投标人须知前附表规定的金额、形式、时间和“投标文件格式”规定的</w:t>
            </w:r>
            <w:r>
              <w:rPr>
                <w:rFonts w:hint="eastAsia"/>
                <w:lang w:eastAsia="zh-CN"/>
              </w:rPr>
              <w:t>磋商保证金</w:t>
            </w:r>
            <w:r>
              <w:rPr>
                <w:rFonts w:hint="eastAsia"/>
              </w:rPr>
              <w:t>格式提交</w:t>
            </w:r>
            <w:r>
              <w:rPr>
                <w:rFonts w:hint="eastAsia"/>
                <w:lang w:eastAsia="zh-CN"/>
              </w:rPr>
              <w:t>磋商保证金</w:t>
            </w:r>
            <w:r>
              <w:rPr>
                <w:rFonts w:hint="eastAsia"/>
              </w:rPr>
              <w:t>，作为其投标文件的一部分。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lang w:val="en-US" w:eastAsia="zh-CN"/>
              </w:rPr>
              <w:t>2.</w:t>
            </w:r>
            <w:r>
              <w:rPr>
                <w:rFonts w:hint="eastAsia"/>
              </w:rPr>
              <w:t xml:space="preserve"> </w:t>
            </w:r>
            <w:r>
              <w:rPr>
                <w:rFonts w:hint="eastAsia"/>
                <w:lang w:eastAsia="zh-CN"/>
              </w:rPr>
              <w:t>磋商保证金</w:t>
            </w:r>
            <w:r>
              <w:rPr>
                <w:rFonts w:hint="eastAsia"/>
              </w:rPr>
              <w:t>可以银行转账或者金融机构、担保机构出具的保函等非现金形式提交：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rPr>
              <w:t>（1）以银行转账提交保证金的，可以采取支票、电汇、网银、汇票、本票等方式，应从其基本账户转出，并在投标文件中附上基本账户开户证明。</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rPr>
              <w:t>（2）以信用担保函形式提交保证金的，应按招标文件规定的格式提交，且是行政有关部门认定的具有开具投标保函资格的单位开具的保函。投标人违约，开具保函单位承担连带责任。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投标人</w:t>
            </w:r>
            <w:r>
              <w:rPr>
                <w:rFonts w:hint="eastAsia"/>
                <w:lang w:val="zh-CN"/>
              </w:rPr>
              <w:t>以保函形式缴纳</w:t>
            </w:r>
            <w:r>
              <w:rPr>
                <w:rFonts w:hint="eastAsia"/>
                <w:lang w:val="en-US" w:eastAsia="zh-CN"/>
              </w:rPr>
              <w:t>磋商保证金</w:t>
            </w:r>
            <w:r>
              <w:rPr>
                <w:rFonts w:hint="eastAsia"/>
                <w:lang w:val="zh-CN"/>
              </w:rPr>
              <w:t>的，须在</w:t>
            </w:r>
            <w:r>
              <w:rPr>
                <w:rFonts w:hint="eastAsia"/>
                <w:lang w:val="en-US" w:eastAsia="zh-CN"/>
              </w:rPr>
              <w:t>投标</w:t>
            </w:r>
            <w:r>
              <w:rPr>
                <w:rFonts w:hint="eastAsia"/>
                <w:lang w:val="zh-CN"/>
              </w:rPr>
              <w:t>文件递交截止时间前将担保机构保函正本原件提交至宝鸡市公共资源交易中心财务科（</w:t>
            </w:r>
            <w:r>
              <w:rPr>
                <w:rFonts w:hint="eastAsia"/>
              </w:rPr>
              <w:t>621室</w:t>
            </w:r>
            <w:r>
              <w:rPr>
                <w:rFonts w:hint="eastAsia"/>
                <w:lang w:val="zh-CN"/>
              </w:rPr>
              <w:t>），并将保函正本扫描件附在</w:t>
            </w:r>
            <w:r>
              <w:rPr>
                <w:rFonts w:hint="eastAsia"/>
                <w:lang w:val="en-US" w:eastAsia="zh-CN"/>
              </w:rPr>
              <w:t>投标</w:t>
            </w:r>
            <w:r>
              <w:rPr>
                <w:rFonts w:hint="eastAsia"/>
                <w:lang w:val="zh-CN"/>
              </w:rPr>
              <w:t>文件格式规定处</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rPr>
            </w:pPr>
            <w:r>
              <w:rPr>
                <w:rFonts w:hint="eastAsia"/>
                <w:lang w:val="en-US" w:eastAsia="zh-CN"/>
              </w:rPr>
              <w:t>3.</w:t>
            </w:r>
            <w:r>
              <w:rPr>
                <w:rFonts w:hint="eastAsia"/>
              </w:rPr>
              <w:t>投标人未按要求提交</w:t>
            </w:r>
            <w:r>
              <w:rPr>
                <w:rFonts w:hint="eastAsia"/>
                <w:lang w:eastAsia="zh-CN"/>
              </w:rPr>
              <w:t>磋商保证金</w:t>
            </w:r>
            <w:r>
              <w:rPr>
                <w:rFonts w:hint="eastAsia"/>
              </w:rPr>
              <w:t>的，或者由于到账时间晚于投标截止时间的，或者票据错误、印鉴不清等原因导致不能到账的，其投标无效。</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lang w:val="en-US" w:eastAsia="zh-CN"/>
              </w:rPr>
            </w:pPr>
            <w:r>
              <w:rPr>
                <w:rFonts w:hint="eastAsia"/>
                <w:lang w:val="en-US" w:eastAsia="zh-CN"/>
              </w:rPr>
              <w:t>备注：保函接收、查验单位</w:t>
            </w:r>
          </w:p>
          <w:p>
            <w:pPr>
              <w:pStyle w:val="29"/>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1、银行保函(由银行作为担保人出具的投标保函)由交易中心财务科负责接收和查验;所投项目开标前 2~3 个工作日递交至财务科（621）</w:t>
            </w:r>
            <w:r>
              <w:rPr>
                <w:rFonts w:hint="eastAsia" w:hAnsi="宋体" w:cs="宋体"/>
                <w:color w:val="auto"/>
                <w:sz w:val="21"/>
                <w:szCs w:val="21"/>
                <w:highlight w:val="none"/>
                <w:lang w:val="en-US" w:eastAsia="zh-CN" w:bidi="ar-SA"/>
              </w:rPr>
              <w:t>。</w:t>
            </w:r>
          </w:p>
          <w:p>
            <w:pPr>
              <w:pStyle w:val="29"/>
              <w:ind w:left="0" w:leftChars="0" w:firstLine="0" w:firstLineChars="0"/>
              <w:rPr>
                <w:rFonts w:hint="eastAsia"/>
              </w:rPr>
            </w:pPr>
            <w:r>
              <w:rPr>
                <w:rFonts w:hint="eastAsia" w:ascii="宋体" w:hAnsi="宋体" w:eastAsia="宋体" w:cs="宋体"/>
                <w:color w:val="auto"/>
                <w:sz w:val="21"/>
                <w:szCs w:val="21"/>
                <w:highlight w:val="none"/>
                <w:lang w:val="en-US" w:eastAsia="zh-CN" w:bidi="ar-SA"/>
              </w:rPr>
              <w:t>2、保险公司保单(由保险公司作为担保人提供的投标保函)、担保公司保单(由专业的担保公司作为担保人提供的投标保函)由代理机构负责接收和查验；所投项目开标前 2~3 个工作日递交至代理公司。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备选磋商方案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和 报 价</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不接受备选磋商方案和多个报价。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盖章签字</w:t>
            </w:r>
          </w:p>
        </w:tc>
        <w:tc>
          <w:tcPr>
            <w:tcW w:w="6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2007" w:type="dxa"/>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磋商响应文件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份数</w:t>
            </w:r>
          </w:p>
        </w:tc>
        <w:tc>
          <w:tcPr>
            <w:tcW w:w="6836" w:type="dxa"/>
            <w:vAlign w:val="center"/>
          </w:tcPr>
          <w:p>
            <w:pPr>
              <w:pStyle w:val="8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投标人在投标时无需提供纸质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p>
            <w:pPr>
              <w:pStyle w:val="8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若投标供应商为中标单位，需在领取中标（成交）通知书时提供纸质版响应文件一正二副，并按要求签字盖章，以备留存。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提交首次响应文件</w:t>
            </w:r>
          </w:p>
          <w:p>
            <w:pPr>
              <w:pStyle w:val="8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截至时间</w:t>
            </w:r>
          </w:p>
        </w:tc>
        <w:tc>
          <w:tcPr>
            <w:tcW w:w="6836" w:type="dxa"/>
            <w:vAlign w:val="center"/>
          </w:tcPr>
          <w:p>
            <w:pPr>
              <w:pStyle w:val="85"/>
              <w:ind w:firstLine="210" w:firstLineChars="100"/>
              <w:rPr>
                <w:rFonts w:hint="eastAsia" w:ascii="宋体" w:hAnsi="宋体" w:eastAsia="宋体" w:cs="宋体"/>
                <w:b/>
                <w:bCs/>
                <w:color w:val="auto"/>
                <w:sz w:val="21"/>
                <w:szCs w:val="21"/>
                <w:highlight w:val="none"/>
                <w:lang w:val="en-US" w:eastAsia="zh-CN"/>
              </w:rPr>
            </w:pPr>
            <w:bookmarkStart w:id="32" w:name="OLE_LINK105"/>
            <w:r>
              <w:rPr>
                <w:rFonts w:hint="eastAsia" w:ascii="宋体" w:hAnsi="宋体" w:eastAsia="宋体" w:cs="宋体"/>
                <w:color w:val="auto"/>
                <w:sz w:val="21"/>
                <w:szCs w:val="21"/>
                <w:highlight w:val="none"/>
                <w:u w:val="none"/>
                <w:lang w:val="zh-CN" w:eastAsia="zh-CN"/>
              </w:rPr>
              <w:t>2025年5月23日14:00</w:t>
            </w:r>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007" w:type="dxa"/>
            <w:vAlign w:val="center"/>
          </w:tcPr>
          <w:p>
            <w:pPr>
              <w:pStyle w:val="8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提交首次响应文件地点</w:t>
            </w:r>
          </w:p>
        </w:tc>
        <w:tc>
          <w:tcPr>
            <w:tcW w:w="6836" w:type="dxa"/>
            <w:vAlign w:val="center"/>
          </w:tcPr>
          <w:p>
            <w:pPr>
              <w:pStyle w:val="85"/>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zh-CN"/>
              </w:rPr>
              <w:t xml:space="preserve">  </w:t>
            </w:r>
            <w:r>
              <w:rPr>
                <w:rFonts w:hint="eastAsia" w:ascii="宋体" w:hAnsi="宋体" w:eastAsia="宋体" w:cs="宋体"/>
                <w:i w:val="0"/>
                <w:iCs w:val="0"/>
                <w:caps w:val="0"/>
                <w:color w:val="auto"/>
                <w:spacing w:val="0"/>
                <w:sz w:val="21"/>
                <w:szCs w:val="21"/>
                <w:highlight w:val="none"/>
                <w:shd w:val="clear" w:color="auto" w:fill="FFFFFF"/>
                <w:lang w:val="en-US" w:eastAsia="zh-CN"/>
              </w:rPr>
              <w:t>【全国公共资源交易平台（陕西省·宝鸡市）】平台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开启响应文件</w:t>
            </w:r>
          </w:p>
          <w:p>
            <w:pPr>
              <w:pStyle w:val="85"/>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时间和地点</w:t>
            </w:r>
          </w:p>
        </w:tc>
        <w:tc>
          <w:tcPr>
            <w:tcW w:w="6836" w:type="dxa"/>
            <w:vAlign w:val="center"/>
          </w:tcPr>
          <w:p>
            <w:pPr>
              <w:pStyle w:val="85"/>
              <w:ind w:firstLine="210" w:firstLineChars="100"/>
              <w:rPr>
                <w:rFonts w:hint="eastAsia" w:ascii="宋体" w:hAnsi="宋体" w:eastAsia="宋体" w:cs="宋体"/>
                <w:i w:val="0"/>
                <w:iCs w:val="0"/>
                <w:caps w:val="0"/>
                <w:color w:val="auto"/>
                <w:spacing w:val="0"/>
                <w:sz w:val="21"/>
                <w:szCs w:val="21"/>
                <w:highlight w:val="none"/>
                <w:shd w:val="clear" w:color="auto" w:fill="FFFFFF"/>
                <w:lang w:val="zh-CN"/>
              </w:rPr>
            </w:pPr>
            <w:r>
              <w:rPr>
                <w:rFonts w:hint="eastAsia" w:ascii="宋体" w:hAnsi="宋体" w:eastAsia="宋体" w:cs="宋体"/>
                <w:i w:val="0"/>
                <w:iCs w:val="0"/>
                <w:caps w:val="0"/>
                <w:color w:val="auto"/>
                <w:spacing w:val="0"/>
                <w:sz w:val="21"/>
                <w:szCs w:val="21"/>
                <w:highlight w:val="none"/>
                <w:shd w:val="clear" w:color="auto" w:fill="FFFFFF"/>
                <w:lang w:val="en-US" w:eastAsia="zh-CN"/>
              </w:rPr>
              <w:t>开启</w:t>
            </w:r>
            <w:r>
              <w:rPr>
                <w:rFonts w:hint="eastAsia" w:ascii="宋体" w:hAnsi="宋体" w:eastAsia="宋体" w:cs="宋体"/>
                <w:i w:val="0"/>
                <w:iCs w:val="0"/>
                <w:caps w:val="0"/>
                <w:color w:val="auto"/>
                <w:spacing w:val="0"/>
                <w:sz w:val="21"/>
                <w:szCs w:val="21"/>
                <w:highlight w:val="none"/>
                <w:shd w:val="clear" w:color="auto" w:fill="FFFFFF"/>
                <w:lang w:val="zh-CN"/>
              </w:rPr>
              <w:t>时间：同投标截至时间</w:t>
            </w:r>
          </w:p>
          <w:p>
            <w:pPr>
              <w:pStyle w:val="85"/>
              <w:ind w:firstLine="210" w:firstLineChars="100"/>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开启</w:t>
            </w:r>
            <w:r>
              <w:rPr>
                <w:rFonts w:hint="eastAsia" w:ascii="宋体" w:hAnsi="宋体" w:eastAsia="宋体" w:cs="宋体"/>
                <w:i w:val="0"/>
                <w:iCs w:val="0"/>
                <w:caps w:val="0"/>
                <w:color w:val="auto"/>
                <w:spacing w:val="0"/>
                <w:sz w:val="21"/>
                <w:szCs w:val="21"/>
                <w:highlight w:val="none"/>
                <w:shd w:val="clear" w:color="auto" w:fill="FFFFFF"/>
                <w:lang w:val="zh-CN"/>
              </w:rPr>
              <w:t>地点：</w:t>
            </w:r>
            <w:r>
              <w:rPr>
                <w:rFonts w:hint="eastAsia" w:ascii="宋体" w:hAnsi="宋体" w:eastAsia="宋体" w:cs="宋体"/>
                <w:i w:val="0"/>
                <w:iCs w:val="0"/>
                <w:caps w:val="0"/>
                <w:color w:val="auto"/>
                <w:spacing w:val="0"/>
                <w:sz w:val="21"/>
                <w:szCs w:val="21"/>
                <w:highlight w:val="none"/>
                <w:shd w:val="clear" w:color="auto" w:fill="FFFFFF"/>
                <w:lang w:val="zh-CN" w:eastAsia="zh-CN"/>
              </w:rPr>
              <w:t>全国公共资源交易平台(陕西省·宝鸡市)不见面开标大厅系统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开标形式</w:t>
            </w:r>
          </w:p>
        </w:tc>
        <w:tc>
          <w:tcPr>
            <w:tcW w:w="6836" w:type="dxa"/>
            <w:vAlign w:val="center"/>
          </w:tcPr>
          <w:p>
            <w:pPr>
              <w:pStyle w:val="85"/>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本采购项目（包）采用电子开标形式，详见本章开标程序有关内容：</w:t>
            </w:r>
          </w:p>
          <w:p>
            <w:pPr>
              <w:pStyle w:val="85"/>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不见面开标</w:t>
            </w:r>
          </w:p>
          <w:p>
            <w:pPr>
              <w:pStyle w:val="85"/>
              <w:ind w:firstLine="210" w:firstLineChars="100"/>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sz w:val="21"/>
                <w:szCs w:val="21"/>
                <w:highlight w:val="none"/>
              </w:rPr>
              <w:t>□ 见面开标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007" w:type="dxa"/>
            <w:vAlign w:val="center"/>
          </w:tcPr>
          <w:p>
            <w:pPr>
              <w:pStyle w:val="85"/>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开启顺序</w:t>
            </w:r>
          </w:p>
        </w:tc>
        <w:tc>
          <w:tcPr>
            <w:tcW w:w="6836" w:type="dxa"/>
            <w:vAlign w:val="center"/>
          </w:tcPr>
          <w:p>
            <w:pPr>
              <w:pStyle w:val="85"/>
              <w:ind w:firstLine="210" w:firstLineChars="10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zh-CN"/>
              </w:rPr>
              <w:t>响应文件的</w:t>
            </w:r>
            <w:r>
              <w:rPr>
                <w:rFonts w:hint="eastAsia" w:ascii="宋体" w:hAnsi="宋体" w:eastAsia="宋体" w:cs="宋体"/>
                <w:color w:val="auto"/>
                <w:sz w:val="21"/>
                <w:szCs w:val="21"/>
                <w:highlight w:val="none"/>
              </w:rPr>
              <w:t>资格证明文件、商务和技术文件同时开启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007" w:type="dxa"/>
            <w:vAlign w:val="center"/>
          </w:tcPr>
          <w:p>
            <w:pPr>
              <w:pStyle w:val="8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磋商小组的组建</w:t>
            </w:r>
          </w:p>
        </w:tc>
        <w:tc>
          <w:tcPr>
            <w:tcW w:w="6836" w:type="dxa"/>
            <w:vAlign w:val="center"/>
          </w:tcPr>
          <w:p>
            <w:pPr>
              <w:pStyle w:val="85"/>
              <w:spacing w:line="320" w:lineRule="exact"/>
              <w:ind w:left="634" w:leftChars="102" w:hanging="420" w:hanging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磋商小组构成形式、人数，评审专家确定方式：</w:t>
            </w:r>
          </w:p>
          <w:p>
            <w:pPr>
              <w:pStyle w:val="85"/>
              <w:ind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zh-CN"/>
              </w:rPr>
              <w:t>详见供应商须知第7.1.1条款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75"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007" w:type="dxa"/>
            <w:vAlign w:val="center"/>
          </w:tcPr>
          <w:p>
            <w:pPr>
              <w:pStyle w:val="85"/>
              <w:ind w:left="96"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评审方法</w:t>
            </w:r>
          </w:p>
        </w:tc>
        <w:tc>
          <w:tcPr>
            <w:tcW w:w="6836" w:type="dxa"/>
            <w:vAlign w:val="center"/>
          </w:tcPr>
          <w:p>
            <w:pPr>
              <w:pStyle w:val="85"/>
              <w:ind w:left="634" w:leftChars="102" w:hanging="420" w:hangingChars="200"/>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val="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007" w:type="dxa"/>
            <w:vAlign w:val="center"/>
          </w:tcPr>
          <w:p>
            <w:pPr>
              <w:pStyle w:val="85"/>
              <w:ind w:left="96"/>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小组推荐成交</w:t>
            </w:r>
          </w:p>
          <w:p>
            <w:pPr>
              <w:pStyle w:val="85"/>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候选供应商的家数</w:t>
            </w:r>
          </w:p>
        </w:tc>
        <w:tc>
          <w:tcPr>
            <w:tcW w:w="6836" w:type="dxa"/>
            <w:vAlign w:val="center"/>
          </w:tcPr>
          <w:p>
            <w:pPr>
              <w:pStyle w:val="8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007" w:type="dxa"/>
            <w:vAlign w:val="center"/>
          </w:tcPr>
          <w:p>
            <w:pPr>
              <w:pStyle w:val="85"/>
              <w:ind w:left="96"/>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发布成交公告的</w:t>
            </w:r>
          </w:p>
          <w:p>
            <w:pPr>
              <w:pStyle w:val="85"/>
              <w:ind w:left="96"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时间、媒介和期限</w:t>
            </w:r>
          </w:p>
        </w:tc>
        <w:tc>
          <w:tcPr>
            <w:tcW w:w="6836" w:type="dxa"/>
            <w:vAlign w:val="center"/>
          </w:tcPr>
          <w:p>
            <w:pPr>
              <w:pStyle w:val="85"/>
              <w:ind w:left="21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公告时间：在确定成交供应商之日起2个工作日内</w:t>
            </w:r>
          </w:p>
          <w:p>
            <w:pPr>
              <w:pStyle w:val="85"/>
              <w:ind w:left="2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公告媒介：陕西省政府采购网、</w:t>
            </w:r>
            <w:r>
              <w:rPr>
                <w:rFonts w:hint="eastAsia" w:ascii="宋体" w:hAnsi="宋体" w:eastAsia="宋体" w:cs="宋体"/>
                <w:color w:val="auto"/>
                <w:sz w:val="21"/>
                <w:szCs w:val="21"/>
                <w:highlight w:val="none"/>
                <w:lang w:val="en-US" w:eastAsia="zh-CN"/>
              </w:rPr>
              <w:t>【全国公共资源交易平台（陕西省·宝鸡市）】平台</w:t>
            </w:r>
          </w:p>
          <w:p>
            <w:pPr>
              <w:pStyle w:val="85"/>
              <w:ind w:left="210" w:left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公告期限：1个工作日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775" w:type="dxa"/>
            <w:vAlign w:val="center"/>
          </w:tcPr>
          <w:p>
            <w:pPr>
              <w:pStyle w:val="8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2007" w:type="dxa"/>
            <w:vAlign w:val="center"/>
          </w:tcPr>
          <w:p>
            <w:pPr>
              <w:pStyle w:val="85"/>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通知书</w:t>
            </w:r>
          </w:p>
        </w:tc>
        <w:tc>
          <w:tcPr>
            <w:tcW w:w="6836" w:type="dxa"/>
            <w:vAlign w:val="center"/>
          </w:tcPr>
          <w:p>
            <w:pPr>
              <w:pStyle w:val="85"/>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在线领取</w:t>
            </w:r>
          </w:p>
          <w:p>
            <w:pPr>
              <w:spacing w:line="340" w:lineRule="exact"/>
              <w:ind w:left="0" w:leftChars="0" w:right="105" w:rightChars="5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书面领取，领取地点、联系人、联系电话：同采购代理机构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trPr>
        <w:tc>
          <w:tcPr>
            <w:tcW w:w="77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2007" w:type="dxa"/>
            <w:vAlign w:val="center"/>
          </w:tcPr>
          <w:p>
            <w:pPr>
              <w:pStyle w:val="8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其他</w:t>
            </w:r>
          </w:p>
        </w:tc>
        <w:tc>
          <w:tcPr>
            <w:tcW w:w="6836" w:type="dxa"/>
            <w:vAlign w:val="center"/>
          </w:tcPr>
          <w:p>
            <w:pPr>
              <w:spacing w:line="340" w:lineRule="exact"/>
              <w:ind w:left="0" w:leftChars="0" w:right="105" w:rightChars="50" w:firstLine="0" w:firstLine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所属行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 产总额300万元以下的为微型企业。</w:t>
            </w:r>
          </w:p>
        </w:tc>
      </w:tr>
    </w:tbl>
    <w:p>
      <w:pPr>
        <w:pStyle w:val="29"/>
        <w:widowControl w:val="0"/>
        <w:numPr>
          <w:ilvl w:val="0"/>
          <w:numId w:val="0"/>
        </w:numPr>
        <w:spacing w:line="500" w:lineRule="exact"/>
        <w:jc w:val="both"/>
        <w:rPr>
          <w:rFonts w:hint="eastAsia" w:ascii="宋体" w:hAnsi="宋体" w:eastAsia="宋体" w:cs="宋体"/>
          <w:color w:val="auto"/>
          <w:highlight w:val="none"/>
        </w:rPr>
      </w:pPr>
    </w:p>
    <w:bookmarkEnd w:id="12"/>
    <w:bookmarkEnd w:id="13"/>
    <w:bookmarkEnd w:id="14"/>
    <w:bookmarkEnd w:id="15"/>
    <w:p>
      <w:pPr>
        <w:rPr>
          <w:rFonts w:hint="eastAsia" w:ascii="宋体" w:hAnsi="宋体" w:eastAsia="宋体" w:cs="宋体"/>
          <w:b/>
          <w:bCs/>
          <w:color w:val="auto"/>
          <w:spacing w:val="-2"/>
          <w:kern w:val="0"/>
          <w:sz w:val="28"/>
          <w:szCs w:val="28"/>
          <w:highlight w:val="none"/>
          <w:lang w:eastAsia="zh-CN"/>
        </w:rPr>
      </w:pPr>
      <w:r>
        <w:rPr>
          <w:rFonts w:hint="eastAsia" w:ascii="宋体" w:hAnsi="宋体" w:eastAsia="宋体" w:cs="宋体"/>
          <w:b/>
          <w:bCs/>
          <w:color w:val="auto"/>
          <w:spacing w:val="-2"/>
          <w:kern w:val="0"/>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pacing w:val="-2"/>
          <w:kern w:val="0"/>
          <w:sz w:val="28"/>
          <w:szCs w:val="28"/>
          <w:highlight w:val="none"/>
          <w:lang w:eastAsia="zh-CN"/>
        </w:rPr>
      </w:pPr>
      <w:r>
        <w:rPr>
          <w:rFonts w:hint="eastAsia" w:ascii="宋体" w:hAnsi="宋体" w:eastAsia="宋体" w:cs="宋体"/>
          <w:b/>
          <w:bCs/>
          <w:color w:val="auto"/>
          <w:spacing w:val="-2"/>
          <w:kern w:val="0"/>
          <w:sz w:val="28"/>
          <w:szCs w:val="28"/>
          <w:highlight w:val="none"/>
          <w:lang w:eastAsia="zh-CN"/>
        </w:rPr>
        <w:t>总</w:t>
      </w:r>
      <w:r>
        <w:rPr>
          <w:rFonts w:hint="eastAsia" w:ascii="宋体" w:hAnsi="宋体" w:eastAsia="宋体" w:cs="宋体"/>
          <w:b/>
          <w:bCs/>
          <w:color w:val="auto"/>
          <w:spacing w:val="-2"/>
          <w:kern w:val="0"/>
          <w:sz w:val="28"/>
          <w:szCs w:val="28"/>
          <w:highlight w:val="none"/>
          <w:lang w:val="en-US" w:eastAsia="zh-CN"/>
        </w:rPr>
        <w:t xml:space="preserve">  </w:t>
      </w:r>
      <w:r>
        <w:rPr>
          <w:rFonts w:hint="eastAsia" w:ascii="宋体" w:hAnsi="宋体" w:eastAsia="宋体" w:cs="宋体"/>
          <w:b/>
          <w:bCs/>
          <w:color w:val="auto"/>
          <w:spacing w:val="-2"/>
          <w:kern w:val="0"/>
          <w:sz w:val="28"/>
          <w:szCs w:val="28"/>
          <w:highlight w:val="none"/>
          <w:lang w:eastAsia="zh-CN"/>
        </w:rPr>
        <w:t>则</w:t>
      </w:r>
    </w:p>
    <w:p>
      <w:pPr>
        <w:pStyle w:val="4"/>
        <w:spacing w:before="0" w:after="120" w:afterLines="50" w:line="360" w:lineRule="auto"/>
        <w:rPr>
          <w:rFonts w:hint="eastAsia" w:ascii="宋体" w:hAnsi="宋体" w:eastAsia="宋体" w:cs="宋体"/>
          <w:b w:val="0"/>
          <w:bCs/>
          <w:color w:val="auto"/>
          <w:sz w:val="24"/>
          <w:szCs w:val="24"/>
          <w:highlight w:val="none"/>
        </w:rPr>
      </w:pPr>
      <w:bookmarkStart w:id="33" w:name="_Toc89075873"/>
      <w:bookmarkStart w:id="34" w:name="_Toc183682341"/>
      <w:bookmarkStart w:id="35" w:name="_Toc77400778"/>
      <w:bookmarkStart w:id="36" w:name="_Toc183582204"/>
      <w:bookmarkStart w:id="37" w:name="_Toc217446033"/>
      <w:r>
        <w:rPr>
          <w:rFonts w:hint="eastAsia" w:ascii="宋体" w:hAnsi="宋体" w:eastAsia="宋体" w:cs="宋体"/>
          <w:b w:val="0"/>
          <w:bCs/>
          <w:color w:val="auto"/>
          <w:sz w:val="24"/>
          <w:szCs w:val="24"/>
          <w:highlight w:val="none"/>
        </w:rPr>
        <w:t>1.总  则</w:t>
      </w:r>
    </w:p>
    <w:p>
      <w:pPr>
        <w:pStyle w:val="4"/>
        <w:spacing w:before="0" w:after="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1.1适用范围</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文件仅适用于本次竞争性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）所叙述的相关服务项目的采购活动。</w:t>
      </w:r>
    </w:p>
    <w:p>
      <w:pPr>
        <w:tabs>
          <w:tab w:val="left" w:pos="7665"/>
        </w:tabs>
        <w:spacing w:before="120" w:beforeLines="50" w:after="120" w:afterLines="50" w:line="360" w:lineRule="auto"/>
        <w:ind w:firstLine="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1.2名词解释</w:t>
      </w:r>
    </w:p>
    <w:p>
      <w:pPr>
        <w:adjustRightInd w:val="0"/>
        <w:snapToGrid w:val="0"/>
        <w:spacing w:before="120" w:beforeLines="5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
          <w:color w:val="auto"/>
          <w:sz w:val="24"/>
          <w:szCs w:val="24"/>
          <w:highlight w:val="none"/>
        </w:rPr>
        <w:t>采购人</w:t>
      </w:r>
      <w:r>
        <w:rPr>
          <w:rFonts w:hint="eastAsia" w:ascii="宋体" w:hAnsi="宋体" w:eastAsia="宋体" w:cs="宋体"/>
          <w:color w:val="auto"/>
          <w:sz w:val="24"/>
          <w:szCs w:val="24"/>
          <w:highlight w:val="none"/>
        </w:rPr>
        <w:t>系指依法进行政府采购的国家机关、事业单位、团体组织。本次采购的采购人名称、地址、电话、联系人见供应商须知前附表。</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w:t>
      </w:r>
      <w:r>
        <w:rPr>
          <w:rFonts w:hint="eastAsia" w:ascii="宋体" w:hAnsi="宋体" w:eastAsia="宋体" w:cs="宋体"/>
          <w:b/>
          <w:color w:val="auto"/>
          <w:sz w:val="24"/>
          <w:szCs w:val="24"/>
          <w:highlight w:val="none"/>
        </w:rPr>
        <w:t>监督机构</w:t>
      </w:r>
      <w:r>
        <w:rPr>
          <w:rFonts w:hint="eastAsia" w:ascii="宋体" w:hAnsi="宋体" w:eastAsia="宋体" w:cs="宋体"/>
          <w:color w:val="auto"/>
          <w:sz w:val="24"/>
          <w:szCs w:val="24"/>
          <w:highlight w:val="none"/>
        </w:rPr>
        <w:t>系指政府采购行政监督管理部门。本次采购的监督机构：</w:t>
      </w:r>
      <w:r>
        <w:rPr>
          <w:rFonts w:hint="eastAsia" w:ascii="宋体" w:hAnsi="宋体" w:eastAsia="宋体" w:cs="宋体"/>
          <w:color w:val="auto"/>
          <w:sz w:val="24"/>
          <w:szCs w:val="24"/>
          <w:highlight w:val="none"/>
          <w:u w:val="single"/>
          <w:lang w:val="en-US" w:eastAsia="zh-CN"/>
        </w:rPr>
        <w:t>凤县财政局</w:t>
      </w:r>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b/>
          <w:color w:val="auto"/>
          <w:sz w:val="24"/>
          <w:szCs w:val="24"/>
          <w:highlight w:val="none"/>
        </w:rPr>
        <w:t>采购代理机构</w:t>
      </w:r>
      <w:r>
        <w:rPr>
          <w:rFonts w:hint="eastAsia" w:ascii="宋体" w:hAnsi="宋体" w:eastAsia="宋体" w:cs="宋体"/>
          <w:color w:val="auto"/>
          <w:sz w:val="24"/>
          <w:szCs w:val="24"/>
          <w:highlight w:val="none"/>
        </w:rPr>
        <w:t>系指接受采购人委托，代理采购项目的依法经财政部门认定资格的采购代理机构。本次采购的采购代理机构名称、地址、电话、联系人见供应商须知前附表。</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w:t>
      </w:r>
      <w:r>
        <w:rPr>
          <w:rFonts w:hint="eastAsia" w:ascii="宋体" w:hAnsi="宋体" w:eastAsia="宋体" w:cs="宋体"/>
          <w:b/>
          <w:color w:val="auto"/>
          <w:sz w:val="24"/>
          <w:szCs w:val="24"/>
          <w:highlight w:val="none"/>
        </w:rPr>
        <w:t>供应商</w:t>
      </w:r>
      <w:r>
        <w:rPr>
          <w:rFonts w:hint="eastAsia" w:ascii="宋体" w:hAnsi="宋体" w:eastAsia="宋体" w:cs="宋体"/>
          <w:color w:val="auto"/>
          <w:sz w:val="24"/>
          <w:szCs w:val="24"/>
          <w:highlight w:val="none"/>
        </w:rPr>
        <w:t>是指响应和符合竞争性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文件（以下简称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文件）规定资格条件且参与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竞争的法人。</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 </w:t>
      </w:r>
      <w:r>
        <w:rPr>
          <w:rFonts w:hint="eastAsia" w:ascii="宋体" w:hAnsi="宋体" w:eastAsia="宋体" w:cs="宋体"/>
          <w:b/>
          <w:bCs/>
          <w:color w:val="auto"/>
          <w:sz w:val="24"/>
          <w:szCs w:val="24"/>
          <w:highlight w:val="none"/>
        </w:rPr>
        <w:t>工程</w:t>
      </w:r>
      <w:r>
        <w:rPr>
          <w:rFonts w:hint="eastAsia" w:ascii="宋体" w:hAnsi="宋体" w:eastAsia="宋体" w:cs="宋体"/>
          <w:color w:val="auto"/>
          <w:sz w:val="24"/>
          <w:szCs w:val="24"/>
          <w:highlight w:val="none"/>
        </w:rPr>
        <w:t>是指本磋商文件中第四章所述工程。</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6</w:t>
      </w:r>
      <w:r>
        <w:rPr>
          <w:rFonts w:hint="eastAsia" w:ascii="宋体" w:hAnsi="宋体" w:eastAsia="宋体" w:cs="宋体"/>
          <w:b/>
          <w:color w:val="auto"/>
          <w:sz w:val="24"/>
          <w:szCs w:val="24"/>
          <w:highlight w:val="none"/>
        </w:rPr>
        <w:t xml:space="preserve"> 服务</w:t>
      </w:r>
      <w:r>
        <w:rPr>
          <w:rFonts w:hint="eastAsia" w:ascii="宋体" w:hAnsi="宋体" w:eastAsia="宋体" w:cs="宋体"/>
          <w:color w:val="auto"/>
          <w:sz w:val="24"/>
          <w:szCs w:val="24"/>
          <w:highlight w:val="none"/>
        </w:rPr>
        <w:t>是指为满足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文件要求和工程配套所提供的服务。</w:t>
      </w:r>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b/>
          <w:color w:val="auto"/>
          <w:sz w:val="24"/>
          <w:szCs w:val="24"/>
          <w:highlight w:val="none"/>
        </w:rPr>
        <w:t>中小企业</w:t>
      </w:r>
      <w:r>
        <w:rPr>
          <w:rFonts w:hint="eastAsia" w:ascii="宋体" w:hAnsi="宋体" w:eastAsia="宋体" w:cs="宋体"/>
          <w:color w:val="auto"/>
          <w:kern w:val="0"/>
          <w:sz w:val="24"/>
          <w:szCs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监狱企业</w:t>
      </w:r>
      <w:r>
        <w:rPr>
          <w:rFonts w:hint="eastAsia" w:ascii="宋体" w:hAnsi="宋体" w:eastAsia="宋体" w:cs="宋体"/>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kern w:val="0"/>
          <w:sz w:val="24"/>
          <w:szCs w:val="24"/>
          <w:highlight w:val="none"/>
        </w:rPr>
        <w:t>残疾人福利性单位</w:t>
      </w:r>
      <w:r>
        <w:rPr>
          <w:rFonts w:hint="eastAsia" w:ascii="宋体" w:hAnsi="宋体" w:eastAsia="宋体" w:cs="宋体"/>
          <w:color w:val="auto"/>
          <w:kern w:val="0"/>
          <w:sz w:val="24"/>
          <w:szCs w:val="24"/>
          <w:highlight w:val="none"/>
        </w:rPr>
        <w:t>是指符合</w:t>
      </w:r>
      <w:r>
        <w:rPr>
          <w:rFonts w:hint="eastAsia" w:ascii="宋体" w:hAnsi="宋体" w:eastAsia="宋体" w:cs="宋体"/>
          <w:color w:val="auto"/>
          <w:spacing w:val="6"/>
          <w:sz w:val="24"/>
          <w:szCs w:val="24"/>
          <w:highlight w:val="none"/>
        </w:rPr>
        <w:t>《财政部、民政部、中国残疾人联合会关于促进残疾人就业政府采购政策的通知》（财库[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号）规定条件的单位。</w:t>
      </w:r>
    </w:p>
    <w:p>
      <w:pPr>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b/>
          <w:color w:val="auto"/>
          <w:spacing w:val="6"/>
          <w:sz w:val="24"/>
          <w:szCs w:val="24"/>
          <w:highlight w:val="none"/>
        </w:rPr>
        <w:t>签名</w:t>
      </w:r>
      <w:r>
        <w:rPr>
          <w:rFonts w:hint="eastAsia" w:ascii="宋体" w:hAnsi="宋体" w:eastAsia="宋体" w:cs="宋体"/>
          <w:color w:val="auto"/>
          <w:spacing w:val="6"/>
          <w:sz w:val="24"/>
          <w:szCs w:val="24"/>
          <w:highlight w:val="none"/>
        </w:rPr>
        <w:t>是指手写签名或者加盖名章，</w:t>
      </w:r>
      <w:r>
        <w:rPr>
          <w:rFonts w:hint="eastAsia" w:ascii="宋体" w:hAnsi="宋体" w:eastAsia="宋体" w:cs="宋体"/>
          <w:b/>
          <w:color w:val="auto"/>
          <w:spacing w:val="6"/>
          <w:sz w:val="24"/>
          <w:szCs w:val="24"/>
          <w:highlight w:val="none"/>
        </w:rPr>
        <w:t>盖章</w:t>
      </w:r>
      <w:r>
        <w:rPr>
          <w:rFonts w:hint="eastAsia" w:ascii="宋体" w:hAnsi="宋体" w:eastAsia="宋体" w:cs="宋体"/>
          <w:color w:val="auto"/>
          <w:spacing w:val="6"/>
          <w:sz w:val="24"/>
          <w:szCs w:val="24"/>
          <w:highlight w:val="none"/>
        </w:rPr>
        <w:t>是指加盖单位印章。</w:t>
      </w:r>
    </w:p>
    <w:p>
      <w:pPr>
        <w:adjustRightInd w:val="0"/>
        <w:snapToGrid w:val="0"/>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b/>
          <w:color w:val="auto"/>
          <w:sz w:val="24"/>
          <w:szCs w:val="24"/>
          <w:highlight w:val="none"/>
        </w:rPr>
        <w:t>较大数额罚款</w:t>
      </w:r>
      <w:r>
        <w:rPr>
          <w:rFonts w:hint="eastAsia" w:ascii="宋体" w:hAnsi="宋体" w:eastAsia="宋体" w:cs="宋体"/>
          <w:color w:val="auto"/>
          <w:sz w:val="24"/>
          <w:szCs w:val="24"/>
          <w:highlight w:val="none"/>
        </w:rPr>
        <w:t>是指200万元以上罚款，法律、行政法规以及国务院有关部门明确规定相关领域“较大数额罚款”标准高于200万元的，从其规定。</w:t>
      </w:r>
    </w:p>
    <w:p>
      <w:pPr>
        <w:adjustRightInd w:val="0"/>
        <w:snapToGrid w:val="0"/>
        <w:spacing w:before="120" w:beforeLines="50" w:after="120" w:after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1.3 合格的供应商</w:t>
      </w:r>
    </w:p>
    <w:p>
      <w:pPr>
        <w:tabs>
          <w:tab w:val="left" w:pos="7665"/>
        </w:tabs>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合格的供应商应具备以下条件：</w:t>
      </w:r>
    </w:p>
    <w:p>
      <w:pPr>
        <w:tabs>
          <w:tab w:val="left" w:pos="7665"/>
        </w:tabs>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（1）具备且满足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文件规定的供应商资格条件</w:t>
      </w:r>
      <w:r>
        <w:rPr>
          <w:rFonts w:hint="eastAsia" w:ascii="宋体" w:hAnsi="宋体" w:eastAsia="宋体" w:cs="宋体"/>
          <w:color w:val="auto"/>
          <w:spacing w:val="-4"/>
          <w:sz w:val="24"/>
          <w:szCs w:val="24"/>
          <w:highlight w:val="none"/>
        </w:rPr>
        <w:t>；</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（2）从采购代理机构获取了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（3）交纳了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保证金（仅限供应商须知前附表要求供应商提交保证金的）；</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（4）遵守国家和地方有关的法律法规、规章和规范性文件要求。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供应商不得存在下列情形之一：</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（l）与采购人、采购代理机构存在</w:t>
      </w:r>
      <w:r>
        <w:rPr>
          <w:rFonts w:hint="eastAsia" w:ascii="宋体" w:hAnsi="宋体" w:eastAsia="宋体" w:cs="宋体"/>
          <w:bCs/>
          <w:color w:val="auto"/>
          <w:sz w:val="24"/>
          <w:szCs w:val="24"/>
          <w:highlight w:val="none"/>
        </w:rPr>
        <w:t>隶属关系或者其他利害关系，且可能影响</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公正性；</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（2）与本采购项目其他供应商的法定代表人（或者负责人）为同一人；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（3）与本采购项目其他供应商存在控股、管理关系；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（4）为本项目采购代理机构；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（5）为本项目代理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的为其采购代理机构；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（6）为本项目提供整体设计、规范编制或者项目管理、监理、检测、咨询服务；</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受到刑事处罚；</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（8）受到“较大数额罚款”的行政处罚；</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（9）被责令停产停业、暂扣或者吊销许可证、暂扣或者吊销执照的行政处罚；</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color w:val="auto"/>
          <w:sz w:val="24"/>
          <w:szCs w:val="24"/>
          <w:highlight w:val="none"/>
        </w:rPr>
        <w:t>被列入失信被执行人名单；</w:t>
      </w:r>
    </w:p>
    <w:p>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（11）被列入重大税收违法案件当事人名单；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（12）被禁止在一至三年内参加政府采购活动或存在</w:t>
      </w:r>
      <w:r>
        <w:rPr>
          <w:rFonts w:hint="eastAsia" w:ascii="宋体" w:hAnsi="宋体" w:eastAsia="宋体" w:cs="宋体"/>
          <w:color w:val="auto"/>
          <w:sz w:val="24"/>
          <w:szCs w:val="24"/>
          <w:highlight w:val="none"/>
        </w:rPr>
        <w:t>财政部门认定的其他重大违法记录；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（13）在最近三年内有严重违约或者重大工程质量问题；</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（14）被行政主管部门暂停或取消投标资格；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（15）法律法规规定的其他情形。</w:t>
      </w:r>
    </w:p>
    <w:bookmarkEnd w:id="33"/>
    <w:bookmarkEnd w:id="34"/>
    <w:bookmarkEnd w:id="35"/>
    <w:bookmarkEnd w:id="36"/>
    <w:bookmarkEnd w:id="37"/>
    <w:p>
      <w:pPr>
        <w:adjustRightInd w:val="0"/>
        <w:snapToGrid w:val="0"/>
        <w:spacing w:before="120" w:beforeLines="50" w:after="120" w:afterLines="50" w:line="360" w:lineRule="auto"/>
        <w:rPr>
          <w:rFonts w:hint="eastAsia" w:ascii="宋体" w:hAnsi="宋体" w:eastAsia="宋体" w:cs="宋体"/>
          <w:b/>
          <w:color w:val="auto"/>
          <w:sz w:val="24"/>
          <w:szCs w:val="24"/>
          <w:highlight w:val="none"/>
        </w:rPr>
      </w:pPr>
      <w:bookmarkStart w:id="38" w:name="_Toc183682345"/>
      <w:bookmarkStart w:id="39" w:name="_Toc183582208"/>
      <w:bookmarkStart w:id="40" w:name="_Toc217446037"/>
      <w:r>
        <w:rPr>
          <w:rFonts w:hint="eastAsia" w:ascii="宋体" w:hAnsi="宋体" w:eastAsia="宋体" w:cs="宋体"/>
          <w:b/>
          <w:color w:val="auto"/>
          <w:sz w:val="24"/>
          <w:szCs w:val="24"/>
          <w:highlight w:val="none"/>
        </w:rPr>
        <w:t>1.4 合格的工程</w:t>
      </w:r>
    </w:p>
    <w:p>
      <w:pPr>
        <w:tabs>
          <w:tab w:val="left" w:pos="747"/>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供应商为本采购项目所承担的建设工程，必须是符合国家相关标准和规范要求，满足磋商文件规定的质量、工期、质保期等要求，达到合格工程质量标准。</w:t>
      </w:r>
    </w:p>
    <w:p>
      <w:pPr>
        <w:tabs>
          <w:tab w:val="left" w:pos="747"/>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1.4.2采购人有权拒绝接受任何质量不合格工程，由此产生的费用及相关后果均由供应商自行承担。</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1.5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费用</w:t>
      </w:r>
    </w:p>
    <w:p>
      <w:pPr>
        <w:tabs>
          <w:tab w:val="left" w:pos="7665"/>
        </w:tabs>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结果如何，供应商应自行承担所有与准备和参加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相关的全部费用。</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1.6语言文字</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文件与响应文件使用的语言为中文。专用术语使用外文的，应附有中文注释。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响应文件中如附有外文资料，必须逐一对应翻译成中文并加盖供应商单位章后附在相关外文资料后面，否则，供应商的响应文件将作为无效响应文件处理。</w:t>
      </w:r>
    </w:p>
    <w:p>
      <w:pPr>
        <w:pStyle w:val="17"/>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响应文件中翻译的中文资料与外文资料如果出现差异和矛盾时，以中文为准。但不能故意错误翻译，否则，供应商的响应文件将作为无效响应文件处理。</w:t>
      </w:r>
      <w:r>
        <w:rPr>
          <w:rFonts w:hint="eastAsia" w:ascii="宋体" w:hAnsi="宋体" w:eastAsia="宋体" w:cs="宋体"/>
          <w:color w:val="auto"/>
          <w:kern w:val="0"/>
          <w:sz w:val="24"/>
          <w:szCs w:val="24"/>
          <w:highlight w:val="none"/>
        </w:rPr>
        <w:t>必要时采购人可以要求供应商提供附有公证书的中文翻译文件或者与原版文件签章相一致的中文翻译文件。</w:t>
      </w:r>
    </w:p>
    <w:p>
      <w:pPr>
        <w:autoSpaceDE w:val="0"/>
        <w:autoSpaceDN w:val="0"/>
        <w:spacing w:before="120" w:beforeLines="50" w:after="120" w:afterLines="50"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保密</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参与采购活动的当事人应对磋商文件和响应文件中的商业秘密、技术秘密和个人隐私等保密，违者应对由此造成的后果承担法律责任。 </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所有计量单位均采用中华人民共和国法定计量单位。</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答疑会或踏勘现场</w:t>
      </w:r>
    </w:p>
    <w:p>
      <w:pPr>
        <w:tabs>
          <w:tab w:val="left" w:pos="7665"/>
        </w:tabs>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供应商须知前附表规定组织答疑会或踏勘现场的，采购人或者采购代理机构按供应商须知前附表规定的时间、地点组织供应商踏勘项目现场，澄清供应商提出的问题，供应商可按要求在规定的时间和地点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除采购人或采购代理机构的原因外，供应商自行负责在踏勘现场中所发生的人员伤亡和财产损失。</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答疑会或踏勘现场后，采购人或采购代理机构对供应商所提问题的澄清，以书面形式通知所有获取了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文件的供应商。该澄清内容为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采购人或采购代理机构在踏勘现场中介绍的现场货物需求和相关的周边环境情况，供供应商在编制响应文件时参考，采购人或采购代理机构不对供应商据此作出的判断和决策负责。一旦成交，成交供应商不得以任何借口，提出额外补偿，或延长合同期限的要求。</w:t>
      </w:r>
    </w:p>
    <w:p>
      <w:pPr>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由于未参加现场考察或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前答疑会而导致对项目实际情况不了解，影响响应文件编制、响应报价准确性、综合因素响应不全面等问题的，由供应商自行承担不利评审后果。</w:t>
      </w:r>
    </w:p>
    <w:p>
      <w:pPr>
        <w:adjustRightInd w:val="0"/>
        <w:snapToGrid w:val="0"/>
        <w:spacing w:before="120" w:beforeLines="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1.10响应与偏离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1.10.1响应文件应当对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文件实质性要求和条件作出满足性或有利于采购人的响应，否则，供应商的响应文件无效。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b/>
          <w:color w:val="auto"/>
          <w:sz w:val="24"/>
          <w:szCs w:val="24"/>
          <w:highlight w:val="none"/>
        </w:rPr>
        <w:t>偏离</w:t>
      </w:r>
      <w:r>
        <w:rPr>
          <w:rFonts w:hint="eastAsia" w:ascii="宋体" w:hAnsi="宋体" w:eastAsia="宋体" w:cs="宋体"/>
          <w:color w:val="auto"/>
          <w:sz w:val="24"/>
          <w:szCs w:val="24"/>
          <w:highlight w:val="none"/>
        </w:rPr>
        <w:t>是指响应文件不响应或者不满足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文件提出的要求和条件，分为实质性偏离和非实质性偏离。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1.10.3供应商须知前附表允许响应文件非实质性偏离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文件某些要求的，偏离应当符合供应商须知前附表规定的偏离范围和幅度。</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1.10.4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小组若根据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情况实质性变动采购需求中的技术、服务要求以及合同草案条款的，供应商据此重新提交的响应文件，也适用本条款。</w:t>
      </w:r>
    </w:p>
    <w:bookmarkEnd w:id="38"/>
    <w:bookmarkEnd w:id="39"/>
    <w:bookmarkEnd w:id="40"/>
    <w:p>
      <w:pPr>
        <w:pStyle w:val="14"/>
        <w:spacing w:before="120" w:beforeLines="50" w:after="120" w:afterLines="50" w:line="360" w:lineRule="auto"/>
        <w:ind w:firstLine="0"/>
        <w:rPr>
          <w:rFonts w:hint="eastAsia" w:ascii="宋体" w:hAnsi="宋体" w:eastAsia="宋体" w:cs="宋体"/>
          <w:b/>
          <w:color w:val="auto"/>
          <w:kern w:val="2"/>
          <w:sz w:val="24"/>
          <w:szCs w:val="24"/>
          <w:highlight w:val="none"/>
          <w:lang w:val="en-US" w:eastAsia="zh-CN" w:bidi="ar-SA"/>
        </w:rPr>
      </w:pPr>
      <w:bookmarkStart w:id="41" w:name="_Toc217446047"/>
      <w:bookmarkStart w:id="42" w:name="_Toc183582209"/>
      <w:bookmarkStart w:id="43" w:name="_Toc77400779"/>
      <w:bookmarkStart w:id="44" w:name="_Toc89075875"/>
      <w:bookmarkStart w:id="45" w:name="_Toc183682346"/>
      <w:bookmarkStart w:id="46" w:name="_Toc217446038"/>
      <w:r>
        <w:rPr>
          <w:rFonts w:hint="eastAsia" w:ascii="宋体" w:hAnsi="宋体" w:eastAsia="宋体" w:cs="宋体"/>
          <w:b/>
          <w:color w:val="auto"/>
          <w:kern w:val="2"/>
          <w:sz w:val="24"/>
          <w:szCs w:val="24"/>
          <w:highlight w:val="none"/>
          <w:lang w:val="en-US" w:eastAsia="zh-CN" w:bidi="ar-SA"/>
        </w:rPr>
        <w:t>1.11 知识产权</w:t>
      </w:r>
      <w:bookmarkEnd w:id="41"/>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1.11.1 供应商应保证在本项目使用的任何货物（包括部分使用）和服务时，不会产生因第三方提出侵犯其专利权、商标权或其它知识产权而引起的法律和经济纠纷，如因专利权、商标权或其它知识产权而引起法律和经济纠纷，由供应商承担所有相关责任。</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1.11.2 采购人享有本项目实施过程中产生的知识成果及知识产权。</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1.11.4 如采用供应商所不拥有的知识产权，则在报价中必须包括合法获取该知识产权的相关费用。</w:t>
      </w:r>
    </w:p>
    <w:p>
      <w:pPr>
        <w:tabs>
          <w:tab w:val="left" w:pos="7665"/>
        </w:tabs>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2.1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文件的组成</w:t>
      </w:r>
    </w:p>
    <w:p>
      <w:pPr>
        <w:tabs>
          <w:tab w:val="left" w:pos="7665"/>
        </w:tabs>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文件包括以下内容：</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资格审查办法</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_Toc29621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办法</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政府采购合同格式</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响应文件格式</w:t>
      </w:r>
      <w:r>
        <w:rPr>
          <w:rFonts w:hint="eastAsia" w:ascii="宋体" w:hAnsi="宋体" w:eastAsia="宋体" w:cs="宋体"/>
          <w:color w:val="auto"/>
          <w:sz w:val="24"/>
          <w:szCs w:val="24"/>
          <w:highlight w:val="none"/>
        </w:rPr>
        <w:fldChar w:fldCharType="end"/>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根据本章第1.9条款、第2.2条款款对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文件所作的澄清、修改，构成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文件的澄清和修改</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 在提交首次响应文件截止时间前，采购代理机构无论出于何种原因，可以对磋商文件进行澄清或者修改。</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 采购人或采购代理机构可以对已发出的磋商文件进行必要的澄清或者修改，澄清或修改的内容可能影响响应文件编制的，应当在提交首次响应文件截止时间3个工作日前，以书面形式将澄清或者修改的内容通知所有获取磋商文件的供应商，同时在原信息发布媒体上发布更正公告；供应商在收到上述通知后，应立即以书面形式向采购代理机构确认；不足3个工作日的，将相应顺延提交首次响应文件截止时间。</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 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1个工作日前按磋商文件中的联系方式，以书面形式向采购代理机构提出，采购代理机构应当在1个工作日内，以书面形式予以答复（答复中不包括问题的来源），或认为有必要召开答疑会。超过该时间收到的询问或需要澄清的内容，采购代理机构有权不予答复。</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 在提交首次响应文件截止时间前，采购代理机构可以视采购具体情况，延长提交首次响应文件截止时间，并将变更时间以书面形式通知所有获取了磋商文件的供应商，同时在原信息发布媒体上发布更正公告。</w:t>
      </w:r>
    </w:p>
    <w:p>
      <w:pPr>
        <w:pStyle w:val="1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2.2.5采购代理机构将在发布变更（澄清）公告的同时，提醒供应商下载答疑文件（*.SXSCF，即更新后的电子磋商文件）。供应商应当及时从</w:t>
      </w:r>
      <w:r>
        <w:rPr>
          <w:rFonts w:hint="eastAsia" w:ascii="宋体" w:hAnsi="宋体" w:eastAsia="宋体" w:cs="宋体"/>
          <w:color w:val="auto"/>
          <w:kern w:val="2"/>
          <w:sz w:val="24"/>
          <w:szCs w:val="24"/>
          <w:highlight w:val="none"/>
          <w:lang w:val="zh-CN" w:eastAsia="zh-CN" w:bidi="ar-SA"/>
        </w:rPr>
        <w:t>【全国公共资源交易平台（陕西省·宝鸡市）】</w:t>
      </w:r>
      <w:r>
        <w:rPr>
          <w:rFonts w:hint="eastAsia" w:ascii="宋体" w:hAnsi="宋体" w:eastAsia="宋体" w:cs="宋体"/>
          <w:color w:val="auto"/>
          <w:kern w:val="2"/>
          <w:sz w:val="24"/>
          <w:szCs w:val="24"/>
          <w:highlight w:val="none"/>
          <w:lang w:val="en-US" w:eastAsia="zh-CN" w:bidi="ar-SA"/>
        </w:rPr>
        <w:t>〖首页·〉电子交易平台·〉陕西政府采购交易系统·〉企业端〗登录，登录后切换到〖我的项目〗模块，从〖项目流程·〉项目管理·〉答疑文件下载〗获取更新后的电子磋商文件（*.SXSCF），使用旧版电子磋商文件制作的电子响应文件（*.SXSTF），系统将拒绝接收。</w:t>
      </w:r>
    </w:p>
    <w:p>
      <w:pPr>
        <w:tabs>
          <w:tab w:val="left" w:pos="7665"/>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请各</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在提交</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截止时间之前，务必随时关注政府采购信息发布媒体上发布的变更公告，采购代理机构不再另行通知，因供应商未及时关注所造成的一切后果由</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自行承担：</w:t>
      </w:r>
    </w:p>
    <w:p>
      <w:pPr>
        <w:tabs>
          <w:tab w:val="left" w:pos="7665"/>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"http://www.ccgp-shaanxi.gov.cn"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陕西省政府采购网</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”（http://ggzy.baoji.gov.cn/）中的</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rPr>
        <w:t>首页·〉信息公告·〉市级·〉</w:t>
      </w:r>
      <w:r>
        <w:rPr>
          <w:rFonts w:hint="eastAsia" w:ascii="宋体" w:hAnsi="宋体" w:eastAsia="宋体" w:cs="宋体"/>
          <w:b w:val="0"/>
          <w:bCs w:val="0"/>
          <w:color w:val="auto"/>
          <w:sz w:val="24"/>
          <w:szCs w:val="24"/>
          <w:highlight w:val="none"/>
          <w:lang w:val="zh-CN"/>
        </w:rPr>
        <w:t>宝鸡市）】</w:t>
      </w:r>
      <w:r>
        <w:rPr>
          <w:rFonts w:hint="eastAsia" w:ascii="宋体" w:hAnsi="宋体" w:eastAsia="宋体" w:cs="宋体"/>
          <w:b w:val="0"/>
          <w:bCs w:val="0"/>
          <w:color w:val="auto"/>
          <w:sz w:val="24"/>
          <w:szCs w:val="24"/>
          <w:highlight w:val="none"/>
        </w:rPr>
        <w:t>；</w:t>
      </w:r>
    </w:p>
    <w:p>
      <w:pPr>
        <w:pStyle w:val="85"/>
        <w:spacing w:line="360" w:lineRule="auto"/>
        <w:ind w:left="21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zh-CN"/>
        </w:rPr>
        <w:t>【全国公共资源交易平台（陕西省·宝鸡市）】</w:t>
      </w:r>
      <w:r>
        <w:rPr>
          <w:rFonts w:hint="eastAsia" w:ascii="宋体" w:hAnsi="宋体" w:eastAsia="宋体" w:cs="宋体"/>
          <w:b w:val="0"/>
          <w:bCs w:val="0"/>
          <w:color w:val="auto"/>
          <w:sz w:val="24"/>
          <w:szCs w:val="24"/>
          <w:highlight w:val="none"/>
        </w:rPr>
        <w:t>”（http://ggzy.baoji.gov.cn/）中的〖首页·〉交易大厅·〉政府采购〗。</w:t>
      </w:r>
    </w:p>
    <w:p>
      <w:pPr>
        <w:adjustRightInd w:val="0"/>
        <w:snapToGrid w:val="0"/>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文件的解释权</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文件的解释权归采购代理机构，如发现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文件内容与现行法律法规不相符的情况，以现行法律法规为准。</w:t>
      </w:r>
    </w:p>
    <w:p>
      <w:pPr>
        <w:pStyle w:val="5"/>
        <w:spacing w:before="120" w:beforeLines="50" w:after="120" w:afterLines="50" w:line="360" w:lineRule="auto"/>
        <w:ind w:firstLine="0"/>
        <w:rPr>
          <w:rFonts w:hint="eastAsia" w:ascii="宋体" w:hAnsi="宋体" w:eastAsia="宋体" w:cs="宋体"/>
          <w:color w:val="auto"/>
          <w:sz w:val="24"/>
          <w:szCs w:val="24"/>
          <w:highlight w:val="none"/>
        </w:rPr>
      </w:pPr>
      <w:bookmarkStart w:id="47" w:name="_Toc183582214"/>
      <w:bookmarkStart w:id="48" w:name="_Toc89075876"/>
      <w:bookmarkStart w:id="49" w:name="_Toc183682351"/>
      <w:bookmarkStart w:id="50" w:name="_Toc217446042"/>
      <w:bookmarkStart w:id="51" w:name="_Toc77400780"/>
      <w:r>
        <w:rPr>
          <w:rFonts w:hint="eastAsia" w:ascii="宋体" w:hAnsi="宋体" w:eastAsia="宋体" w:cs="宋体"/>
          <w:bCs/>
          <w:color w:val="auto"/>
          <w:sz w:val="24"/>
          <w:szCs w:val="24"/>
          <w:highlight w:val="none"/>
        </w:rPr>
        <w:t>3.供应商</w:t>
      </w:r>
    </w:p>
    <w:bookmarkEnd w:id="47"/>
    <w:bookmarkEnd w:id="48"/>
    <w:bookmarkEnd w:id="49"/>
    <w:bookmarkEnd w:id="50"/>
    <w:bookmarkEnd w:id="51"/>
    <w:p>
      <w:pPr>
        <w:pStyle w:val="5"/>
        <w:spacing w:after="120" w:afterLines="50" w:line="360" w:lineRule="auto"/>
        <w:ind w:firstLine="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3.1供应商资格要求</w:t>
      </w:r>
      <w:r>
        <w:rPr>
          <w:rFonts w:hint="eastAsia" w:ascii="宋体" w:hAnsi="宋体" w:eastAsia="宋体" w:cs="宋体"/>
          <w:b/>
          <w:color w:val="auto"/>
          <w:sz w:val="24"/>
          <w:szCs w:val="24"/>
          <w:highlight w:val="none"/>
          <w:lang w:eastAsia="zh-CN"/>
        </w:rPr>
        <w:t>：</w:t>
      </w:r>
    </w:p>
    <w:p>
      <w:pPr>
        <w:widowControl/>
        <w:adjustRightInd w:val="0"/>
        <w:snapToGrid w:val="0"/>
        <w:spacing w:line="360" w:lineRule="auto"/>
        <w:ind w:firstLine="482"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3.1.1</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基本资格条件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供应商应符合《中华人民共和国政府采购法》第二十二条规定</w:t>
      </w:r>
      <w:r>
        <w:rPr>
          <w:rFonts w:hint="eastAsia" w:ascii="宋体" w:hAnsi="宋体" w:eastAsia="宋体" w:cs="宋体"/>
          <w:color w:val="auto"/>
          <w:kern w:val="0"/>
          <w:sz w:val="24"/>
          <w:szCs w:val="24"/>
          <w:highlight w:val="none"/>
          <w:lang w:eastAsia="zh-CN"/>
        </w:rPr>
        <w:t>：</w:t>
      </w:r>
    </w:p>
    <w:p>
      <w:pPr>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color w:val="auto"/>
          <w:sz w:val="24"/>
          <w:szCs w:val="24"/>
          <w:highlight w:val="none"/>
        </w:rPr>
        <w:t>3.1.2 落实政府采购政策资格条件</w:t>
      </w:r>
      <w:r>
        <w:rPr>
          <w:rFonts w:hint="eastAsia" w:ascii="宋体" w:hAnsi="宋体" w:eastAsia="宋体" w:cs="宋体"/>
          <w:color w:val="auto"/>
          <w:sz w:val="24"/>
          <w:szCs w:val="24"/>
          <w:highlight w:val="none"/>
        </w:rPr>
        <w:t>。</w:t>
      </w:r>
      <w:r>
        <w:rPr>
          <w:rFonts w:hint="eastAsia" w:ascii="宋体" w:hAnsi="宋体" w:eastAsia="宋体" w:cs="宋体"/>
          <w:b w:val="0"/>
          <w:kern w:val="2"/>
          <w:sz w:val="24"/>
          <w:szCs w:val="24"/>
          <w:highlight w:val="none"/>
          <w:lang w:val="en-US" w:eastAsia="zh-CN" w:bidi="ar-SA"/>
        </w:rPr>
        <w:t>本项目专门面向中小企业采购，供应商应当为中小企业（含残疾人福利性单位）</w:t>
      </w:r>
    </w:p>
    <w:p>
      <w:pPr>
        <w:widowControl/>
        <w:adjustRightInd w:val="0"/>
        <w:snapToGrid w:val="0"/>
        <w:spacing w:line="360" w:lineRule="auto"/>
        <w:ind w:firstLine="482"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rPr>
        <w:t>3.1.3 特定资格条件。</w:t>
      </w:r>
      <w:r>
        <w:rPr>
          <w:rFonts w:hint="eastAsia" w:ascii="宋体" w:hAnsi="宋体" w:eastAsia="宋体" w:cs="宋体"/>
          <w:color w:val="auto"/>
          <w:kern w:val="0"/>
          <w:sz w:val="24"/>
          <w:szCs w:val="24"/>
          <w:highlight w:val="none"/>
        </w:rPr>
        <w:t>供应商应满足《中华人民共和国政府采购法》第二十二条第二款规定，</w:t>
      </w:r>
      <w:r>
        <w:rPr>
          <w:rFonts w:hint="eastAsia" w:ascii="宋体" w:hAnsi="宋体" w:eastAsia="宋体" w:cs="宋体"/>
          <w:color w:val="auto"/>
          <w:kern w:val="0"/>
          <w:sz w:val="24"/>
          <w:szCs w:val="24"/>
          <w:highlight w:val="none"/>
          <w:lang w:val="zh-CN"/>
        </w:rPr>
        <w:t>并根据《政府采购法实施条例》第十七条规定提供证明材料。</w:t>
      </w:r>
    </w:p>
    <w:p>
      <w:pPr>
        <w:widowControl/>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具有独立承担民事责任能力的企业法人、事业法人或其他组织，提供三证合一的营业执照（事业单位须提供事业单位法人证、组织机构代码证等证明文件；其他组织应提供合法证明文件）；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供应商应授权合法的人员参加投标全过程，其中法定代表人直接参加投标的，须出具法人身份证明，并与营业执照上信息一致，法定代表人授权代表参加投标的，须出具法定代表人授权书及授权代表身份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（3）供应商须具备水利水电工程施工总承包三级及以上资质、具有建设行政主管部门颁发的安全生产许可证；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拟委派项目经理须为本单位在职人员，具有水利水电工程二级（含二级）及以上注册建造师证书、具有有效的安全生产考核合格证，拟派项目经理在本单位2024年5月至今任意3个月职工养老保险缴纳证明，且无在建项目承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（5）财务状况报告：提供2023或2024年度的财务审计报告（成立时间至提交投标文件截止时间不足一年的可提供成立后任意时段的资产负债表）或开标前三个月内其基本存款账户开户银行出具的资信证明；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（6）税收缴纳证明：提供2024年5月至今任意3个月的纳税证明或完税证明，纳税证明或完税证明上应有代收机构或税务机关的公章或业务专用章，依法免税的供应商应提供相关文件证明；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社会保障资金缴纳证明：提供2024年5月至今任意3个月的社会保障资金缴存单据或社保机构开具的社会保险参保缴费情况证明，单据或证明上应有社保机构或收机构的公章或业务专用章。依法不需要缴纳社会保障资金的供应商应提供相关文件证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（8）提供具有履行本合同所必需的设备和专业技术能力的承诺书；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（9）近三年无重大违法记录书面声明：参加本次采购活动前三年内，在经营活动中无重大违法记录的书面声明。</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10）信用记录：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（11）单位负责人为同一人或者存在直接控股、管理关系的不同供应商，不得参加同一合同项下的政府采购活动；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（12）本项目不接受联合体投标（提供承诺书）。</w:t>
      </w:r>
    </w:p>
    <w:p>
      <w:pPr>
        <w:keepNext w:val="0"/>
        <w:keepLines w:val="0"/>
        <w:pageBreakBefore w:val="0"/>
        <w:kinsoku/>
        <w:wordWrap/>
        <w:overflowPunct/>
        <w:topLinePunct w:val="0"/>
        <w:autoSpaceDE w:val="0"/>
        <w:autoSpaceDN w:val="0"/>
        <w:bidi w:val="0"/>
        <w:spacing w:line="41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3.1.4 根据政府采购的法律法规、规章和规范性文件的规定，供应商不得存在本章第1.3.2规定的情形。</w:t>
      </w:r>
    </w:p>
    <w:p>
      <w:pPr>
        <w:keepNext w:val="0"/>
        <w:keepLines w:val="0"/>
        <w:pageBreakBefore w:val="0"/>
        <w:tabs>
          <w:tab w:val="left" w:pos="0"/>
        </w:tabs>
        <w:kinsoku/>
        <w:wordWrap/>
        <w:overflowPunct/>
        <w:topLinePunct w:val="0"/>
        <w:bidi w:val="0"/>
        <w:adjustRightInd w:val="0"/>
        <w:snapToGrid w:val="0"/>
        <w:spacing w:line="41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（12）资格审查小组将依据供应商响应文件之资格证明文件和通过国家企业信用信息公示系统（http://www.gsxt.gov.cn/index.html）对供应商之间存在隶属关系或者其他利害关系进行相关信息的核实。</w:t>
      </w:r>
    </w:p>
    <w:p>
      <w:pPr>
        <w:keepNext w:val="0"/>
        <w:keepLines w:val="0"/>
        <w:pageBreakBefore w:val="0"/>
        <w:kinsoku/>
        <w:wordWrap/>
        <w:overflowPunct/>
        <w:topLinePunct w:val="0"/>
        <w:bidi w:val="0"/>
        <w:spacing w:line="41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3.1.5 供应商根据采购项目的具体情况，在响应文件正本中应附一套完整的资格证明材料，缺少一项或某项达不到</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文件要求的按无效响应文件处理，复印件加盖供应商单位公章；响应文件副本可采用正本的复印件并加盖供应商单位公章。</w:t>
      </w:r>
    </w:p>
    <w:p>
      <w:pPr>
        <w:keepNext w:val="0"/>
        <w:keepLines w:val="0"/>
        <w:pageBreakBefore w:val="0"/>
        <w:tabs>
          <w:tab w:val="left" w:pos="720"/>
        </w:tabs>
        <w:kinsoku/>
        <w:wordWrap/>
        <w:overflowPunct/>
        <w:topLinePunct w:val="0"/>
        <w:bidi w:val="0"/>
        <w:snapToGrid w:val="0"/>
        <w:spacing w:before="120" w:beforeLines="50" w:after="120" w:afterLines="50" w:line="41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b/>
          <w:bCs/>
          <w:color w:val="auto"/>
          <w:sz w:val="24"/>
          <w:szCs w:val="24"/>
          <w:highlight w:val="none"/>
        </w:rPr>
        <w:t>授权委托</w:t>
      </w:r>
    </w:p>
    <w:p>
      <w:pPr>
        <w:pStyle w:val="17"/>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3.2.1供应商代表为法定代表人的，应持有法定代表人身份证明。供应商代表不是法定代表人的，应持有法定代表人授权委托书。</w:t>
      </w:r>
    </w:p>
    <w:p>
      <w:pPr>
        <w:pStyle w:val="17"/>
        <w:adjustRightInd w:val="0"/>
        <w:snapToGrid w:val="0"/>
        <w:spacing w:line="360" w:lineRule="auto"/>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kern w:val="0"/>
          <w:sz w:val="24"/>
          <w:szCs w:val="24"/>
          <w:highlight w:val="none"/>
        </w:rPr>
        <w:t>.2供应商应当委托本单位正式员工作为</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代表，且</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代表只能接受一个供应商的委托参加</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w:t>
      </w:r>
    </w:p>
    <w:p>
      <w:pPr>
        <w:pStyle w:val="17"/>
        <w:adjustRightInd w:val="0"/>
        <w:snapToGrid w:val="0"/>
        <w:spacing w:before="120" w:beforeLines="50" w:after="120" w:afterLines="50" w:line="360" w:lineRule="auto"/>
        <w:ind w:left="-178" w:leftChars="-85" w:firstLine="176" w:firstLineChars="73"/>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业绩</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文件要求供应商提供同类项目业绩的，</w:t>
      </w:r>
      <w:r>
        <w:rPr>
          <w:rFonts w:hint="eastAsia" w:ascii="宋体" w:hAnsi="宋体" w:eastAsia="宋体" w:cs="宋体"/>
          <w:color w:val="auto"/>
          <w:sz w:val="24"/>
          <w:szCs w:val="24"/>
          <w:highlight w:val="none"/>
          <w:lang w:val="en-US" w:eastAsia="zh-CN"/>
        </w:rPr>
        <w:t>其企业业绩和项目负责人业绩不重复计算。</w:t>
      </w:r>
    </w:p>
    <w:bookmarkEnd w:id="42"/>
    <w:bookmarkEnd w:id="43"/>
    <w:bookmarkEnd w:id="44"/>
    <w:bookmarkEnd w:id="45"/>
    <w:bookmarkEnd w:id="46"/>
    <w:p>
      <w:pPr>
        <w:adjustRightInd w:val="0"/>
        <w:snapToGrid w:val="0"/>
        <w:spacing w:before="120" w:beforeLines="50" w:after="120" w:afterLines="50" w:line="360" w:lineRule="auto"/>
        <w:ind w:left="0" w:leftChars="0" w:firstLine="0" w:firstLineChars="0"/>
        <w:jc w:val="left"/>
        <w:rPr>
          <w:rFonts w:hint="eastAsia" w:ascii="宋体" w:hAnsi="宋体" w:eastAsia="宋体" w:cs="宋体"/>
          <w:b/>
          <w:color w:val="auto"/>
          <w:sz w:val="24"/>
          <w:szCs w:val="24"/>
          <w:highlight w:val="none"/>
        </w:rPr>
      </w:pPr>
      <w:bookmarkStart w:id="52" w:name="_Toc183682352"/>
      <w:bookmarkStart w:id="53" w:name="_Toc217446043"/>
      <w:bookmarkStart w:id="54" w:name="_Toc183582215"/>
      <w:r>
        <w:rPr>
          <w:rFonts w:hint="eastAsia" w:ascii="宋体" w:hAnsi="宋体" w:eastAsia="宋体" w:cs="宋体"/>
          <w:b/>
          <w:color w:val="auto"/>
          <w:sz w:val="24"/>
          <w:szCs w:val="24"/>
          <w:highlight w:val="none"/>
        </w:rPr>
        <w:t>3.4享受的政府采购政策</w:t>
      </w:r>
    </w:p>
    <w:p>
      <w:pPr>
        <w:pStyle w:val="17"/>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3.4.1 绿色发展政策</w:t>
      </w:r>
    </w:p>
    <w:p>
      <w:pPr>
        <w:pStyle w:val="17"/>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3.4.1.1 </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rPr>
        <w:t>。</w:t>
      </w:r>
    </w:p>
    <w:p>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3.4.2 中小企业发展政策</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2.1 投标人所投全部货物的制造商，依据《中小企业划型标准规定》（工信部联企业[2011]300号）的划分标准，都属于</w:t>
      </w:r>
      <w:r>
        <w:rPr>
          <w:rFonts w:hint="eastAsia" w:ascii="宋体" w:hAnsi="宋体" w:eastAsia="宋体" w:cs="宋体"/>
          <w:b/>
          <w:color w:val="auto"/>
          <w:sz w:val="24"/>
          <w:szCs w:val="24"/>
          <w:highlight w:val="none"/>
        </w:rPr>
        <w:t>小微</w:t>
      </w:r>
      <w:r>
        <w:rPr>
          <w:rFonts w:hint="eastAsia" w:ascii="宋体" w:hAnsi="宋体" w:eastAsia="宋体" w:cs="宋体"/>
          <w:color w:val="auto"/>
          <w:sz w:val="24"/>
          <w:szCs w:val="24"/>
          <w:highlight w:val="none"/>
        </w:rPr>
        <w:t>企业的，无论投标人本身是否属于中小企业，即可享受中小型企业发展扶持政策。</w:t>
      </w:r>
    </w:p>
    <w:p>
      <w:pPr>
        <w:pStyle w:val="17"/>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3.4.2.2供应商作为中小企业参加政府采购活动，应当提供《中小企业声明函》（见第七章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文件格式），不提供的在资格审查时不予通过，</w:t>
      </w:r>
      <w:r>
        <w:rPr>
          <w:rFonts w:hint="eastAsia" w:ascii="宋体" w:hAnsi="宋体" w:eastAsia="宋体" w:cs="宋体"/>
          <w:b/>
          <w:bCs/>
          <w:color w:val="auto"/>
          <w:sz w:val="24"/>
          <w:szCs w:val="24"/>
          <w:highlight w:val="none"/>
        </w:rPr>
        <w:t>其响应文件无效。</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依据《财政部、民政部、中国残疾人联合会关于促进残疾人就业政府采购政策的通知》（财库〔2017〕141号）之规定，残疾人福利性单位参加政府采购活动，视同小微企业。</w:t>
      </w:r>
    </w:p>
    <w:p>
      <w:pPr>
        <w:adjustRightInd w:val="0"/>
        <w:snapToGrid w:val="0"/>
        <w:spacing w:line="360" w:lineRule="auto"/>
        <w:ind w:firstLine="720" w:firstLineChars="3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供应商为残疾人福利性单位的，应当提供《残疾人福利性单位声明函》（见第七章响应文件格式），未提供的不视为小微企业，在资格审查时不予通过，</w:t>
      </w:r>
      <w:r>
        <w:rPr>
          <w:rFonts w:hint="eastAsia" w:ascii="宋体" w:hAnsi="宋体" w:eastAsia="宋体" w:cs="宋体"/>
          <w:b/>
          <w:bCs/>
          <w:color w:val="auto"/>
          <w:sz w:val="24"/>
          <w:szCs w:val="24"/>
          <w:highlight w:val="none"/>
        </w:rPr>
        <w:t xml:space="preserve">其响应文件无效。 </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投标人提供的《中小企业声明函》或者《残疾人福利性单位声明函》存在明显错误的，评标委员会可以按照第四章第1.3条款的规定，要求投标人作出澄清；澄清后，符合小微企业条件的，投标人可以</w:t>
      </w:r>
      <w:r>
        <w:rPr>
          <w:rFonts w:hint="eastAsia" w:ascii="宋体" w:hAnsi="宋体" w:eastAsia="宋体" w:cs="宋体"/>
          <w:color w:val="auto"/>
          <w:sz w:val="24"/>
          <w:szCs w:val="24"/>
          <w:highlight w:val="none"/>
          <w:lang w:val="en-US" w:eastAsia="zh-CN"/>
        </w:rPr>
        <w:t>继续参与后续评审，否则</w:t>
      </w:r>
      <w:r>
        <w:rPr>
          <w:rFonts w:hint="eastAsia" w:ascii="宋体" w:hAnsi="宋体" w:eastAsia="宋体" w:cs="宋体"/>
          <w:b/>
          <w:bCs/>
          <w:color w:val="auto"/>
          <w:sz w:val="24"/>
          <w:szCs w:val="24"/>
          <w:highlight w:val="none"/>
        </w:rPr>
        <w:t>其响应文件无效</w:t>
      </w:r>
      <w:r>
        <w:rPr>
          <w:rFonts w:hint="eastAsia" w:ascii="宋体" w:hAnsi="宋体" w:eastAsia="宋体" w:cs="宋体"/>
          <w:color w:val="auto"/>
          <w:sz w:val="24"/>
          <w:szCs w:val="24"/>
          <w:highlight w:val="none"/>
        </w:rPr>
        <w:t>。</w:t>
      </w:r>
    </w:p>
    <w:p>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享受中小企业扶持政策的投标人可以同时享受节能产品、环境标志产品优先采购政策。</w:t>
      </w:r>
    </w:p>
    <w:p>
      <w:pPr>
        <w:adjustRightInd w:val="0"/>
        <w:snapToGrid w:val="0"/>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政府采购监督检查、投诉处理及政府采购行政处罚中对中小企业的认定，由货物制造商注册登记所在地的县级以上人民政府中小企业主管部门负责。</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3.5转包与分包</w:t>
      </w:r>
    </w:p>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本项目严禁采取转包</w:t>
      </w:r>
      <w:r>
        <w:rPr>
          <w:rFonts w:hint="eastAsia" w:ascii="宋体" w:hAnsi="宋体" w:eastAsia="宋体" w:cs="宋体"/>
          <w:color w:val="auto"/>
          <w:kern w:val="0"/>
          <w:sz w:val="24"/>
          <w:szCs w:val="24"/>
          <w:highlight w:val="none"/>
          <w:lang w:val="en-US" w:eastAsia="zh-CN"/>
        </w:rPr>
        <w:t>与分包</w:t>
      </w:r>
      <w:r>
        <w:rPr>
          <w:rFonts w:hint="eastAsia" w:ascii="宋体" w:hAnsi="宋体" w:eastAsia="宋体" w:cs="宋体"/>
          <w:color w:val="auto"/>
          <w:kern w:val="0"/>
          <w:sz w:val="24"/>
          <w:szCs w:val="24"/>
          <w:highlight w:val="none"/>
        </w:rPr>
        <w:t>方式履行合同。</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 供应商的风险</w:t>
      </w:r>
    </w:p>
    <w:p>
      <w:pPr>
        <w:tabs>
          <w:tab w:val="left" w:pos="7665"/>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供应商应认真阅读和充分理解</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文件中所有的事项、格式条款和规范要求，任何对</w:t>
      </w:r>
      <w:r>
        <w:rPr>
          <w:rFonts w:hint="eastAsia" w:ascii="宋体" w:hAnsi="宋体" w:eastAsia="宋体" w:cs="宋体"/>
          <w:bCs/>
          <w:color w:val="auto"/>
          <w:sz w:val="24"/>
          <w:szCs w:val="24"/>
          <w:highlight w:val="none"/>
          <w:lang w:eastAsia="zh-CN"/>
        </w:rPr>
        <w:t>磋商</w:t>
      </w:r>
      <w:r>
        <w:rPr>
          <w:rFonts w:hint="eastAsia" w:ascii="宋体" w:hAnsi="宋体" w:eastAsia="宋体" w:cs="宋体"/>
          <w:color w:val="auto"/>
          <w:sz w:val="24"/>
          <w:szCs w:val="24"/>
          <w:highlight w:val="none"/>
        </w:rPr>
        <w:t>文件的忽略或误解不能作为响应文件存在缺陷或瑕疵的理由；供应商</w:t>
      </w:r>
      <w:r>
        <w:rPr>
          <w:rFonts w:hint="eastAsia" w:ascii="宋体" w:hAnsi="宋体" w:eastAsia="宋体" w:cs="宋体"/>
          <w:color w:val="auto"/>
          <w:kern w:val="0"/>
          <w:sz w:val="24"/>
          <w:szCs w:val="24"/>
          <w:highlight w:val="none"/>
        </w:rPr>
        <w:t>没有按照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文件要求提供全部资料，</w:t>
      </w:r>
      <w:r>
        <w:rPr>
          <w:rFonts w:hint="eastAsia" w:ascii="宋体" w:hAnsi="宋体" w:eastAsia="宋体" w:cs="宋体"/>
          <w:color w:val="auto"/>
          <w:sz w:val="24"/>
          <w:szCs w:val="24"/>
          <w:highlight w:val="none"/>
        </w:rPr>
        <w:t>或对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文件未全面做出实质性响应是供应商的风险，</w:t>
      </w:r>
      <w:r>
        <w:rPr>
          <w:rFonts w:hint="eastAsia" w:ascii="宋体" w:hAnsi="宋体" w:eastAsia="宋体" w:cs="宋体"/>
          <w:color w:val="auto"/>
          <w:kern w:val="0"/>
          <w:sz w:val="24"/>
          <w:szCs w:val="24"/>
          <w:highlight w:val="none"/>
        </w:rPr>
        <w:t>并可能导致其响应文件被拒绝。</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3.7供应商的纪律要求</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有下列情形之一的，属于不合格供应商，其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或成交资格将被取消：</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（1）提供虚假材料谋取成交；</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（2）提供假冒伪劣产品；</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（3）采取不正当手段诋毁、排挤其他供应商；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（4）与采购人、采购代理机构、其他供应商恶意串通；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（5）向采购人、采购代理机构、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小组成员行贿或者提供其他不正当利益；</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（7）法律法规规定的其他情形。</w:t>
      </w:r>
    </w:p>
    <w:p>
      <w:pPr>
        <w:tabs>
          <w:tab w:val="left" w:pos="7665"/>
        </w:tabs>
        <w:spacing w:before="120" w:beforeLines="50" w:after="120" w:afterLines="50"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4. 响应文件</w:t>
      </w:r>
    </w:p>
    <w:p>
      <w:pPr>
        <w:snapToGrid w:val="0"/>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4.1响应文件的编制要求</w:t>
      </w:r>
    </w:p>
    <w:p>
      <w:pPr>
        <w:snapToGrid w:val="0"/>
        <w:spacing w:line="360" w:lineRule="auto"/>
        <w:ind w:firstLine="600" w:firstLineChars="2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4.1.1供应商应当仔细阅读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文件的所有事项、格式、条件和要求，并按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文件要求编制响应文件。响应文件应当对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文件提出的要求和条件作出明确响应，在满足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文件实质性要求的基础上，可以提出比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文件要求更有利于采购人的承诺。若本项目分</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段的，应当以</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段为单位响应，不得在其中选项投标或将其中内容再行分解，否则</w:t>
      </w:r>
      <w:r>
        <w:rPr>
          <w:rFonts w:hint="eastAsia" w:ascii="宋体" w:hAnsi="宋体" w:eastAsia="宋体" w:cs="宋体"/>
          <w:b/>
          <w:color w:val="auto"/>
          <w:sz w:val="24"/>
          <w:szCs w:val="24"/>
          <w:highlight w:val="none"/>
        </w:rPr>
        <w:t>响应文件无效</w:t>
      </w:r>
      <w:r>
        <w:rPr>
          <w:rFonts w:hint="eastAsia" w:ascii="宋体" w:hAnsi="宋体" w:eastAsia="宋体" w:cs="宋体"/>
          <w:color w:val="auto"/>
          <w:sz w:val="24"/>
          <w:szCs w:val="24"/>
          <w:highlight w:val="none"/>
        </w:rPr>
        <w:t>。</w:t>
      </w:r>
    </w:p>
    <w:p>
      <w:pPr>
        <w:tabs>
          <w:tab w:val="left" w:pos="720"/>
        </w:tabs>
        <w:snapToGrid w:val="0"/>
        <w:spacing w:line="360" w:lineRule="auto"/>
        <w:ind w:firstLine="600" w:firstLineChars="2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4.1.2 真实性原则</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 供应商应保证所提供的响应文件和所有资料的真实性、准确性和完整性。</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 供应商被认定为在政府采购活动中提供不真实材料的，无论其材料是否重要，采购人均有权拒绝，并取消其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或成交资格，供应商需承担相应的法律后果。</w:t>
      </w:r>
    </w:p>
    <w:p>
      <w:pPr>
        <w:tabs>
          <w:tab w:val="left" w:pos="720"/>
        </w:tabs>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4.1.3 报价使用货币</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本项目的报价均以人民币报价。</w:t>
      </w:r>
    </w:p>
    <w:p>
      <w:pPr>
        <w:tabs>
          <w:tab w:val="left" w:pos="720"/>
        </w:tabs>
        <w:snapToGrid w:val="0"/>
        <w:spacing w:line="360" w:lineRule="auto"/>
        <w:ind w:firstLine="484" w:firstLineChars="20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4.1.4 响应文件形式</w:t>
      </w:r>
    </w:p>
    <w:p>
      <w:pPr>
        <w:pStyle w:val="17"/>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本项目响应文件应采用书面文件形式，电报、传真、电子邮件形式的响应文件不予接受。</w:t>
      </w:r>
    </w:p>
    <w:p>
      <w:pPr>
        <w:tabs>
          <w:tab w:val="left" w:pos="720"/>
        </w:tabs>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4.1.5 备选方案</w:t>
      </w:r>
    </w:p>
    <w:p>
      <w:pPr>
        <w:tabs>
          <w:tab w:val="left" w:pos="720"/>
        </w:tabs>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4.1.5.1 除供应商须知前附表规定允许外，供应商不得递交备选响应方案，响应文件的报价只允许有一个报价，不接受具有附加条件的报价，否则，视为</w:t>
      </w:r>
      <w:r>
        <w:rPr>
          <w:rFonts w:hint="eastAsia" w:ascii="宋体" w:hAnsi="宋体" w:eastAsia="宋体" w:cs="宋体"/>
          <w:b/>
          <w:color w:val="auto"/>
          <w:sz w:val="24"/>
          <w:szCs w:val="24"/>
          <w:highlight w:val="none"/>
        </w:rPr>
        <w:t>无效响应文件</w:t>
      </w:r>
      <w:r>
        <w:rPr>
          <w:rFonts w:hint="eastAsia" w:ascii="宋体" w:hAnsi="宋体" w:eastAsia="宋体" w:cs="宋体"/>
          <w:color w:val="auto"/>
          <w:sz w:val="24"/>
          <w:szCs w:val="24"/>
          <w:highlight w:val="none"/>
        </w:rPr>
        <w:t>。</w:t>
      </w:r>
    </w:p>
    <w:p>
      <w:pPr>
        <w:tabs>
          <w:tab w:val="left" w:pos="720"/>
        </w:tabs>
        <w:snapToGrid w:val="0"/>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响应文件的组成</w:t>
      </w:r>
    </w:p>
    <w:p>
      <w:pPr>
        <w:rPr>
          <w:rFonts w:hint="eastAsia" w:ascii="宋体" w:hAnsi="宋体" w:eastAsia="宋体" w:cs="宋体"/>
          <w:color w:val="auto"/>
          <w:sz w:val="24"/>
          <w:szCs w:val="24"/>
          <w:highlight w:val="cyan"/>
          <w:lang w:val="en-US" w:eastAsia="zh-CN"/>
        </w:rPr>
      </w:pPr>
      <w:r>
        <w:rPr>
          <w:rFonts w:hint="eastAsia" w:ascii="宋体" w:hAnsi="宋体" w:eastAsia="宋体" w:cs="宋体"/>
          <w:color w:val="auto"/>
          <w:sz w:val="24"/>
          <w:szCs w:val="24"/>
          <w:highlight w:val="cyan"/>
          <w:lang w:val="en-US" w:eastAsia="zh-CN"/>
        </w:rPr>
        <w:br w:type="page"/>
      </w:r>
    </w:p>
    <w:p>
      <w:p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第一部分、资格证明文件</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第二部分、符合性证明文件</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函</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2、第一次磋商报价表</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3、已标价工程量清单</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4、供应商承诺书</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磋商声明书</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6、商务与</w:t>
      </w:r>
      <w:r>
        <w:rPr>
          <w:rFonts w:hint="eastAsia" w:ascii="宋体" w:hAnsi="宋体" w:eastAsia="宋体" w:cs="宋体"/>
          <w:color w:val="auto"/>
          <w:sz w:val="24"/>
          <w:szCs w:val="24"/>
          <w:highlight w:val="none"/>
        </w:rPr>
        <w:t>合同条款偏离表</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第三部分、响应方案</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1、施工组织设计</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2、项目管理机构</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3、享受政府采购优惠政策的证明材料</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4、供应商需要补充说明的事宜</w:t>
      </w:r>
    </w:p>
    <w:p>
      <w:pPr>
        <w:tabs>
          <w:tab w:val="left" w:pos="720"/>
        </w:tabs>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报价</w:t>
      </w:r>
    </w:p>
    <w:bookmarkEnd w:id="52"/>
    <w:bookmarkEnd w:id="53"/>
    <w:bookmarkEnd w:id="54"/>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4.1、供应商应按照磋商文件规定的技术要求，责任范围和合同条件进行报价，各供应商须在响应文件中的报价表上按要求标明各项分类报价、总价、完成时限等项，任何有选择的报价采购代理机构不予接受，</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供应商应按采购人提供的工程量清单填报单价和合价,每一项目只允许有一个报价。任何有选择的报价将不予接受。供应商未填单价或合价的工程项目，将视为该项费用已包括在其他有价款的单价或合价内，采购人将不予支付其价款;响应报价是完成磋商内容所需的全部费用，包括编制费及其它相关的费用。</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4.3、首次响应报价随响应文件递交，最后响应报价在磋商后网上提交。</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4.4、最后响应报价，在采购内容无实质性变更下，不得高于首次响应报价。对于差异较大的报价，须作出明确的说明。</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4.5、磋商后最后的响应报价，一次性包死，在合同治谈和合同执行过程中，不得以任何理由变更。</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4.6、凡因供应商对磋商文件阅读不深、理解不透、误解、疏漏、实际工程量未进行核准或因市场行情了解不清造成的后果和风险均由供应商自行负责。</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4.7、磋商过程中所产生的一切费用由供应商自行承担，供应商报价时可能涉及的因素:</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4.7.1、供应商应事先考虑好人工、场地等费用可能存在的波动变化。</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4.7.2、供应商须自行踏勘现场以充分了解项目实施的内容及可能产生的费用。</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4.7.2、如未成交，采购人无任何补偿费用。</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4.7.5、供应商应负责办理为执行本磋商文件规定义务而投入的工伤事故的保险、机具设备和运输工具的财产保险、人身意外伤害险等，保险费由供应商自行支付，并已包含在磋商报价中，采购人将不再另行支付。</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4.8、磋商报价超出采购最高限价的供应商不进入磋商程序。</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供应商不得以低于成本的报价参加磋商。当磋商小组认为某个供应商的磋商报价或者某些分项报价明显不合理或者低于成本，有可能影响工程质量和不能诚信履约的，可要求该供应商在规定的期限内提供书面文件予以解释说明，并提交相关证明材料;否则，磋商小组一致认定该供应商以明显低于市场成本报价竞标，其磋商将作无效标处理。</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注:(1)磋商谈判第二轮报价为最后报价;</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(2)磋商谈判过程中，每轮磋商结束时均不公开各供应商的报价;</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(3)磋商报价超过采购最高限价的按无效标处理;</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(4)最后报价不得高于首次报价，否则按无效标处理。</w:t>
      </w:r>
    </w:p>
    <w:p>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(5)最后报价为总价报价。</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u w:val="single"/>
          <w:lang w:val="en-US" w:eastAsia="zh-CN"/>
        </w:rPr>
        <w:t>5.0</w:t>
      </w:r>
      <w:r>
        <w:rPr>
          <w:rFonts w:hint="eastAsia" w:ascii="宋体" w:hAnsi="宋体" w:eastAsia="宋体" w:cs="宋体"/>
          <w:b/>
          <w:bCs/>
          <w:color w:val="auto"/>
          <w:kern w:val="0"/>
          <w:sz w:val="24"/>
          <w:szCs w:val="24"/>
          <w:highlight w:val="none"/>
          <w:u w:val="single"/>
        </w:rPr>
        <w:t xml:space="preserve"> 最后报价</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不见面开标，线上进行</w:t>
      </w:r>
      <w:r>
        <w:rPr>
          <w:rFonts w:hint="eastAsia" w:ascii="宋体" w:hAnsi="宋体" w:eastAsia="宋体" w:cs="宋体"/>
          <w:b/>
          <w:bCs/>
          <w:color w:val="auto"/>
          <w:kern w:val="0"/>
          <w:sz w:val="24"/>
          <w:szCs w:val="24"/>
          <w:highlight w:val="none"/>
          <w:u w:val="single"/>
        </w:rPr>
        <w:t>最后</w:t>
      </w:r>
      <w:r>
        <w:rPr>
          <w:rFonts w:hint="eastAsia" w:ascii="宋体" w:hAnsi="宋体" w:eastAsia="宋体" w:cs="宋体"/>
          <w:b/>
          <w:bCs/>
          <w:color w:val="auto"/>
          <w:kern w:val="0"/>
          <w:sz w:val="24"/>
          <w:szCs w:val="24"/>
          <w:highlight w:val="none"/>
          <w:u w:val="single"/>
          <w:lang w:val="en-US" w:eastAsia="zh-CN"/>
        </w:rPr>
        <w:t>报价</w:t>
      </w:r>
      <w:r>
        <w:rPr>
          <w:rFonts w:hint="eastAsia" w:ascii="宋体" w:hAnsi="宋体" w:eastAsia="宋体" w:cs="宋体"/>
          <w:b/>
          <w:bCs/>
          <w:color w:val="auto"/>
          <w:kern w:val="0"/>
          <w:sz w:val="24"/>
          <w:szCs w:val="24"/>
          <w:highlight w:val="none"/>
          <w:u w:val="singl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5.0.1供应商须知前附表规定固定总价合同形式的，即采用固定总价（一次性包死）结算方式。最后报价在合同执行过程中是固定不变的，不得以任何理由予以变更。任何有选择或可调整的报价将不予接受，并按无效响应文件处理。成交后供应商不得擅自改变服务范围内容、质量标准、工期和追加项目预算。</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5.0.2供应商须知前附表规定固定单价合同形式的，即本工程项目采用综合单价据实结算方式。除国家规定不可调整外，其余按降价比例(最后报价/首次报价)进行综合单价调整，调整后价格作为工程变更及竣工结算的依据，在合同执行过程中是固定不变的，不得以任何理由予以变更。以可变动价格提交的报价将被认为是非实质响应而被拒绝。成交后供应商不得擅自改变工程范围内容、质量标准和工期。</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5.0.3采购人不接受供应商给予的赠品、回扣或者与采购无关的其他商品、服务。如有赠与行为，其响应文件无效。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有效期</w:t>
      </w:r>
    </w:p>
    <w:p>
      <w:pPr>
        <w:tabs>
          <w:tab w:val="left" w:pos="7665"/>
        </w:tabs>
        <w:spacing w:line="360" w:lineRule="auto"/>
        <w:ind w:left="13" w:leftChars="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有效期见供应商须知前附表。在此期间响应文件对供应商具有法律约束力，从供应商须知前附表规定的</w:t>
      </w:r>
      <w:r>
        <w:rPr>
          <w:rFonts w:hint="eastAsia" w:ascii="宋体" w:hAnsi="宋体" w:eastAsia="宋体" w:cs="宋体"/>
          <w:color w:val="auto"/>
          <w:kern w:val="0"/>
          <w:sz w:val="24"/>
          <w:szCs w:val="24"/>
          <w:highlight w:val="none"/>
        </w:rPr>
        <w:t>提交响应文件截止时间</w:t>
      </w:r>
      <w:r>
        <w:rPr>
          <w:rFonts w:hint="eastAsia" w:ascii="宋体" w:hAnsi="宋体" w:eastAsia="宋体" w:cs="宋体"/>
          <w:color w:val="auto"/>
          <w:sz w:val="24"/>
          <w:szCs w:val="24"/>
          <w:highlight w:val="none"/>
        </w:rPr>
        <w:t>之日起计算。响应文件中必须载明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有效期，载明的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有效期可以长于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文件规定的期限，但不得短于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文件规定的期限，否则，属于非实质性响应，将按</w:t>
      </w:r>
      <w:r>
        <w:rPr>
          <w:rFonts w:hint="eastAsia" w:ascii="宋体" w:hAnsi="宋体" w:eastAsia="宋体" w:cs="宋体"/>
          <w:b/>
          <w:color w:val="auto"/>
          <w:sz w:val="24"/>
          <w:szCs w:val="24"/>
          <w:highlight w:val="none"/>
        </w:rPr>
        <w:t>无效响应文件</w:t>
      </w:r>
      <w:r>
        <w:rPr>
          <w:rFonts w:hint="eastAsia" w:ascii="宋体" w:hAnsi="宋体" w:eastAsia="宋体" w:cs="宋体"/>
          <w:color w:val="auto"/>
          <w:sz w:val="24"/>
          <w:szCs w:val="24"/>
          <w:highlight w:val="none"/>
        </w:rPr>
        <w:t>处理。</w:t>
      </w:r>
    </w:p>
    <w:p>
      <w:pPr>
        <w:tabs>
          <w:tab w:val="left" w:pos="7665"/>
        </w:tabs>
        <w:spacing w:line="360" w:lineRule="auto"/>
        <w:ind w:left="13" w:leftChars="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 出现特殊情况需要延长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有效期的，采购代理机构或采购人可于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有效期满之前，以书面形式通知所有供应商延长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有效期。供应商应予书面答复，同意延长的，应相应延长其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保证金有效期，但不得要求或被允许修改其响应文件；供应商拒绝延长的，</w:t>
      </w:r>
      <w:r>
        <w:rPr>
          <w:rFonts w:hint="eastAsia" w:ascii="宋体" w:hAnsi="宋体" w:eastAsia="宋体" w:cs="宋体"/>
          <w:b/>
          <w:color w:val="auto"/>
          <w:sz w:val="24"/>
          <w:szCs w:val="24"/>
          <w:highlight w:val="none"/>
        </w:rPr>
        <w:t>其响应文件失效</w:t>
      </w:r>
      <w:r>
        <w:rPr>
          <w:rFonts w:hint="eastAsia" w:ascii="宋体" w:hAnsi="宋体" w:eastAsia="宋体" w:cs="宋体"/>
          <w:color w:val="auto"/>
          <w:sz w:val="24"/>
          <w:szCs w:val="24"/>
          <w:highlight w:val="none"/>
        </w:rPr>
        <w:t>，但供应商有权收回其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pStyle w:val="5"/>
        <w:spacing w:before="120" w:beforeLines="50" w:after="120" w:afterLines="50"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4.5</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保证金</w:t>
      </w:r>
    </w:p>
    <w:p>
      <w:pPr>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4.5.1 供应商须知前附表要求供应商提交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保证金的，适用本条款</w:t>
      </w:r>
      <w:r>
        <w:rPr>
          <w:rFonts w:hint="eastAsia" w:ascii="宋体" w:hAnsi="宋体" w:eastAsia="宋体" w:cs="宋体"/>
          <w:color w:val="auto"/>
          <w:sz w:val="24"/>
          <w:szCs w:val="24"/>
          <w:highlight w:val="none"/>
          <w:lang w:eastAsia="zh-CN"/>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4.5.2</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保证金的提交</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4.5.2.1 开启响应文件现场不办理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保证金事宜。</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4.5.2.2 供应商应按供应商须知前附表规定的金额、形式和时间和第七章“响应文件格式”规定的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保证金格式提交，作为其响应文件的一部分。</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4.5.2.3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保证金可以银行转账或者金融机构、担保机构出具的保函等非现金形式提交：</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（1）以银行转账提交保证金的，可以采取支票、电汇、网银、汇票、本票等方式，应从其基本账户转出，并在响应文件中附上基本账户开户证明。</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（2）以信用担保函形式提交保证金的，应按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文件规定的格式提交，且是有关行政主管部门认定的具有开具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保函资格的单位开具的保函。供应商违约，开具保函单位承担连带责任。</w:t>
      </w:r>
    </w:p>
    <w:p>
      <w:pPr>
        <w:spacing w:line="360" w:lineRule="auto"/>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（3）以汇票形式提交保证金的，应提前将汇票送至财务部门，汇票签发到期日至少为送至财务部门的当日，以便财务部门到银行办理兑现手续。</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4.5.3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保证金的退还</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4.5.3.1未成交供应商的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保证金，将在成交通知书发出之日起5个工作日内全额退还；成交供应商的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保证金，在采购人与成交供应商签订合同之日起5个工作日内全额退还；终止采购项目的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保证金，自终止采购活动后5个工作日内全额退还。</w:t>
      </w:r>
      <w:r>
        <w:rPr>
          <w:rFonts w:hint="eastAsia" w:ascii="宋体" w:hAnsi="宋体" w:eastAsia="宋体" w:cs="宋体"/>
          <w:color w:val="auto"/>
          <w:sz w:val="24"/>
          <w:szCs w:val="24"/>
          <w:highlight w:val="none"/>
          <w:lang w:eastAsia="zh-CN"/>
        </w:rPr>
        <w:t xml:space="preserve">（成交供应商签订合同后，将合同扫描件发送至代理机构邮箱： </w:t>
      </w:r>
      <w:r>
        <w:rPr>
          <w:rFonts w:hint="eastAsia" w:ascii="宋体" w:hAnsi="宋体" w:eastAsia="宋体" w:cs="宋体"/>
          <w:color w:val="auto"/>
          <w:sz w:val="24"/>
          <w:szCs w:val="24"/>
          <w:highlight w:val="none"/>
          <w:lang w:val="en-US" w:eastAsia="zh-CN"/>
        </w:rPr>
        <w:t>2250898803@qq.com</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磋商保证金的退还</w:t>
      </w:r>
      <w:r>
        <w:rPr>
          <w:rFonts w:hint="eastAsia" w:ascii="宋体" w:hAnsi="宋体" w:eastAsia="宋体" w:cs="宋体"/>
          <w:color w:val="auto"/>
          <w:sz w:val="24"/>
          <w:szCs w:val="24"/>
          <w:highlight w:val="none"/>
          <w:lang w:eastAsia="zh-CN"/>
        </w:rPr>
        <w:t>由代理机构线上提交至【全国公共资源交易平台（陕西省·宝鸡市）】，由</w:t>
      </w:r>
      <w:r>
        <w:rPr>
          <w:rFonts w:hint="eastAsia" w:ascii="宋体" w:hAnsi="宋体" w:eastAsia="宋体" w:cs="宋体"/>
          <w:color w:val="auto"/>
          <w:sz w:val="24"/>
          <w:szCs w:val="24"/>
          <w:highlight w:val="none"/>
          <w:lang w:val="en-US" w:eastAsia="zh-CN"/>
        </w:rPr>
        <w:t>宝鸡市公共资源</w:t>
      </w:r>
      <w:r>
        <w:rPr>
          <w:rFonts w:hint="eastAsia" w:ascii="宋体" w:hAnsi="宋体" w:eastAsia="宋体" w:cs="宋体"/>
          <w:color w:val="auto"/>
          <w:sz w:val="24"/>
          <w:szCs w:val="24"/>
          <w:highlight w:val="none"/>
          <w:lang w:eastAsia="zh-CN"/>
        </w:rPr>
        <w:t>交易中心财务人员审核并办理退还事宜。）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4.5.3.2有下列情形之一的，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保证金将不予退还：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有效期内撤销响应文件的；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（2）在采购人确定成交供应商以前放弃成交候选资格的；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（3）成交后放弃成交、不领取或者不接收成交通知书的；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文件认可的情形以外，成交供应商不与采购人订立合同的；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（5）成交供应商在签订合同时向采购人提出附加条件的；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（6）成交供应商未向采购代理机构支付采购代理服务费的；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（7）成交供应商未按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文件规定向采购人提交履约保证金的；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有效期内，供应商在政府采购活动中有违规、违纪和违法行为的；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（9）法律法规和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文件规定的其他情形。</w:t>
      </w:r>
    </w:p>
    <w:p>
      <w:pPr>
        <w:tabs>
          <w:tab w:val="left" w:pos="7665"/>
        </w:tabs>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响应文件的制作和签署</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电子响应文件（*.SXSTF）需要使用专用制作软件——“新点响应文件制作软件（陕西公共资源）”进行编制。软件下载地址及操作手册：见【全国公共资源交易平台（陕西省·宝鸡市）】〖首页〉服务指南〉下载专区〗中的《宝鸡市公共资源交易响应文件制作操作手册》（网址：http://ggzy.baoji.gov.cn/fwzn/004003/20211013/188342c7-84a9-4c17-91d8-eb222e7ae4db.html）。</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napToGrid w:val="0"/>
          <w:color w:val="auto"/>
          <w:kern w:val="2"/>
          <w:sz w:val="24"/>
          <w:szCs w:val="24"/>
          <w:highlight w:val="none"/>
        </w:rPr>
        <w:t>编制电子投标文件时，应使用最新发布的电子招标文件及专用制作工具进行编制</w:t>
      </w:r>
      <w:r>
        <w:rPr>
          <w:rFonts w:hint="eastAsia" w:ascii="宋体" w:hAnsi="宋体" w:eastAsia="宋体" w:cs="宋体"/>
          <w:b/>
          <w:bCs/>
          <w:color w:val="auto"/>
          <w:sz w:val="24"/>
          <w:szCs w:val="24"/>
          <w:highlight w:val="none"/>
          <w:lang w:eastAsia="zh-CN"/>
        </w:rPr>
        <w:t>）</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.2响应文件应当按照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文件第六章“响应文件格式”进行编写，如有必要，可以增加附页，作为响应文件的组成部分。除明确允许供应商可以自行编写外，供应商不得以“响应文件格式”规定之外的方式编写相关内容；否则，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eastAsia="宋体" w:cs="宋体"/>
          <w:b/>
          <w:color w:val="auto"/>
          <w:sz w:val="24"/>
          <w:szCs w:val="24"/>
          <w:highlight w:val="none"/>
        </w:rPr>
        <w:t>其投标无效。</w:t>
      </w:r>
      <w:r>
        <w:rPr>
          <w:rFonts w:hint="eastAsia" w:ascii="宋体" w:hAnsi="宋体" w:eastAsia="宋体" w:cs="宋体"/>
          <w:color w:val="auto"/>
          <w:sz w:val="24"/>
          <w:szCs w:val="24"/>
          <w:highlight w:val="none"/>
        </w:rPr>
        <w:t>对于没有格式要求的由供应商自行编写。</w:t>
      </w:r>
    </w:p>
    <w:p>
      <w:pPr>
        <w:tabs>
          <w:tab w:val="left" w:pos="7665"/>
        </w:tabs>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.3响应文件应填写供应商的全称，并与供应商的证件证书保持一致</w:t>
      </w:r>
      <w:r>
        <w:rPr>
          <w:rFonts w:hint="eastAsia" w:ascii="宋体" w:hAnsi="宋体" w:eastAsia="宋体" w:cs="宋体"/>
          <w:color w:val="auto"/>
          <w:sz w:val="24"/>
          <w:szCs w:val="24"/>
          <w:highlight w:val="none"/>
          <w:lang w:eastAsia="zh-CN"/>
        </w:rPr>
        <w:t>。</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.4使用原件的电子件（电子件指扫描件、照片等形式电子文件），响应文件中应当使用原件的电子件。</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供应商应当按照“供应商须知前附表”规定的份数准备响应文件正本、副本。正本和副本封面右上角应清楚地标明“正本”或“副本”字样。当副本和正本有不一致的内容，以正本书面响应文件为准。</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人签名的地方，</w:t>
      </w:r>
      <w:r>
        <w:rPr>
          <w:rFonts w:hint="eastAsia" w:ascii="宋体" w:hAnsi="宋体" w:eastAsia="宋体" w:cs="宋体"/>
          <w:color w:val="auto"/>
          <w:sz w:val="24"/>
          <w:szCs w:val="24"/>
          <w:highlight w:val="none"/>
          <w:lang w:eastAsia="zh-CN"/>
        </w:rPr>
        <w:t>委托人签字或盖章</w:t>
      </w:r>
      <w:r>
        <w:rPr>
          <w:rFonts w:hint="eastAsia" w:ascii="宋体" w:hAnsi="宋体" w:eastAsia="宋体" w:cs="宋体"/>
          <w:color w:val="auto"/>
          <w:sz w:val="24"/>
          <w:szCs w:val="24"/>
          <w:highlight w:val="none"/>
        </w:rPr>
        <w:t>。</w:t>
      </w:r>
    </w:p>
    <w:p>
      <w:pPr>
        <w:tabs>
          <w:tab w:val="left" w:pos="1080"/>
        </w:tabs>
        <w:spacing w:line="360" w:lineRule="auto"/>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若导出的PDF文件里看不到签章，请尝试使用专用制作软件中的“查看响应文件工具”打开未加密的电子响应文件重新导出。在制作过程中，如有其他技术性问题，请先翻阅操作手册，或致电软件开发商。</w:t>
      </w:r>
      <w:r>
        <w:rPr>
          <w:rFonts w:hint="eastAsia" w:ascii="宋体" w:hAnsi="宋体" w:eastAsia="宋体" w:cs="宋体"/>
          <w:color w:val="auto"/>
          <w:sz w:val="24"/>
          <w:szCs w:val="24"/>
          <w:highlight w:val="none"/>
          <w:lang w:val="en-US" w:eastAsia="zh-CN"/>
        </w:rPr>
        <w:t xml:space="preserve">           </w:t>
      </w:r>
    </w:p>
    <w:p>
      <w:pPr>
        <w:tabs>
          <w:tab w:val="left" w:pos="1080"/>
        </w:tabs>
        <w:spacing w:line="360" w:lineRule="auto"/>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再次提醒：</w:t>
      </w:r>
    </w:p>
    <w:p>
      <w:pPr>
        <w:tabs>
          <w:tab w:val="left" w:pos="1080"/>
        </w:tabs>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编制电子响应文件前，务必先做好电子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文件的备份工作。然后按操作手册中给出的方法将电子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文件（*.SXSZF）或答疑文件（*.SXSCF，即更新后的电子</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文件）导入制作软件，最后按照章节分别编制响应文件各个部分</w:t>
      </w:r>
      <w:r>
        <w:rPr>
          <w:rFonts w:hint="eastAsia" w:ascii="宋体" w:hAnsi="宋体" w:eastAsia="宋体" w:cs="宋体"/>
          <w:b/>
          <w:bCs/>
          <w:color w:val="auto"/>
          <w:sz w:val="24"/>
          <w:szCs w:val="24"/>
          <w:highlight w:val="none"/>
          <w:lang w:eastAsia="zh-CN"/>
        </w:rPr>
        <w:t>。</w:t>
      </w:r>
    </w:p>
    <w:p>
      <w:pPr>
        <w:tabs>
          <w:tab w:val="left" w:pos="1080"/>
        </w:tabs>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响应文件的提交</w:t>
      </w:r>
    </w:p>
    <w:p>
      <w:pPr>
        <w:tabs>
          <w:tab w:val="left" w:pos="1080"/>
        </w:tabs>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 响应文件的密封和标记</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5.1.1本项目使用</w:t>
      </w:r>
      <w:r>
        <w:rPr>
          <w:rFonts w:hint="eastAsia" w:ascii="宋体" w:hAnsi="宋体" w:eastAsia="宋体" w:cs="宋体"/>
          <w:color w:val="auto"/>
          <w:kern w:val="0"/>
          <w:sz w:val="24"/>
          <w:szCs w:val="24"/>
          <w:highlight w:val="none"/>
          <w:lang w:val="en-US" w:eastAsia="zh-CN"/>
        </w:rPr>
        <w:t>【全国公共资源交易平台（陕西省·宝鸡市）】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及交易平台供应商操作手册要求编制、生成并提交电子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5.1.2.在生成电子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时，需要使用CA锁对</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进行加密。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应特别注意加密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和开标时解密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应当使用同一CA锁，否则，</w:t>
      </w:r>
      <w:r>
        <w:rPr>
          <w:rFonts w:hint="eastAsia" w:ascii="宋体" w:hAnsi="宋体" w:eastAsia="宋体" w:cs="宋体"/>
          <w:b/>
          <w:color w:val="auto"/>
          <w:kern w:val="0"/>
          <w:sz w:val="24"/>
          <w:szCs w:val="24"/>
          <w:highlight w:val="none"/>
        </w:rPr>
        <w:t>将会导致解密失败。</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可于提交</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截止时间前任意时段，登录到</w:t>
      </w:r>
      <w:r>
        <w:rPr>
          <w:rFonts w:hint="eastAsia" w:ascii="宋体" w:hAnsi="宋体" w:eastAsia="宋体" w:cs="宋体"/>
          <w:color w:val="auto"/>
          <w:kern w:val="0"/>
          <w:sz w:val="24"/>
          <w:szCs w:val="24"/>
          <w:highlight w:val="none"/>
          <w:lang w:val="zh-CN"/>
        </w:rPr>
        <w:t>【全国公共资源交易平台（陕西省·宝鸡市）】</w:t>
      </w:r>
      <w:r>
        <w:rPr>
          <w:rFonts w:hint="eastAsia" w:ascii="宋体" w:hAnsi="宋体" w:eastAsia="宋体" w:cs="宋体"/>
          <w:color w:val="auto"/>
          <w:kern w:val="0"/>
          <w:sz w:val="24"/>
          <w:szCs w:val="24"/>
          <w:highlight w:val="none"/>
        </w:rPr>
        <w:t>〖首页·〉电子交易平台·〉企业端〗，再切换到〖我的项目〗模块下，依次点选〖项目流程·〉项目管理·〉上传响应文件〗，上传加密后的电子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（*.SXSTF）。上传成功后，</w:t>
      </w:r>
      <w:r>
        <w:rPr>
          <w:rFonts w:hint="eastAsia" w:ascii="宋体" w:hAnsi="宋体" w:eastAsia="宋体" w:cs="宋体"/>
          <w:color w:val="auto"/>
          <w:kern w:val="0"/>
          <w:sz w:val="24"/>
          <w:szCs w:val="24"/>
          <w:highlight w:val="none"/>
          <w:lang w:val="en-US" w:eastAsia="zh-CN"/>
        </w:rPr>
        <w:t>宝鸡市</w:t>
      </w:r>
      <w:r>
        <w:rPr>
          <w:rFonts w:hint="eastAsia" w:ascii="宋体" w:hAnsi="宋体" w:eastAsia="宋体" w:cs="宋体"/>
          <w:color w:val="auto"/>
          <w:kern w:val="0"/>
          <w:sz w:val="24"/>
          <w:szCs w:val="24"/>
          <w:highlight w:val="none"/>
        </w:rPr>
        <w:t>公共资源交易平台政府采购系统将予以记录。</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5.1.4上传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有误或需要重新提交的，可先撤销已经上传的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，然后重新上传新的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.5采购人及采购代理机构拒绝接受以下任一情况提交的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（1）通过电子交易平台以外任何形式提交的；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（2）误投的或采用旧版电子</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制作的；</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（3）逾期提交的。</w:t>
      </w:r>
      <w:r>
        <w:rPr>
          <w:rFonts w:hint="eastAsia" w:ascii="宋体" w:hAnsi="宋体" w:eastAsia="宋体" w:cs="宋体"/>
          <w:color w:val="auto"/>
          <w:kern w:val="0"/>
          <w:sz w:val="24"/>
          <w:szCs w:val="24"/>
          <w:highlight w:val="none"/>
          <w:lang w:val="en-US" w:eastAsia="zh-CN"/>
        </w:rPr>
        <w:t xml:space="preserve">        </w:t>
      </w:r>
    </w:p>
    <w:p>
      <w:pPr>
        <w:tabs>
          <w:tab w:val="left" w:pos="1080"/>
        </w:tabs>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需提供样品的，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须知前附表规定的时间、地点和要求提交。</w:t>
      </w:r>
    </w:p>
    <w:p>
      <w:pPr>
        <w:tabs>
          <w:tab w:val="left" w:pos="1080"/>
        </w:tabs>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5.2 响应文件的提交</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供应商应在供应商须知前附表规定的提交首次响应文件截止时间前提交响应文件。</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供应商提交首次响应文件地点：见供应商须知前附表。</w:t>
      </w:r>
    </w:p>
    <w:p>
      <w:pPr>
        <w:tabs>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除供应商须知前附表另有规定外，供应商提交的响应文件不予退还。</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5.2.4采购代理机构收到响应文件后，应当如实记载响应文件的送达时间、份数、密封情况和提交人等信息。</w:t>
      </w:r>
    </w:p>
    <w:p>
      <w:pPr>
        <w:tabs>
          <w:tab w:val="left" w:pos="851"/>
          <w:tab w:val="left" w:pos="1095"/>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 逾期送达的响应文件，采购代理机构将予以拒收。</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 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不接受邮寄的响应文件。</w:t>
      </w:r>
    </w:p>
    <w:p>
      <w:pPr>
        <w:pStyle w:val="5"/>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5.2.7供应商须知前附表规定提供样品的，供应商应当同响应文件一起提交。</w:t>
      </w:r>
    </w:p>
    <w:p>
      <w:pPr>
        <w:pStyle w:val="5"/>
        <w:spacing w:before="120" w:beforeLines="50" w:after="120" w:afterLines="50"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5.3 </w:t>
      </w:r>
      <w:r>
        <w:rPr>
          <w:rFonts w:hint="eastAsia" w:ascii="宋体" w:hAnsi="宋体" w:eastAsia="宋体" w:cs="宋体"/>
          <w:b/>
          <w:bCs/>
          <w:color w:val="auto"/>
          <w:spacing w:val="20"/>
          <w:sz w:val="24"/>
          <w:szCs w:val="24"/>
          <w:highlight w:val="none"/>
        </w:rPr>
        <w:t>响应文件的修改和撤回</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在本章第5.2.1项规定的提交首次响应文件截止时间前，供应商可以补充、修改或者撤回已提交的响应文件，但应以书面形式通知采购代理机构。</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供应商的补充、修改或者撤回通知书，应由其法定代表人或委托代理人签署并盖单位章。补充、修改或者撤回通知书应按本章第5.1.2项规定进行密封，并在密封袋上标注“响应文件补充、修改”或“响应文件撤回通知”字样，“补充、修改文件”作为响应文件的组成部分。补充、修改内容与响应文件不一致的，以补充、修改的内容为准。</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供应商撤回响应文件的，采购代理机构自收到供应商书面撤回通知之日起5个工作日内退还已收取的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 在提交首次响应文件截止时间之后，供应商不得对其提交的响应文件做任何补充、修改或者撤销响应文件。</w:t>
      </w:r>
    </w:p>
    <w:p>
      <w:pPr>
        <w:pStyle w:val="5"/>
        <w:spacing w:before="120" w:beforeLines="50" w:after="120" w:afterLines="5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6.开启响应文件</w:t>
      </w:r>
    </w:p>
    <w:p>
      <w:pPr>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6.1开启响应文件的时间和地点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采购代理机构在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时间）地点及开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形式进行公开开标</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不见面开标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，并邀请采购人、所有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派代表准时参加并签到以证明其出席。</w:t>
      </w:r>
      <w:r>
        <w:rPr>
          <w:rFonts w:hint="eastAsia" w:ascii="宋体" w:hAnsi="宋体" w:eastAsia="宋体" w:cs="宋体"/>
          <w:color w:val="auto"/>
          <w:sz w:val="24"/>
          <w:szCs w:val="24"/>
          <w:highlight w:val="none"/>
          <w:lang w:eastAsia="zh-CN"/>
        </w:rPr>
        <w:t>磋商小组成员</w:t>
      </w:r>
      <w:r>
        <w:rPr>
          <w:rFonts w:hint="eastAsia" w:ascii="宋体" w:hAnsi="宋体" w:eastAsia="宋体" w:cs="宋体"/>
          <w:color w:val="auto"/>
          <w:sz w:val="24"/>
          <w:szCs w:val="24"/>
          <w:highlight w:val="none"/>
        </w:rPr>
        <w:t>不得参加开标活动。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6.1.2本项目（包）使用</w:t>
      </w:r>
      <w:r>
        <w:rPr>
          <w:rFonts w:hint="eastAsia" w:ascii="宋体" w:hAnsi="宋体" w:eastAsia="宋体" w:cs="宋体"/>
          <w:color w:val="auto"/>
          <w:sz w:val="24"/>
          <w:szCs w:val="24"/>
          <w:highlight w:val="none"/>
          <w:lang w:val="en-US" w:eastAsia="zh-CN"/>
        </w:rPr>
        <w:t>宝鸡</w:t>
      </w:r>
      <w:r>
        <w:rPr>
          <w:rFonts w:hint="eastAsia" w:ascii="宋体" w:hAnsi="宋体" w:eastAsia="宋体" w:cs="宋体"/>
          <w:color w:val="auto"/>
          <w:sz w:val="24"/>
          <w:szCs w:val="24"/>
          <w:highlight w:val="none"/>
        </w:rPr>
        <w:t>市公共资源交易平台进行开标。开标工作由采购代理机构组织实施，整个过程受同级政府采购监管机构的监督、管理。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不足3家的，不得开标。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6.2.2.1本项目的电子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应当在线提交，但开标当日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的法定代表人（或者负责人）或者其委托代理人仍</w:t>
      </w:r>
      <w:r>
        <w:rPr>
          <w:rFonts w:hint="eastAsia" w:ascii="宋体" w:hAnsi="宋体" w:eastAsia="宋体" w:cs="宋体"/>
          <w:b/>
          <w:bCs/>
          <w:color w:val="auto"/>
          <w:sz w:val="24"/>
          <w:szCs w:val="24"/>
          <w:highlight w:val="none"/>
          <w:lang w:val="en-US" w:eastAsia="zh-CN"/>
        </w:rPr>
        <w:t>无</w:t>
      </w:r>
      <w:r>
        <w:rPr>
          <w:rFonts w:hint="eastAsia" w:ascii="宋体" w:hAnsi="宋体" w:eastAsia="宋体" w:cs="宋体"/>
          <w:b/>
          <w:bCs/>
          <w:color w:val="auto"/>
          <w:sz w:val="24"/>
          <w:szCs w:val="24"/>
          <w:highlight w:val="none"/>
        </w:rPr>
        <w:t>需到达开标现场。</w:t>
      </w:r>
    </w:p>
    <w:p>
      <w:pPr>
        <w:spacing w:line="480" w:lineRule="exact"/>
        <w:ind w:firstLine="480" w:firstLineChars="200"/>
        <w:rPr>
          <w:rFonts w:hint="eastAsia" w:ascii="宋体" w:hAnsi="宋体" w:eastAsia="宋体" w:cs="宋体"/>
          <w:highlight w:val="none"/>
        </w:rPr>
      </w:pPr>
      <w:r>
        <w:rPr>
          <w:rFonts w:hint="eastAsia" w:ascii="宋体" w:hAnsi="宋体" w:eastAsia="宋体" w:cs="宋体"/>
          <w:snapToGrid w:val="0"/>
          <w:color w:val="auto"/>
          <w:kern w:val="2"/>
          <w:sz w:val="24"/>
          <w:szCs w:val="24"/>
          <w:highlight w:val="none"/>
        </w:rPr>
        <w:t>采购代理机构组织磋商</w:t>
      </w:r>
      <w:r>
        <w:rPr>
          <w:rFonts w:hint="eastAsia" w:ascii="宋体" w:hAnsi="宋体" w:eastAsia="宋体" w:cs="宋体"/>
          <w:snapToGrid w:val="0"/>
          <w:color w:val="auto"/>
          <w:kern w:val="2"/>
          <w:sz w:val="24"/>
          <w:szCs w:val="24"/>
          <w:highlight w:val="none"/>
          <w:lang w:eastAsia="zh-CN"/>
        </w:rPr>
        <w:t>：开标纪律</w:t>
      </w:r>
      <w:r>
        <w:rPr>
          <w:rFonts w:hint="eastAsia" w:ascii="宋体" w:hAnsi="宋体" w:eastAsia="宋体" w:cs="宋体"/>
          <w:snapToGrid w:val="0"/>
          <w:color w:val="auto"/>
          <w:kern w:val="2"/>
          <w:sz w:val="24"/>
          <w:szCs w:val="24"/>
          <w:highlight w:val="none"/>
        </w:rPr>
        <w:t>、</w:t>
      </w:r>
      <w:r>
        <w:rPr>
          <w:rFonts w:hint="eastAsia" w:ascii="宋体" w:hAnsi="宋体" w:eastAsia="宋体" w:cs="宋体"/>
          <w:snapToGrid w:val="0"/>
          <w:color w:val="auto"/>
          <w:kern w:val="2"/>
          <w:sz w:val="24"/>
          <w:szCs w:val="24"/>
          <w:highlight w:val="none"/>
          <w:lang w:eastAsia="zh-CN"/>
        </w:rPr>
        <w:t>公布投标人名单、投标文件解密、批量导入、唱标、异议回复、开标结束。进入到</w:t>
      </w:r>
      <w:r>
        <w:rPr>
          <w:rFonts w:hint="eastAsia" w:ascii="宋体" w:hAnsi="宋体" w:eastAsia="宋体" w:cs="宋体"/>
          <w:snapToGrid w:val="0"/>
          <w:color w:val="auto"/>
          <w:kern w:val="2"/>
          <w:sz w:val="24"/>
          <w:szCs w:val="24"/>
          <w:highlight w:val="none"/>
        </w:rPr>
        <w:t>评审工作，磋商整个过程接受监督部门的监督。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6.2.2.2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签到：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规定的时间</w:t>
      </w:r>
      <w:r>
        <w:rPr>
          <w:rFonts w:hint="eastAsia" w:ascii="宋体" w:hAnsi="宋体" w:eastAsia="宋体" w:cs="宋体"/>
          <w:b/>
          <w:bCs/>
          <w:snapToGrid w:val="0"/>
          <w:color w:val="auto"/>
          <w:kern w:val="2"/>
          <w:sz w:val="24"/>
          <w:szCs w:val="24"/>
          <w:highlight w:val="none"/>
          <w:lang w:eastAsia="zh-CN"/>
        </w:rPr>
        <w:t>提前进入不见面开标大厅</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开标，并</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签名报到。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6.2.2.3 </w:t>
      </w:r>
      <w:r>
        <w:rPr>
          <w:rFonts w:hint="eastAsia" w:ascii="宋体" w:hAnsi="宋体" w:eastAsia="宋体" w:cs="宋体"/>
          <w:b/>
          <w:color w:val="auto"/>
          <w:sz w:val="24"/>
          <w:szCs w:val="24"/>
          <w:highlight w:val="none"/>
        </w:rPr>
        <w:t>主持人宣布开标：</w:t>
      </w:r>
      <w:r>
        <w:rPr>
          <w:rFonts w:hint="eastAsia" w:ascii="宋体" w:hAnsi="宋体" w:eastAsia="宋体" w:cs="宋体"/>
          <w:color w:val="auto"/>
          <w:sz w:val="24"/>
          <w:szCs w:val="24"/>
          <w:highlight w:val="none"/>
        </w:rPr>
        <w:t>超过提交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截止时间的，电子交易平台将不再接收任何</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。宣布开标纪律、有关注意事项和介绍参会有关人员。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6.2.2.4 </w:t>
      </w:r>
      <w:r>
        <w:rPr>
          <w:rFonts w:hint="eastAsia" w:ascii="宋体" w:hAnsi="宋体" w:eastAsia="宋体" w:cs="宋体"/>
          <w:b/>
          <w:color w:val="auto"/>
          <w:sz w:val="24"/>
          <w:szCs w:val="24"/>
          <w:highlight w:val="none"/>
        </w:rPr>
        <w:t>解密</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在收到主持人“开始解密”指令后，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应当使用“加密该</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的CA锁（确保是同一把锁）”在</w:t>
      </w:r>
      <w:r>
        <w:rPr>
          <w:rFonts w:hint="eastAsia" w:ascii="宋体" w:hAnsi="宋体" w:eastAsia="宋体" w:cs="宋体"/>
          <w:color w:val="auto"/>
          <w:sz w:val="24"/>
          <w:szCs w:val="24"/>
          <w:highlight w:val="none"/>
          <w:lang w:val="en-US" w:eastAsia="zh-CN"/>
        </w:rPr>
        <w:t>线上进行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应在规定的解密时限内完成解密。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6.2.2.5</w:t>
      </w:r>
      <w:r>
        <w:rPr>
          <w:rFonts w:hint="eastAsia" w:ascii="宋体" w:hAnsi="宋体" w:eastAsia="宋体" w:cs="宋体"/>
          <w:b/>
          <w:bCs/>
          <w:color w:val="auto"/>
          <w:sz w:val="24"/>
          <w:szCs w:val="24"/>
          <w:highlight w:val="none"/>
          <w:lang w:val="en-US" w:eastAsia="zh-CN"/>
        </w:rPr>
        <w:t>唱标：</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报价不当众宣读。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6.2.2.6</w:t>
      </w:r>
      <w:r>
        <w:rPr>
          <w:rFonts w:hint="eastAsia" w:ascii="宋体" w:hAnsi="宋体" w:eastAsia="宋体" w:cs="宋体"/>
          <w:b/>
          <w:color w:val="auto"/>
          <w:sz w:val="24"/>
          <w:szCs w:val="24"/>
          <w:highlight w:val="none"/>
        </w:rPr>
        <w:t>开标结束：</w:t>
      </w:r>
      <w:r>
        <w:rPr>
          <w:rFonts w:hint="eastAsia" w:ascii="宋体" w:hAnsi="宋体" w:eastAsia="宋体" w:cs="宋体"/>
          <w:color w:val="auto"/>
          <w:sz w:val="24"/>
          <w:szCs w:val="24"/>
          <w:highlight w:val="none"/>
        </w:rPr>
        <w:t>开标结束后进入评标环节，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等待，评标期间</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可能会要求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做必要的澄清、说明和纠正</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lang w:eastAsia="zh-CN"/>
        </w:rPr>
        <w:t>等待二次报价</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
          <w:sz w:val="24"/>
          <w:szCs w:val="24"/>
          <w:highlight w:val="none"/>
          <w:lang w:eastAsia="zh-CN"/>
        </w:rPr>
        <w:t>。不可退出系统，</w:t>
      </w:r>
      <w:r>
        <w:rPr>
          <w:rFonts w:hint="eastAsia" w:ascii="宋体" w:hAnsi="宋体" w:eastAsia="宋体" w:cs="宋体"/>
          <w:color w:val="auto"/>
          <w:sz w:val="24"/>
          <w:szCs w:val="24"/>
          <w:highlight w:val="none"/>
        </w:rPr>
        <w:t>因供应商擅自离席造成的不利后果，由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6.2.2.7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对开标过程有疑义，以及认为采购人、采购代理机构相关工作人员有需要回避情形的，应</w:t>
      </w:r>
      <w:r>
        <w:rPr>
          <w:rFonts w:hint="eastAsia" w:ascii="宋体" w:hAnsi="宋体" w:eastAsia="宋体" w:cs="宋体"/>
          <w:color w:val="auto"/>
          <w:kern w:val="0"/>
          <w:sz w:val="24"/>
          <w:szCs w:val="24"/>
          <w:highlight w:val="none"/>
          <w:lang w:val="en-US" w:eastAsia="zh-CN"/>
        </w:rPr>
        <w:t>线上</w:t>
      </w:r>
      <w:r>
        <w:rPr>
          <w:rFonts w:hint="eastAsia" w:ascii="宋体" w:hAnsi="宋体" w:eastAsia="宋体" w:cs="宋体"/>
          <w:color w:val="auto"/>
          <w:kern w:val="0"/>
          <w:sz w:val="24"/>
          <w:szCs w:val="24"/>
          <w:highlight w:val="none"/>
        </w:rPr>
        <w:t>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代表提出的询问或者回避申请应当及时处理，并制作记录。</w:t>
      </w:r>
    </w:p>
    <w:p>
      <w:pPr>
        <w:spacing w:line="360" w:lineRule="auto"/>
        <w:rPr>
          <w:rFonts w:hint="eastAsia" w:ascii="宋体" w:hAnsi="宋体" w:eastAsia="宋体" w:cs="宋体"/>
          <w:b/>
          <w:bCs/>
          <w:highlight w:val="none"/>
        </w:rPr>
      </w:pPr>
      <w:r>
        <w:rPr>
          <w:rFonts w:hint="eastAsia" w:ascii="宋体" w:hAnsi="宋体" w:eastAsia="宋体" w:cs="宋体"/>
          <w:b/>
          <w:bCs/>
          <w:color w:val="auto"/>
          <w:kern w:val="0"/>
          <w:sz w:val="24"/>
          <w:szCs w:val="24"/>
          <w:highlight w:val="none"/>
        </w:rPr>
        <w:t>建议：为顺利实现本项目开评标的远程交互，建议投标人配置较高的硬件设施，包括高配置电脑、高速稳定的网络、电源（不间断）、CA锁、音视频设备（话筒、耳麦、高清摄像头、音响等），使用IE浏览器，且电脑已经正确安装了陕西省公共资源交易平台CA驱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6.2.3  </w:t>
      </w:r>
      <w:r>
        <w:rPr>
          <w:rFonts w:hint="eastAsia" w:ascii="宋体" w:hAnsi="宋体" w:eastAsia="宋体" w:cs="宋体"/>
          <w:color w:val="auto"/>
          <w:sz w:val="24"/>
          <w:szCs w:val="24"/>
          <w:highlight w:val="none"/>
        </w:rPr>
        <w:t>开标环节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存在以下情形之一的</w:t>
      </w:r>
      <w:r>
        <w:rPr>
          <w:rFonts w:hint="eastAsia" w:ascii="宋体" w:hAnsi="宋体" w:eastAsia="宋体" w:cs="宋体"/>
          <w:b/>
          <w:color w:val="auto"/>
          <w:sz w:val="24"/>
          <w:szCs w:val="24"/>
          <w:highlight w:val="none"/>
        </w:rPr>
        <w:t>，其投标无效：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放弃或拒绝对电子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进行解密的；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上传的电子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无法正常打开的；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自身原因，导致未在规定的解密时限内完整解密的（如忘带CA锁、或CA锁与加密文件的CA锁不同、或使用旧版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（4）法律法规规定的其他无效情形。</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6.2.4 突发状况的应急处置</w:t>
      </w:r>
    </w:p>
    <w:p>
      <w:pPr>
        <w:pStyle w:val="5"/>
        <w:spacing w:before="120" w:beforeLines="50" w:after="120" w:afterLines="5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在开评标过程中，因停电、断网、电子交易系统故障等特殊情况导致电子开标、评标工作无法正常进行的，采购代理机构应当及时向政府采购监管部门报告，并等待指令，是否中止后续采购活动。</w:t>
      </w:r>
    </w:p>
    <w:p>
      <w:pPr>
        <w:pStyle w:val="5"/>
        <w:spacing w:before="120" w:beforeLines="50" w:after="120" w:afterLines="50" w:line="360" w:lineRule="auto"/>
        <w:ind w:firstLine="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7.1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小组</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由采购代理机构依法组建的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小组负责。</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由采购人代表和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评审专家应当从省级财政部门设立的政府采购评审专家库内相关专业的专家名单中随机抽取。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7.1.3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小组成员到位后，推荐一名评审专家担任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小组组长，并由</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小组组长牵头组织本项目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工作。采购人代表，不得担任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小组组长。</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7.1.4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小组成员有下列情形之一的，应当回避：</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（1）采购人或供应商的主要负责人的近亲属；</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（2）与供应商有经济利益关系，可能影响对响应文件公正评审的；</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（3）曾因在招标、评审以及其他与招标投标有关活动中从事违法行为而受过行政处罚或刑事处罚的。</w:t>
      </w:r>
    </w:p>
    <w:p>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 xml:space="preserve">7.1.5 </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过程中，因</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小组成员缺席、回避或者健康等特殊原因导致</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小组组成不符合规定的，采购代理机构应当依法补足后继续</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。被更换的</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小组成员所作出的评审意见无效。无法及时补足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小组成员的，采购代理机构应当停止</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活动，封存所有响应文件和开起响应文件、</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和评审资料，依法重新组建</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小组进行</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。原</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小组所作出的评审意见无效。</w:t>
      </w:r>
      <w:r>
        <w:rPr>
          <w:rFonts w:hint="eastAsia" w:ascii="宋体" w:hAnsi="宋体" w:eastAsia="宋体" w:cs="宋体"/>
          <w:color w:val="auto"/>
          <w:kern w:val="0"/>
          <w:sz w:val="24"/>
          <w:szCs w:val="24"/>
          <w:highlight w:val="none"/>
          <w:lang w:val="zh-CN"/>
        </w:rPr>
        <w:t>采购代理机构</w:t>
      </w:r>
      <w:r>
        <w:rPr>
          <w:rFonts w:hint="eastAsia" w:ascii="宋体" w:hAnsi="宋体" w:eastAsia="宋体" w:cs="宋体"/>
          <w:color w:val="auto"/>
          <w:kern w:val="0"/>
          <w:sz w:val="24"/>
          <w:szCs w:val="24"/>
          <w:highlight w:val="none"/>
        </w:rPr>
        <w:t>应当将变更、重新组建</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小组的情况予以记录，并随采购文件一并存档。</w:t>
      </w:r>
    </w:p>
    <w:p>
      <w:pPr>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7.1.6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小组成员名单在成交结果公告前，应当保密。</w:t>
      </w:r>
    </w:p>
    <w:p>
      <w:pPr>
        <w:widowControl/>
        <w:autoSpaceDE w:val="0"/>
        <w:autoSpaceDN w:val="0"/>
        <w:spacing w:line="360" w:lineRule="auto"/>
        <w:ind w:right="5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7.1.7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小组及其成员，在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中不得有下列行为：</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结束前私自接触供应商；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（2）接受供应商提出的与响应文件不一致的澄清和说明；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（3）征询采购人的倾向性意见；</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（4）对响应文件协商评审；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（5）对客观评审因素评审不一致；</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过程中擅离职守，影响</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程序正常进行的；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（7）记录、复制或带走任何评审资料；</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0"/>
          <w:sz w:val="24"/>
          <w:szCs w:val="24"/>
          <w:highlight w:val="none"/>
        </w:rPr>
        <w:t>其他不遵守评审纪律的行为。</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小组成员有前款第一至四项行为之一的，其评审意见无效，</w:t>
      </w:r>
      <w:r>
        <w:rPr>
          <w:rFonts w:hint="eastAsia" w:ascii="宋体" w:hAnsi="宋体" w:eastAsia="宋体" w:cs="宋体"/>
          <w:color w:val="auto"/>
          <w:kern w:val="0"/>
          <w:sz w:val="24"/>
          <w:szCs w:val="24"/>
          <w:highlight w:val="none"/>
        </w:rPr>
        <w:t>并不得获取评审劳务报酬和报销异地评审差旅费。</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7.2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原则</w:t>
      </w:r>
    </w:p>
    <w:p>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7.2.1“客观、公正、审慎”为本次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的基本原则，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小组按照这一原则的要求，公正、平等地对待各供应商。同时，在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中恪守以下原则：</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（1）统一性原则：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小组将按照统一的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原则和方法，用统一标准进行评审。</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（2）独立性原则: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工作在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小组内部独立进行，不受外界任何因素的干扰和影响。</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小组成员对其出具的意见承担个人责任。</w:t>
      </w:r>
      <w:r>
        <w:rPr>
          <w:rFonts w:hint="eastAsia" w:ascii="宋体" w:hAnsi="宋体" w:eastAsia="宋体" w:cs="宋体"/>
          <w:color w:val="auto"/>
          <w:kern w:val="0"/>
          <w:sz w:val="24"/>
          <w:szCs w:val="24"/>
          <w:highlight w:val="none"/>
        </w:rPr>
        <w:t>供应商试图影响或干预评审的任何行为，将导致其丧失</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的资格，并承担相应的法律责任。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（3）物有所值原则：通过首轮的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报价，激发供应商展开竞争，进一步优化方案，并使报价符合预期目标。</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（4）客观性原则：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小组将严格按照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文件要求，对供应商的响应文件进行认真评审；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小组对响应文件的评审仅依据响应文件本身，而不依据响应文件以外的任何因素。</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（5）保密性原则：采购代理机构应当采取必要的措施，保证评审在严格保密情况下进行。</w:t>
      </w:r>
    </w:p>
    <w:p>
      <w:pPr>
        <w:tabs>
          <w:tab w:val="left" w:pos="0"/>
        </w:tabs>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（6）综合性原则: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小组将综合分析、评审供应商的各项指标，而不以单项指标的优劣评定出成交供应商。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磋商小组有权对整个磋商和评审过程中出现的所有问题，可根据《中华人民共和国政府采购法》及实施条例和《政府采购竞争性磋商采购方式管理暂行办法》等相关规定进行处理。</w:t>
      </w:r>
    </w:p>
    <w:p>
      <w:pPr>
        <w:spacing w:before="120" w:beforeLines="50" w:after="120" w:afterLines="5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磋商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磋商小组根据磋商文件第四章“磋商办法”规定的方法、评审因素、标准和程序，在与单一供应商进行反复磋商的基础上，对其响应文件进行评审。第四章“磋商办法”没有规定的方法、评审因素和标准，不作为评审依据。</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磋商小组负责具体磋商事务，并独立履行下列职责：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（1）审查、评价响应文件是否符合磋商文件的商务、技术、服务等实质性要求；</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（2）要求供应商对响应文件有关事项作出澄清或者说明；</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（3）与合格的供应商分别就技术和商务事务进行磋商；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（4）对响应文件进行比较和评价；</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（5）推荐成交候选人名单，或者根据采购人委托直接确定成交供应商；</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（6）向采购人、采购代理机构或者有关部门报告非法干预磋商工作的行为。</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7.3.3磋商小组成员应当履行下列义务：</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（1）遵纪守法，客观、公正、廉洁地履行职责；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（2）根据采购文件的规定独立进行评审，对个人的评审意见承担法律责任；</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（3）参与评审报告的起草；</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（4）配合采购人、采购代理机构答复供应商提出的质疑；</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（5）配合财政部门的投诉处理和监督检查工作。</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7.3.4 采购代理机构负责组织磋商工作并履行下列职责：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（2）宣布磋商纪律和开启录音录像设备；</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（3）公布提交了响应文件的供应商名单，告知评审专家应当回避的情形；</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（4）组织磋商小组成员推选磋商小组组长，采购人代表不得担任组长；</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（5）在磋商期间采取必要的通讯管理措施，保证磋商活动不受外界干扰；</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（6）根据磋商小组的要求介绍政府采购相关政策法规、磋商文件；</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（7）维护磋商秩序，监督磋商小组依照磋商文件规定的磋商程序、评审方法和标准进行独立评审，对采购人代表、磋商小组成员的倾向性言论或违法违规行为及时制止和纠正；</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（8）核对评审结果，有《政府采购竞争性磋商采购方式暂行管理办法》第三十二条第一款规定情形的，要求磋商小组复核或书面说明理由，磋商小组拒绝的，应予记录并向采购人本级财政部门报告；</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（9）磋商工作完成后，按照规定向评审专家支付劳务报酬和异地评审差旅费，不得向评审专家以外的其他人员支付评审劳务报酬；</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（10）处理与磋商有关的其他事项。</w:t>
      </w:r>
    </w:p>
    <w:p>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7.3.5 采购人可以在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前介绍项目背景和采购需求，介绍内容不得含有歧视性、倾向性意见，不得超出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文件所述范围。介绍应当提交书面介绍材料，并随采购文件一并存档。</w:t>
      </w:r>
    </w:p>
    <w:p>
      <w:pPr>
        <w:spacing w:line="360" w:lineRule="auto"/>
        <w:ind w:left="120"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7.3.6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过程严格保密</w:t>
      </w:r>
    </w:p>
    <w:p>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7.3.6.1 </w:t>
      </w:r>
      <w:r>
        <w:rPr>
          <w:rFonts w:hint="eastAsia" w:ascii="宋体" w:hAnsi="宋体" w:eastAsia="宋体" w:cs="宋体"/>
          <w:color w:val="auto"/>
          <w:kern w:val="0"/>
          <w:sz w:val="24"/>
          <w:szCs w:val="24"/>
          <w:highlight w:val="none"/>
        </w:rPr>
        <w:t>采购人、采购代理机构应当采取必要措施，保证</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在严格保密的情况下进行。除采购人代表、</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现场组织人员外，采购人的其他工作人员以及与</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工作无关的人员不得进入</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现场。</w:t>
      </w:r>
    </w:p>
    <w:p>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7.3.6.2 有关人员对</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情况以及在</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过程中获悉的国家秘密、商业秘密负有保密责任。</w:t>
      </w:r>
      <w:r>
        <w:rPr>
          <w:rFonts w:hint="eastAsia" w:ascii="宋体" w:hAnsi="宋体" w:eastAsia="宋体" w:cs="宋体"/>
          <w:color w:val="auto"/>
          <w:sz w:val="24"/>
          <w:szCs w:val="24"/>
          <w:highlight w:val="none"/>
        </w:rPr>
        <w:t>开启响应文件后，直至授予成交供应商合同为止，凡属于对响应文件的审查、澄清、评价和比较的有关资料以及成交候选人的推荐情况，与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有关的其他任何情况均严格保密。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7.3.7 供应商对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过程或合同授予决定施加影响的任何行为都可能导致其响应文件无效。</w:t>
      </w:r>
    </w:p>
    <w:p>
      <w:p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7.3.8</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完成后，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小组应当向采购人提交书面评审报告，并由采购代理机构转送。</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55" w:name="_Toc217446061"/>
      <w:r>
        <w:rPr>
          <w:rFonts w:hint="eastAsia" w:ascii="宋体" w:hAnsi="宋体" w:eastAsia="宋体" w:cs="宋体"/>
          <w:color w:val="auto"/>
          <w:sz w:val="24"/>
          <w:szCs w:val="24"/>
          <w:highlight w:val="none"/>
        </w:rPr>
        <w:t>.确定成交供应商</w:t>
      </w:r>
    </w:p>
    <w:p>
      <w:pPr>
        <w:spacing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8.1确定成交供应商原则</w:t>
      </w:r>
      <w:bookmarkEnd w:id="55"/>
    </w:p>
    <w:p>
      <w:pPr>
        <w:spacing w:line="360" w:lineRule="auto"/>
        <w:ind w:firstLine="470" w:firstLineChars="196"/>
        <w:rPr>
          <w:rFonts w:hint="eastAsia" w:ascii="宋体" w:hAnsi="宋体" w:eastAsia="宋体" w:cs="宋体"/>
          <w:color w:val="auto"/>
          <w:sz w:val="24"/>
          <w:szCs w:val="24"/>
          <w:highlight w:val="none"/>
        </w:rPr>
      </w:pPr>
      <w:bookmarkStart w:id="56" w:name="_Toc217446062"/>
      <w:r>
        <w:rPr>
          <w:rFonts w:hint="eastAsia" w:ascii="宋体" w:hAnsi="宋体" w:eastAsia="宋体" w:cs="宋体"/>
          <w:color w:val="auto"/>
          <w:sz w:val="24"/>
          <w:szCs w:val="24"/>
          <w:highlight w:val="none"/>
        </w:rPr>
        <w:t>采购人或其授权的磋商小组按照评审报告中提出的成交候人中，按照顺序由高到低的原则确定成交供应商。</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确定成交供应商程序</w:t>
      </w:r>
      <w:bookmarkEnd w:id="56"/>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采购代理机构在评审结束后2个工作日内将评审报告送采购人确认。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 采购人应当在收到评审报告后5个工作日内，按照评审报告中推荐的成交候选人中，按照顺序由高到低确定成交供应商。同时，将确定成交供应商的结果复函至采购代理机构。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采购人逾期未确定成交供应商，且不提出异议的，视同确定评审报告提出的排名第一的成交候选人为成交供应商。</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8.2.4采购代理机构应当在接到采购人“定标”复函之日起2个工作日内，根据采购人确定的成交供应商，在省级以上财政部门指定的媒体上公告成交结果，</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文件应当随成交结果同时公告；成交供应商的《中小企业声明函》或者《残疾人福利性单位声明函》也应随成交结果同时公告。</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8.3 成交通知书</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成交通知书为签订政府采购合同的依据之一，是合同的有效组成部分。</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成交通知书对采购人和成交供应商均具有法律效力。成交通知书发出后，采购人不得违法改变成交结果，成交供应商无正当理由不得放弃成交资格。否则，应当承担相应的法律责任。</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8.3.3 成交供应商应当在接到采购代理机构通知之日起2个工作日内领取《成交通知书》。</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9.合同授予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 履约保证金</w:t>
      </w:r>
    </w:p>
    <w:p>
      <w:pPr>
        <w:tabs>
          <w:tab w:val="left" w:pos="7665"/>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按照供应商须知前附表的规定本项目需要提交履约保证金的，成交供应商在收到采购代理机构的成交通知书后10日内，应当按照供应商须知前附表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9.1.2 成交供应商</w:t>
      </w:r>
      <w:r>
        <w:rPr>
          <w:rFonts w:hint="eastAsia" w:ascii="宋体" w:hAnsi="宋体" w:eastAsia="宋体" w:cs="宋体"/>
          <w:color w:val="auto"/>
          <w:spacing w:val="4"/>
          <w:sz w:val="24"/>
          <w:szCs w:val="24"/>
          <w:highlight w:val="none"/>
        </w:rPr>
        <w:t>不能按照本章第9.1.1项规定</w:t>
      </w:r>
      <w:r>
        <w:rPr>
          <w:rFonts w:hint="eastAsia" w:ascii="宋体" w:hAnsi="宋体" w:eastAsia="宋体" w:cs="宋体"/>
          <w:color w:val="auto"/>
          <w:sz w:val="24"/>
          <w:szCs w:val="24"/>
          <w:highlight w:val="none"/>
        </w:rPr>
        <w:t>提交履约保证金或履约担保的</w:t>
      </w:r>
      <w:r>
        <w:rPr>
          <w:rFonts w:hint="eastAsia" w:ascii="宋体" w:hAnsi="宋体" w:eastAsia="宋体" w:cs="宋体"/>
          <w:color w:val="auto"/>
          <w:spacing w:val="4"/>
          <w:sz w:val="24"/>
          <w:szCs w:val="24"/>
          <w:highlight w:val="none"/>
        </w:rPr>
        <w:t>，视为放弃</w:t>
      </w:r>
      <w:r>
        <w:rPr>
          <w:rFonts w:hint="eastAsia" w:ascii="宋体" w:hAnsi="宋体" w:eastAsia="宋体" w:cs="宋体"/>
          <w:color w:val="auto"/>
          <w:sz w:val="24"/>
          <w:szCs w:val="24"/>
          <w:highlight w:val="none"/>
        </w:rPr>
        <w:t>成交资格</w:t>
      </w:r>
      <w:r>
        <w:rPr>
          <w:rFonts w:hint="eastAsia" w:ascii="宋体" w:hAnsi="宋体" w:eastAsia="宋体" w:cs="宋体"/>
          <w:color w:val="auto"/>
          <w:spacing w:val="4"/>
          <w:sz w:val="24"/>
          <w:szCs w:val="24"/>
          <w:highlight w:val="none"/>
        </w:rPr>
        <w:t>，有</w:t>
      </w:r>
      <w:r>
        <w:rPr>
          <w:rFonts w:hint="eastAsia" w:ascii="宋体" w:hAnsi="宋体" w:eastAsia="宋体" w:cs="宋体"/>
          <w:color w:val="auto"/>
          <w:spacing w:val="2"/>
          <w:sz w:val="24"/>
          <w:szCs w:val="24"/>
          <w:highlight w:val="none"/>
          <w:lang w:eastAsia="zh-CN"/>
        </w:rPr>
        <w:t>磋商</w:t>
      </w:r>
      <w:r>
        <w:rPr>
          <w:rFonts w:hint="eastAsia" w:ascii="宋体" w:hAnsi="宋体" w:eastAsia="宋体" w:cs="宋体"/>
          <w:color w:val="auto"/>
          <w:spacing w:val="2"/>
          <w:sz w:val="24"/>
          <w:szCs w:val="24"/>
          <w:highlight w:val="none"/>
        </w:rPr>
        <w:t>保证金的不予退还，给采购人造成损失的，成交供应商应当予以赔偿。</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9.2 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9.2.1采购人应当自《成交通知书》发出之日起30日内，按照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文件和成交供应商响应文件的的规定，与成交供应商签订书面合同。成交供应商无正当理由拒签合同，或者在签订合同时向采购人提出附件条件，采购人有权取消其成交资格，有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保证金的不予退还，给采购人造成损失的，</w:t>
      </w:r>
      <w:r>
        <w:rPr>
          <w:rFonts w:hint="eastAsia" w:ascii="宋体" w:hAnsi="宋体" w:eastAsia="宋体" w:cs="宋体"/>
          <w:color w:val="auto"/>
          <w:spacing w:val="2"/>
          <w:sz w:val="24"/>
          <w:szCs w:val="24"/>
          <w:highlight w:val="none"/>
        </w:rPr>
        <w:t>成交供应商应当予以赔偿。采购人可以</w:t>
      </w:r>
      <w:r>
        <w:rPr>
          <w:rFonts w:hint="eastAsia" w:ascii="宋体" w:hAnsi="宋体" w:eastAsia="宋体" w:cs="宋体"/>
          <w:color w:val="auto"/>
          <w:sz w:val="24"/>
          <w:szCs w:val="24"/>
          <w:highlight w:val="none"/>
        </w:rPr>
        <w:t>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9.2.2 发出成交通知书后，采购人不得向成交供应商提出任何不合理要求，作为签订合同的条件，不得与成交供应商私下订立背离合同实质性内容的任何协议，所签订的合同不得对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文件确定的事项和成交供应商响应文件做实质性修改。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 联合体成交的，联合体各方应当与采购人签订采购合同，就成交项目向采购人承担连带责任。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9.2.4 采购人应当自政府采购合同签订之日起2个工作日内，在省级以上财政部门指定的媒体上对合同进行公示，但政府采购合同中涉及国家秘密、商业秘密的内容除外。</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9.2.5 采购人应当自合同签订之日起7个工作日内将政府采购合同报送监管机构备案。</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9.3 合同履行</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 政府采购合同一经签订，双方应严格履行合同规定的义务。在合同履行过程中，如发生合同纠纷，合同双方应按照《中华人民共和国民法典》及合同条款的有关规定进行处理。</w:t>
      </w:r>
    </w:p>
    <w:p>
      <w:pPr>
        <w:tabs>
          <w:tab w:val="left" w:pos="426"/>
        </w:tabs>
        <w:autoSpaceDE w:val="0"/>
        <w:autoSpaceDN w:val="0"/>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9.3.2 </w:t>
      </w:r>
      <w:r>
        <w:rPr>
          <w:rFonts w:hint="eastAsia" w:ascii="宋体" w:hAnsi="宋体" w:eastAsia="宋体" w:cs="宋体"/>
          <w:color w:val="auto"/>
          <w:sz w:val="24"/>
          <w:szCs w:val="24"/>
          <w:highlight w:val="none"/>
          <w:lang w:eastAsia="zh-TW"/>
        </w:rPr>
        <w:t>政府采购合同订立后，合同各方不得擅自变更</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TW"/>
        </w:rPr>
        <w:t>中止或者终止合同。政府采购合同需要变更的，采购人应将有关合同变更内容，以书面形式报政府采购监督管理</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TW"/>
        </w:rPr>
        <w:t>备案；因特殊情况需要中止或终止合同的，采购人应将中止或终止合同的理由以及相应措施，以书面形式报政府采购监督管理</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TW"/>
        </w:rPr>
        <w:t>备案。</w:t>
      </w:r>
    </w:p>
    <w:p>
      <w:pPr>
        <w:tabs>
          <w:tab w:val="left" w:pos="426"/>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9.3.3 </w:t>
      </w:r>
      <w:r>
        <w:rPr>
          <w:rFonts w:hint="eastAsia" w:ascii="宋体" w:hAnsi="宋体" w:eastAsia="宋体" w:cs="宋体"/>
          <w:color w:val="auto"/>
          <w:sz w:val="24"/>
          <w:szCs w:val="24"/>
          <w:highlight w:val="none"/>
          <w:lang w:eastAsia="zh-TW"/>
        </w:rPr>
        <w:t>政府采购合同履行中，采购人需追加与合同标的相同的货物的，在不改变合同其他条款的前提下，可以与</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eastAsia="zh-TW"/>
        </w:rPr>
        <w:t>签订补充合同，但所补充合同的采购金额不得超过原</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TW"/>
        </w:rPr>
        <w:t>采购金额的百分之十。签订补充合同的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TW"/>
        </w:rPr>
        <w:t>按规定备案。</w:t>
      </w:r>
    </w:p>
    <w:p>
      <w:pPr>
        <w:spacing w:before="120" w:beforeLines="50" w:after="12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10.终止</w:t>
      </w:r>
      <w:r>
        <w:rPr>
          <w:rFonts w:hint="eastAsia" w:ascii="宋体" w:hAnsi="宋体" w:eastAsia="宋体" w:cs="宋体"/>
          <w:color w:val="auto"/>
          <w:sz w:val="24"/>
          <w:szCs w:val="24"/>
          <w:highlight w:val="none"/>
          <w:lang w:eastAsia="zh-CN"/>
        </w:rPr>
        <w:t>磋商</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10.1出现下列情形之一的，采购人或者采购代理机构应当终止本次竞争性</w:t>
      </w:r>
      <w:r>
        <w:rPr>
          <w:rFonts w:hint="eastAsia" w:ascii="宋体" w:hAnsi="宋体" w:eastAsia="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采购活动，发布终止公告并说明原因，重新开展采购活动：</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（1）因情况变化，不再符合规定的竞争性</w:t>
      </w:r>
      <w:r>
        <w:rPr>
          <w:rFonts w:hint="eastAsia" w:ascii="宋体" w:hAnsi="宋体" w:eastAsia="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采购方式适用情形的；</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（2）出现影响采购公正的违法、违规行为的；</w:t>
      </w:r>
    </w:p>
    <w:p>
      <w:pPr>
        <w:widowControl/>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（3）除《政府采购竞争性</w:t>
      </w:r>
      <w:r>
        <w:rPr>
          <w:rFonts w:hint="eastAsia" w:ascii="宋体" w:hAnsi="宋体" w:eastAsia="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采购方式管理暂行办法》办法第21条第3款规定的情形外，在采购过程中符合要求的供应商或者</w:t>
      </w:r>
      <w:r>
        <w:rPr>
          <w:rFonts w:hint="eastAsia" w:ascii="宋体" w:hAnsi="宋体" w:eastAsia="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报价未超过采购预算的供应商不足3家的。</w:t>
      </w:r>
    </w:p>
    <w:p>
      <w:pPr>
        <w:pStyle w:val="5"/>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10.2 </w:t>
      </w:r>
      <w:r>
        <w:rPr>
          <w:rFonts w:hint="eastAsia" w:ascii="宋体" w:hAnsi="宋体" w:eastAsia="宋体" w:cs="宋体"/>
          <w:color w:val="auto"/>
          <w:sz w:val="24"/>
          <w:szCs w:val="24"/>
          <w:highlight w:val="none"/>
        </w:rPr>
        <w:t>符合资格条件的供应商少于3家情形的，应当按照《政府采购促进中小企业发展管理办法》（财库[2020]46号）第十条的规定，视同未预留份额的采购项目或者采购包，重新组织采购活动。</w:t>
      </w:r>
    </w:p>
    <w:p>
      <w:pPr>
        <w:pStyle w:val="26"/>
        <w:snapToGrid w:val="0"/>
        <w:spacing w:before="0" w:beforeAutospacing="0" w:after="0" w:afterAutospacing="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szCs w:val="24"/>
          <w:highlight w:val="none"/>
        </w:rPr>
        <w:t>10.3在采购活动中因重大变故，采购任务取消的，采购人或者采购代理机构应当终止</w:t>
      </w:r>
      <w:r>
        <w:rPr>
          <w:rFonts w:hint="eastAsia" w:ascii="宋体" w:hAnsi="宋体" w:eastAsia="宋体" w:cs="宋体"/>
          <w:b/>
          <w:snapToGrid w:val="0"/>
          <w:color w:val="auto"/>
          <w:sz w:val="24"/>
          <w:szCs w:val="24"/>
          <w:highlight w:val="none"/>
        </w:rPr>
        <w:t>项目</w:t>
      </w:r>
      <w:r>
        <w:rPr>
          <w:rFonts w:hint="eastAsia" w:ascii="宋体" w:hAnsi="宋体" w:eastAsia="宋体" w:cs="宋体"/>
          <w:snapToGrid w:val="0"/>
          <w:color w:val="auto"/>
          <w:sz w:val="24"/>
          <w:szCs w:val="24"/>
          <w:highlight w:val="none"/>
        </w:rPr>
        <w:t>采购活动，通知所有参加采购活动的供应商，并将项目实施情况和采购任务取消原因报送本级财政部门。</w:t>
      </w:r>
    </w:p>
    <w:p>
      <w:pPr>
        <w:tabs>
          <w:tab w:val="left" w:pos="426"/>
        </w:tabs>
        <w:autoSpaceDE w:val="0"/>
        <w:autoSpaceDN w:val="0"/>
        <w:adjustRightInd w:val="0"/>
        <w:snapToGrid w:val="0"/>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11.质疑与投诉</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11.1质疑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如供应商对本次采购活动有疑问，认为需要提出质疑和投诉的，应当按照《政府采购质疑投诉办法》（财政部94号令）的有关规定办理。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质疑函应当包括下列内容：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供应商为法人的，应当由法定代表人或者其委托代理人签名或者盖章，并加盖单位章。</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11.1.4质疑人可以委托代理人办理质疑事项，代理人办理质疑事项时，除提交质疑函外，还应当提交质疑人的授权委托书及代理人的有效身份证明，授权委托书应当载明委托代理的具体权限期限和相关事项。</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质疑函范本格式在中国政府采购网站（http://www.ccgp.gov.cn/）自行下载。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接收质疑函的联系部门、联系电话和通讯地址同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公告。</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有下列情形之一的，属于无效质疑：</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（1）对采购文件提出质疑的质疑人不是依法获取采购文件的潜在供应商；对采购过程、成交结果提出质疑的不是参与本次政府采购项目的供应商；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（2）质疑人与质疑事项不存在利害关系的；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（3）未在法定期限内提出质疑的；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（4）质疑未以书面形式提出，以传真、电子邮件、移动通信等形式即时收悉提交的质疑材料；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（5）质疑未按质疑函范本格式提出的；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（6）未提交营业执照或法人证书复印件，由授权代表签名的，未提交授权委托书；</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（7）质疑书没有合法有效的签名、盖章的；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（8）以非法手段取得证据、材料的；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（9）质疑答复后，同一质疑人就同一事项再次提出质疑的；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（10）不符合法律、法规、规章和政府采购监管机构规定的其他条件的。</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采购代理机构或采购人将在收到书面质疑后7个工作日内做出答复，并以书面形式通知质疑人和其他有关供应商。</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 投诉</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质疑人对采购代理机构或采购人的答复不满意，或者采购人、采购代理机构未在规定时间内作出答复的，可以在答复期满后15个工作日内向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金台区财政局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（财政部门）提起投诉。</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投诉人为自然人的，应当由本人签名；投诉人为法人或者其他组织的，应当由法定代表人、主要负责人，或者其委托代理人签名或者盖章，并加盖单位章。</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投诉书范本格式在中国政府采购网站（http://www.ccgp.gov.cn/）自行下载。</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投诉人提起投诉应当符合下列条件：</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（1）提起投诉前已依法进行质疑；</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（2）投诉书内容符合财政部94号令的规定；</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（3）在投诉有效期限内提起投诉；</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（4）同一投诉事项未经财政部门投诉处理；</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（5）财政部规定的其他条件。</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投诉人投诉的事项不得超出已质疑事项的范围，但基于质疑答复内容提出的投诉事项除外。</w:t>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11.3恶意质疑、投诉的法律后果</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11.3.1对捏造事实、提供虚假材料进行质疑、投诉的行为将予以严肃处理：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11.3.2对捏造事实诬告陷害他人、诽谤他人的法律适用：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（2）《中华人民共和国刑法》第246条【侮辱罪、诽谤罪】以暴力或者其他方法公然侮辱他人或者捏造事实诽谤他人，情节严重的，处三年以下有期徒刑、拘役、管制或者剥夺政治权利。</w:t>
      </w:r>
    </w:p>
    <w:p>
      <w:pPr>
        <w:spacing w:before="240" w:beforeLines="10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w:t>
      </w:r>
    </w:p>
    <w:p>
      <w:pPr>
        <w:spacing w:before="120" w:beforeLines="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采购代理服务费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.1由成交供应商支付采购代理服务费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成交供应商在领取《成交通知书》之前，应向采购代理机构交纳采购代理服务费。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采购代理服务费</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pPr>
        <w:spacing w:line="360" w:lineRule="auto"/>
        <w:ind w:firstLine="482" w:firstLineChars="200"/>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after="120" w:afterLines="50" w:line="360" w:lineRule="auto"/>
        <w:jc w:val="center"/>
        <w:outlineLvl w:val="0"/>
        <w:rPr>
          <w:rFonts w:hint="eastAsia" w:ascii="宋体" w:hAnsi="宋体" w:eastAsia="宋体" w:cs="宋体"/>
          <w:b/>
          <w:color w:val="auto"/>
          <w:sz w:val="32"/>
          <w:szCs w:val="32"/>
          <w:highlight w:val="none"/>
        </w:rPr>
      </w:pPr>
      <w:bookmarkStart w:id="57" w:name="_Toc1142"/>
      <w:r>
        <w:rPr>
          <w:rFonts w:hint="eastAsia" w:ascii="宋体" w:hAnsi="宋体" w:eastAsia="宋体" w:cs="宋体"/>
          <w:b/>
          <w:color w:val="auto"/>
          <w:sz w:val="32"/>
          <w:szCs w:val="32"/>
          <w:highlight w:val="none"/>
        </w:rPr>
        <w:t>第三章 资格审查办法</w:t>
      </w:r>
      <w:bookmarkEnd w:id="57"/>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根据《中华人民共和国政府采购法》及其实施条例和财政部《政府采购竞争性磋商采购方式管理暂行办法》（财库〔2014〕214号）等法律法规的规定，结合采购项目特点，制定本资格审查办法。</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1.资格审查小组</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根据陕西省财政厅2022年9月30日发布的陕财办采【2022】9号文陕西省财政厅关于印发《政府采购项目电子化交易规则(试行)》通知的第二十六条，竞争性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，由采购人或采购人委托的采购代理机构或评审专家通过电子化交易平台进行资格审查。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资格审查小组，由</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小组担任，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小组组长担任资格审查小组组长。</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资格审查小组成立后，全体小组成员应当在签到表中签到。</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2.资格审查程序</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资格审查按下列程序进行：</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（1）供应商基本资格条件审查；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（2）供应商落实政府采购政策资格条件审查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（4）编写供应商资格审查报告</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3.资格审查方法和标准</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资格审查依据</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3.1.1 资格审查小组将依据供应商响应文件之资格证明文件，按照第二章第3.1条款所述资格要求对供应商进行资格审查，以确定其是否具备相应的资格条件。</w:t>
      </w:r>
      <w:r>
        <w:rPr>
          <w:rFonts w:hint="eastAsia" w:ascii="宋体" w:hAnsi="宋体" w:eastAsia="宋体" w:cs="宋体"/>
          <w:color w:val="auto"/>
          <w:kern w:val="0"/>
          <w:sz w:val="24"/>
          <w:szCs w:val="24"/>
          <w:highlight w:val="none"/>
        </w:rPr>
        <w:t>如果供应商不具备或者不满足</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文件所规定的资格条件,将视为未实质性响应</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spacing w:before="120" w:beforeLines="50" w:after="120" w:after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3.2供应商资格条件的审查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3.2.1 资格条件审查方法</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含基本资格和特定资格</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rPr>
        <w:t>供应商营业执照，不审查原件，通过国家企业信用信息公示系统进行相关信息的核实；</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3.2.2资格条件审查标准：</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（1）资格审查小组将按下表所列举的审查标准对供应商资格条件进行审查，供应商若有一项不合格，即判定其资格条件审查结果为不合格，</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tbl>
      <w:tblPr>
        <w:tblStyle w:val="30"/>
        <w:tblW w:w="8879" w:type="dxa"/>
        <w:tblInd w:w="3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659"/>
        <w:gridCol w:w="1020"/>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211" w:firstLineChars="100"/>
              <w:jc w:val="both"/>
              <w:textAlignment w:val="auto"/>
              <w:rPr>
                <w:rFonts w:hint="eastAsia" w:ascii="宋体" w:hAnsi="宋体" w:eastAsia="宋体" w:cs="宋体"/>
                <w:b/>
                <w:color w:val="auto"/>
                <w:kern w:val="0"/>
                <w:sz w:val="21"/>
                <w:szCs w:val="21"/>
                <w:highlight w:val="none"/>
              </w:rPr>
            </w:pPr>
            <w:bookmarkStart w:id="58" w:name="OLE_LINK8"/>
            <w:r>
              <w:rPr>
                <w:rFonts w:hint="eastAsia" w:ascii="宋体" w:hAnsi="宋体" w:eastAsia="宋体" w:cs="宋体"/>
                <w:b/>
                <w:color w:val="auto"/>
                <w:kern w:val="0"/>
                <w:sz w:val="21"/>
                <w:szCs w:val="21"/>
                <w:highlight w:val="none"/>
              </w:rPr>
              <w:t>序号</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标准</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521" w:leftChars="-3" w:hanging="527" w:hangingChars="25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主体资格证明</w:t>
            </w:r>
            <w:r>
              <w:rPr>
                <w:rFonts w:hint="eastAsia" w:ascii="宋体" w:hAnsi="宋体" w:eastAsia="宋体" w:cs="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highlight w:val="none"/>
              </w:rPr>
            </w:pPr>
            <w:bookmarkStart w:id="59" w:name="OLE_LINK10"/>
            <w:r>
              <w:rPr>
                <w:rFonts w:hint="eastAsia"/>
              </w:rPr>
              <w:t>具有独立承担民事责任能力的企业法人、事业法人或其他组织，提供三证合一的营业执照（事业单位须提供事业单位法人证、组织机构代码证等证明文件；其他组织应提供合法证明文件）；</w:t>
            </w:r>
            <w:bookmarkEnd w:id="59"/>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highlight w:val="none"/>
                <w:lang w:val="en-US" w:eastAsia="zh-CN"/>
              </w:rPr>
            </w:pPr>
            <w:bookmarkStart w:id="60" w:name="OLE_LINK11"/>
            <w:r>
              <w:rPr>
                <w:rFonts w:hint="eastAsia"/>
              </w:rPr>
              <w:t>供应商应授权合法的人员参加投标全过程，其中法定代表人直接参加投标的，须出具法人身份证明，并与营业执照上信息一致，法定代表人授权代表参加投标的，须出具法定代表人授权书及授权代表身份证明；</w:t>
            </w:r>
            <w:bookmarkEnd w:id="60"/>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519" w:leftChars="97" w:hanging="315" w:hangingChars="15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519" w:leftChars="-3" w:hanging="525" w:hanging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519" w:leftChars="-3" w:hanging="525" w:hangingChars="2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519" w:leftChars="-3" w:hanging="525" w:hangingChars="2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bookmarkStart w:id="61" w:name="OLE_LINK12"/>
            <w:r>
              <w:rPr>
                <w:rFonts w:hint="eastAsia"/>
              </w:rPr>
              <w:t>供应商须具备水利水电工程施工总承包三级及以上资质、具有建设行政主管部门颁发的安全生产许可证；</w:t>
            </w:r>
            <w:bookmarkEnd w:id="61"/>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cyan"/>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cyan"/>
                <w:lang w:val="en-US" w:eastAsia="zh-CN" w:bidi="ar-SA"/>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kern w:val="0"/>
                <w:sz w:val="21"/>
                <w:szCs w:val="21"/>
                <w:highlight w:val="none"/>
                <w:lang w:val="en-US" w:eastAsia="zh-CN"/>
              </w:rPr>
            </w:pPr>
            <w:bookmarkStart w:id="62" w:name="OLE_LINK13"/>
            <w:r>
              <w:rPr>
                <w:rFonts w:hint="eastAsia"/>
              </w:rPr>
              <w:t>拟委派项目经理须为本单位在职人员，具有水利水电工程二级（含二级）及以上注册建造师证书、具有有效的安全生产考核合格证，拟派项目经理在本单位2024年5月至今任意3个月职工养老保险缴纳证明，且无在建项目承诺。</w:t>
            </w:r>
            <w:bookmarkEnd w:id="62"/>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0"/>
                <w:sz w:val="21"/>
                <w:szCs w:val="21"/>
                <w:highlight w:val="none"/>
              </w:rPr>
            </w:pPr>
            <w:bookmarkStart w:id="63" w:name="OLE_LINK16"/>
            <w:r>
              <w:rPr>
                <w:rFonts w:hint="eastAsia" w:ascii="宋体" w:hAnsi="宋体" w:eastAsia="宋体" w:cs="宋体"/>
                <w:b/>
                <w:color w:val="auto"/>
                <w:kern w:val="0"/>
                <w:sz w:val="21"/>
                <w:szCs w:val="21"/>
                <w:highlight w:val="none"/>
              </w:rPr>
              <w:t>税收缴纳证明</w:t>
            </w:r>
            <w:bookmarkEnd w:id="63"/>
            <w:r>
              <w:rPr>
                <w:rFonts w:hint="eastAsia" w:ascii="宋体" w:hAnsi="宋体" w:eastAsia="宋体" w:cs="宋体"/>
                <w:b/>
                <w:color w:val="auto"/>
                <w:kern w:val="0"/>
                <w:sz w:val="21"/>
                <w:szCs w:val="21"/>
                <w:highlight w:val="none"/>
              </w:rPr>
              <w:t>：</w:t>
            </w:r>
          </w:p>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kern w:val="0"/>
                <w:sz w:val="21"/>
                <w:szCs w:val="21"/>
                <w:highlight w:val="none"/>
                <w:lang w:val="en-US" w:eastAsia="zh-CN"/>
              </w:rPr>
            </w:pPr>
            <w:bookmarkStart w:id="64" w:name="OLE_LINK17"/>
            <w:r>
              <w:rPr>
                <w:rFonts w:hint="eastAsia"/>
              </w:rPr>
              <w:t>提供2024年5月至今任意3个月的纳税证明或完税证明，纳税证明或完税证明上应有代收机构或税务机关的公章或业务专用章，依法免税的供应商应提供相关文件证明；</w:t>
            </w:r>
            <w:bookmarkEnd w:id="64"/>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sz w:val="21"/>
                <w:szCs w:val="21"/>
                <w:highlight w:val="none"/>
              </w:rPr>
            </w:pPr>
            <w:bookmarkStart w:id="65" w:name="OLE_LINK18"/>
            <w:r>
              <w:rPr>
                <w:rFonts w:hint="eastAsia" w:ascii="宋体" w:hAnsi="宋体" w:eastAsia="宋体" w:cs="宋体"/>
                <w:b/>
                <w:color w:val="auto"/>
                <w:sz w:val="21"/>
                <w:szCs w:val="21"/>
                <w:highlight w:val="none"/>
              </w:rPr>
              <w:t>社保资金缴纳证明</w:t>
            </w:r>
            <w:bookmarkEnd w:id="65"/>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66" w:name="OLE_LINK19"/>
            <w:r>
              <w:rPr>
                <w:rFonts w:hint="eastAsia"/>
              </w:rPr>
              <w:t>提供2024年5月至今任意3个月的社会保障资金缴存单据或社保机构开具的社会保险参保缴费情况证明，单据或证明上应有社保机构或收机构的公章或业务专用章。依法不需要缴纳社会保障资金的供应商应提供相关文件证明；</w:t>
            </w:r>
            <w:bookmarkEnd w:id="66"/>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bookmarkStart w:id="67" w:name="OLE_LINK20"/>
            <w:r>
              <w:rPr>
                <w:rFonts w:hint="eastAsia" w:ascii="宋体" w:hAnsi="宋体" w:eastAsia="宋体" w:cs="宋体"/>
                <w:b/>
                <w:bCs/>
                <w:color w:val="auto"/>
                <w:kern w:val="0"/>
                <w:sz w:val="21"/>
                <w:szCs w:val="21"/>
                <w:highlight w:val="none"/>
                <w:lang w:val="en-US" w:eastAsia="zh-CN"/>
              </w:rPr>
              <w:t>财务状况报告</w:t>
            </w:r>
            <w:bookmarkEnd w:id="67"/>
            <w:r>
              <w:rPr>
                <w:rFonts w:hint="eastAsia" w:ascii="宋体" w:hAnsi="宋体" w:eastAsia="宋体" w:cs="宋体"/>
                <w:color w:val="auto"/>
                <w:kern w:val="0"/>
                <w:sz w:val="21"/>
                <w:szCs w:val="21"/>
                <w:highlight w:val="none"/>
                <w:lang w:val="en-US" w:eastAsia="zh-CN"/>
              </w:rPr>
              <w:t>：</w:t>
            </w:r>
            <w:bookmarkStart w:id="68" w:name="OLE_LINK21"/>
            <w:r>
              <w:rPr>
                <w:rFonts w:hint="eastAsia"/>
              </w:rPr>
              <w:t>提供2023或2024年度的财务审计报告（成立时间至提交投标文件截止时间不足一年的可提供成立后任意时段的资产负债表）或开标前三个月内其基本存款账户开户银行出具的资信证明；</w:t>
            </w:r>
            <w:bookmarkEnd w:id="68"/>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宋体" w:hAnsi="宋体" w:eastAsia="宋体" w:cs="宋体"/>
                <w:color w:val="auto"/>
                <w:kern w:val="0"/>
                <w:sz w:val="21"/>
                <w:szCs w:val="21"/>
                <w:highlight w:val="none"/>
              </w:rPr>
            </w:pPr>
            <w:bookmarkStart w:id="69" w:name="OLE_LINK22"/>
            <w:r>
              <w:rPr>
                <w:rFonts w:hint="eastAsia"/>
              </w:rPr>
              <w:t>近三年无重大违法记录书面声明：参加本次采购活动前三年内，在经营活动中无重大违法记录的书面声明。</w:t>
            </w:r>
            <w:bookmarkEnd w:id="69"/>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70" w:name="OLE_LINK23"/>
            <w:r>
              <w:rPr>
                <w:rFonts w:hint="eastAsia"/>
              </w:rPr>
              <w:t>单位负责人为同一人或者存在直接控股、管理关系的不同供应商，不得参加同一合同项下的政府采购活动；</w:t>
            </w:r>
            <w:bookmarkEnd w:id="70"/>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rPr>
            </w:pPr>
            <w:bookmarkStart w:id="71" w:name="OLE_LINK7"/>
            <w:r>
              <w:rPr>
                <w:rFonts w:hint="eastAsia" w:ascii="宋体" w:hAnsi="宋体" w:eastAsia="宋体" w:cs="宋体"/>
                <w:color w:val="auto"/>
                <w:kern w:val="0"/>
                <w:sz w:val="21"/>
                <w:szCs w:val="21"/>
                <w:highlight w:val="none"/>
                <w:lang w:val="en-US" w:eastAsia="zh-CN"/>
              </w:rPr>
              <w:t>提供证明材料</w:t>
            </w:r>
            <w:bookmarkEnd w:id="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659" w:type="dxa"/>
            <w:noWrap w:val="0"/>
            <w:vAlign w:val="center"/>
          </w:tcPr>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bookmarkStart w:id="72" w:name="OLE_LINK24"/>
            <w:r>
              <w:rPr>
                <w:rFonts w:hint="eastAsia"/>
              </w:rPr>
              <w:t>信用记录：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bookmarkEnd w:id="72"/>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5659" w:type="dxa"/>
            <w:noWrap w:val="0"/>
            <w:vAlign w:val="center"/>
          </w:tcPr>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bidi="ar-SA"/>
              </w:rPr>
            </w:pPr>
            <w:bookmarkStart w:id="73" w:name="OLE_LINK25"/>
            <w:r>
              <w:rPr>
                <w:rFonts w:hint="eastAsia" w:ascii="Times New Roman" w:hAnsi="Times New Roman" w:eastAsia="宋体" w:cs="Times New Roman"/>
                <w:kern w:val="2"/>
                <w:sz w:val="21"/>
                <w:szCs w:val="24"/>
                <w:lang w:val="en-US" w:eastAsia="zh-CN" w:bidi="ar-SA"/>
              </w:rPr>
              <w:t xml:space="preserve">提供具有履行本合同所必需的设备和专业技术能力的承诺书； </w:t>
            </w:r>
            <w:bookmarkEnd w:id="73"/>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highlight w:val="none"/>
              </w:rPr>
            </w:pPr>
            <w:bookmarkStart w:id="74" w:name="OLE_LINK26"/>
            <w:r>
              <w:rPr>
                <w:rFonts w:hint="eastAsia" w:ascii="宋体" w:hAnsi="宋体" w:eastAsia="宋体" w:cs="宋体"/>
                <w:b/>
                <w:color w:val="auto"/>
                <w:kern w:val="0"/>
                <w:sz w:val="21"/>
                <w:szCs w:val="21"/>
                <w:highlight w:val="none"/>
              </w:rPr>
              <w:t>交纳</w:t>
            </w:r>
            <w:r>
              <w:rPr>
                <w:rFonts w:hint="eastAsia" w:ascii="宋体" w:hAnsi="宋体" w:eastAsia="宋体" w:cs="宋体"/>
                <w:b/>
                <w:color w:val="auto"/>
                <w:kern w:val="0"/>
                <w:sz w:val="21"/>
                <w:szCs w:val="21"/>
                <w:highlight w:val="none"/>
                <w:lang w:eastAsia="zh-CN"/>
              </w:rPr>
              <w:t>磋商</w:t>
            </w:r>
            <w:r>
              <w:rPr>
                <w:rFonts w:hint="eastAsia" w:ascii="宋体" w:hAnsi="宋体" w:eastAsia="宋体" w:cs="宋体"/>
                <w:b/>
                <w:color w:val="auto"/>
                <w:kern w:val="0"/>
                <w:sz w:val="21"/>
                <w:szCs w:val="21"/>
                <w:highlight w:val="none"/>
              </w:rPr>
              <w:t>保证金证明</w:t>
            </w:r>
            <w:bookmarkEnd w:id="74"/>
            <w:r>
              <w:rPr>
                <w:rFonts w:hint="eastAsia" w:ascii="宋体" w:hAnsi="宋体" w:eastAsia="宋体" w:cs="宋体"/>
                <w:b/>
                <w:color w:val="auto"/>
                <w:kern w:val="0"/>
                <w:sz w:val="21"/>
                <w:szCs w:val="21"/>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bookmarkStart w:id="75" w:name="OLE_LINK27"/>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保证金交纳凭证</w:t>
            </w:r>
            <w:bookmarkEnd w:id="75"/>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56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highlight w:val="none"/>
              </w:rPr>
            </w:pPr>
            <w:bookmarkStart w:id="76" w:name="OLE_LINK28"/>
            <w:r>
              <w:rPr>
                <w:rFonts w:hint="eastAsia"/>
                <w:lang w:val="en-US" w:eastAsia="zh-Hans"/>
              </w:rPr>
              <w:t>本项目不接受联合体投标（提供承诺书）。</w:t>
            </w:r>
            <w:bookmarkEnd w:id="76"/>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p>
        </w:tc>
      </w:tr>
      <w:bookmarkEnd w:id="58"/>
    </w:tbl>
    <w:p>
      <w:pPr>
        <w:spacing w:before="360" w:beforeLines="150" w:after="120" w:afterLines="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3.3供应商落实政府采购政策资格条件审查</w:t>
      </w:r>
    </w:p>
    <w:p>
      <w:pPr>
        <w:tabs>
          <w:tab w:val="left" w:pos="0"/>
        </w:tabs>
        <w:adjustRightInd w:val="0"/>
        <w:snapToGrid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3.3.1供应商落实政府采购政策资格条件审查方法：</w:t>
      </w:r>
    </w:p>
    <w:p>
      <w:pPr>
        <w:spacing w:before="120" w:beforeLines="50" w:after="120" w:afterLines="50" w:line="240" w:lineRule="auto"/>
        <w:ind w:firstLine="723" w:firstLineChars="300"/>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本项目专门面向中小企业采购，供应商应当为中小企业（含残疾人福利性单位）</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（1）审查供应商提供的《中小企业声明函》或者《残疾人福利性单位声明函》盖章证明文件。</w:t>
      </w:r>
    </w:p>
    <w:p>
      <w:pPr>
        <w:pStyle w:val="2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提供的《中小企业声明函》或者《残疾人福利性单位声明函》存在明显错误的，资格审查小组可以按照第四章第1.3条款的规定，要求供应商作出澄清；澄清后，符合中小企业条件的，予以通过资格审查；否则，不予通过资格审查，</w:t>
      </w:r>
      <w:r>
        <w:rPr>
          <w:rFonts w:hint="eastAsia" w:ascii="宋体" w:hAnsi="宋体" w:eastAsia="宋体" w:cs="宋体"/>
          <w:b/>
          <w:bCs/>
          <w:color w:val="auto"/>
          <w:kern w:val="0"/>
          <w:sz w:val="24"/>
          <w:szCs w:val="24"/>
          <w:highlight w:val="none"/>
          <w:lang w:val="en-US" w:eastAsia="zh-CN" w:bidi="ar-SA"/>
        </w:rPr>
        <w:t>其响应文件无效。</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3.3.2供应商落实政府采购政策资格条件审查标准：</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（1）供应商未提供《中小企业声明函》或者《残疾人福利性单位声明函》盖章证明文件的，即判定其不满足资格条件要求，资格不予审查通过，</w:t>
      </w:r>
      <w:r>
        <w:rPr>
          <w:rFonts w:hint="eastAsia" w:ascii="宋体" w:hAnsi="宋体" w:eastAsia="宋体" w:cs="宋体"/>
          <w:b/>
          <w:bCs/>
          <w:color w:val="auto"/>
          <w:kern w:val="0"/>
          <w:sz w:val="24"/>
          <w:szCs w:val="24"/>
          <w:highlight w:val="none"/>
          <w:lang w:val="en-US" w:eastAsia="zh-CN" w:bidi="ar-SA"/>
        </w:rPr>
        <w:t>其响应文件无效</w:t>
      </w:r>
      <w:r>
        <w:rPr>
          <w:rFonts w:hint="eastAsia" w:ascii="宋体" w:hAnsi="宋体" w:eastAsia="宋体" w:cs="宋体"/>
          <w:color w:val="auto"/>
          <w:kern w:val="0"/>
          <w:sz w:val="24"/>
          <w:szCs w:val="24"/>
          <w:highlight w:val="none"/>
          <w:lang w:val="en-US" w:eastAsia="zh-CN" w:bidi="ar-SA"/>
        </w:rPr>
        <w:t>。</w:t>
      </w:r>
    </w:p>
    <w:p>
      <w:pPr>
        <w:pStyle w:val="2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（2）供应商提供《残疾人福利性单位声明函》的，存在不符合残疾人福利性单位政策条件情形的，资格不予审查通过，</w:t>
      </w:r>
      <w:r>
        <w:rPr>
          <w:rFonts w:hint="eastAsia" w:ascii="宋体" w:hAnsi="宋体" w:eastAsia="宋体" w:cs="宋体"/>
          <w:b/>
          <w:bCs/>
          <w:color w:val="auto"/>
          <w:kern w:val="0"/>
          <w:sz w:val="24"/>
          <w:szCs w:val="24"/>
          <w:highlight w:val="none"/>
          <w:lang w:val="en-US" w:eastAsia="zh-CN" w:bidi="ar-SA"/>
        </w:rPr>
        <w:t>其响应文件无效</w:t>
      </w:r>
      <w:r>
        <w:rPr>
          <w:rFonts w:hint="eastAsia" w:ascii="宋体" w:hAnsi="宋体" w:eastAsia="宋体" w:cs="宋体"/>
          <w:color w:val="auto"/>
          <w:kern w:val="0"/>
          <w:sz w:val="24"/>
          <w:szCs w:val="24"/>
          <w:highlight w:val="none"/>
          <w:lang w:val="en-US" w:eastAsia="zh-CN" w:bidi="ar-SA"/>
        </w:rPr>
        <w:t>。</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3.4资格审查小组将依据供应商响应文件之资格证明文件和通过国家企业信用信息公示系统（http://www.gsxt.gov.cn/index.html）对供应商之间存在隶属关系或者其他利害关系进行相关信息的核实。</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（1）供应商存在第二章第1.3.2条列举情形之一的，审查不予通过，即判定其限定资格条件审查结果为不合格，其响应文件无效。</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资格审查报告由资格审查小组负责编制，以采购代理机构名义向采购人提交，其附表《供应商资格审查表》应当经资格审查小组全体成员签名确认。资格审查报告经采购人盖章确认后随采购文件一并存档。</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p>
    <w:p>
      <w:pPr>
        <w:tabs>
          <w:tab w:val="left" w:pos="0"/>
        </w:tabs>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sz w:val="24"/>
          <w:szCs w:val="24"/>
          <w:highlight w:val="none"/>
        </w:rPr>
        <w:t>未通过资格审查的供应商，不得进入后续</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、评审环节。</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360" w:lineRule="auto"/>
        <w:ind w:left="0" w:leftChars="0" w:firstLine="0" w:firstLineChars="0"/>
        <w:jc w:val="center"/>
        <w:outlineLvl w:val="0"/>
        <w:rPr>
          <w:rFonts w:hint="eastAsia" w:ascii="宋体" w:hAnsi="宋体" w:eastAsia="宋体" w:cs="宋体"/>
          <w:b/>
          <w:color w:val="auto"/>
          <w:sz w:val="24"/>
          <w:szCs w:val="24"/>
          <w:highlight w:val="none"/>
        </w:rPr>
      </w:pPr>
      <w:bookmarkStart w:id="77" w:name="_Toc1049"/>
      <w:r>
        <w:rPr>
          <w:rFonts w:hint="eastAsia" w:ascii="宋体" w:hAnsi="宋体" w:eastAsia="宋体" w:cs="宋体"/>
          <w:b/>
          <w:color w:val="auto"/>
          <w:sz w:val="24"/>
          <w:szCs w:val="24"/>
          <w:highlight w:val="none"/>
        </w:rPr>
        <w:t xml:space="preserve">第四章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办法</w:t>
      </w:r>
      <w:bookmarkEnd w:id="7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根据《中华人民共和国政府采购法》及其实施条例和《政府采购竞争性磋商采购方式管理暂行办法》（财政部财库[2014]21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号）等法律法规的规定，结合采购项目特点，制定本磋商办法。</w:t>
      </w:r>
    </w:p>
    <w:p>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w:t>
      </w:r>
    </w:p>
    <w:p>
      <w:pPr>
        <w:spacing w:before="120" w:beforeLines="50" w:after="120" w:afterLines="5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 xml:space="preserve">1.1 </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按下列程序进行：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（1）响应文件响应文件符合性审查；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（2）响应文件的澄清；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（3）磋商（包括技术磋商、商务磋商、提交最后报价）；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（4）响应文件详细评审；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（5）复核与核对评审结果；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（6）确定成交候选人名单；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（7）编写评审报告。</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响应文件符合性审查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小组依法对通过资格条件审查的供应商响应文件进行符合性审查。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小组从响应文件的有效性、完整性和对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文件的响应程度进行审查，以确定其是否对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文件实质性要求作出响应，有无恶意串通行为。</w:t>
      </w:r>
    </w:p>
    <w:p>
      <w:pPr>
        <w:tabs>
          <w:tab w:val="left" w:pos="0"/>
        </w:tabs>
        <w:adjustRightInd w:val="0"/>
        <w:snapToGrid w:val="0"/>
        <w:spacing w:after="120" w:afterLines="5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1.2.2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小组将按下列评审标准对供应商的响应文件进行符合性审查，</w:t>
      </w:r>
      <w:r>
        <w:rPr>
          <w:rFonts w:hint="eastAsia" w:ascii="宋体" w:hAnsi="宋体" w:eastAsia="宋体" w:cs="宋体"/>
          <w:bCs/>
          <w:color w:val="auto"/>
          <w:sz w:val="24"/>
          <w:szCs w:val="24"/>
          <w:highlight w:val="none"/>
        </w:rPr>
        <w:t>供应商若</w:t>
      </w:r>
      <w:r>
        <w:rPr>
          <w:rFonts w:hint="eastAsia" w:ascii="宋体" w:hAnsi="宋体" w:eastAsia="宋体" w:cs="宋体"/>
          <w:color w:val="auto"/>
          <w:kern w:val="0"/>
          <w:sz w:val="24"/>
          <w:szCs w:val="24"/>
          <w:highlight w:val="none"/>
        </w:rPr>
        <w:t>有一项不合格，即判定其符合性审查结果为不合格，将不具备</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资格，</w:t>
      </w:r>
      <w:r>
        <w:rPr>
          <w:rFonts w:hint="eastAsia" w:ascii="宋体" w:hAnsi="宋体" w:eastAsia="宋体" w:cs="宋体"/>
          <w:b/>
          <w:color w:val="auto"/>
          <w:kern w:val="0"/>
          <w:sz w:val="24"/>
          <w:szCs w:val="24"/>
          <w:highlight w:val="none"/>
        </w:rPr>
        <w:t>其响应文件无效</w:t>
      </w:r>
      <w:r>
        <w:rPr>
          <w:rFonts w:hint="eastAsia" w:ascii="宋体" w:hAnsi="宋体" w:eastAsia="宋体" w:cs="宋体"/>
          <w:color w:val="auto"/>
          <w:kern w:val="0"/>
          <w:sz w:val="24"/>
          <w:szCs w:val="24"/>
          <w:highlight w:val="none"/>
        </w:rPr>
        <w:t>。</w:t>
      </w: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61"/>
        <w:gridCol w:w="3354"/>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50" w:type="dxa"/>
            <w:noWrap w:val="0"/>
            <w:vAlign w:val="center"/>
          </w:tcPr>
          <w:p>
            <w:pPr>
              <w:tabs>
                <w:tab w:val="left" w:pos="0"/>
              </w:tabs>
              <w:adjustRightInd w:val="0"/>
              <w:snapToGrid w:val="0"/>
              <w:ind w:left="0" w:leftChars="0" w:firstLine="0" w:firstLineChars="0"/>
              <w:jc w:val="both"/>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4215" w:type="dxa"/>
            <w:gridSpan w:val="2"/>
            <w:noWrap w:val="0"/>
            <w:vAlign w:val="center"/>
          </w:tcPr>
          <w:p>
            <w:pPr>
              <w:tabs>
                <w:tab w:val="left" w:pos="0"/>
              </w:tabs>
              <w:adjustRightInd w:val="0"/>
              <w:snapToGrid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评审因素</w:t>
            </w:r>
          </w:p>
        </w:tc>
        <w:tc>
          <w:tcPr>
            <w:tcW w:w="4393" w:type="dxa"/>
            <w:noWrap w:val="0"/>
            <w:vAlign w:val="center"/>
          </w:tcPr>
          <w:p>
            <w:pPr>
              <w:tabs>
                <w:tab w:val="left" w:pos="0"/>
              </w:tabs>
              <w:adjustRightInd w:val="0"/>
              <w:snapToGrid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50" w:type="dxa"/>
            <w:vMerge w:val="restart"/>
            <w:noWrap w:val="0"/>
            <w:vAlign w:val="center"/>
          </w:tcPr>
          <w:p>
            <w:pPr>
              <w:tabs>
                <w:tab w:val="left" w:pos="0"/>
              </w:tabs>
              <w:adjustRightInd w:val="0"/>
              <w:snapToGrid w:val="0"/>
              <w:spacing w:line="360" w:lineRule="auto"/>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861" w:type="dxa"/>
            <w:vMerge w:val="restart"/>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有效性审查</w:t>
            </w: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78" w:name="OLE_LINK29"/>
            <w:r>
              <w:rPr>
                <w:rFonts w:hint="eastAsia" w:ascii="宋体" w:hAnsi="宋体" w:eastAsia="宋体" w:cs="宋体"/>
                <w:color w:val="000000"/>
                <w:sz w:val="21"/>
                <w:szCs w:val="21"/>
                <w:highlight w:val="none"/>
              </w:rPr>
              <w:t>（1）响应文件的签署盖章</w:t>
            </w:r>
            <w:bookmarkEnd w:id="78"/>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79" w:name="OLE_LINK31"/>
            <w:r>
              <w:rPr>
                <w:rFonts w:hint="eastAsia" w:ascii="宋体" w:hAnsi="宋体" w:eastAsia="宋体" w:cs="宋体"/>
                <w:color w:val="000000"/>
                <w:sz w:val="21"/>
                <w:szCs w:val="21"/>
                <w:highlight w:val="none"/>
              </w:rPr>
              <w:t>符合第二章“供应商须知”第4.6条款的规定</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0" w:type="dxa"/>
            <w:vMerge w:val="continue"/>
            <w:noWrap w:val="0"/>
            <w:vAlign w:val="top"/>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80" w:name="OLE_LINK32"/>
            <w:r>
              <w:rPr>
                <w:rFonts w:hint="eastAsia" w:ascii="宋体" w:hAnsi="宋体" w:eastAsia="宋体" w:cs="宋体"/>
                <w:color w:val="000000"/>
                <w:sz w:val="21"/>
                <w:szCs w:val="21"/>
                <w:highlight w:val="none"/>
              </w:rPr>
              <w:t>（2）响应文件格式</w:t>
            </w:r>
            <w:bookmarkEnd w:id="80"/>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81" w:name="OLE_LINK33"/>
            <w:r>
              <w:rPr>
                <w:rFonts w:hint="eastAsia" w:ascii="宋体" w:hAnsi="宋体" w:eastAsia="宋体" w:cs="宋体"/>
                <w:color w:val="000000"/>
                <w:sz w:val="21"/>
                <w:szCs w:val="21"/>
                <w:highlight w:val="none"/>
              </w:rPr>
              <w:t>符合第七章“响应文件格式”的规定</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50" w:type="dxa"/>
            <w:vMerge w:val="continue"/>
            <w:noWrap w:val="0"/>
            <w:vAlign w:val="top"/>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82" w:name="OLE_LINK34"/>
            <w:r>
              <w:rPr>
                <w:rFonts w:hint="eastAsia" w:ascii="宋体" w:hAnsi="宋体" w:eastAsia="宋体" w:cs="宋体"/>
                <w:color w:val="000000"/>
                <w:sz w:val="21"/>
                <w:szCs w:val="21"/>
                <w:highlight w:val="none"/>
              </w:rPr>
              <w:t>（3）报价唯一</w:t>
            </w:r>
            <w:bookmarkEnd w:id="82"/>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83" w:name="OLE_LINK35"/>
            <w:r>
              <w:rPr>
                <w:rFonts w:hint="eastAsia" w:ascii="宋体" w:hAnsi="宋体" w:eastAsia="宋体" w:cs="宋体"/>
                <w:color w:val="000000"/>
                <w:sz w:val="21"/>
                <w:szCs w:val="21"/>
                <w:highlight w:val="none"/>
              </w:rPr>
              <w:t>只能有一个有效报价，不得提交选择性报价，且报价不超过第二章“供应商须知”前附表规定的采购预算金额或最高限价</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0" w:type="dxa"/>
            <w:vMerge w:val="continue"/>
            <w:noWrap w:val="0"/>
            <w:vAlign w:val="top"/>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000000"/>
                <w:sz w:val="21"/>
                <w:szCs w:val="21"/>
                <w:highlight w:val="none"/>
              </w:rPr>
            </w:pPr>
            <w:bookmarkStart w:id="84" w:name="OLE_LINK37"/>
            <w:r>
              <w:rPr>
                <w:rFonts w:hint="eastAsia" w:ascii="宋体" w:hAnsi="宋体" w:eastAsia="宋体" w:cs="宋体"/>
                <w:color w:val="auto"/>
                <w:sz w:val="21"/>
                <w:szCs w:val="21"/>
                <w:highlight w:val="none"/>
              </w:rPr>
              <w:t>（4）电子文件解密</w:t>
            </w:r>
            <w:bookmarkEnd w:id="84"/>
          </w:p>
        </w:tc>
        <w:tc>
          <w:tcPr>
            <w:tcW w:w="4393"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000000"/>
                <w:sz w:val="21"/>
                <w:szCs w:val="21"/>
                <w:highlight w:val="none"/>
              </w:rPr>
            </w:pPr>
            <w:bookmarkStart w:id="85" w:name="OLE_LINK38"/>
            <w:r>
              <w:rPr>
                <w:rFonts w:hint="eastAsia" w:ascii="宋体" w:hAnsi="宋体" w:eastAsia="宋体" w:cs="宋体"/>
                <w:color w:val="auto"/>
                <w:sz w:val="21"/>
                <w:szCs w:val="21"/>
                <w:highlight w:val="none"/>
              </w:rPr>
              <w:t>不存在第二章“供应商须知”第6.2.3条款规定的任何一种情形</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0" w:type="dxa"/>
            <w:vMerge w:val="continue"/>
            <w:noWrap w:val="0"/>
            <w:vAlign w:val="top"/>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86" w:name="OLE_LINK39"/>
            <w:r>
              <w:rPr>
                <w:rFonts w:hint="eastAsia" w:ascii="宋体" w:hAnsi="宋体" w:eastAsia="宋体" w:cs="宋体"/>
                <w:color w:val="000000"/>
                <w:sz w:val="21"/>
                <w:szCs w:val="21"/>
                <w:highlight w:val="none"/>
              </w:rPr>
              <w:t>（5）附加条件</w:t>
            </w:r>
            <w:bookmarkEnd w:id="86"/>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87" w:name="OLE_LINK40"/>
            <w:r>
              <w:rPr>
                <w:rFonts w:hint="eastAsia" w:ascii="宋体" w:hAnsi="宋体" w:eastAsia="宋体" w:cs="宋体"/>
                <w:color w:val="000000"/>
                <w:sz w:val="21"/>
                <w:szCs w:val="21"/>
                <w:highlight w:val="none"/>
              </w:rPr>
              <w:t>响应文件未含有采购人不能接受的附加条件</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0" w:type="dxa"/>
            <w:vMerge w:val="continue"/>
            <w:noWrap w:val="0"/>
            <w:vAlign w:val="center"/>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88" w:name="OLE_LINK41"/>
            <w:r>
              <w:rPr>
                <w:rFonts w:hint="eastAsia" w:ascii="宋体" w:hAnsi="宋体" w:eastAsia="宋体" w:cs="宋体"/>
                <w:color w:val="000000"/>
                <w:sz w:val="21"/>
                <w:szCs w:val="21"/>
                <w:highlight w:val="none"/>
              </w:rPr>
              <w:t>（6）不存在恶意串通的情形</w:t>
            </w:r>
            <w:bookmarkEnd w:id="88"/>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89" w:name="OLE_LINK42"/>
            <w:r>
              <w:rPr>
                <w:rFonts w:hint="eastAsia" w:ascii="宋体" w:hAnsi="宋体" w:eastAsia="宋体" w:cs="宋体"/>
                <w:color w:val="000000"/>
                <w:sz w:val="21"/>
                <w:szCs w:val="21"/>
                <w:highlight w:val="none"/>
              </w:rPr>
              <w:t>不存在本章第1.2.3条款规定的任何一种情形</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50" w:type="dxa"/>
            <w:vMerge w:val="restart"/>
            <w:noWrap w:val="0"/>
            <w:vAlign w:val="center"/>
          </w:tcPr>
          <w:p>
            <w:pPr>
              <w:tabs>
                <w:tab w:val="left" w:pos="0"/>
              </w:tabs>
              <w:adjustRightInd w:val="0"/>
              <w:snapToGrid w:val="0"/>
              <w:spacing w:line="360" w:lineRule="auto"/>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861" w:type="dxa"/>
            <w:vMerge w:val="restart"/>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3354"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000000"/>
                <w:sz w:val="21"/>
                <w:szCs w:val="21"/>
                <w:highlight w:val="none"/>
              </w:rPr>
            </w:pPr>
            <w:bookmarkStart w:id="90" w:name="OLE_LINK43"/>
            <w:r>
              <w:rPr>
                <w:rFonts w:hint="eastAsia" w:ascii="宋体" w:hAnsi="宋体" w:eastAsia="宋体" w:cs="宋体"/>
                <w:color w:val="auto"/>
                <w:sz w:val="21"/>
                <w:szCs w:val="21"/>
                <w:highlight w:val="none"/>
              </w:rPr>
              <w:t>（7）响应文件份数</w:t>
            </w:r>
            <w:bookmarkEnd w:id="90"/>
          </w:p>
        </w:tc>
        <w:tc>
          <w:tcPr>
            <w:tcW w:w="4393"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000000"/>
                <w:sz w:val="21"/>
                <w:szCs w:val="21"/>
                <w:highlight w:val="none"/>
              </w:rPr>
            </w:pPr>
            <w:bookmarkStart w:id="91" w:name="OLE_LINK44"/>
            <w:r>
              <w:rPr>
                <w:rFonts w:hint="eastAsia" w:ascii="宋体" w:hAnsi="宋体" w:eastAsia="宋体" w:cs="宋体"/>
                <w:color w:val="auto"/>
                <w:sz w:val="21"/>
                <w:szCs w:val="21"/>
                <w:highlight w:val="none"/>
              </w:rPr>
              <w:t>符合第二章“供应商须知”第</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条款的规定</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50" w:type="dxa"/>
            <w:vMerge w:val="continue"/>
            <w:noWrap w:val="0"/>
            <w:vAlign w:val="top"/>
          </w:tcPr>
          <w:p>
            <w:pPr>
              <w:tabs>
                <w:tab w:val="left" w:pos="0"/>
              </w:tabs>
              <w:adjustRightInd w:val="0"/>
              <w:snapToGrid w:val="0"/>
              <w:spacing w:line="360" w:lineRule="auto"/>
              <w:jc w:val="center"/>
              <w:rPr>
                <w:rFonts w:hint="eastAsia" w:ascii="宋体" w:hAnsi="宋体" w:eastAsia="宋体" w:cs="宋体"/>
                <w:color w:val="000000"/>
                <w:szCs w:val="21"/>
                <w:highlight w:val="none"/>
              </w:rPr>
            </w:pPr>
          </w:p>
        </w:tc>
        <w:tc>
          <w:tcPr>
            <w:tcW w:w="861"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92" w:name="OLE_LINK45"/>
            <w:r>
              <w:rPr>
                <w:rFonts w:hint="eastAsia" w:ascii="宋体" w:hAnsi="宋体" w:eastAsia="宋体" w:cs="宋体"/>
                <w:color w:val="000000"/>
                <w:sz w:val="21"/>
                <w:szCs w:val="21"/>
                <w:highlight w:val="none"/>
              </w:rPr>
              <w:t>（8）响应内容</w:t>
            </w:r>
            <w:bookmarkEnd w:id="92"/>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93" w:name="OLE_LINK46"/>
            <w:r>
              <w:rPr>
                <w:rFonts w:hint="eastAsia" w:ascii="宋体" w:hAnsi="宋体" w:eastAsia="宋体" w:cs="宋体"/>
                <w:color w:val="000000"/>
                <w:sz w:val="21"/>
                <w:szCs w:val="21"/>
                <w:highlight w:val="none"/>
              </w:rPr>
              <w:t>符合第五章“采购需求”规定的施工范围</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0" w:type="dxa"/>
            <w:vMerge w:val="restart"/>
            <w:noWrap w:val="0"/>
            <w:vAlign w:val="center"/>
          </w:tcPr>
          <w:p>
            <w:pPr>
              <w:tabs>
                <w:tab w:val="left" w:pos="0"/>
              </w:tabs>
              <w:adjustRightInd w:val="0"/>
              <w:snapToGrid w:val="0"/>
              <w:spacing w:line="360" w:lineRule="auto"/>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861" w:type="dxa"/>
            <w:vMerge w:val="restart"/>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响应性审查</w:t>
            </w: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94" w:name="OLE_LINK47"/>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）对磋商文件响应程度</w:t>
            </w:r>
            <w:bookmarkEnd w:id="94"/>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95" w:name="OLE_LINK48"/>
            <w:r>
              <w:rPr>
                <w:rFonts w:hint="eastAsia" w:ascii="宋体" w:hAnsi="宋体" w:eastAsia="宋体" w:cs="宋体"/>
                <w:color w:val="000000"/>
                <w:sz w:val="21"/>
                <w:szCs w:val="21"/>
                <w:highlight w:val="none"/>
              </w:rPr>
              <w:t>符合磋商文件实质性要求的规定</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lang w:eastAsia="zh-CN"/>
              </w:rPr>
            </w:pPr>
            <w:bookmarkStart w:id="96" w:name="OLE_LINK49"/>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）工期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合同履行期</w:t>
            </w:r>
            <w:r>
              <w:rPr>
                <w:rFonts w:hint="eastAsia" w:ascii="宋体" w:hAnsi="宋体" w:eastAsia="宋体" w:cs="宋体"/>
                <w:color w:val="000000"/>
                <w:sz w:val="21"/>
                <w:szCs w:val="21"/>
                <w:highlight w:val="none"/>
                <w:lang w:eastAsia="zh-CN"/>
              </w:rPr>
              <w:t>）</w:t>
            </w:r>
            <w:bookmarkEnd w:id="96"/>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97" w:name="OLE_LINK50"/>
            <w:r>
              <w:rPr>
                <w:rFonts w:hint="eastAsia" w:ascii="宋体" w:hAnsi="宋体" w:eastAsia="宋体" w:cs="宋体"/>
                <w:color w:val="000000"/>
                <w:sz w:val="21"/>
                <w:szCs w:val="21"/>
                <w:highlight w:val="none"/>
              </w:rPr>
              <w:t>符合第五章“采购需求”的规定</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98" w:name="OLE_LINK51"/>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）工程质量</w:t>
            </w:r>
            <w:bookmarkEnd w:id="98"/>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99" w:name="OLE_LINK52"/>
            <w:r>
              <w:rPr>
                <w:rFonts w:hint="eastAsia" w:ascii="宋体" w:hAnsi="宋体" w:eastAsia="宋体" w:cs="宋体"/>
                <w:color w:val="000000"/>
                <w:sz w:val="21"/>
                <w:szCs w:val="21"/>
                <w:highlight w:val="none"/>
              </w:rPr>
              <w:t>符合第五章“采购需求”的规定</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100" w:name="OLE_LINK53"/>
            <w:r>
              <w:rPr>
                <w:rFonts w:hint="eastAsia" w:ascii="宋体" w:hAnsi="宋体" w:eastAsia="宋体" w:cs="宋体"/>
                <w:color w:val="000000"/>
                <w:sz w:val="21"/>
                <w:szCs w:val="21"/>
                <w:highlight w:val="none"/>
              </w:rPr>
              <w:t>（12）磋商有效期</w:t>
            </w:r>
            <w:bookmarkEnd w:id="100"/>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101" w:name="OLE_LINK54"/>
            <w:r>
              <w:rPr>
                <w:rFonts w:hint="eastAsia" w:ascii="宋体" w:hAnsi="宋体" w:eastAsia="宋体" w:cs="宋体"/>
                <w:color w:val="000000"/>
                <w:sz w:val="21"/>
                <w:szCs w:val="21"/>
                <w:highlight w:val="none"/>
              </w:rPr>
              <w:t>符合第二章“供应商须知”第4.4.1条款的规定</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102" w:name="OLE_LINK55"/>
            <w:r>
              <w:rPr>
                <w:rFonts w:hint="eastAsia" w:ascii="宋体" w:hAnsi="宋体" w:eastAsia="宋体" w:cs="宋体"/>
                <w:color w:val="000000"/>
                <w:sz w:val="21"/>
                <w:szCs w:val="21"/>
                <w:highlight w:val="none"/>
              </w:rPr>
              <w:t>（13）技术标准和要求</w:t>
            </w:r>
            <w:bookmarkEnd w:id="102"/>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103" w:name="OLE_LINK56"/>
            <w:r>
              <w:rPr>
                <w:rFonts w:hint="eastAsia" w:ascii="宋体" w:hAnsi="宋体" w:eastAsia="宋体" w:cs="宋体"/>
                <w:color w:val="000000"/>
                <w:sz w:val="21"/>
                <w:szCs w:val="21"/>
                <w:highlight w:val="none"/>
              </w:rPr>
              <w:t>符合第五章“采购需求”的规定</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lang w:eastAsia="zh-CN"/>
              </w:rPr>
            </w:pPr>
            <w:bookmarkStart w:id="104" w:name="OLE_LINK57"/>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lang w:eastAsia="zh-CN"/>
              </w:rPr>
              <w:t>已标价工程量清单</w:t>
            </w:r>
            <w:bookmarkEnd w:id="104"/>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105" w:name="OLE_LINK58"/>
            <w:r>
              <w:rPr>
                <w:rFonts w:hint="eastAsia" w:ascii="宋体" w:hAnsi="宋体" w:eastAsia="宋体" w:cs="宋体"/>
                <w:color w:val="000000"/>
                <w:sz w:val="21"/>
                <w:szCs w:val="21"/>
                <w:highlight w:val="none"/>
              </w:rPr>
              <w:t>符合磋商文件给出的范围和数量</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50" w:type="dxa"/>
            <w:vMerge w:val="continue"/>
            <w:noWrap w:val="0"/>
            <w:vAlign w:val="top"/>
          </w:tcPr>
          <w:p>
            <w:pPr>
              <w:tabs>
                <w:tab w:val="left" w:pos="0"/>
              </w:tabs>
              <w:adjustRightInd w:val="0"/>
              <w:snapToGrid w:val="0"/>
              <w:spacing w:line="360" w:lineRule="auto"/>
              <w:rPr>
                <w:rFonts w:hint="eastAsia" w:ascii="宋体" w:hAnsi="宋体" w:eastAsia="宋体" w:cs="宋体"/>
                <w:color w:val="000000"/>
                <w:szCs w:val="21"/>
                <w:highlight w:val="none"/>
              </w:rPr>
            </w:pPr>
          </w:p>
        </w:tc>
        <w:tc>
          <w:tcPr>
            <w:tcW w:w="861" w:type="dxa"/>
            <w:vMerge w:val="continue"/>
            <w:noWrap w:val="0"/>
            <w:vAlign w:val="top"/>
          </w:tcPr>
          <w:p>
            <w:pPr>
              <w:tabs>
                <w:tab w:val="left" w:pos="0"/>
              </w:tabs>
              <w:adjustRightInd w:val="0"/>
              <w:snapToGrid w:val="0"/>
              <w:spacing w:line="360" w:lineRule="auto"/>
              <w:rPr>
                <w:rFonts w:hint="eastAsia" w:ascii="宋体" w:hAnsi="宋体" w:eastAsia="宋体" w:cs="宋体"/>
                <w:color w:val="000000"/>
                <w:sz w:val="18"/>
                <w:szCs w:val="18"/>
                <w:highlight w:val="none"/>
              </w:rPr>
            </w:pPr>
          </w:p>
        </w:tc>
        <w:tc>
          <w:tcPr>
            <w:tcW w:w="3354" w:type="dxa"/>
            <w:noWrap w:val="0"/>
            <w:vAlign w:val="center"/>
          </w:tcPr>
          <w:p>
            <w:pPr>
              <w:tabs>
                <w:tab w:val="left" w:pos="0"/>
              </w:tabs>
              <w:adjustRightInd w:val="0"/>
              <w:snapToGrid w:val="0"/>
              <w:ind w:left="0" w:leftChars="0" w:firstLine="0" w:firstLineChars="0"/>
              <w:rPr>
                <w:rFonts w:hint="eastAsia" w:ascii="宋体" w:hAnsi="宋体" w:eastAsia="宋体" w:cs="宋体"/>
                <w:color w:val="000000"/>
                <w:sz w:val="21"/>
                <w:szCs w:val="21"/>
                <w:highlight w:val="none"/>
              </w:rPr>
            </w:pPr>
            <w:bookmarkStart w:id="106" w:name="OLE_LINK59"/>
            <w:r>
              <w:rPr>
                <w:rFonts w:hint="eastAsia" w:ascii="宋体" w:hAnsi="宋体" w:eastAsia="宋体" w:cs="宋体"/>
                <w:color w:val="000000"/>
                <w:sz w:val="21"/>
                <w:szCs w:val="21"/>
                <w:highlight w:val="none"/>
              </w:rPr>
              <w:t>（15）权利义务</w:t>
            </w:r>
            <w:bookmarkEnd w:id="106"/>
          </w:p>
        </w:tc>
        <w:tc>
          <w:tcPr>
            <w:tcW w:w="4393" w:type="dxa"/>
            <w:noWrap w:val="0"/>
            <w:vAlign w:val="center"/>
          </w:tcPr>
          <w:p>
            <w:pPr>
              <w:tabs>
                <w:tab w:val="left" w:pos="0"/>
              </w:tabs>
              <w:adjustRightInd w:val="0"/>
              <w:snapToGrid w:val="0"/>
              <w:spacing w:line="240" w:lineRule="auto"/>
              <w:ind w:left="0" w:leftChars="0" w:firstLine="0" w:firstLineChars="0"/>
              <w:rPr>
                <w:rFonts w:hint="eastAsia" w:ascii="宋体" w:hAnsi="宋体" w:eastAsia="宋体" w:cs="宋体"/>
                <w:color w:val="000000"/>
                <w:sz w:val="21"/>
                <w:szCs w:val="21"/>
                <w:highlight w:val="none"/>
              </w:rPr>
            </w:pPr>
            <w:bookmarkStart w:id="107" w:name="OLE_LINK60"/>
            <w:r>
              <w:rPr>
                <w:rFonts w:hint="eastAsia" w:ascii="宋体" w:hAnsi="宋体" w:eastAsia="宋体" w:cs="宋体"/>
                <w:color w:val="000000"/>
                <w:sz w:val="21"/>
                <w:szCs w:val="21"/>
                <w:highlight w:val="none"/>
              </w:rPr>
              <w:t>符合第六章“政府采购合同格式”条款中实质性要求和条件</w:t>
            </w:r>
            <w:bookmarkEnd w:id="107"/>
          </w:p>
        </w:tc>
      </w:tr>
    </w:tbl>
    <w:p>
      <w:pPr>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br w:type="page"/>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有下列情形之一的，视为供应商相互恶意串通，</w:t>
      </w:r>
      <w:r>
        <w:rPr>
          <w:rFonts w:hint="eastAsia" w:ascii="宋体" w:hAnsi="宋体" w:eastAsia="宋体" w:cs="宋体"/>
          <w:b/>
          <w:bCs/>
          <w:color w:val="auto"/>
          <w:kern w:val="0"/>
          <w:sz w:val="24"/>
          <w:szCs w:val="24"/>
          <w:highlight w:val="none"/>
        </w:rPr>
        <w:t>响应文件无效</w:t>
      </w:r>
      <w:r>
        <w:rPr>
          <w:rFonts w:hint="eastAsia" w:ascii="宋体" w:hAnsi="宋体" w:eastAsia="宋体" w:cs="宋体"/>
          <w:color w:val="auto"/>
          <w:kern w:val="0"/>
          <w:sz w:val="24"/>
          <w:szCs w:val="24"/>
          <w:highlight w:val="none"/>
        </w:rPr>
        <w:t>：</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bookmarkStart w:id="108" w:name="OLE_LINK72"/>
      <w:r>
        <w:rPr>
          <w:rFonts w:hint="eastAsia" w:ascii="宋体" w:hAnsi="宋体" w:eastAsia="宋体" w:cs="宋体"/>
          <w:color w:val="auto"/>
          <w:kern w:val="0"/>
          <w:sz w:val="24"/>
          <w:szCs w:val="24"/>
          <w:highlight w:val="none"/>
        </w:rPr>
        <w:t>（1）不同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委托同一单位或者个人办理投标事宜；</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载明的项目管理成员为同一人；</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异常一致或者投标报价呈规律性差异；</w:t>
      </w:r>
    </w:p>
    <w:p>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（5）不同供应商的响应文件出自同一台制作设备（文件制作机器码一致）</w:t>
      </w:r>
      <w:r>
        <w:rPr>
          <w:rFonts w:hint="eastAsia" w:ascii="宋体" w:hAnsi="宋体" w:eastAsia="宋体" w:cs="宋体"/>
          <w:color w:val="auto"/>
          <w:kern w:val="0"/>
          <w:sz w:val="24"/>
          <w:szCs w:val="24"/>
          <w:highlight w:val="none"/>
        </w:rPr>
        <w:t>。</w:t>
      </w:r>
    </w:p>
    <w:bookmarkEnd w:id="108"/>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1.2.4 </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的雷同性分析</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进行雷同性分析。</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1.2.4.2雷同性分析由两项指标组成，分别是“文件制作机器码”和“文件创建标识码”。其中，前者通过验证电子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制作设备的特征信息（如MAC地址、硬盘序列号、CPU编号、主板号等），判断电子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是否出自同一台设备。</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出自同一台制作设备，根据《陕西省财政厅关于政府采购有关政策的复函》（陕财办采函〔2019〕18号），该情形可以视为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w:t>
      </w:r>
      <w:r>
        <w:rPr>
          <w:rFonts w:hint="eastAsia" w:ascii="宋体" w:hAnsi="宋体" w:eastAsia="宋体" w:cs="宋体"/>
          <w:b/>
          <w:color w:val="auto"/>
          <w:sz w:val="24"/>
          <w:szCs w:val="24"/>
          <w:highlight w:val="none"/>
        </w:rPr>
        <w:t>其投标无效</w:t>
      </w:r>
      <w:r>
        <w:rPr>
          <w:rFonts w:hint="eastAsia" w:ascii="宋体" w:hAnsi="宋体" w:eastAsia="宋体" w:cs="宋体"/>
          <w:color w:val="auto"/>
          <w:sz w:val="24"/>
          <w:szCs w:val="24"/>
          <w:highlight w:val="none"/>
        </w:rPr>
        <w:t>。</w:t>
      </w:r>
    </w:p>
    <w:p>
      <w:pPr>
        <w:spacing w:line="360" w:lineRule="auto"/>
        <w:ind w:firstLine="710" w:firstLineChars="2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制作软件时，使用同一源工程文件，该情形建议由评标委员会结合项目情况综合判定。</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 非实质性偏离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非实质性偏离是指响应文件在实质上响应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文件的要求，但在个别地方存在一些不规则、不一致、不完整的内容，并且澄清、说明或者补正这些内容不会改变响应文件的实质性内容。以下情况属于非实质性偏离：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（1）文字表述的内容含义不明确；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（2）同类问题表述不一致；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（3）有明显文字和计算错误；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（4）提供的技术信息和数据资料不完整；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）响应文件未按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文件要求进行装订或未编制目录、页码或者页码混乱；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小组认定的其他非实质性偏离。</w:t>
      </w:r>
    </w:p>
    <w:p>
      <w:pPr>
        <w:tabs>
          <w:tab w:val="left" w:pos="7665"/>
        </w:tabs>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响应文件有上述（1）至（4）情形之一的，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 xml:space="preserve">小组应当书面要求供应商在规定的时间内予以澄清、说明或补正。 </w:t>
      </w:r>
    </w:p>
    <w:p>
      <w:pPr>
        <w:tabs>
          <w:tab w:val="left" w:pos="0"/>
        </w:tabs>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1.2.6 未通过符合性检查的供应商，不得进入后续</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 xml:space="preserve">环节。 </w:t>
      </w:r>
    </w:p>
    <w:p>
      <w:pPr>
        <w:spacing w:before="120" w:beforeLines="50" w:after="120"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响应文件的澄清</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对于响应文件（包括供应商首次提交和重新提交的响应文件）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1.3.3对供应商提交的澄清、说明或者补正有疑问的，可以要求供应商进一步澄清、说明或者补正，直至满足资格审查小组或者磋商小组的要求。</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资格审查小组和磋商小组不得暗示或诱导供应商作出澄清、说明或者更正，不得接受供应商主动提出的澄清、说明或者补正。</w:t>
      </w:r>
    </w:p>
    <w:p>
      <w:pPr>
        <w:spacing w:line="360" w:lineRule="auto"/>
        <w:ind w:firstLine="480"/>
        <w:rPr>
          <w:rFonts w:hint="eastAsia" w:ascii="宋体" w:hAnsi="宋体" w:eastAsia="宋体" w:cs="宋体"/>
          <w:b/>
          <w:sz w:val="24"/>
          <w:szCs w:val="24"/>
        </w:rPr>
      </w:pPr>
      <w:bookmarkStart w:id="109" w:name="_Toc217446093"/>
      <w:r>
        <w:rPr>
          <w:rFonts w:hint="eastAsia" w:ascii="宋体" w:hAnsi="宋体" w:eastAsia="宋体" w:cs="宋体"/>
          <w:b/>
          <w:sz w:val="24"/>
          <w:szCs w:val="24"/>
        </w:rPr>
        <w:t>1.4.1磋商方式：</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1.4.1.1 对资格性审查和符合性审查合格的供应商，进入本次采购活动的磋商环节。</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1.4.1.2 在磋商期间，供应商应派代表参加磋商，代表人数不超过</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1</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1.4.1.3 磋商小组将通过随机方式确定供应商进行磋商的顺序，所有成员集中与单一供应商按照顺序分别进行磋商，</w:t>
      </w:r>
      <w:r>
        <w:rPr>
          <w:rFonts w:hint="eastAsia" w:ascii="宋体" w:hAnsi="宋体" w:eastAsia="宋体" w:cs="宋体"/>
          <w:sz w:val="24"/>
          <w:szCs w:val="24"/>
        </w:rPr>
        <w:t>并给予所有参加磋商的供应商平等的磋商机会</w:t>
      </w:r>
      <w:r>
        <w:rPr>
          <w:rFonts w:hint="eastAsia" w:ascii="宋体" w:hAnsi="宋体" w:eastAsia="宋体" w:cs="宋体"/>
          <w:color w:val="000000"/>
          <w:kern w:val="0"/>
          <w:sz w:val="24"/>
          <w:szCs w:val="24"/>
        </w:rPr>
        <w:t>。磋商的任何一方不得透露与磋商有关的其他供应商的技术资料、价格和其他信息。</w:t>
      </w:r>
    </w:p>
    <w:p>
      <w:pPr>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1.4.1.4 技术磋商。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对磋商文件作出的实质性变动是磋商文件的有效组成部分，磋商小组应当及时以书面形式同时通知所有参加磋商的供应商。</w:t>
      </w:r>
    </w:p>
    <w:p>
      <w:pPr>
        <w:widowControl/>
        <w:spacing w:line="360" w:lineRule="auto"/>
        <w:rPr>
          <w:rFonts w:hint="eastAsia" w:ascii="宋体" w:hAnsi="宋体" w:eastAsia="宋体" w:cs="宋体"/>
          <w:snapToGrid w:val="0"/>
          <w:kern w:val="0"/>
          <w:sz w:val="24"/>
          <w:szCs w:val="24"/>
        </w:rPr>
      </w:pPr>
      <w:r>
        <w:rPr>
          <w:rFonts w:hint="eastAsia" w:ascii="宋体" w:hAnsi="宋体" w:eastAsia="宋体" w:cs="宋体"/>
          <w:sz w:val="24"/>
          <w:szCs w:val="24"/>
        </w:rPr>
        <w:t>供应商应当按照磋商文件的变动情况和磋商小组的要求重新提交响应文件，并由其法定代表人或委托代理人签名或者加盖公章。</w:t>
      </w:r>
      <w:r>
        <w:rPr>
          <w:rFonts w:hint="eastAsia" w:ascii="宋体" w:hAnsi="宋体" w:eastAsia="宋体" w:cs="宋体"/>
          <w:snapToGrid w:val="0"/>
          <w:kern w:val="0"/>
          <w:sz w:val="24"/>
          <w:szCs w:val="24"/>
        </w:rPr>
        <w:t>由委托代理人签名的，应当附法定代表人授权书。供应商为自然人的，应当由本人签名并附身份证明。</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磋商小组应当</w:t>
      </w:r>
      <w:r>
        <w:rPr>
          <w:rFonts w:hint="eastAsia" w:ascii="宋体" w:hAnsi="宋体" w:eastAsia="宋体" w:cs="宋体"/>
          <w:sz w:val="24"/>
          <w:szCs w:val="24"/>
        </w:rPr>
        <w:t>根据磋商文件规定</w:t>
      </w:r>
      <w:r>
        <w:rPr>
          <w:rFonts w:hint="eastAsia" w:ascii="宋体" w:hAnsi="宋体" w:eastAsia="宋体" w:cs="宋体"/>
          <w:kern w:val="0"/>
          <w:sz w:val="24"/>
          <w:szCs w:val="24"/>
        </w:rPr>
        <w:t>对供应商重新提交的响应文件进行符合性审查。供应商重新提交的响应文件未通过符合性审查的，不得进入商务磋商，也不得要求提交最后报价。</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1.4.1.5 商务磋商。</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在技术磋商结束后，进行商务磋商。磋商文件能够详细列明采购标的的技术、工程量要求的，磋商小组应当要求所有实质性响应的供应商在规定时间内提交最后报价，提交最后报价的供应商不得少于3家；磋商文件不能详细列明采购标的的技术、工程量要求，需经磋商由供应商提供最终解决方案的，磋商小组应当按照少数服从多数的原则投票推荐3家以上供应商的解决方案，并要求其在规定时间内提交最后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1.4.1.6 已提交响应文件的供应商，在提交最后报价之前，可以根据磋商情况退出磋商，</w:t>
      </w:r>
      <w:r>
        <w:rPr>
          <w:rFonts w:hint="eastAsia" w:ascii="宋体" w:hAnsi="宋体" w:eastAsia="宋体" w:cs="宋体"/>
          <w:color w:val="auto"/>
          <w:sz w:val="24"/>
          <w:szCs w:val="24"/>
          <w:highlight w:val="none"/>
          <w:lang w:eastAsia="zh-CN"/>
        </w:rPr>
        <w:t>由代理机构线上提交至【全国公共资源交易平台（陕西省·宝鸡市）】，由</w:t>
      </w:r>
      <w:r>
        <w:rPr>
          <w:rFonts w:hint="eastAsia" w:ascii="宋体" w:hAnsi="宋体" w:eastAsia="宋体" w:cs="宋体"/>
          <w:color w:val="auto"/>
          <w:sz w:val="24"/>
          <w:szCs w:val="24"/>
          <w:highlight w:val="none"/>
          <w:lang w:val="en-US" w:eastAsia="zh-CN"/>
        </w:rPr>
        <w:t>宝鸡市公共资源</w:t>
      </w:r>
      <w:r>
        <w:rPr>
          <w:rFonts w:hint="eastAsia" w:ascii="宋体" w:hAnsi="宋体" w:eastAsia="宋体" w:cs="宋体"/>
          <w:color w:val="auto"/>
          <w:sz w:val="24"/>
          <w:szCs w:val="24"/>
          <w:highlight w:val="none"/>
          <w:lang w:eastAsia="zh-CN"/>
        </w:rPr>
        <w:t>交易中心财务人员审核并办理退还事宜。</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1.4.2磋商步骤：</w:t>
      </w:r>
    </w:p>
    <w:p>
      <w:pPr>
        <w:spacing w:line="360" w:lineRule="auto"/>
        <w:rPr>
          <w:rFonts w:hint="eastAsia" w:ascii="宋体" w:hAnsi="宋体" w:eastAsia="宋体" w:cs="宋体"/>
          <w:sz w:val="24"/>
          <w:szCs w:val="24"/>
        </w:rPr>
      </w:pPr>
      <w:r>
        <w:rPr>
          <w:rFonts w:hint="eastAsia" w:ascii="宋体" w:hAnsi="宋体" w:eastAsia="宋体" w:cs="宋体"/>
          <w:sz w:val="24"/>
          <w:szCs w:val="24"/>
        </w:rPr>
        <w:t>1.4.2.1 第一轮磋商。磋商小组对进入第一轮磋商的供应商再次进行评审、质疑和澄清。在此阶段，磋商小组依据参加磋商的供应商递交的响应文件进行技术和商务磋商。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磋商小组可以根据实际需要提出方案和技术参数要求，与单一供应商分别进行磋商，并给予所有参加磋商的供应商平等的磋商机会。要求参加磋商的供应商重新承诺服务、技术要求和第二次磋商报价，以满足采购人的最大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1.4.2.2 第二轮磋商。对第一轮磋商结果不满意，磋商小组可以再次要求参加磋商的供应商进行第二轮磋商，磋商内容及要求与第一轮磋商相同。</w:t>
      </w:r>
    </w:p>
    <w:p>
      <w:pPr>
        <w:spacing w:line="360" w:lineRule="auto"/>
        <w:rPr>
          <w:rFonts w:hint="eastAsia" w:ascii="宋体" w:hAnsi="宋体" w:eastAsia="宋体" w:cs="宋体"/>
          <w:sz w:val="24"/>
          <w:szCs w:val="24"/>
        </w:rPr>
      </w:pPr>
      <w:r>
        <w:rPr>
          <w:rFonts w:hint="eastAsia" w:ascii="宋体" w:hAnsi="宋体" w:eastAsia="宋体" w:cs="宋体"/>
          <w:sz w:val="24"/>
          <w:szCs w:val="24"/>
        </w:rPr>
        <w:t>1.4.2.3 每轮磋商结束后，磋商小组对磋商情况进行讨论，综合考虑供应商提供的服务水平和性价比，有权对服务水平最差供应商或性价比最低点供应商进行淘汰，并将淘汰理由写入评审报告。</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后一轮磋商报价高于前一轮磋商报价的供应商，视为其自动退出磋商，有磋商保证金的予以退还。</w:t>
      </w:r>
    </w:p>
    <w:p>
      <w:pPr>
        <w:spacing w:line="360" w:lineRule="auto"/>
        <w:rPr>
          <w:rFonts w:hint="eastAsia" w:ascii="宋体" w:hAnsi="宋体" w:eastAsia="宋体" w:cs="宋体"/>
          <w:sz w:val="24"/>
          <w:szCs w:val="24"/>
        </w:rPr>
      </w:pPr>
      <w:r>
        <w:rPr>
          <w:rFonts w:hint="eastAsia" w:ascii="宋体" w:hAnsi="宋体" w:eastAsia="宋体" w:cs="宋体"/>
          <w:sz w:val="24"/>
          <w:szCs w:val="24"/>
        </w:rPr>
        <w:t>1.4.2.4 磋商小组应在最后一轮磋商前告知所有符合磋商要求的供应商是否是最后一次磋商。</w:t>
      </w:r>
    </w:p>
    <w:p>
      <w:pPr>
        <w:spacing w:line="360" w:lineRule="auto"/>
        <w:rPr>
          <w:rFonts w:hint="eastAsia" w:ascii="宋体" w:hAnsi="宋体" w:eastAsia="宋体" w:cs="宋体"/>
          <w:sz w:val="24"/>
          <w:szCs w:val="24"/>
        </w:rPr>
      </w:pPr>
      <w:r>
        <w:rPr>
          <w:rFonts w:hint="eastAsia" w:ascii="宋体" w:hAnsi="宋体" w:eastAsia="宋体" w:cs="宋体"/>
          <w:sz w:val="24"/>
          <w:szCs w:val="24"/>
        </w:rPr>
        <w:t>1.4.2.5 最后一轮磋商结束后，磋商小组将对进入最后一轮的供应商的响应文件进行详细评审。</w:t>
      </w:r>
    </w:p>
    <w:p>
      <w:pPr>
        <w:spacing w:before="120" w:beforeLines="50" w:after="120" w:afterLines="50" w:line="360" w:lineRule="auto"/>
        <w:rPr>
          <w:rFonts w:hint="eastAsia" w:ascii="宋体" w:hAnsi="宋体" w:eastAsia="宋体" w:cs="宋体"/>
          <w:b/>
          <w:sz w:val="24"/>
          <w:szCs w:val="24"/>
        </w:rPr>
      </w:pPr>
      <w:r>
        <w:rPr>
          <w:rFonts w:hint="eastAsia" w:ascii="宋体" w:hAnsi="宋体" w:eastAsia="宋体" w:cs="宋体"/>
          <w:b/>
          <w:sz w:val="24"/>
          <w:szCs w:val="24"/>
        </w:rPr>
        <w:t>1.5 最后报价</w:t>
      </w:r>
    </w:p>
    <w:p>
      <w:pPr>
        <w:widowControl/>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z w:val="24"/>
          <w:szCs w:val="24"/>
        </w:rPr>
        <w:t xml:space="preserve">1.5.1 </w:t>
      </w:r>
      <w:r>
        <w:rPr>
          <w:rFonts w:hint="eastAsia" w:ascii="宋体" w:hAnsi="宋体" w:eastAsia="宋体" w:cs="宋体"/>
          <w:b/>
          <w:bCs/>
          <w:sz w:val="24"/>
          <w:szCs w:val="24"/>
        </w:rPr>
        <w:t>供应商应</w:t>
      </w:r>
      <w:r>
        <w:rPr>
          <w:rFonts w:hint="eastAsia" w:ascii="宋体" w:hAnsi="宋体" w:eastAsia="宋体" w:cs="宋体"/>
          <w:b/>
          <w:bCs/>
          <w:sz w:val="24"/>
          <w:szCs w:val="24"/>
          <w:lang w:val="en-US" w:eastAsia="zh-CN"/>
        </w:rPr>
        <w:t>现场使用单位CA锁</w:t>
      </w:r>
      <w:r>
        <w:rPr>
          <w:rFonts w:hint="eastAsia" w:ascii="宋体" w:hAnsi="宋体" w:eastAsia="宋体" w:cs="宋体"/>
          <w:b/>
          <w:bCs/>
          <w:sz w:val="24"/>
          <w:szCs w:val="24"/>
        </w:rPr>
        <w:t>最后报价（最后报价将作为综合评分法中价格分的计算依据），并加盖单位章</w:t>
      </w:r>
      <w:r>
        <w:rPr>
          <w:rFonts w:hint="eastAsia" w:ascii="宋体" w:hAnsi="宋体" w:eastAsia="宋体" w:cs="宋体"/>
          <w:b/>
          <w:bCs/>
          <w:snapToGrid w:val="0"/>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最后报价是供应商响应文件的有效组成部分。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最后报价仅向采购人及监督人员宣布，并由监督人员确认。</w:t>
      </w:r>
    </w:p>
    <w:p>
      <w:pPr>
        <w:spacing w:before="120" w:beforeLines="50" w:after="120" w:afterLines="50" w:line="360" w:lineRule="auto"/>
        <w:rPr>
          <w:rFonts w:hint="eastAsia" w:ascii="宋体" w:hAnsi="宋体" w:eastAsia="宋体" w:cs="宋体"/>
          <w:b/>
          <w:sz w:val="24"/>
          <w:szCs w:val="24"/>
        </w:rPr>
      </w:pPr>
      <w:r>
        <w:rPr>
          <w:rFonts w:hint="eastAsia" w:ascii="宋体" w:hAnsi="宋体" w:eastAsia="宋体" w:cs="宋体"/>
          <w:b/>
          <w:sz w:val="24"/>
          <w:szCs w:val="24"/>
        </w:rPr>
        <w:t>1.6 响应文件详细评审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w:t>
      </w:r>
      <w:r>
        <w:rPr>
          <w:rFonts w:hint="eastAsia" w:ascii="宋体" w:hAnsi="宋体" w:eastAsia="宋体" w:cs="宋体"/>
          <w:b/>
          <w:sz w:val="24"/>
          <w:szCs w:val="24"/>
        </w:rPr>
        <w:t>综合评分法</w:t>
      </w:r>
      <w:r>
        <w:rPr>
          <w:rFonts w:hint="eastAsia" w:ascii="宋体" w:hAnsi="宋体" w:eastAsia="宋体" w:cs="宋体"/>
          <w:sz w:val="24"/>
          <w:szCs w:val="24"/>
        </w:rPr>
        <w:t>对提交最后报价的供应商的响应文件和最后报价进行综合评分。</w:t>
      </w:r>
    </w:p>
    <w:p>
      <w:pPr>
        <w:spacing w:before="120" w:beforeLines="50"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1.7 复核与核对评审结果</w:t>
      </w:r>
    </w:p>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评分汇总结束后，磋商小组应当进行复核，特别要对拟推荐成交候选人的、最后报价最低的、响应文件被认定无效的进行重点复核。</w:t>
      </w:r>
    </w:p>
    <w:p>
      <w:pPr>
        <w:pStyle w:val="8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评审结果汇总完成后，评审报告签署前，采购代理机构应当</w:t>
      </w:r>
      <w:r>
        <w:rPr>
          <w:rFonts w:hint="eastAsia" w:ascii="宋体" w:hAnsi="宋体" w:eastAsia="宋体" w:cs="宋体"/>
          <w:bCs/>
          <w:sz w:val="24"/>
          <w:szCs w:val="24"/>
        </w:rPr>
        <w:t>核对评审结果，</w:t>
      </w:r>
      <w:r>
        <w:rPr>
          <w:rFonts w:hint="eastAsia" w:ascii="宋体" w:hAnsi="宋体" w:eastAsia="宋体" w:cs="宋体"/>
          <w:sz w:val="24"/>
          <w:szCs w:val="24"/>
        </w:rPr>
        <w:t>除下列情形外，任何人不得修改评审结果：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（1）资格性认定错误的；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（2）分值汇总计算错误的；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（3）分项评分超出评分标准范围的；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（4）磋商小组对客观评审因素评分不一致的；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（5）经磋商小组一致认定评分畸高、畸低的。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pPr>
        <w:spacing w:before="120" w:beforeLines="50" w:after="120" w:afterLines="50" w:line="360" w:lineRule="auto"/>
        <w:rPr>
          <w:rFonts w:hint="eastAsia" w:ascii="宋体" w:hAnsi="宋体" w:eastAsia="宋体" w:cs="宋体"/>
          <w:b/>
          <w:color w:val="000000"/>
          <w:sz w:val="24"/>
          <w:szCs w:val="24"/>
        </w:rPr>
      </w:pPr>
      <w:r>
        <w:rPr>
          <w:rFonts w:hint="eastAsia" w:ascii="宋体" w:hAnsi="宋体" w:eastAsia="宋体" w:cs="宋体"/>
          <w:b/>
          <w:sz w:val="24"/>
          <w:szCs w:val="24"/>
        </w:rPr>
        <w:t xml:space="preserve">1.8 </w:t>
      </w:r>
      <w:r>
        <w:rPr>
          <w:rFonts w:hint="eastAsia" w:ascii="宋体" w:hAnsi="宋体" w:eastAsia="宋体" w:cs="宋体"/>
          <w:b/>
          <w:color w:val="000000"/>
          <w:sz w:val="24"/>
          <w:szCs w:val="24"/>
        </w:rPr>
        <w:t>确定成交候选人名单</w:t>
      </w:r>
    </w:p>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确定成交候选人程序详</w:t>
      </w:r>
      <w:r>
        <w:rPr>
          <w:rFonts w:hint="eastAsia" w:ascii="宋体" w:hAnsi="宋体" w:eastAsia="宋体" w:cs="宋体"/>
          <w:sz w:val="24"/>
          <w:szCs w:val="24"/>
        </w:rPr>
        <w:t>见第二章第8.1、8.2条款。</w:t>
      </w:r>
    </w:p>
    <w:p>
      <w:pPr>
        <w:spacing w:before="120" w:beforeLines="50" w:after="120" w:afterLines="50" w:line="360" w:lineRule="auto"/>
        <w:rPr>
          <w:rFonts w:hint="eastAsia" w:ascii="宋体" w:hAnsi="宋体" w:eastAsia="宋体" w:cs="宋体"/>
          <w:b/>
          <w:sz w:val="24"/>
          <w:szCs w:val="24"/>
        </w:rPr>
      </w:pPr>
      <w:r>
        <w:rPr>
          <w:rFonts w:hint="eastAsia" w:ascii="宋体" w:hAnsi="宋体" w:eastAsia="宋体" w:cs="宋体"/>
          <w:b/>
          <w:sz w:val="24"/>
          <w:szCs w:val="24"/>
        </w:rPr>
        <w:t>1.9 编写评审报告</w:t>
      </w:r>
    </w:p>
    <w:p>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1.9.1 磋商小组在确定成交候选人名单后，应当编写评审报告并向采购人出具。评审报告应当包括以下主要内容：</w:t>
      </w:r>
    </w:p>
    <w:p>
      <w:pPr>
        <w:spacing w:line="360" w:lineRule="auto"/>
        <w:ind w:firstLine="482"/>
        <w:rPr>
          <w:rFonts w:hint="eastAsia" w:ascii="宋体" w:hAnsi="宋体" w:eastAsia="宋体" w:cs="宋体"/>
          <w:snapToGrid w:val="0"/>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0"/>
          <w:sz w:val="24"/>
          <w:szCs w:val="24"/>
        </w:rPr>
        <w:t>邀请供应商参加采购活动的具体方式和相关情况；</w:t>
      </w:r>
    </w:p>
    <w:p>
      <w:pPr>
        <w:spacing w:line="360" w:lineRule="auto"/>
        <w:ind w:firstLine="482"/>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（2）响应文件开启日期和地点；</w:t>
      </w:r>
    </w:p>
    <w:p>
      <w:pPr>
        <w:spacing w:line="360" w:lineRule="auto"/>
        <w:ind w:firstLine="482"/>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（3）获取磋商文件的供应商名单和磋商小组成员名单；</w:t>
      </w:r>
    </w:p>
    <w:p>
      <w:pPr>
        <w:spacing w:line="360" w:lineRule="auto"/>
        <w:ind w:firstLine="482"/>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（4）评审情况记录和说明，包括对供应商响应文件评审情况、磋商情况（含磋商文件实质性变动情况）、报价情况等；</w:t>
      </w:r>
    </w:p>
    <w:p>
      <w:pPr>
        <w:spacing w:line="360" w:lineRule="auto"/>
        <w:ind w:firstLine="482"/>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（5）提出的成交候选人的排序名单及理由。</w:t>
      </w:r>
    </w:p>
    <w:p>
      <w:pPr>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（6）其他需要说明的情况，包括评审过程中供应商根据磋商小组要求进行的澄清、说明或者更正，磋商小组成员的更换等，报价最高的供应商为第一中标候选人的，对其报价合理性予以特别书面。</w:t>
      </w:r>
    </w:p>
    <w:p>
      <w:pPr>
        <w:widowControl/>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kern w:val="0"/>
          <w:sz w:val="24"/>
          <w:szCs w:val="24"/>
        </w:rPr>
        <w:t xml:space="preserve">1.9.2 </w:t>
      </w:r>
      <w:r>
        <w:rPr>
          <w:rFonts w:hint="eastAsia" w:ascii="宋体" w:hAnsi="宋体" w:eastAsia="宋体" w:cs="宋体"/>
          <w:snapToGrid w:val="0"/>
          <w:kern w:val="0"/>
          <w:sz w:val="24"/>
          <w:szCs w:val="24"/>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before="120" w:beforeLines="50" w:after="120" w:afterLines="50" w:line="360" w:lineRule="auto"/>
        <w:outlineLvl w:val="1"/>
        <w:rPr>
          <w:rFonts w:hint="eastAsia" w:ascii="宋体" w:hAnsi="宋体" w:eastAsia="宋体" w:cs="宋体"/>
          <w:b/>
          <w:color w:val="000000"/>
          <w:kern w:val="2"/>
          <w:sz w:val="24"/>
          <w:szCs w:val="24"/>
          <w:highlight w:val="none"/>
          <w:lang w:val="en-US" w:eastAsia="zh-CN" w:bidi="ar-SA"/>
        </w:rPr>
      </w:pPr>
      <w:bookmarkStart w:id="110" w:name="_Toc2533"/>
      <w:r>
        <w:rPr>
          <w:rFonts w:hint="eastAsia" w:ascii="宋体" w:hAnsi="宋体" w:eastAsia="宋体" w:cs="宋体"/>
          <w:b/>
          <w:color w:val="000000"/>
          <w:kern w:val="2"/>
          <w:sz w:val="24"/>
          <w:szCs w:val="24"/>
          <w:highlight w:val="none"/>
          <w:lang w:val="en-US" w:eastAsia="zh-CN" w:bidi="ar-SA"/>
        </w:rPr>
        <w:t>2.评审方法</w:t>
      </w:r>
      <w:bookmarkEnd w:id="110"/>
    </w:p>
    <w:p>
      <w:pPr>
        <w:pStyle w:val="5"/>
        <w:spacing w:before="120" w:beforeLines="50" w:after="120" w:afterLines="50" w:line="360" w:lineRule="auto"/>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综合评分法</w:t>
      </w:r>
    </w:p>
    <w:p>
      <w:pPr>
        <w:spacing w:line="360" w:lineRule="auto"/>
        <w:ind w:firstLine="470" w:firstLineChars="196"/>
        <w:rPr>
          <w:rFonts w:hint="eastAsia" w:ascii="宋体" w:hAnsi="宋体" w:eastAsia="宋体" w:cs="宋体"/>
          <w:snapToGrid w:val="0"/>
          <w:color w:val="000000"/>
          <w:kern w:val="0"/>
          <w:sz w:val="24"/>
          <w:szCs w:val="24"/>
          <w:highlight w:val="none"/>
        </w:rPr>
      </w:pPr>
      <w:r>
        <w:rPr>
          <w:rFonts w:hint="eastAsia" w:ascii="宋体" w:hAnsi="宋体" w:eastAsia="宋体" w:cs="宋体"/>
          <w:color w:val="000000"/>
          <w:sz w:val="24"/>
          <w:szCs w:val="24"/>
          <w:highlight w:val="none"/>
        </w:rPr>
        <w:t>2.1.1 本采购项目评审方法采用综合评分法，</w:t>
      </w:r>
      <w:r>
        <w:rPr>
          <w:rFonts w:hint="eastAsia" w:ascii="宋体" w:hAnsi="宋体" w:eastAsia="宋体" w:cs="宋体"/>
          <w:snapToGrid w:val="0"/>
          <w:color w:val="000000"/>
          <w:kern w:val="0"/>
          <w:sz w:val="24"/>
          <w:szCs w:val="24"/>
          <w:highlight w:val="none"/>
        </w:rPr>
        <w:t>是指响应文件满足磋商文件全部实质性要求且按评审因素的量化指标评审得分最高的供应商为成交候选供应商的评审方法。</w:t>
      </w:r>
    </w:p>
    <w:p>
      <w:pPr>
        <w:pStyle w:val="5"/>
        <w:spacing w:line="360" w:lineRule="auto"/>
        <w:ind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eastAsia" w:ascii="宋体" w:hAnsi="宋体" w:eastAsia="宋体" w:cs="宋体"/>
          <w:b/>
          <w:sz w:val="24"/>
          <w:szCs w:val="24"/>
        </w:rPr>
      </w:pPr>
      <w:r>
        <w:rPr>
          <w:rFonts w:hint="eastAsia" w:ascii="宋体" w:hAnsi="宋体" w:eastAsia="宋体" w:cs="宋体"/>
          <w:b/>
          <w:sz w:val="24"/>
          <w:szCs w:val="24"/>
        </w:rPr>
        <w:t>2.2 评审细则及标准</w:t>
      </w:r>
    </w:p>
    <w:p>
      <w:pPr>
        <w:tabs>
          <w:tab w:val="left" w:pos="0"/>
        </w:tabs>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2.2.1 评审因素</w:t>
      </w:r>
    </w:p>
    <w:p>
      <w:pPr>
        <w:adjustRightInd w:val="0"/>
        <w:snapToGrid w:val="0"/>
        <w:spacing w:before="120" w:beforeLines="50"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sz w:val="24"/>
          <w:szCs w:val="24"/>
        </w:rPr>
        <w:t>本采购项目评审因</w:t>
      </w:r>
      <w:r>
        <w:rPr>
          <w:rFonts w:hint="eastAsia" w:ascii="宋体" w:hAnsi="宋体" w:eastAsia="宋体" w:cs="宋体"/>
          <w:color w:val="auto"/>
          <w:sz w:val="24"/>
          <w:szCs w:val="24"/>
        </w:rPr>
        <w:t>素包括：</w:t>
      </w:r>
      <w:r>
        <w:rPr>
          <w:rFonts w:hint="eastAsia" w:ascii="宋体" w:hAnsi="宋体" w:eastAsia="宋体" w:cs="宋体"/>
          <w:b/>
          <w:color w:val="auto"/>
          <w:kern w:val="0"/>
          <w:sz w:val="24"/>
          <w:szCs w:val="24"/>
        </w:rPr>
        <w:t>磋商</w:t>
      </w:r>
      <w:r>
        <w:rPr>
          <w:rFonts w:hint="eastAsia" w:ascii="宋体" w:hAnsi="宋体" w:eastAsia="宋体" w:cs="宋体"/>
          <w:b/>
          <w:color w:val="auto"/>
          <w:kern w:val="0"/>
          <w:sz w:val="24"/>
          <w:szCs w:val="24"/>
          <w:lang w:val="en-US" w:eastAsia="zh-CN"/>
        </w:rPr>
        <w:t>最终</w:t>
      </w:r>
      <w:r>
        <w:rPr>
          <w:rFonts w:hint="eastAsia" w:ascii="宋体" w:hAnsi="宋体" w:eastAsia="宋体" w:cs="宋体"/>
          <w:b/>
          <w:color w:val="auto"/>
          <w:kern w:val="0"/>
          <w:sz w:val="24"/>
          <w:szCs w:val="24"/>
        </w:rPr>
        <w:t>报价、技术</w:t>
      </w:r>
      <w:r>
        <w:rPr>
          <w:rFonts w:hint="eastAsia" w:ascii="宋体" w:hAnsi="宋体" w:eastAsia="宋体" w:cs="宋体"/>
          <w:b/>
          <w:color w:val="auto"/>
          <w:kern w:val="0"/>
          <w:sz w:val="24"/>
          <w:szCs w:val="24"/>
          <w:lang w:val="en-US" w:eastAsia="zh-CN"/>
        </w:rPr>
        <w:t>要求</w:t>
      </w:r>
      <w:r>
        <w:rPr>
          <w:rFonts w:hint="eastAsia" w:ascii="宋体" w:hAnsi="宋体" w:eastAsia="宋体" w:cs="宋体"/>
          <w:b/>
          <w:color w:val="auto"/>
          <w:kern w:val="0"/>
          <w:sz w:val="24"/>
          <w:szCs w:val="24"/>
        </w:rPr>
        <w:t>、商务</w:t>
      </w:r>
      <w:r>
        <w:rPr>
          <w:rFonts w:hint="eastAsia" w:ascii="宋体" w:hAnsi="宋体" w:eastAsia="宋体" w:cs="宋体"/>
          <w:b/>
          <w:color w:val="auto"/>
          <w:kern w:val="0"/>
          <w:sz w:val="24"/>
          <w:szCs w:val="24"/>
          <w:lang w:val="en-US" w:eastAsia="zh-CN"/>
        </w:rPr>
        <w:t>要求</w:t>
      </w:r>
      <w:r>
        <w:rPr>
          <w:rFonts w:hint="eastAsia" w:ascii="宋体" w:hAnsi="宋体" w:eastAsia="宋体" w:cs="宋体"/>
          <w:color w:val="auto"/>
          <w:kern w:val="0"/>
          <w:sz w:val="24"/>
          <w:szCs w:val="24"/>
        </w:rPr>
        <w:t>等</w:t>
      </w:r>
      <w:r>
        <w:rPr>
          <w:rFonts w:hint="eastAsia" w:ascii="宋体" w:hAnsi="宋体" w:eastAsia="宋体" w:cs="宋体"/>
          <w:color w:val="auto"/>
          <w:sz w:val="24"/>
          <w:szCs w:val="24"/>
        </w:rPr>
        <w:t>对磋商文件的响应程度，以及相应的比重或者权值等，但不包括第二章第3.1条</w:t>
      </w:r>
      <w:r>
        <w:rPr>
          <w:rFonts w:hint="eastAsia" w:ascii="宋体" w:hAnsi="宋体" w:eastAsia="宋体" w:cs="宋体"/>
          <w:color w:val="auto"/>
          <w:kern w:val="0"/>
          <w:sz w:val="24"/>
          <w:szCs w:val="24"/>
          <w:lang w:val="zh-CN"/>
        </w:rPr>
        <w:t>款</w:t>
      </w:r>
      <w:r>
        <w:rPr>
          <w:rFonts w:hint="eastAsia" w:ascii="宋体" w:hAnsi="宋体" w:eastAsia="宋体" w:cs="宋体"/>
          <w:color w:val="auto"/>
          <w:sz w:val="24"/>
          <w:szCs w:val="24"/>
        </w:rPr>
        <w:t>规定的供应商资格条件。</w:t>
      </w:r>
      <w:r>
        <w:rPr>
          <w:rFonts w:hint="eastAsia" w:ascii="宋体" w:hAnsi="宋体" w:eastAsia="宋体" w:cs="宋体"/>
          <w:bCs/>
          <w:color w:val="auto"/>
          <w:sz w:val="24"/>
          <w:szCs w:val="24"/>
        </w:rPr>
        <w:t>项目的评标因素和标准见 “综合评分明细表”。</w:t>
      </w:r>
    </w:p>
    <w:p>
      <w:pPr>
        <w:tabs>
          <w:tab w:val="left" w:pos="0"/>
        </w:tabs>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2.2.1 评审因素</w:t>
      </w:r>
    </w:p>
    <w:p>
      <w:pPr>
        <w:adjustRightInd w:val="0"/>
        <w:snapToGrid w:val="0"/>
        <w:spacing w:before="120" w:beforeLines="50" w:line="360" w:lineRule="auto"/>
        <w:ind w:firstLine="720" w:firstLineChars="300"/>
        <w:jc w:val="lef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本项目评审因素包括</w:t>
      </w:r>
      <w:r>
        <w:rPr>
          <w:rFonts w:hint="eastAsia" w:ascii="宋体" w:hAnsi="宋体" w:eastAsia="宋体" w:cs="宋体"/>
          <w:b/>
          <w:color w:val="000000"/>
          <w:kern w:val="0"/>
          <w:sz w:val="24"/>
          <w:szCs w:val="24"/>
          <w:highlight w:val="none"/>
        </w:rPr>
        <w:t>磋商报价、技术部分、商务部分</w:t>
      </w:r>
      <w:r>
        <w:rPr>
          <w:rFonts w:hint="eastAsia" w:ascii="宋体" w:hAnsi="宋体" w:eastAsia="宋体" w:cs="宋体"/>
          <w:color w:val="000000"/>
          <w:kern w:val="0"/>
          <w:sz w:val="24"/>
          <w:szCs w:val="24"/>
          <w:highlight w:val="none"/>
        </w:rPr>
        <w:t>等</w:t>
      </w:r>
      <w:r>
        <w:rPr>
          <w:rFonts w:hint="eastAsia" w:ascii="宋体" w:hAnsi="宋体" w:eastAsia="宋体" w:cs="宋体"/>
          <w:color w:val="000000"/>
          <w:sz w:val="24"/>
          <w:szCs w:val="24"/>
          <w:highlight w:val="none"/>
        </w:rPr>
        <w:t>对磋商文件的响应程度，以及相应的比重或者权值等，但不包括第二章第3.1条</w:t>
      </w:r>
      <w:r>
        <w:rPr>
          <w:rFonts w:hint="eastAsia" w:ascii="宋体" w:hAnsi="宋体" w:eastAsia="宋体" w:cs="宋体"/>
          <w:color w:val="000000"/>
          <w:kern w:val="0"/>
          <w:sz w:val="24"/>
          <w:szCs w:val="24"/>
          <w:highlight w:val="none"/>
          <w:lang w:val="zh-CN"/>
        </w:rPr>
        <w:t>款</w:t>
      </w:r>
      <w:r>
        <w:rPr>
          <w:rFonts w:hint="eastAsia" w:ascii="宋体" w:hAnsi="宋体" w:eastAsia="宋体" w:cs="宋体"/>
          <w:color w:val="000000"/>
          <w:sz w:val="24"/>
          <w:szCs w:val="24"/>
          <w:highlight w:val="none"/>
        </w:rPr>
        <w:t>规定的供应商资格条件。</w:t>
      </w:r>
      <w:r>
        <w:rPr>
          <w:rFonts w:hint="eastAsia" w:ascii="宋体" w:hAnsi="宋体" w:eastAsia="宋体" w:cs="宋体"/>
          <w:snapToGrid w:val="0"/>
          <w:color w:val="000000"/>
          <w:sz w:val="24"/>
          <w:szCs w:val="24"/>
          <w:highlight w:val="none"/>
        </w:rPr>
        <w:t xml:space="preserve"> </w:t>
      </w:r>
      <w:r>
        <w:rPr>
          <w:rFonts w:hint="eastAsia" w:ascii="宋体" w:hAnsi="宋体" w:eastAsia="宋体" w:cs="宋体"/>
          <w:bCs/>
          <w:color w:val="000000"/>
          <w:sz w:val="24"/>
          <w:szCs w:val="24"/>
          <w:highlight w:val="none"/>
        </w:rPr>
        <w:t>评分因素及分值构成如下：</w:t>
      </w:r>
    </w:p>
    <w:p>
      <w:pPr>
        <w:adjustRightInd w:val="0"/>
        <w:snapToGrid w:val="0"/>
        <w:spacing w:line="360" w:lineRule="auto"/>
        <w:ind w:firstLine="831" w:firstLineChars="345"/>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评审因素                    权重                      分值</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（1）磋商报价                40%                       40分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（2）技术部分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50</w:t>
      </w:r>
      <w:r>
        <w:rPr>
          <w:rFonts w:hint="eastAsia" w:ascii="宋体" w:hAnsi="宋体" w:eastAsia="宋体" w:cs="宋体"/>
          <w:color w:val="000000"/>
          <w:sz w:val="24"/>
          <w:szCs w:val="24"/>
          <w:highlight w:val="none"/>
        </w:rPr>
        <w:t>分</w:t>
      </w:r>
    </w:p>
    <w:p>
      <w:pPr>
        <w:tabs>
          <w:tab w:val="left" w:pos="360"/>
          <w:tab w:val="left" w:pos="540"/>
        </w:tabs>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（3）商务部分                </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10</w:t>
      </w:r>
      <w:r>
        <w:rPr>
          <w:rFonts w:hint="eastAsia" w:ascii="宋体" w:hAnsi="宋体" w:eastAsia="宋体" w:cs="宋体"/>
          <w:color w:val="000000"/>
          <w:sz w:val="24"/>
          <w:szCs w:val="24"/>
          <w:highlight w:val="none"/>
        </w:rPr>
        <w:t>分</w:t>
      </w:r>
    </w:p>
    <w:p>
      <w:pPr>
        <w:adjustRightInd w:val="0"/>
        <w:snapToGrid w:val="0"/>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                        100%                     100分</w:t>
      </w:r>
    </w:p>
    <w:p>
      <w:pPr>
        <w:pStyle w:val="17"/>
        <w:adjustRightInd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2.2.2 磋商报价评审</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2.2.2.1供应商的价格分，按照财政部财库〔[2014〕]214号文件第二十四条和财库〔2020〕46号文件的规定，采用低价优先法计算，以本次满足磋商文件要求的</w:t>
      </w:r>
      <w:r>
        <w:rPr>
          <w:rFonts w:hint="eastAsia" w:ascii="宋体" w:hAnsi="宋体" w:eastAsia="宋体" w:cs="宋体"/>
          <w:b/>
          <w:color w:val="000000"/>
          <w:sz w:val="24"/>
          <w:szCs w:val="24"/>
          <w:highlight w:val="none"/>
        </w:rPr>
        <w:t>最低磋商评审价为磋商基准价</w:t>
      </w:r>
      <w:r>
        <w:rPr>
          <w:rFonts w:hint="eastAsia" w:ascii="宋体" w:hAnsi="宋体" w:eastAsia="宋体" w:cs="宋体"/>
          <w:color w:val="000000"/>
          <w:sz w:val="24"/>
          <w:szCs w:val="24"/>
          <w:highlight w:val="none"/>
        </w:rPr>
        <w:t>，其价格为满分。</w:t>
      </w:r>
    </w:p>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2.2.2.2供应商的价格分，统一按照下列公式</w:t>
      </w:r>
      <w:r>
        <w:rPr>
          <w:rFonts w:hint="eastAsia" w:ascii="宋体" w:hAnsi="宋体" w:eastAsia="宋体" w:cs="宋体"/>
          <w:bCs/>
          <w:color w:val="000000"/>
          <w:sz w:val="24"/>
          <w:szCs w:val="24"/>
          <w:highlight w:val="none"/>
        </w:rPr>
        <w:t>计算：</w:t>
      </w:r>
    </w:p>
    <w:p>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最后报价得分=(磋商基准价／最后报价)×100×价格权值</w:t>
      </w:r>
    </w:p>
    <w:p>
      <w:pPr>
        <w:pStyle w:val="18"/>
        <w:widowControl/>
        <w:tabs>
          <w:tab w:val="left" w:pos="1506"/>
        </w:tabs>
        <w:adjustRightInd w:val="0"/>
        <w:snapToGrid w:val="0"/>
        <w:spacing w:line="360" w:lineRule="auto"/>
        <w:ind w:firstLine="602" w:firstLineChars="25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2.2.3 技术部分评审及政府采购政策加分</w:t>
      </w:r>
    </w:p>
    <w:p>
      <w:pPr>
        <w:adjustRightInd w:val="0"/>
        <w:snapToGrid w:val="0"/>
        <w:spacing w:line="360" w:lineRule="auto"/>
        <w:ind w:firstLine="840" w:firstLineChars="350"/>
        <w:rPr>
          <w:rFonts w:hint="eastAsia" w:ascii="宋体" w:hAnsi="宋体" w:eastAsia="宋体" w:cs="宋体"/>
          <w:color w:val="000000"/>
          <w:sz w:val="24"/>
          <w:szCs w:val="24"/>
          <w:highlight w:val="cyan"/>
        </w:rPr>
      </w:pPr>
      <w:r>
        <w:rPr>
          <w:rFonts w:hint="eastAsia" w:ascii="宋体" w:hAnsi="宋体" w:eastAsia="宋体" w:cs="宋体"/>
          <w:color w:val="000000"/>
          <w:sz w:val="24"/>
          <w:szCs w:val="24"/>
          <w:highlight w:val="none"/>
        </w:rPr>
        <w:t>技术部分评审内容及分值如下：</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111" w:name="OLE_LINK61"/>
      <w:r>
        <w:rPr>
          <w:rFonts w:hint="eastAsia" w:ascii="宋体" w:hAnsi="宋体" w:eastAsia="宋体" w:cs="宋体"/>
          <w:color w:val="000000"/>
          <w:sz w:val="24"/>
          <w:szCs w:val="24"/>
          <w:highlight w:val="none"/>
        </w:rPr>
        <w:t>确保工程质量的技术组织措施</w:t>
      </w:r>
      <w:bookmarkEnd w:id="111"/>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bookmarkStart w:id="112" w:name="OLE_LINK62"/>
      <w:r>
        <w:rPr>
          <w:rFonts w:hint="eastAsia" w:ascii="宋体" w:hAnsi="宋体" w:eastAsia="宋体" w:cs="宋体"/>
          <w:color w:val="000000"/>
          <w:sz w:val="24"/>
          <w:szCs w:val="24"/>
          <w:highlight w:val="none"/>
        </w:rPr>
        <w:t>确保安全生产技术组织措施</w:t>
      </w:r>
      <w:bookmarkEnd w:id="112"/>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113" w:name="OLE_LINK63"/>
      <w:r>
        <w:rPr>
          <w:rFonts w:hint="eastAsia" w:ascii="宋体" w:hAnsi="宋体" w:eastAsia="宋体" w:cs="宋体"/>
          <w:color w:val="000000"/>
          <w:sz w:val="24"/>
          <w:szCs w:val="24"/>
          <w:highlight w:val="none"/>
        </w:rPr>
        <w:t>确保文明施工的技术组织措施</w:t>
      </w:r>
      <w:bookmarkEnd w:id="113"/>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bookmarkStart w:id="114" w:name="OLE_LINK64"/>
      <w:r>
        <w:rPr>
          <w:rFonts w:hint="eastAsia" w:ascii="宋体" w:hAnsi="宋体" w:eastAsia="宋体" w:cs="宋体"/>
          <w:color w:val="000000"/>
          <w:sz w:val="24"/>
          <w:szCs w:val="24"/>
          <w:highlight w:val="none"/>
        </w:rPr>
        <w:t>确保环境保护组织措施</w:t>
      </w:r>
      <w:bookmarkEnd w:id="114"/>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bookmarkStart w:id="115" w:name="OLE_LINK65"/>
      <w:r>
        <w:rPr>
          <w:rFonts w:hint="eastAsia" w:ascii="宋体" w:hAnsi="宋体" w:eastAsia="宋体" w:cs="宋体"/>
          <w:color w:val="000000"/>
          <w:sz w:val="24"/>
          <w:szCs w:val="24"/>
          <w:highlight w:val="none"/>
        </w:rPr>
        <w:t>确保工期的技术组织措施</w:t>
      </w:r>
      <w:bookmarkEnd w:id="115"/>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Start w:id="116" w:name="OLE_LINK66"/>
      <w:r>
        <w:rPr>
          <w:rFonts w:hint="eastAsia" w:ascii="宋体" w:hAnsi="宋体" w:eastAsia="宋体" w:cs="宋体"/>
          <w:color w:val="000000"/>
          <w:sz w:val="24"/>
          <w:szCs w:val="24"/>
          <w:highlight w:val="none"/>
        </w:rPr>
        <w:t>施工方案</w:t>
      </w:r>
      <w:bookmarkEnd w:id="116"/>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bookmarkStart w:id="117" w:name="OLE_LINK67"/>
      <w:r>
        <w:rPr>
          <w:rFonts w:hint="eastAsia" w:ascii="宋体" w:hAnsi="宋体" w:eastAsia="宋体" w:cs="宋体"/>
          <w:color w:val="000000"/>
          <w:sz w:val="24"/>
          <w:szCs w:val="24"/>
          <w:highlight w:val="none"/>
          <w:lang w:val="en-US" w:eastAsia="zh-CN"/>
        </w:rPr>
        <w:t>施工资源配备计划</w:t>
      </w:r>
      <w:bookmarkEnd w:id="117"/>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8.0</w:t>
      </w:r>
      <w:r>
        <w:rPr>
          <w:rFonts w:hint="eastAsia" w:ascii="宋体" w:hAnsi="宋体" w:eastAsia="宋体" w:cs="宋体"/>
          <w:color w:val="000000"/>
          <w:sz w:val="24"/>
          <w:szCs w:val="24"/>
          <w:highlight w:val="none"/>
        </w:rPr>
        <w:t>分</w:t>
      </w:r>
    </w:p>
    <w:p>
      <w:pPr>
        <w:adjustRightInd w:val="0"/>
        <w:snapToGrid w:val="0"/>
        <w:spacing w:line="360" w:lineRule="auto"/>
        <w:ind w:firstLine="720" w:firstLineChars="300"/>
        <w:rPr>
          <w:rFonts w:hint="default" w:ascii="宋体" w:hAnsi="宋体" w:eastAsia="宋体" w:cs="宋体"/>
          <w:b/>
          <w:bCs/>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lang w:eastAsia="zh-CN"/>
        </w:rPr>
        <w:t>）</w:t>
      </w:r>
      <w:bookmarkStart w:id="118" w:name="OLE_LINK82"/>
      <w:r>
        <w:rPr>
          <w:rFonts w:hint="eastAsia" w:ascii="宋体" w:hAnsi="宋体" w:eastAsia="宋体" w:cs="宋体"/>
          <w:color w:val="000000"/>
          <w:sz w:val="24"/>
          <w:szCs w:val="24"/>
          <w:highlight w:val="none"/>
        </w:rPr>
        <w:t>针对本项目提供详细的</w:t>
      </w:r>
      <w:bookmarkStart w:id="119" w:name="OLE_LINK104"/>
      <w:r>
        <w:rPr>
          <w:rFonts w:hint="eastAsia" w:ascii="宋体" w:hAnsi="宋体" w:eastAsia="宋体" w:cs="宋体"/>
          <w:color w:val="000000"/>
          <w:sz w:val="24"/>
          <w:szCs w:val="24"/>
          <w:highlight w:val="none"/>
        </w:rPr>
        <w:t>工程完工后服务方案</w:t>
      </w:r>
      <w:bookmarkEnd w:id="119"/>
      <w:r>
        <w:rPr>
          <w:rFonts w:hint="eastAsia" w:ascii="宋体" w:hAnsi="宋体" w:cs="宋体"/>
          <w:color w:val="000000"/>
          <w:sz w:val="24"/>
          <w:szCs w:val="24"/>
          <w:highlight w:val="none"/>
          <w:lang w:val="en-US" w:eastAsia="zh-CN"/>
        </w:rPr>
        <w:t xml:space="preserve"> </w:t>
      </w:r>
      <w:bookmarkEnd w:id="118"/>
      <w:r>
        <w:rPr>
          <w:rFonts w:hint="eastAsia" w:ascii="宋体" w:hAnsi="宋体" w:cs="宋体"/>
          <w:color w:val="000000"/>
          <w:sz w:val="24"/>
          <w:szCs w:val="24"/>
          <w:highlight w:val="none"/>
          <w:lang w:val="en-US" w:eastAsia="zh-CN"/>
        </w:rPr>
        <w:t xml:space="preserve">    1.0--2.0分</w:t>
      </w:r>
    </w:p>
    <w:p>
      <w:pPr>
        <w:pStyle w:val="18"/>
        <w:widowControl/>
        <w:tabs>
          <w:tab w:val="left" w:pos="1506"/>
        </w:tabs>
        <w:adjustRightInd w:val="0"/>
        <w:snapToGrid w:val="0"/>
        <w:spacing w:line="360" w:lineRule="auto"/>
        <w:ind w:firstLine="718" w:firstLineChars="298"/>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技术部分得分=</w:t>
      </w:r>
      <w:r>
        <w:rPr>
          <w:rFonts w:hint="eastAsia" w:ascii="宋体" w:hAnsi="宋体" w:eastAsia="宋体" w:cs="宋体"/>
          <w:b/>
          <w:color w:val="000000"/>
          <w:kern w:val="0"/>
          <w:sz w:val="24"/>
          <w:szCs w:val="24"/>
          <w:highlight w:val="none"/>
        </w:rPr>
        <w:t>∑技术部分单项得分</w:t>
      </w:r>
    </w:p>
    <w:p>
      <w:pPr>
        <w:pStyle w:val="18"/>
        <w:widowControl/>
        <w:tabs>
          <w:tab w:val="left" w:pos="1506"/>
        </w:tabs>
        <w:adjustRightInd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2.2.4  商务部分评审</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商务部分评审内容及分值如下：</w:t>
      </w:r>
    </w:p>
    <w:p>
      <w:pPr>
        <w:pStyle w:val="2"/>
        <w:rPr>
          <w:rFonts w:hint="eastAsia" w:ascii="宋体" w:hAnsi="宋体" w:eastAsia="宋体" w:cs="宋体"/>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bookmarkStart w:id="120" w:name="OLE_LINK68"/>
      <w:r>
        <w:rPr>
          <w:rFonts w:hint="eastAsia" w:ascii="宋体" w:hAnsi="宋体" w:eastAsia="宋体" w:cs="宋体"/>
          <w:color w:val="000000"/>
          <w:sz w:val="24"/>
          <w:szCs w:val="24"/>
          <w:highlight w:val="none"/>
          <w:lang w:val="en-US" w:eastAsia="zh-CN"/>
        </w:rPr>
        <w:t>业绩</w:t>
      </w:r>
      <w:bookmarkEnd w:id="120"/>
      <w:r>
        <w:rPr>
          <w:rFonts w:hint="eastAsia" w:ascii="宋体" w:hAnsi="宋体" w:eastAsia="宋体" w:cs="宋体"/>
          <w:color w:val="000000"/>
          <w:sz w:val="24"/>
          <w:szCs w:val="24"/>
          <w:highlight w:val="none"/>
          <w:lang w:val="en-US" w:eastAsia="zh-CN"/>
        </w:rPr>
        <w:t>3分。</w:t>
      </w:r>
      <w:bookmarkStart w:id="121" w:name="OLE_LINK69"/>
      <w:r>
        <w:rPr>
          <w:rFonts w:hint="eastAsia" w:ascii="宋体" w:hAnsi="宋体" w:eastAsia="宋体" w:cs="宋体"/>
          <w:color w:val="000000"/>
          <w:sz w:val="24"/>
          <w:szCs w:val="24"/>
          <w:highlight w:val="none"/>
          <w:lang w:val="en-US" w:eastAsia="zh-CN"/>
        </w:rPr>
        <w:t>供应商提供近三年(</w:t>
      </w:r>
      <w:bookmarkStart w:id="122" w:name="OLE_LINK9"/>
      <w:r>
        <w:rPr>
          <w:rFonts w:hint="eastAsia" w:ascii="宋体" w:hAnsi="宋体" w:eastAsia="宋体" w:cs="宋体"/>
          <w:color w:val="000000"/>
          <w:sz w:val="24"/>
          <w:szCs w:val="24"/>
          <w:highlight w:val="none"/>
          <w:lang w:val="en-US" w:eastAsia="zh-CN"/>
        </w:rPr>
        <w:t>2022年5月至今</w:t>
      </w:r>
      <w:bookmarkEnd w:id="122"/>
      <w:r>
        <w:rPr>
          <w:rFonts w:hint="eastAsia" w:ascii="宋体" w:hAnsi="宋体" w:eastAsia="宋体" w:cs="宋体"/>
          <w:color w:val="000000"/>
          <w:sz w:val="24"/>
          <w:szCs w:val="24"/>
          <w:highlight w:val="none"/>
          <w:lang w:val="en-US" w:eastAsia="zh-CN"/>
        </w:rPr>
        <w:t>）完成过的同类或类似项目业绩（以合同签订时间为准，业绩证明材料以合同准），每提供1份合同计1分，最高得3分。</w:t>
      </w:r>
    </w:p>
    <w:bookmarkEnd w:id="121"/>
    <w:p>
      <w:pPr>
        <w:pStyle w:val="18"/>
        <w:keepNext w:val="0"/>
        <w:keepLines w:val="0"/>
        <w:pageBreakBefore w:val="0"/>
        <w:widowControl/>
        <w:tabs>
          <w:tab w:val="left" w:pos="1506"/>
        </w:tabs>
        <w:kinsoku/>
        <w:wordWrap/>
        <w:overflowPunct/>
        <w:topLinePunct w:val="0"/>
        <w:bidi w:val="0"/>
        <w:adjustRightInd w:val="0"/>
        <w:snapToGrid w:val="0"/>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bookmarkStart w:id="123" w:name="OLE_LINK70"/>
      <w:r>
        <w:rPr>
          <w:rFonts w:hint="eastAsia" w:ascii="宋体" w:hAnsi="宋体" w:eastAsia="宋体" w:cs="宋体"/>
          <w:color w:val="000000"/>
          <w:kern w:val="2"/>
          <w:sz w:val="24"/>
          <w:szCs w:val="24"/>
          <w:highlight w:val="none"/>
          <w:lang w:val="en-US" w:eastAsia="zh-CN" w:bidi="ar-SA"/>
        </w:rPr>
        <w:t>对本项目的详细人员配备情况</w:t>
      </w:r>
      <w:bookmarkEnd w:id="123"/>
      <w:r>
        <w:rPr>
          <w:rFonts w:hint="eastAsia" w:ascii="宋体" w:hAnsi="宋体" w:eastAsia="宋体" w:cs="宋体"/>
          <w:color w:val="000000"/>
          <w:kern w:val="2"/>
          <w:sz w:val="24"/>
          <w:szCs w:val="24"/>
          <w:highlight w:val="none"/>
          <w:lang w:val="en-US" w:eastAsia="zh-CN" w:bidi="ar-SA"/>
        </w:rPr>
        <w:t>。</w:t>
      </w:r>
      <w:bookmarkStart w:id="124" w:name="OLE_LINK71"/>
      <w:r>
        <w:rPr>
          <w:rFonts w:hint="eastAsia" w:ascii="宋体" w:hAnsi="宋体" w:eastAsia="宋体" w:cs="宋体"/>
          <w:color w:val="000000"/>
          <w:kern w:val="2"/>
          <w:sz w:val="24"/>
          <w:szCs w:val="24"/>
          <w:highlight w:val="none"/>
          <w:lang w:val="en-US" w:eastAsia="zh-CN" w:bidi="ar-SA"/>
        </w:rPr>
        <w:t>要求拟派项目成员相关专业人员搭配合理，岗位分工明确、职责清晰，根据人员配备综合评比</w:t>
      </w:r>
      <w:r>
        <w:rPr>
          <w:rFonts w:hint="eastAsia" w:ascii="宋体" w:hAnsi="宋体" w:cs="宋体"/>
          <w:color w:val="000000"/>
          <w:kern w:val="2"/>
          <w:sz w:val="24"/>
          <w:szCs w:val="24"/>
          <w:highlight w:val="none"/>
          <w:lang w:val="en-US" w:eastAsia="zh-CN" w:bidi="ar-SA"/>
        </w:rPr>
        <w:t>得0-</w:t>
      </w:r>
      <w:r>
        <w:rPr>
          <w:rFonts w:hint="eastAsia" w:ascii="宋体" w:hAnsi="宋体" w:eastAsia="宋体" w:cs="宋体"/>
          <w:color w:val="000000"/>
          <w:kern w:val="2"/>
          <w:sz w:val="24"/>
          <w:szCs w:val="24"/>
          <w:highlight w:val="none"/>
          <w:lang w:val="en-US" w:eastAsia="zh-CN" w:bidi="ar-SA"/>
        </w:rPr>
        <w:t>7分，没有的不得分。</w:t>
      </w:r>
      <w:bookmarkEnd w:id="124"/>
    </w:p>
    <w:p>
      <w:pPr>
        <w:pStyle w:val="18"/>
        <w:widowControl/>
        <w:tabs>
          <w:tab w:val="left" w:pos="1506"/>
        </w:tabs>
        <w:adjustRightInd w:val="0"/>
        <w:snapToGrid w:val="0"/>
        <w:spacing w:before="120" w:beforeLines="50"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商务部分得分=</w:t>
      </w:r>
      <w:r>
        <w:rPr>
          <w:rFonts w:hint="eastAsia" w:ascii="宋体" w:hAnsi="宋体" w:eastAsia="宋体" w:cs="宋体"/>
          <w:b/>
          <w:color w:val="000000"/>
          <w:kern w:val="0"/>
          <w:sz w:val="24"/>
          <w:szCs w:val="24"/>
          <w:highlight w:val="none"/>
        </w:rPr>
        <w:t>∑商务部分单项得分</w:t>
      </w:r>
    </w:p>
    <w:p>
      <w:pPr>
        <w:pStyle w:val="18"/>
        <w:widowControl/>
        <w:tabs>
          <w:tab w:val="left" w:pos="1506"/>
        </w:tabs>
        <w:adjustRightInd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2.2.5 评审总得分</w:t>
      </w:r>
    </w:p>
    <w:p>
      <w:pPr>
        <w:pStyle w:val="18"/>
        <w:widowControl/>
        <w:tabs>
          <w:tab w:val="left" w:pos="1506"/>
        </w:tabs>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2.2.5.1 评审总得分为磋商报价、技术部分、商务部分等评分项得分之和。评审总得分按下例公式计算：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评审总得分＝F1＋F2＋……＋Fn</w:t>
      </w:r>
    </w:p>
    <w:p>
      <w:pPr>
        <w:pStyle w:val="18"/>
        <w:widowControl/>
        <w:tabs>
          <w:tab w:val="left" w:pos="1506"/>
        </w:tabs>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F1、F2……Fn分别为各项评审因素的汇总得分</w:t>
      </w:r>
    </w:p>
    <w:p>
      <w:pPr>
        <w:pStyle w:val="18"/>
        <w:widowControl/>
        <w:tabs>
          <w:tab w:val="left" w:pos="1506"/>
        </w:tabs>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2.2.5.2评审过程中，不得去掉报价中的最高报价和最低报价。</w:t>
      </w:r>
    </w:p>
    <w:p>
      <w:pPr>
        <w:pStyle w:val="18"/>
        <w:widowControl/>
        <w:tabs>
          <w:tab w:val="left" w:pos="1506"/>
        </w:tabs>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2.2.5.3</w:t>
      </w:r>
      <w:r>
        <w:rPr>
          <w:rFonts w:hint="eastAsia" w:ascii="宋体" w:hAnsi="宋体" w:eastAsia="宋体" w:cs="宋体"/>
          <w:color w:val="000000"/>
          <w:sz w:val="24"/>
          <w:szCs w:val="24"/>
          <w:highlight w:val="none"/>
        </w:rPr>
        <w:t>评审时，磋商小组成员应当独立对满足磋商文件全部实质性要求供应商的</w:t>
      </w:r>
      <w:r>
        <w:rPr>
          <w:rFonts w:hint="eastAsia" w:ascii="宋体" w:hAnsi="宋体" w:eastAsia="宋体" w:cs="宋体"/>
          <w:bCs/>
          <w:color w:val="000000"/>
          <w:sz w:val="24"/>
          <w:szCs w:val="24"/>
          <w:highlight w:val="none"/>
        </w:rPr>
        <w:t>响应文件</w:t>
      </w:r>
      <w:r>
        <w:rPr>
          <w:rFonts w:hint="eastAsia" w:ascii="宋体" w:hAnsi="宋体" w:eastAsia="宋体" w:cs="宋体"/>
          <w:color w:val="000000"/>
          <w:sz w:val="24"/>
          <w:szCs w:val="24"/>
          <w:highlight w:val="none"/>
        </w:rPr>
        <w:t>进行评价、评分，然后汇总每个供应商每项评分因素的得分。每个供应商的最终得分为所有磋商小组成员评分的算术平均值。</w:t>
      </w:r>
    </w:p>
    <w:p>
      <w:pPr>
        <w:widowControl/>
        <w:autoSpaceDE w:val="0"/>
        <w:autoSpaceDN w:val="0"/>
        <w:spacing w:before="360" w:beforeLines="150" w:after="120" w:afterLines="50" w:line="360" w:lineRule="auto"/>
        <w:ind w:right="51"/>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特殊情况的处理</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响应文件中如果出现前后不一致的，按照下列规定修正：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（1）响应文件中的大写金额与小写金额不一致的，以大写金额为准；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（2）响应文件中的总报价与按单价计算的汇总报价不一致的，以单价计算的汇总报价为准；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（3）响应文件中的报价有明显小数点错误的，以总报价为准，并修改报价；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（4）响应文件中有关分项表内容与“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报价一览表”不一致的，以“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（5）响应文件中图表与文字表述不一致的，以文字表述为准；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（6）响应文件正本与副本不一致的，以正本为准；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（7）对不同文字文本响应文件的解释发生异议的，以中文文本为准。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按上述修正错误的方法调整的报价应对供应商具有约束力。如果供应商不接受修正后的价格，</w:t>
      </w:r>
      <w:r>
        <w:rPr>
          <w:rFonts w:hint="eastAsia" w:ascii="宋体" w:hAnsi="宋体" w:eastAsia="宋体" w:cs="宋体"/>
          <w:b/>
          <w:color w:val="auto"/>
          <w:sz w:val="24"/>
          <w:szCs w:val="24"/>
          <w:highlight w:val="none"/>
        </w:rPr>
        <w:t>其响应文件将被拒绝</w:t>
      </w:r>
      <w:r>
        <w:rPr>
          <w:rFonts w:hint="eastAsia" w:ascii="宋体" w:hAnsi="宋体" w:eastAsia="宋体" w:cs="宋体"/>
          <w:color w:val="auto"/>
          <w:sz w:val="24"/>
          <w:szCs w:val="24"/>
          <w:highlight w:val="none"/>
        </w:rPr>
        <w:t>。</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评审过程中，各种数字的计算结果，均保留两位小数，第三位“四舍五入”，但计算百分数时应精确到千分位，万分位“四舍五入”。</w:t>
      </w:r>
    </w:p>
    <w:p>
      <w:pPr>
        <w:adjustRightInd w:val="0"/>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kern w:val="0"/>
          <w:sz w:val="24"/>
          <w:szCs w:val="24"/>
          <w:highlight w:val="none"/>
        </w:rPr>
        <w:t>报价异常处理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2.3.2磋商报价异常处理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2.3.2.1 磋商小组认为供应商的最后报价明显低于其他通过资格性、符合性审查供应商的最后报价，有可能影响工程质量或者不能诚信履约的，应当要求其在评审现场合理的时间内提供书面说明，必要时提交相关证明材料。</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2.3.2.2 供应商证明其能够诚信履约，并承诺成交后提供磋商文件规定以外的履约担保的，可以继续参加评审，否则磋商小组应当将其作为无效响应文件处理。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2.3.3 磋商小组成员打分超过得分界限或未按本办法赋分时，该成员的打分，按废票处理。</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2.3.4 评审过程中，各种数字的计算结果，均保留两位小数，第三位“四舍五入”，但计算百分数时应精确到千分位，万分位“四舍五入”。</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2.3.5 评审过程中，若出现本磋商办法以外的特殊情况时，将暂停评审，待磋商小组商榷后，再进行评审。</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2.3.6 评审过程中，若出现合格供应商不足3家时，采购人将依法重新组织采购活动。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2.3.7 评审报告签署后，采购人或者采购代理机构发现存在本章第1.7.2条款情形之一的，应当组织原磋商小组进行重新评审，重新评审改变成交结果的，书面报告本级财政部门。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2.3.8 采购人、采购代理机构发现磋商小组未按照磋商文件规定的评审标准进行评审的，应当重新开展采购活动，并同时书面报告本级财政部门。</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2.3.9评审争议处理原则</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tabs>
          <w:tab w:val="left" w:pos="7665"/>
        </w:tabs>
        <w:spacing w:line="360" w:lineRule="auto"/>
        <w:ind w:firstLine="482"/>
        <w:rPr>
          <w:rFonts w:hint="eastAsia" w:ascii="宋体" w:hAnsi="宋体" w:eastAsia="宋体" w:cs="宋体"/>
          <w:color w:val="auto"/>
          <w:spacing w:val="2"/>
          <w:sz w:val="24"/>
          <w:highlight w:val="none"/>
        </w:rPr>
      </w:pPr>
      <w:bookmarkStart w:id="125" w:name="_Toc20651224"/>
      <w:r>
        <w:rPr>
          <w:rFonts w:hint="eastAsia" w:ascii="宋体" w:hAnsi="宋体" w:eastAsia="宋体" w:cs="宋体"/>
          <w:color w:val="auto"/>
          <w:spacing w:val="2"/>
          <w:sz w:val="24"/>
          <w:highlight w:val="none"/>
        </w:rPr>
        <w:t>2.3.10停止评</w:t>
      </w:r>
      <w:bookmarkEnd w:id="125"/>
      <w:r>
        <w:rPr>
          <w:rFonts w:hint="eastAsia" w:ascii="宋体" w:hAnsi="宋体" w:eastAsia="宋体" w:cs="宋体"/>
          <w:color w:val="auto"/>
          <w:spacing w:val="2"/>
          <w:sz w:val="24"/>
          <w:highlight w:val="none"/>
        </w:rPr>
        <w:t>审</w:t>
      </w:r>
    </w:p>
    <w:p>
      <w:pPr>
        <w:tabs>
          <w:tab w:val="left" w:pos="7665"/>
        </w:tabs>
        <w:spacing w:line="360" w:lineRule="auto"/>
        <w:ind w:firstLine="482"/>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pPr>
        <w:tabs>
          <w:tab w:val="left" w:pos="7665"/>
        </w:tabs>
        <w:spacing w:line="360" w:lineRule="auto"/>
        <w:ind w:firstLine="482"/>
        <w:rPr>
          <w:rFonts w:hint="eastAsia" w:ascii="宋体" w:hAnsi="宋体" w:eastAsia="宋体" w:cs="宋体"/>
          <w:color w:val="auto"/>
          <w:spacing w:val="2"/>
          <w:sz w:val="24"/>
          <w:highlight w:val="none"/>
        </w:rPr>
      </w:pPr>
      <w:bookmarkStart w:id="126" w:name="_Toc20651225"/>
      <w:r>
        <w:rPr>
          <w:rFonts w:hint="eastAsia" w:ascii="宋体" w:hAnsi="宋体" w:eastAsia="宋体" w:cs="宋体"/>
          <w:color w:val="auto"/>
          <w:spacing w:val="2"/>
          <w:sz w:val="24"/>
          <w:highlight w:val="none"/>
        </w:rPr>
        <w:t>2.3.11采购人、采购代理机构发现磋商小组未按照磋商文件规定的评审标准进行评审的，应当重新开展采购活动，并同时书面报告本级财政部门。</w:t>
      </w:r>
    </w:p>
    <w:bookmarkEnd w:id="126"/>
    <w:p>
      <w:pPr>
        <w:tabs>
          <w:tab w:val="left" w:pos="7665"/>
        </w:tabs>
        <w:spacing w:line="360" w:lineRule="auto"/>
        <w:ind w:firstLine="482"/>
        <w:rPr>
          <w:rFonts w:hint="eastAsia" w:ascii="宋体" w:hAnsi="宋体" w:eastAsia="宋体" w:cs="宋体"/>
          <w:color w:val="auto"/>
          <w:spacing w:val="2"/>
          <w:sz w:val="24"/>
          <w:highlight w:val="none"/>
        </w:rPr>
      </w:pPr>
    </w:p>
    <w:p>
      <w:pPr>
        <w:numPr>
          <w:ilvl w:val="0"/>
          <w:numId w:val="0"/>
        </w:numPr>
        <w:tabs>
          <w:tab w:val="left" w:pos="7665"/>
        </w:tabs>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spacing w:val="2"/>
          <w:sz w:val="24"/>
          <w:highlight w:val="none"/>
          <w:lang w:eastAsia="zh-CN"/>
        </w:rPr>
        <w:br w:type="page"/>
      </w:r>
      <w:bookmarkStart w:id="127" w:name="_Toc15231"/>
      <w:r>
        <w:rPr>
          <w:rFonts w:hint="eastAsia" w:ascii="宋体" w:hAnsi="宋体" w:eastAsia="宋体" w:cs="宋体"/>
          <w:b/>
          <w:bCs/>
          <w:color w:val="auto"/>
          <w:sz w:val="32"/>
          <w:szCs w:val="32"/>
          <w:highlight w:val="none"/>
          <w:lang w:val="en-US" w:eastAsia="zh-CN"/>
        </w:rPr>
        <w:t xml:space="preserve">第五章  </w:t>
      </w:r>
      <w:r>
        <w:rPr>
          <w:rFonts w:hint="eastAsia" w:ascii="宋体" w:hAnsi="宋体" w:eastAsia="宋体" w:cs="宋体"/>
          <w:b/>
          <w:bCs/>
          <w:color w:val="auto"/>
          <w:sz w:val="32"/>
          <w:szCs w:val="32"/>
          <w:highlight w:val="none"/>
        </w:rPr>
        <w:t>采购</w:t>
      </w:r>
      <w:bookmarkEnd w:id="109"/>
      <w:r>
        <w:rPr>
          <w:rFonts w:hint="eastAsia" w:ascii="宋体" w:hAnsi="宋体" w:eastAsia="宋体" w:cs="宋体"/>
          <w:b/>
          <w:bCs/>
          <w:color w:val="auto"/>
          <w:sz w:val="32"/>
          <w:szCs w:val="32"/>
          <w:highlight w:val="none"/>
        </w:rPr>
        <w:t>需求</w:t>
      </w:r>
      <w:bookmarkEnd w:id="127"/>
    </w:p>
    <w:p>
      <w:pPr>
        <w:pStyle w:val="4"/>
        <w:pageBreakBefore w:val="0"/>
        <w:kinsoku/>
        <w:wordWrap/>
        <w:overflowPunct/>
        <w:topLinePunct w:val="0"/>
        <w:bidi w:val="0"/>
        <w:adjustRightInd/>
        <w:snapToGrid/>
        <w:spacing w:line="500" w:lineRule="exact"/>
        <w:ind w:left="0" w:leftChars="0" w:firstLine="0" w:firstLineChars="0"/>
        <w:rPr>
          <w:rFonts w:hint="eastAsia" w:ascii="宋体" w:hAnsi="宋体" w:eastAsia="宋体" w:cs="宋体"/>
          <w:color w:val="auto"/>
          <w:sz w:val="24"/>
          <w:szCs w:val="24"/>
          <w:highlight w:val="none"/>
          <w:lang w:val="en-US" w:eastAsia="zh-CN"/>
        </w:rPr>
      </w:pPr>
      <w:bookmarkStart w:id="128" w:name="_Toc26240"/>
      <w:r>
        <w:rPr>
          <w:rFonts w:hint="eastAsia" w:ascii="宋体" w:hAnsi="宋体" w:eastAsia="宋体" w:cs="宋体"/>
          <w:color w:val="auto"/>
          <w:sz w:val="24"/>
          <w:szCs w:val="24"/>
          <w:highlight w:val="none"/>
        </w:rPr>
        <w:t>1.项目概况及</w:t>
      </w:r>
      <w:r>
        <w:rPr>
          <w:rFonts w:hint="eastAsia" w:ascii="宋体" w:hAnsi="宋体" w:eastAsia="宋体" w:cs="宋体"/>
          <w:color w:val="auto"/>
          <w:sz w:val="24"/>
          <w:szCs w:val="24"/>
          <w:highlight w:val="none"/>
          <w:lang w:val="en-US" w:eastAsia="zh-CN"/>
        </w:rPr>
        <w:t>采购内容</w:t>
      </w:r>
      <w:bookmarkEnd w:id="128"/>
    </w:p>
    <w:p>
      <w:pPr>
        <w:pStyle w:val="5"/>
        <w:pageBreakBefore w:val="0"/>
        <w:numPr>
          <w:ilvl w:val="0"/>
          <w:numId w:val="0"/>
        </w:numPr>
        <w:kinsoku/>
        <w:wordWrap/>
        <w:overflowPunct/>
        <w:topLinePunct w:val="0"/>
        <w:bidi w:val="0"/>
        <w:adjustRightInd/>
        <w:snapToGrid/>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项目名称：凤县嘉陵江凤州镇段水毁修复工程</w:t>
      </w:r>
    </w:p>
    <w:p>
      <w:pPr>
        <w:pStyle w:val="5"/>
        <w:pageBreakBefore w:val="0"/>
        <w:numPr>
          <w:ilvl w:val="0"/>
          <w:numId w:val="0"/>
        </w:numPr>
        <w:kinsoku/>
        <w:wordWrap/>
        <w:overflowPunct/>
        <w:topLinePunct w:val="0"/>
        <w:bidi w:val="0"/>
        <w:adjustRightInd/>
        <w:snapToGrid/>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    期：40日历天</w:t>
      </w:r>
    </w:p>
    <w:p>
      <w:pPr>
        <w:pStyle w:val="4"/>
        <w:pageBreakBefore w:val="0"/>
        <w:kinsoku/>
        <w:wordWrap/>
        <w:overflowPunct/>
        <w:topLinePunct w:val="0"/>
        <w:bidi w:val="0"/>
        <w:adjustRightInd/>
        <w:snapToGrid/>
        <w:spacing w:line="5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采购需求：</w:t>
      </w:r>
      <w:bookmarkStart w:id="129" w:name="_Toc318"/>
      <w:r>
        <w:rPr>
          <w:rFonts w:hint="eastAsia" w:ascii="宋体" w:hAnsi="宋体" w:eastAsia="宋体" w:cs="宋体"/>
          <w:b w:val="0"/>
          <w:bCs w:val="0"/>
          <w:color w:val="auto"/>
          <w:sz w:val="24"/>
          <w:szCs w:val="24"/>
          <w:highlight w:val="none"/>
          <w:lang w:val="en-US" w:eastAsia="zh-CN"/>
        </w:rPr>
        <w:t>（详见工程量清单）</w:t>
      </w:r>
    </w:p>
    <w:p>
      <w:pPr>
        <w:pStyle w:val="4"/>
        <w:pageBreakBefore w:val="0"/>
        <w:kinsoku/>
        <w:wordWrap/>
        <w:overflowPunct/>
        <w:topLinePunct w:val="0"/>
        <w:bidi w:val="0"/>
        <w:adjustRightInd/>
        <w:snapToGrid/>
        <w:spacing w:line="5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总体要求</w:t>
      </w:r>
      <w:bookmarkEnd w:id="129"/>
    </w:p>
    <w:p>
      <w:pPr>
        <w:pageBreakBefore w:val="0"/>
        <w:widowControl/>
        <w:kinsoku/>
        <w:wordWrap/>
        <w:overflowPunct/>
        <w:topLinePunct w:val="0"/>
        <w:autoSpaceDE w:val="0"/>
        <w:autoSpaceDN w:val="0"/>
        <w:bidi w:val="0"/>
        <w:adjustRightInd/>
        <w:snapToGrid/>
        <w:spacing w:line="500" w:lineRule="exact"/>
        <w:ind w:left="0" w:leftChars="0" w:right="51" w:firstLine="0" w:firstLineChars="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技术要求</w:t>
      </w:r>
    </w:p>
    <w:p>
      <w:pPr>
        <w:pStyle w:val="5"/>
        <w:pageBreakBefore w:val="0"/>
        <w:kinsoku/>
        <w:wordWrap/>
        <w:overflowPunct/>
        <w:topLinePunct w:val="0"/>
        <w:bidi w:val="0"/>
        <w:adjustRightInd/>
        <w:snapToGrid/>
        <w:spacing w:line="500" w:lineRule="exact"/>
        <w:ind w:left="19" w:leftChars="9" w:firstLine="456" w:firstLineChars="19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工程</w:t>
      </w:r>
      <w:r>
        <w:rPr>
          <w:rFonts w:hint="eastAsia" w:ascii="宋体" w:hAnsi="宋体" w:eastAsia="宋体" w:cs="宋体"/>
          <w:bCs/>
          <w:color w:val="auto"/>
          <w:sz w:val="24"/>
          <w:szCs w:val="24"/>
          <w:highlight w:val="none"/>
        </w:rPr>
        <w:t>需求</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（详见工程量清单）</w:t>
      </w:r>
    </w:p>
    <w:p>
      <w:pPr>
        <w:pStyle w:val="5"/>
        <w:pageBreakBefore w:val="0"/>
        <w:kinsoku/>
        <w:wordWrap/>
        <w:overflowPunct/>
        <w:topLinePunct w:val="0"/>
        <w:bidi w:val="0"/>
        <w:adjustRightInd/>
        <w:snapToGrid/>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rPr>
        <w:t>质量要求</w:t>
      </w:r>
    </w:p>
    <w:p>
      <w:pPr>
        <w:pStyle w:val="5"/>
        <w:pageBreakBefore w:val="0"/>
        <w:kinsoku/>
        <w:wordWrap/>
        <w:overflowPunct/>
        <w:topLinePunct w:val="0"/>
        <w:bidi w:val="0"/>
        <w:adjustRightInd/>
        <w:snapToGrid/>
        <w:spacing w:line="500" w:lineRule="exact"/>
        <w:ind w:left="0" w:leftChars="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val="en-US" w:eastAsia="zh-CN"/>
        </w:rPr>
        <w:t>质量标准：合格</w:t>
      </w:r>
    </w:p>
    <w:p>
      <w:pPr>
        <w:pageBreakBefore w:val="0"/>
        <w:widowControl/>
        <w:kinsoku/>
        <w:wordWrap/>
        <w:overflowPunct/>
        <w:topLinePunct w:val="0"/>
        <w:autoSpaceDE w:val="0"/>
        <w:autoSpaceDN w:val="0"/>
        <w:bidi w:val="0"/>
        <w:adjustRightInd/>
        <w:snapToGrid/>
        <w:spacing w:line="500" w:lineRule="exact"/>
        <w:ind w:right="51" w:firstLine="118" w:firstLineChars="49"/>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商务要求</w:t>
      </w:r>
    </w:p>
    <w:p>
      <w:pPr>
        <w:pStyle w:val="5"/>
        <w:pageBreakBefore w:val="0"/>
        <w:kinsoku/>
        <w:wordWrap/>
        <w:overflowPunct/>
        <w:topLinePunct w:val="0"/>
        <w:bidi w:val="0"/>
        <w:adjustRightInd/>
        <w:snapToGrid/>
        <w:spacing w:line="500" w:lineRule="exact"/>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实施时间（期限）和地点：</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须知附表。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付款</w:t>
      </w:r>
      <w:r>
        <w:rPr>
          <w:rFonts w:hint="eastAsia" w:ascii="宋体" w:hAnsi="宋体" w:eastAsia="宋体" w:cs="宋体"/>
          <w:b/>
          <w:color w:val="auto"/>
          <w:sz w:val="24"/>
          <w:szCs w:val="24"/>
          <w:highlight w:val="none"/>
          <w:lang w:val="en-US" w:eastAsia="zh-CN"/>
        </w:rPr>
        <w:t>方式</w:t>
      </w:r>
      <w:r>
        <w:rPr>
          <w:rFonts w:hint="eastAsia" w:ascii="宋体" w:hAnsi="宋体" w:eastAsia="宋体" w:cs="宋体"/>
          <w:b/>
          <w:color w:val="auto"/>
          <w:sz w:val="24"/>
          <w:szCs w:val="24"/>
          <w:highlight w:val="none"/>
        </w:rPr>
        <w:t>：</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500" w:lineRule="exact"/>
        <w:ind w:firstLine="488" w:firstLineChars="200"/>
        <w:jc w:val="both"/>
        <w:textAlignment w:val="auto"/>
        <w:outlineLvl w:val="0"/>
        <w:rPr>
          <w:rFonts w:hint="eastAsia" w:ascii="宋体" w:hAnsi="宋体" w:eastAsia="宋体" w:cs="宋体"/>
          <w:color w:val="auto"/>
          <w:spacing w:val="2"/>
          <w:sz w:val="24"/>
          <w:highlight w:val="none"/>
          <w:lang w:eastAsia="zh-CN"/>
        </w:rPr>
      </w:pPr>
      <w:bookmarkStart w:id="130" w:name="_Toc10192"/>
      <w:bookmarkStart w:id="131" w:name="_Toc3124"/>
      <w:bookmarkStart w:id="132" w:name="_Toc26698"/>
      <w:bookmarkStart w:id="133" w:name="_Toc28539"/>
      <w:bookmarkStart w:id="134" w:name="_Toc452708689"/>
      <w:r>
        <w:rPr>
          <w:rFonts w:hint="eastAsia" w:ascii="宋体" w:hAnsi="宋体" w:eastAsia="宋体" w:cs="宋体"/>
          <w:color w:val="auto"/>
          <w:spacing w:val="2"/>
          <w:sz w:val="24"/>
          <w:highlight w:val="none"/>
          <w:lang w:eastAsia="zh-CN"/>
        </w:rPr>
        <w:t>发包人承诺按合同约定的条件、时间和方式向承包人支付合同价款:</w:t>
      </w:r>
      <w:bookmarkEnd w:id="130"/>
    </w:p>
    <w:p>
      <w:pPr>
        <w:pStyle w:val="29"/>
        <w:pageBreakBefore w:val="0"/>
        <w:kinsoku/>
        <w:wordWrap/>
        <w:overflowPunct/>
        <w:topLinePunct w:val="0"/>
        <w:bidi w:val="0"/>
        <w:adjustRightInd/>
        <w:snapToGrid/>
        <w:spacing w:line="500" w:lineRule="exac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lang w:val="en-US" w:eastAsia="zh-CN"/>
        </w:rPr>
        <w:t>（1）项目开工</w:t>
      </w:r>
      <w:r>
        <w:rPr>
          <w:rFonts w:hint="eastAsia" w:ascii="宋体" w:hAnsi="宋体" w:eastAsia="宋体" w:cs="宋体"/>
          <w:color w:val="auto"/>
          <w:spacing w:val="2"/>
          <w:sz w:val="24"/>
          <w:highlight w:val="none"/>
          <w:lang w:eastAsia="zh-CN"/>
        </w:rPr>
        <w:t>支付合同价的30%，剩余按进度付款至90</w:t>
      </w:r>
      <w:r>
        <w:rPr>
          <w:rFonts w:hint="eastAsia" w:ascii="宋体" w:hAnsi="宋体" w:eastAsia="宋体" w:cs="宋体"/>
          <w:color w:val="auto"/>
          <w:spacing w:val="2"/>
          <w:sz w:val="24"/>
          <w:highlight w:val="none"/>
          <w:lang w:val="en-US" w:eastAsia="zh-CN"/>
        </w:rPr>
        <w:t>%</w:t>
      </w:r>
      <w:r>
        <w:rPr>
          <w:rFonts w:hint="eastAsia" w:ascii="宋体" w:hAnsi="宋体" w:eastAsia="宋体" w:cs="宋体"/>
          <w:color w:val="auto"/>
          <w:spacing w:val="2"/>
          <w:sz w:val="24"/>
          <w:highlight w:val="none"/>
          <w:lang w:eastAsia="zh-CN"/>
        </w:rPr>
        <w:t>，审计验收结束后付100</w:t>
      </w:r>
      <w:r>
        <w:rPr>
          <w:rFonts w:hint="eastAsia" w:ascii="宋体" w:hAnsi="宋体" w:eastAsia="宋体" w:cs="宋体"/>
          <w:color w:val="auto"/>
          <w:spacing w:val="2"/>
          <w:sz w:val="24"/>
          <w:highlight w:val="none"/>
          <w:lang w:val="en-US" w:eastAsia="zh-CN"/>
        </w:rPr>
        <w:t>%</w:t>
      </w:r>
      <w:r>
        <w:rPr>
          <w:rFonts w:hint="eastAsia" w:ascii="宋体" w:hAnsi="宋体" w:eastAsia="宋体" w:cs="宋体"/>
          <w:color w:val="auto"/>
          <w:spacing w:val="2"/>
          <w:sz w:val="24"/>
          <w:highlight w:val="none"/>
          <w:lang w:eastAsia="zh-CN"/>
        </w:rPr>
        <w:t>。</w:t>
      </w:r>
    </w:p>
    <w:p>
      <w:pPr>
        <w:pStyle w:val="29"/>
        <w:pageBreakBefore w:val="0"/>
        <w:kinsoku/>
        <w:wordWrap/>
        <w:overflowPunct/>
        <w:topLinePunct w:val="0"/>
        <w:bidi w:val="0"/>
        <w:adjustRightInd/>
        <w:snapToGrid/>
        <w:spacing w:line="500" w:lineRule="exac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2</w:t>
      </w:r>
      <w:r>
        <w:rPr>
          <w:rFonts w:hint="eastAsia" w:ascii="宋体" w:hAnsi="宋体" w:eastAsia="宋体" w:cs="宋体"/>
          <w:color w:val="auto"/>
          <w:spacing w:val="2"/>
          <w:sz w:val="24"/>
          <w:highlight w:val="none"/>
          <w:lang w:eastAsia="zh-CN"/>
        </w:rPr>
        <w:t>）</w:t>
      </w:r>
      <w:bookmarkStart w:id="135" w:name="OLE_LINK5"/>
      <w:r>
        <w:rPr>
          <w:rFonts w:hint="eastAsia" w:ascii="宋体" w:hAnsi="宋体" w:eastAsia="宋体" w:cs="宋体"/>
          <w:color w:val="auto"/>
          <w:spacing w:val="2"/>
          <w:sz w:val="24"/>
          <w:highlight w:val="none"/>
          <w:lang w:eastAsia="zh-CN"/>
        </w:rPr>
        <w:t>尾款支付之前缴纳</w:t>
      </w:r>
      <w:r>
        <w:rPr>
          <w:rFonts w:hint="eastAsia" w:ascii="宋体" w:hAnsi="宋体" w:eastAsia="宋体" w:cs="宋体"/>
          <w:color w:val="auto"/>
          <w:spacing w:val="2"/>
          <w:sz w:val="24"/>
          <w:highlight w:val="none"/>
          <w:lang w:val="en-US" w:eastAsia="zh-CN"/>
        </w:rPr>
        <w:t>工程保修金</w:t>
      </w:r>
      <w:r>
        <w:rPr>
          <w:rFonts w:hint="eastAsia" w:ascii="宋体" w:hAnsi="宋体" w:eastAsia="宋体" w:cs="宋体"/>
          <w:color w:val="auto"/>
          <w:spacing w:val="2"/>
          <w:sz w:val="24"/>
          <w:highlight w:val="none"/>
          <w:lang w:eastAsia="zh-CN"/>
        </w:rPr>
        <w:t>3%，质保期一年。</w:t>
      </w:r>
    </w:p>
    <w:bookmarkEnd w:id="135"/>
    <w:p>
      <w:pPr>
        <w:pStyle w:val="8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2.2.3工程量清单：后附</w:t>
      </w: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pacing w:val="2"/>
          <w:sz w:val="28"/>
          <w:szCs w:val="28"/>
          <w:highlight w:val="none"/>
          <w:lang w:val="en-US" w:eastAsia="zh-CN"/>
        </w:rPr>
      </w:pPr>
      <w:r>
        <w:rPr>
          <w:rFonts w:hint="eastAsia" w:ascii="宋体" w:hAnsi="宋体" w:eastAsia="宋体" w:cs="宋体"/>
          <w:b/>
          <w:color w:val="auto"/>
          <w:kern w:val="2"/>
          <w:sz w:val="24"/>
          <w:szCs w:val="24"/>
          <w:highlight w:val="red"/>
          <w:lang w:val="en-US" w:eastAsia="zh-CN" w:bidi="ar-SA"/>
        </w:rPr>
        <w:br w:type="page"/>
      </w:r>
    </w:p>
    <w:p>
      <w:pPr>
        <w:keepNext w:val="0"/>
        <w:keepLines w:val="0"/>
        <w:pageBreakBefore w:val="0"/>
        <w:kinsoku/>
        <w:wordWrap/>
        <w:overflowPunct/>
        <w:topLinePunct w:val="0"/>
        <w:autoSpaceDE/>
        <w:autoSpaceDN/>
        <w:bidi w:val="0"/>
        <w:adjustRightInd/>
        <w:spacing w:after="160" w:line="500" w:lineRule="exact"/>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凤县嘉陵江凤州镇段水毁修复工程</w:t>
      </w:r>
    </w:p>
    <w:p>
      <w:pPr>
        <w:keepNext w:val="0"/>
        <w:keepLines w:val="0"/>
        <w:pageBreakBefore w:val="0"/>
        <w:kinsoku/>
        <w:wordWrap/>
        <w:overflowPunct/>
        <w:topLinePunct w:val="0"/>
        <w:autoSpaceDE/>
        <w:autoSpaceDN/>
        <w:bidi w:val="0"/>
        <w:adjustRightInd/>
        <w:spacing w:after="160" w:line="500" w:lineRule="exact"/>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编 制 说 明</w:t>
      </w:r>
    </w:p>
    <w:p>
      <w:pPr>
        <w:keepNext w:val="0"/>
        <w:keepLines w:val="0"/>
        <w:pageBreakBefore w:val="0"/>
        <w:numPr>
          <w:ilvl w:val="0"/>
          <w:numId w:val="0"/>
        </w:numPr>
        <w:kinsoku/>
        <w:wordWrap/>
        <w:overflowPunct/>
        <w:topLinePunct w:val="0"/>
        <w:autoSpaceDE/>
        <w:autoSpaceDN/>
        <w:bidi w:val="0"/>
        <w:adjustRightInd/>
        <w:spacing w:after="16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 xml:space="preserve">编制依据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陕西省水利厅关于发布试行&lt;陕西省水利工程设计概（估）算编制规定&gt;&lt;陕西省水利建筑工程概算定额&gt;等计价依据的批复（陕发改项目[2017]1606号）》《陕西省水利厅关于发布试行&lt;陕西省水利工程设计概（估）算编制规定&gt;&lt;陕西省水利建筑工程概算定额&gt;等计价依据的通知（陕水规计发[2019]66号）》《陕西省水利建筑工程预算定额2017》《陕西省水利设备安装工程预算定额2017》《陕西省水利水电施工机械台班费定额2017》等。</w:t>
      </w:r>
    </w:p>
    <w:p>
      <w:pPr>
        <w:keepNext w:val="0"/>
        <w:keepLines w:val="0"/>
        <w:pageBreakBefore w:val="0"/>
        <w:numPr>
          <w:ilvl w:val="0"/>
          <w:numId w:val="3"/>
        </w:numPr>
        <w:kinsoku/>
        <w:wordWrap/>
        <w:overflowPunct/>
        <w:topLinePunct w:val="0"/>
        <w:autoSpaceDE/>
        <w:autoSpaceDN/>
        <w:bidi w:val="0"/>
        <w:adjustRightInd/>
        <w:spacing w:line="500" w:lineRule="exact"/>
        <w:ind w:leftChars="0"/>
        <w:textAlignment w:val="auto"/>
        <w:rPr>
          <w:rFonts w:hint="eastAsia" w:ascii="宋体" w:hAnsi="宋体" w:eastAsia="宋体" w:cs="宋体"/>
          <w:sz w:val="28"/>
          <w:szCs w:val="28"/>
        </w:rPr>
      </w:pPr>
      <w:r>
        <w:rPr>
          <w:rFonts w:hint="eastAsia" w:ascii="宋体" w:hAnsi="宋体" w:eastAsia="宋体" w:cs="宋体"/>
          <w:sz w:val="28"/>
          <w:szCs w:val="28"/>
        </w:rPr>
        <w:t>编辑范围</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工程量清单内全部工程内容。</w:t>
      </w:r>
    </w:p>
    <w:p>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三、软件版本：易投造价软件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、具体说明事项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人工费执行陕发改项目[2017]1606 号文件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技工75 元/工日，普工 50 元/工日。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2、主要材料价参照《宝鸡市建筑动态与材料信息（2024年第3期）》及市场价计入。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3、施工临时工程费中，除已单独列项的临时工程费用外，其他施工临时工程费按建安工作量（不含其他临时工程费本身）的2%计列。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4、基本预备费按建筑工程、施工临时工程、环境保护措施及水土保持措施之和的4 %计取。</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360" w:lineRule="auto"/>
        <w:ind w:firstLine="488" w:firstLineChars="200"/>
        <w:jc w:val="both"/>
        <w:textAlignment w:val="auto"/>
        <w:outlineLvl w:val="9"/>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br w:type="page"/>
      </w:r>
    </w:p>
    <w:p>
      <w:pPr>
        <w:pStyle w:val="29"/>
        <w:rPr>
          <w:rFonts w:hint="eastAsia" w:ascii="宋体" w:hAnsi="宋体" w:eastAsia="宋体" w:cs="宋体"/>
          <w:lang w:val="en-US" w:eastAsia="zh-CN"/>
        </w:rPr>
      </w:pPr>
      <w:r>
        <w:rPr>
          <w:rFonts w:hint="eastAsia" w:ascii="宋体" w:hAnsi="宋体" w:eastAsia="宋体" w:cs="宋体"/>
          <w:lang w:val="en-US" w:eastAsia="zh-CN"/>
        </w:rPr>
        <w:drawing>
          <wp:anchor distT="0" distB="0" distL="114300" distR="114300" simplePos="0" relativeHeight="251660288" behindDoc="0" locked="0" layoutInCell="1" allowOverlap="1">
            <wp:simplePos x="0" y="0"/>
            <wp:positionH relativeFrom="column">
              <wp:posOffset>16510</wp:posOffset>
            </wp:positionH>
            <wp:positionV relativeFrom="paragraph">
              <wp:posOffset>144145</wp:posOffset>
            </wp:positionV>
            <wp:extent cx="5822315" cy="8223885"/>
            <wp:effectExtent l="0" t="0" r="6985" b="5715"/>
            <wp:wrapSquare wrapText="bothSides"/>
            <wp:docPr id="9" name="图片 9" descr="凤县嘉陵江凤州段水毁修复项目-工程量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凤县嘉陵江凤州段水毁修复项目-工程量清单_00"/>
                    <pic:cNvPicPr>
                      <a:picLocks noChangeAspect="1"/>
                    </pic:cNvPicPr>
                  </pic:nvPicPr>
                  <pic:blipFill>
                    <a:blip r:embed="rId18"/>
                    <a:stretch>
                      <a:fillRect/>
                    </a:stretch>
                  </pic:blipFill>
                  <pic:spPr>
                    <a:xfrm>
                      <a:off x="0" y="0"/>
                      <a:ext cx="5822315" cy="8223885"/>
                    </a:xfrm>
                    <a:prstGeom prst="rect">
                      <a:avLst/>
                    </a:prstGeom>
                  </pic:spPr>
                </pic:pic>
              </a:graphicData>
            </a:graphic>
          </wp:anchor>
        </w:drawing>
      </w:r>
    </w:p>
    <w:bookmarkEnd w:id="131"/>
    <w:p>
      <w:pPr>
        <w:rPr>
          <w:rFonts w:hint="eastAsia" w:ascii="宋体" w:hAnsi="宋体" w:eastAsia="宋体" w:cs="宋体"/>
          <w:b/>
          <w:color w:val="000000"/>
          <w:sz w:val="32"/>
          <w:szCs w:val="32"/>
          <w:highlight w:val="none"/>
        </w:rPr>
      </w:pPr>
      <w:bookmarkStart w:id="136" w:name="_Toc20407"/>
      <w:r>
        <w:rPr>
          <w:rFonts w:hint="eastAsia" w:ascii="宋体" w:hAnsi="宋体" w:eastAsia="宋体" w:cs="宋体"/>
          <w:b/>
          <w:color w:val="000000"/>
          <w:sz w:val="32"/>
          <w:szCs w:val="32"/>
          <w:highlight w:val="none"/>
        </w:rPr>
        <w:br w:type="page"/>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drawing>
          <wp:anchor distT="0" distB="0" distL="114300" distR="114300" simplePos="0" relativeHeight="251661312" behindDoc="0" locked="0" layoutInCell="1" allowOverlap="1">
            <wp:simplePos x="0" y="0"/>
            <wp:positionH relativeFrom="column">
              <wp:posOffset>194310</wp:posOffset>
            </wp:positionH>
            <wp:positionV relativeFrom="paragraph">
              <wp:posOffset>16510</wp:posOffset>
            </wp:positionV>
            <wp:extent cx="5822315" cy="8223885"/>
            <wp:effectExtent l="0" t="0" r="6985" b="5715"/>
            <wp:wrapSquare wrapText="bothSides"/>
            <wp:docPr id="10" name="图片 10" descr="凤县嘉陵江凤州段水毁修复项目-工程量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凤县嘉陵江凤州段水毁修复项目-工程量清单_01"/>
                    <pic:cNvPicPr>
                      <a:picLocks noChangeAspect="1"/>
                    </pic:cNvPicPr>
                  </pic:nvPicPr>
                  <pic:blipFill>
                    <a:blip r:embed="rId19"/>
                    <a:stretch>
                      <a:fillRect/>
                    </a:stretch>
                  </pic:blipFill>
                  <pic:spPr>
                    <a:xfrm>
                      <a:off x="0" y="0"/>
                      <a:ext cx="5822315" cy="8223885"/>
                    </a:xfrm>
                    <a:prstGeom prst="rect">
                      <a:avLst/>
                    </a:prstGeom>
                  </pic:spPr>
                </pic:pic>
              </a:graphicData>
            </a:graphic>
          </wp:anchor>
        </w:drawing>
      </w:r>
      <w:r>
        <w:rPr>
          <w:rFonts w:hint="eastAsia" w:ascii="宋体" w:hAnsi="宋体" w:eastAsia="宋体" w:cs="宋体"/>
          <w:b/>
          <w:color w:val="000000"/>
          <w:sz w:val="32"/>
          <w:szCs w:val="32"/>
          <w:highlight w:val="none"/>
        </w:rPr>
        <w:br w:type="page"/>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drawing>
          <wp:anchor distT="0" distB="0" distL="114300" distR="114300" simplePos="0" relativeHeight="251662336" behindDoc="0" locked="0" layoutInCell="1" allowOverlap="1">
            <wp:simplePos x="0" y="0"/>
            <wp:positionH relativeFrom="column">
              <wp:posOffset>-144145</wp:posOffset>
            </wp:positionH>
            <wp:positionV relativeFrom="paragraph">
              <wp:posOffset>271145</wp:posOffset>
            </wp:positionV>
            <wp:extent cx="5822315" cy="8223885"/>
            <wp:effectExtent l="0" t="0" r="6985" b="5715"/>
            <wp:wrapSquare wrapText="bothSides"/>
            <wp:docPr id="11" name="图片 11" descr="凤县嘉陵江凤州段水毁修复项目-工程量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凤县嘉陵江凤州段水毁修复项目-工程量清单_02"/>
                    <pic:cNvPicPr>
                      <a:picLocks noChangeAspect="1"/>
                    </pic:cNvPicPr>
                  </pic:nvPicPr>
                  <pic:blipFill>
                    <a:blip r:embed="rId20"/>
                    <a:stretch>
                      <a:fillRect/>
                    </a:stretch>
                  </pic:blipFill>
                  <pic:spPr>
                    <a:xfrm>
                      <a:off x="0" y="0"/>
                      <a:ext cx="5822315" cy="8223885"/>
                    </a:xfrm>
                    <a:prstGeom prst="rect">
                      <a:avLst/>
                    </a:prstGeom>
                  </pic:spPr>
                </pic:pic>
              </a:graphicData>
            </a:graphic>
          </wp:anchor>
        </w:drawing>
      </w:r>
      <w:r>
        <w:rPr>
          <w:rFonts w:hint="eastAsia" w:ascii="宋体" w:hAnsi="宋体" w:eastAsia="宋体" w:cs="宋体"/>
          <w:b/>
          <w:color w:val="000000"/>
          <w:sz w:val="32"/>
          <w:szCs w:val="32"/>
          <w:highlight w:val="none"/>
        </w:rPr>
        <w:br w:type="page"/>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drawing>
          <wp:anchor distT="0" distB="0" distL="114300" distR="114300" simplePos="0" relativeHeight="251663360" behindDoc="0" locked="0" layoutInCell="1" allowOverlap="1">
            <wp:simplePos x="0" y="0"/>
            <wp:positionH relativeFrom="column">
              <wp:posOffset>109855</wp:posOffset>
            </wp:positionH>
            <wp:positionV relativeFrom="paragraph">
              <wp:posOffset>228600</wp:posOffset>
            </wp:positionV>
            <wp:extent cx="5822315" cy="8223885"/>
            <wp:effectExtent l="0" t="0" r="6985" b="5715"/>
            <wp:wrapSquare wrapText="bothSides"/>
            <wp:docPr id="12" name="图片 12" descr="凤县嘉陵江凤州段水毁修复项目-工程量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凤县嘉陵江凤州段水毁修复项目-工程量清单_03"/>
                    <pic:cNvPicPr>
                      <a:picLocks noChangeAspect="1"/>
                    </pic:cNvPicPr>
                  </pic:nvPicPr>
                  <pic:blipFill>
                    <a:blip r:embed="rId21"/>
                    <a:stretch>
                      <a:fillRect/>
                    </a:stretch>
                  </pic:blipFill>
                  <pic:spPr>
                    <a:xfrm>
                      <a:off x="0" y="0"/>
                      <a:ext cx="5822315" cy="8223885"/>
                    </a:xfrm>
                    <a:prstGeom prst="rect">
                      <a:avLst/>
                    </a:prstGeom>
                  </pic:spPr>
                </pic:pic>
              </a:graphicData>
            </a:graphic>
          </wp:anchor>
        </w:drawing>
      </w:r>
      <w:r>
        <w:rPr>
          <w:rFonts w:hint="eastAsia" w:ascii="宋体" w:hAnsi="宋体" w:eastAsia="宋体" w:cs="宋体"/>
          <w:b/>
          <w:color w:val="000000"/>
          <w:sz w:val="32"/>
          <w:szCs w:val="32"/>
          <w:highlight w:val="none"/>
        </w:rPr>
        <w:br w:type="page"/>
      </w:r>
    </w:p>
    <w:p>
      <w:pPr>
        <w:widowControl/>
        <w:spacing w:after="240" w:afterLines="100" w:line="400" w:lineRule="atLeast"/>
        <w:jc w:val="center"/>
        <w:outlineLvl w:val="0"/>
        <w:rPr>
          <w:rFonts w:hint="eastAsia" w:ascii="宋体" w:hAnsi="宋体" w:eastAsia="宋体" w:cs="宋体"/>
          <w:b/>
          <w:color w:val="000000"/>
          <w:sz w:val="32"/>
          <w:szCs w:val="32"/>
          <w:highlight w:val="none"/>
        </w:rPr>
      </w:pPr>
      <w:bookmarkStart w:id="137" w:name="_Toc19202"/>
      <w:r>
        <w:rPr>
          <w:rFonts w:hint="eastAsia" w:ascii="宋体" w:hAnsi="宋体" w:eastAsia="宋体" w:cs="宋体"/>
          <w:b/>
          <w:color w:val="000000"/>
          <w:sz w:val="32"/>
          <w:szCs w:val="32"/>
          <w:highlight w:val="none"/>
        </w:rPr>
        <w:t>第六章  政府采购合同格式</w:t>
      </w:r>
      <w:bookmarkEnd w:id="136"/>
      <w:bookmarkEnd w:id="137"/>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发包人（全称）：________________________________________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承包人（全称）：________________________________________</w:t>
      </w:r>
    </w:p>
    <w:p>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依照《中华人民共和国</w:t>
      </w:r>
      <w:r>
        <w:rPr>
          <w:rFonts w:hint="eastAsia" w:ascii="宋体" w:hAnsi="宋体" w:eastAsia="宋体" w:cs="宋体"/>
          <w:color w:val="000000"/>
          <w:kern w:val="0"/>
          <w:sz w:val="24"/>
          <w:szCs w:val="24"/>
          <w:highlight w:val="none"/>
          <w:lang w:val="en-US" w:eastAsia="zh-CN"/>
        </w:rPr>
        <w:t>民法典</w:t>
      </w:r>
      <w:r>
        <w:rPr>
          <w:rFonts w:hint="eastAsia" w:ascii="宋体" w:hAnsi="宋体" w:eastAsia="宋体" w:cs="宋体"/>
          <w:color w:val="000000"/>
          <w:kern w:val="0"/>
          <w:sz w:val="24"/>
          <w:szCs w:val="24"/>
          <w:highlight w:val="none"/>
        </w:rPr>
        <w:t>》、《中华人民共和国建筑法》及其他有关法律、行政法规，遵循平等、自愿、公平和诚实信用的原则，双方就本建设工程施工协商一致，订立本合同。</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一、工程概况</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u w:val="single"/>
          <w:lang w:val="en-US" w:eastAsia="zh-CN"/>
        </w:rPr>
      </w:pPr>
      <w:r>
        <w:rPr>
          <w:rFonts w:hint="eastAsia" w:ascii="宋体" w:hAnsi="宋体" w:eastAsia="宋体" w:cs="宋体"/>
          <w:color w:val="000000"/>
          <w:kern w:val="0"/>
          <w:sz w:val="24"/>
          <w:szCs w:val="24"/>
          <w:highlight w:val="none"/>
        </w:rPr>
        <w:t>工程名称：</w:t>
      </w:r>
      <w:r>
        <w:rPr>
          <w:rFonts w:hint="eastAsia" w:ascii="宋体" w:hAnsi="宋体" w:eastAsia="宋体" w:cs="宋体"/>
          <w:color w:val="000000"/>
          <w:kern w:val="0"/>
          <w:sz w:val="24"/>
          <w:szCs w:val="24"/>
          <w:highlight w:val="none"/>
          <w:u w:val="single"/>
          <w:lang w:val="en-US" w:eastAsia="zh-CN"/>
        </w:rPr>
        <w:t xml:space="preserve">                                 </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rPr>
        <w:t>工程地点：</w:t>
      </w:r>
      <w:r>
        <w:rPr>
          <w:rFonts w:hint="eastAsia" w:ascii="宋体" w:hAnsi="宋体" w:eastAsia="宋体" w:cs="宋体"/>
          <w:color w:val="000000"/>
          <w:kern w:val="0"/>
          <w:sz w:val="24"/>
          <w:szCs w:val="24"/>
          <w:highlight w:val="none"/>
          <w:u w:val="single"/>
          <w:lang w:val="en-US" w:eastAsia="zh-CN"/>
        </w:rPr>
        <w:t xml:space="preserve">                                 </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二、工程承包范围</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none"/>
        </w:rPr>
        <w:t>承包范围：</w:t>
      </w:r>
      <w:r>
        <w:rPr>
          <w:rFonts w:hint="eastAsia" w:ascii="宋体" w:hAnsi="宋体" w:eastAsia="宋体" w:cs="宋体"/>
          <w:color w:val="000000"/>
          <w:kern w:val="0"/>
          <w:sz w:val="24"/>
          <w:szCs w:val="24"/>
          <w:highlight w:val="none"/>
          <w:u w:val="single"/>
          <w:lang w:val="en-US" w:eastAsia="zh-CN"/>
        </w:rPr>
        <w:t>（详见工程量清单）</w:t>
      </w:r>
      <w:r>
        <w:rPr>
          <w:rFonts w:hint="eastAsia" w:ascii="宋体" w:hAnsi="宋体" w:eastAsia="宋体" w:cs="宋体"/>
          <w:color w:val="000000"/>
          <w:kern w:val="0"/>
          <w:sz w:val="24"/>
          <w:szCs w:val="24"/>
          <w:highlight w:val="none"/>
          <w:u w:val="none"/>
        </w:rPr>
        <w:t>。</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三、合同工期：</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rPr>
        <w:t>总日历天数</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开工日期：______________________________</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竣工日期：______________________________</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四、质量标准</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工程质量标准：__________________________</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五、合同价款</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1、合同总价（大写）：_________________________（人民币）元</w:t>
      </w:r>
    </w:p>
    <w:p>
      <w:pPr>
        <w:widowControl/>
        <w:spacing w:line="360" w:lineRule="auto"/>
        <w:ind w:right="-92" w:rightChars="-44"/>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（小写）￥：_______________________元（其中：工程预留金_______元，零星工作费_________元，安全防护、文明施工措施费______元，工程分包和材料购置费______元，总承包服务费______元）。</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2、综合单价：详见承包人的报价书。</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六、组成合同的文件</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组成本合同的文件包括：</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1、本合同协议书</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2、本合同专用条款</w:t>
      </w:r>
    </w:p>
    <w:p>
      <w:pPr>
        <w:widowControl/>
        <w:spacing w:line="360" w:lineRule="auto"/>
        <w:ind w:right="-893" w:rightChars="-425" w:firstLine="240" w:firstLineChars="100"/>
        <w:jc w:val="left"/>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3、本合同通用条款</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4、中标通知书</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5、投标书、工程报价单或预算书及其附件</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6、招标文件、答疑纪要及</w:t>
      </w:r>
      <w:r>
        <w:rPr>
          <w:rFonts w:hint="eastAsia" w:ascii="宋体" w:hAnsi="宋体" w:eastAsia="宋体" w:cs="宋体"/>
          <w:color w:val="000000"/>
          <w:kern w:val="0"/>
          <w:sz w:val="24"/>
          <w:szCs w:val="24"/>
          <w:highlight w:val="none"/>
          <w:lang w:val="en-US" w:eastAsia="zh-CN"/>
        </w:rPr>
        <w:t>工程量清单</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7、图纸</w:t>
      </w:r>
    </w:p>
    <w:p>
      <w:pPr>
        <w:widowControl/>
        <w:spacing w:line="360" w:lineRule="auto"/>
        <w:ind w:right="-893" w:rightChars="-425"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8、标准、规范及有关技术文件</w:t>
      </w:r>
    </w:p>
    <w:p>
      <w:pPr>
        <w:widowControl/>
        <w:spacing w:line="360" w:lineRule="auto"/>
        <w:ind w:right="105" w:rightChars="50"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双方为履行本合同的有关洽商、变更等书面协议、文件，视为本合同的组成部分。</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七、本协议书中有关词语含义与本合同第二部分《通用条款》中赋予的定义相同。</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八、承包人按照合同约定进行施工、竣工并在质量保修期内承担工程质量保修责任。</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九、发包人按照合同约定的期限和方式支付合同价款及其他应当支付的款项。</w:t>
      </w:r>
    </w:p>
    <w:p>
      <w:pPr>
        <w:widowControl/>
        <w:spacing w:line="360" w:lineRule="auto"/>
        <w:ind w:right="-893" w:rightChars="-42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十、合同生效</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合同订立时间：________年_____月____日</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合同订立地点：___________________________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本合同双方约定_____________________后生效。</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发包人：（公章）_________        承包人：（公章）______________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地址：_________________          地址：______________________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邮政编码：_____________          邮政编码：___________________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法定代表人：___________          法定代表人：________________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委托代理人：___________          委托代理人：_________________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电话：________________           电话：_____________________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传真：_________________          传真：______________________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开户银行：_____________        </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开户银行：________________</w:t>
      </w:r>
    </w:p>
    <w:p>
      <w:pPr>
        <w:widowControl/>
        <w:spacing w:line="360" w:lineRule="auto"/>
        <w:ind w:right="-893" w:rightChars="-425"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帐号：_________________           帐号：_____________________</w:t>
      </w:r>
    </w:p>
    <w:p>
      <w:pPr>
        <w:pStyle w:val="2"/>
        <w:rPr>
          <w:rFonts w:hint="eastAsia" w:ascii="宋体" w:hAnsi="宋体" w:eastAsia="宋体" w:cs="宋体"/>
          <w:color w:val="000000"/>
          <w:kern w:val="0"/>
          <w:sz w:val="24"/>
          <w:szCs w:val="24"/>
          <w:highlight w:val="none"/>
        </w:rPr>
      </w:pPr>
    </w:p>
    <w:p>
      <w:pPr>
        <w:rPr>
          <w:rFonts w:hint="eastAsia" w:ascii="宋体" w:hAnsi="宋体" w:eastAsia="宋体" w:cs="宋体"/>
          <w:color w:val="000000"/>
          <w:kern w:val="0"/>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spacing w:line="520" w:lineRule="exact"/>
        <w:jc w:val="center"/>
        <w:outlineLvl w:val="0"/>
        <w:rPr>
          <w:rFonts w:hint="eastAsia" w:ascii="宋体" w:hAnsi="宋体" w:eastAsia="宋体" w:cs="宋体"/>
          <w:color w:val="auto"/>
          <w:sz w:val="32"/>
          <w:szCs w:val="32"/>
          <w:highlight w:val="none"/>
        </w:rPr>
      </w:pPr>
      <w:bookmarkStart w:id="138" w:name="_Toc2544"/>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lang w:eastAsia="zh-CN"/>
        </w:rPr>
        <w:t>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竞争性</w:t>
      </w:r>
      <w:r>
        <w:rPr>
          <w:rFonts w:hint="eastAsia" w:ascii="宋体" w:hAnsi="宋体" w:eastAsia="宋体" w:cs="宋体"/>
          <w:color w:val="auto"/>
          <w:sz w:val="32"/>
          <w:szCs w:val="32"/>
          <w:highlight w:val="none"/>
          <w:lang w:eastAsia="zh-CN"/>
        </w:rPr>
        <w:t>磋商</w:t>
      </w:r>
      <w:r>
        <w:rPr>
          <w:rFonts w:hint="eastAsia" w:ascii="宋体" w:hAnsi="宋体" w:eastAsia="宋体" w:cs="宋体"/>
          <w:color w:val="auto"/>
          <w:sz w:val="32"/>
          <w:szCs w:val="32"/>
          <w:highlight w:val="none"/>
        </w:rPr>
        <w:t>响应文件格式</w:t>
      </w:r>
      <w:bookmarkEnd w:id="132"/>
      <w:bookmarkEnd w:id="133"/>
      <w:bookmarkEnd w:id="134"/>
      <w:bookmarkEnd w:id="138"/>
    </w:p>
    <w:p>
      <w:pPr>
        <w:spacing w:line="480" w:lineRule="exact"/>
        <w:ind w:left="0" w:leftChars="0" w:firstLine="0" w:firstLineChars="0"/>
        <w:jc w:val="both"/>
        <w:rPr>
          <w:rFonts w:hint="eastAsia" w:ascii="宋体" w:hAnsi="宋体" w:eastAsia="宋体" w:cs="宋体"/>
          <w:color w:val="auto"/>
          <w:sz w:val="32"/>
          <w:szCs w:val="32"/>
          <w:highlight w:val="none"/>
        </w:rPr>
      </w:pPr>
    </w:p>
    <w:p>
      <w:pPr>
        <w:spacing w:line="480" w:lineRule="exact"/>
        <w:ind w:left="0" w:lef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磋商</w:t>
      </w:r>
      <w:r>
        <w:rPr>
          <w:rFonts w:hint="eastAsia" w:ascii="宋体" w:hAnsi="宋体" w:eastAsia="宋体" w:cs="宋体"/>
          <w:b/>
          <w:bCs/>
          <w:color w:val="auto"/>
          <w:sz w:val="30"/>
          <w:szCs w:val="30"/>
          <w:highlight w:val="none"/>
        </w:rPr>
        <w:t>响应文件编制说明</w:t>
      </w:r>
    </w:p>
    <w:p>
      <w:pPr>
        <w:pStyle w:val="47"/>
        <w:rPr>
          <w:rFonts w:hint="eastAsia" w:ascii="宋体" w:hAnsi="宋体" w:eastAsia="宋体" w:cs="宋体"/>
          <w:color w:val="auto"/>
          <w:highlight w:val="none"/>
        </w:rPr>
      </w:pPr>
    </w:p>
    <w:p>
      <w:pPr>
        <w:widowControl/>
        <w:spacing w:line="48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响应文件应当使用竞争性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文件规定的全部格式（表格可以按同样格式扩展）编写，除明确允许供应商可以自行编写的外，供应商不得以“竞争性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响应文件格式”规定之外的方式填写相关内容。</w:t>
      </w:r>
    </w:p>
    <w:p>
      <w:pPr>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响应文件的编制应按照样本格式提供的内容，做出逐一明确的答复；供应商认为有必要，还可以做其它补充说明。</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必须按照竞争性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的规定和要求由法定代表人或被授权人签字（或盖章）。</w:t>
      </w: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firstLine="560"/>
        <w:rPr>
          <w:rFonts w:hint="eastAsia" w:ascii="宋体" w:hAnsi="宋体" w:eastAsia="宋体" w:cs="宋体"/>
          <w:color w:val="auto"/>
          <w:sz w:val="28"/>
          <w:szCs w:val="28"/>
          <w:highlight w:val="none"/>
        </w:rPr>
      </w:pPr>
    </w:p>
    <w:p>
      <w:pPr>
        <w:spacing w:line="520" w:lineRule="exact"/>
        <w:ind w:left="0" w:leftChars="0" w:firstLine="0" w:firstLineChars="0"/>
        <w:rPr>
          <w:rFonts w:hint="eastAsia" w:ascii="宋体" w:hAnsi="宋体" w:eastAsia="宋体" w:cs="宋体"/>
          <w:color w:val="auto"/>
          <w:sz w:val="28"/>
          <w:szCs w:val="28"/>
          <w:highlight w:val="none"/>
        </w:rPr>
      </w:pPr>
    </w:p>
    <w:p>
      <w:pPr>
        <w:spacing w:line="520" w:lineRule="exact"/>
        <w:ind w:left="0" w:leftChars="0" w:firstLine="0" w:firstLineChars="0"/>
        <w:jc w:val="both"/>
        <w:rPr>
          <w:rFonts w:hint="eastAsia" w:ascii="宋体" w:hAnsi="宋体" w:eastAsia="宋体" w:cs="宋体"/>
          <w:color w:val="auto"/>
          <w:sz w:val="28"/>
          <w:szCs w:val="28"/>
          <w:highlight w:val="none"/>
        </w:rPr>
      </w:pPr>
    </w:p>
    <w:p>
      <w:pPr>
        <w:spacing w:line="520" w:lineRule="exact"/>
        <w:ind w:right="360" w:firstLine="723"/>
        <w:jc w:val="right"/>
        <w:rPr>
          <w:rFonts w:hint="eastAsia" w:ascii="宋体" w:hAnsi="宋体" w:eastAsia="宋体" w:cs="宋体"/>
          <w:b/>
          <w:color w:val="auto"/>
          <w:sz w:val="36"/>
          <w:szCs w:val="36"/>
          <w:highlight w:val="none"/>
          <w:bdr w:val="single" w:color="auto" w:sz="4" w:space="0"/>
          <w:shd w:val="pct10" w:color="auto" w:fill="FFFFFF"/>
        </w:rPr>
      </w:pPr>
    </w:p>
    <w:p>
      <w:pPr>
        <w:pStyle w:val="2"/>
        <w:rPr>
          <w:rFonts w:hint="eastAsia" w:ascii="宋体" w:hAnsi="宋体" w:eastAsia="宋体" w:cs="宋体"/>
        </w:rPr>
      </w:pPr>
    </w:p>
    <w:p>
      <w:pPr>
        <w:spacing w:line="520" w:lineRule="exact"/>
        <w:ind w:left="0" w:leftChars="0" w:right="360" w:firstLine="0" w:firstLineChars="0"/>
        <w:jc w:val="left"/>
        <w:rPr>
          <w:rFonts w:hint="eastAsia" w:ascii="宋体" w:hAnsi="宋体" w:eastAsia="宋体" w:cs="宋体"/>
          <w:b/>
          <w:color w:val="auto"/>
          <w:sz w:val="28"/>
          <w:szCs w:val="28"/>
          <w:highlight w:val="none"/>
        </w:rPr>
      </w:pPr>
      <w:bookmarkStart w:id="139" w:name="OLE_LINK76"/>
      <w:bookmarkStart w:id="140" w:name="OLE_LINK94"/>
      <w:bookmarkStart w:id="141" w:name="OLE_LINK98"/>
      <w:r>
        <w:rPr>
          <w:rFonts w:hint="eastAsia" w:ascii="宋体" w:hAnsi="宋体" w:eastAsia="宋体" w:cs="宋体"/>
          <w:b/>
          <w:color w:val="auto"/>
          <w:sz w:val="28"/>
          <w:szCs w:val="28"/>
          <w:highlight w:val="none"/>
        </w:rPr>
        <w:t>政府采购项目</w:t>
      </w:r>
    </w:p>
    <w:p>
      <w:pPr>
        <w:pStyle w:val="29"/>
        <w:spacing w:line="480" w:lineRule="auto"/>
        <w:ind w:left="0" w:leftChars="0" w:firstLine="0" w:firstLineChars="0"/>
        <w:jc w:val="both"/>
        <w:rPr>
          <w:rFonts w:hint="eastAsia" w:ascii="宋体" w:hAnsi="宋体" w:eastAsia="宋体" w:cs="宋体"/>
          <w:b/>
          <w:color w:val="auto"/>
          <w:kern w:val="2"/>
          <w:sz w:val="52"/>
          <w:szCs w:val="52"/>
          <w:highlight w:val="none"/>
          <w:lang w:val="en-US" w:eastAsia="zh-CN" w:bidi="ar-SA"/>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val="en-US" w:eastAsia="zh-CN"/>
        </w:rPr>
        <w:t xml:space="preserve">ZZDBJ招2025-004 </w:t>
      </w:r>
    </w:p>
    <w:p>
      <w:pPr>
        <w:pStyle w:val="28"/>
        <w:ind w:left="0" w:leftChars="0" w:firstLine="0" w:firstLineChars="0"/>
        <w:jc w:val="center"/>
        <w:rPr>
          <w:rFonts w:hint="eastAsia" w:ascii="宋体" w:hAnsi="宋体" w:eastAsia="宋体" w:cs="宋体"/>
          <w:sz w:val="24"/>
          <w:szCs w:val="32"/>
          <w:lang w:val="en-US" w:eastAsia="zh-CN"/>
        </w:rPr>
      </w:pPr>
    </w:p>
    <w:p>
      <w:pPr>
        <w:pStyle w:val="23"/>
        <w:ind w:left="0" w:leftChars="0" w:firstLine="442" w:firstLineChars="100"/>
        <w:jc w:val="center"/>
        <w:rPr>
          <w:rFonts w:hint="eastAsia" w:ascii="宋体" w:hAnsi="宋体" w:eastAsia="宋体" w:cs="宋体"/>
          <w:b/>
          <w:color w:val="auto"/>
          <w:kern w:val="2"/>
          <w:sz w:val="44"/>
          <w:szCs w:val="44"/>
          <w:highlight w:val="none"/>
          <w:lang w:val="en-US" w:eastAsia="zh-CN" w:bidi="ar-SA"/>
        </w:rPr>
      </w:pPr>
    </w:p>
    <w:p>
      <w:pPr>
        <w:pStyle w:val="23"/>
        <w:ind w:left="0" w:leftChars="0" w:firstLine="442" w:firstLineChars="100"/>
        <w:jc w:val="center"/>
        <w:rPr>
          <w:rFonts w:hint="eastAsia" w:ascii="宋体" w:hAnsi="宋体" w:eastAsia="宋体" w:cs="宋体"/>
          <w:b/>
          <w:color w:val="auto"/>
          <w:sz w:val="24"/>
          <w:szCs w:val="24"/>
          <w:highlight w:val="none"/>
        </w:rPr>
      </w:pPr>
      <w:bookmarkStart w:id="142" w:name="OLE_LINK99"/>
      <w:r>
        <w:rPr>
          <w:rFonts w:hint="eastAsia" w:ascii="宋体" w:hAnsi="宋体" w:eastAsia="宋体" w:cs="宋体"/>
          <w:b/>
          <w:color w:val="auto"/>
          <w:kern w:val="2"/>
          <w:sz w:val="44"/>
          <w:szCs w:val="44"/>
          <w:highlight w:val="none"/>
          <w:lang w:val="en-US" w:eastAsia="zh-CN" w:bidi="ar-SA"/>
        </w:rPr>
        <w:t>凤县嘉陵江凤州镇段水毁修复工程</w:t>
      </w:r>
    </w:p>
    <w:bookmarkEnd w:id="142"/>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spacing w:line="240" w:lineRule="auto"/>
        <w:ind w:left="0" w:leftChars="0" w:firstLine="0" w:firstLineChars="0"/>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竞争性磋商响应文件</w:t>
      </w:r>
    </w:p>
    <w:p>
      <w:pPr>
        <w:pStyle w:val="2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 </w:t>
      </w: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spacing w:line="520" w:lineRule="exact"/>
        <w:ind w:firstLine="562"/>
        <w:rPr>
          <w:rFonts w:hint="eastAsia" w:ascii="宋体" w:hAnsi="宋体" w:eastAsia="宋体" w:cs="宋体"/>
          <w:b/>
          <w:color w:val="auto"/>
          <w:sz w:val="28"/>
          <w:szCs w:val="28"/>
          <w:highlight w:val="none"/>
        </w:rPr>
      </w:pPr>
    </w:p>
    <w:p>
      <w:pPr>
        <w:spacing w:line="520" w:lineRule="exact"/>
        <w:ind w:left="0" w:leftChars="0" w:firstLine="281" w:firstLineChars="100"/>
        <w:jc w:val="both"/>
        <w:rPr>
          <w:rFonts w:hint="eastAsia" w:ascii="宋体" w:hAnsi="宋体" w:eastAsia="宋体" w:cs="宋体"/>
          <w:b/>
          <w:bCs/>
          <w:color w:val="auto"/>
          <w:spacing w:val="20"/>
          <w:kern w:val="0"/>
          <w:sz w:val="28"/>
          <w:szCs w:val="28"/>
          <w:highlight w:val="none"/>
          <w:u w:val="none"/>
          <w:lang w:val="en-US" w:eastAsia="zh-CN"/>
        </w:rPr>
      </w:pPr>
      <w:r>
        <w:rPr>
          <w:rFonts w:hint="eastAsia" w:ascii="宋体" w:hAnsi="宋体" w:eastAsia="宋体" w:cs="宋体"/>
          <w:b/>
          <w:color w:val="auto"/>
          <w:sz w:val="28"/>
          <w:szCs w:val="28"/>
          <w:highlight w:val="none"/>
        </w:rPr>
        <w:t>供   应   商：</w:t>
      </w:r>
      <w:r>
        <w:rPr>
          <w:rFonts w:hint="eastAsia" w:ascii="宋体" w:hAnsi="宋体" w:eastAsia="宋体" w:cs="宋体"/>
          <w:b/>
          <w:bCs/>
          <w:color w:val="auto"/>
          <w:spacing w:val="20"/>
          <w:kern w:val="0"/>
          <w:sz w:val="28"/>
          <w:szCs w:val="28"/>
          <w:highlight w:val="none"/>
          <w:u w:val="single"/>
          <w:lang w:val="en-US" w:eastAsia="zh-CN"/>
        </w:rPr>
        <w:t xml:space="preserve">                  </w:t>
      </w:r>
      <w:r>
        <w:rPr>
          <w:rFonts w:hint="eastAsia" w:ascii="宋体" w:hAnsi="宋体" w:eastAsia="宋体" w:cs="宋体"/>
          <w:b/>
          <w:bCs/>
          <w:color w:val="auto"/>
          <w:spacing w:val="20"/>
          <w:kern w:val="0"/>
          <w:sz w:val="28"/>
          <w:szCs w:val="28"/>
          <w:highlight w:val="none"/>
          <w:u w:val="none"/>
          <w:lang w:val="en-US" w:eastAsia="zh-CN"/>
        </w:rPr>
        <w:t>（盖单位公章）</w:t>
      </w:r>
    </w:p>
    <w:p>
      <w:pPr>
        <w:pStyle w:val="2"/>
        <w:jc w:val="center"/>
        <w:rPr>
          <w:rFonts w:hint="eastAsia" w:ascii="宋体" w:hAnsi="宋体" w:eastAsia="宋体" w:cs="宋体"/>
          <w:color w:val="auto"/>
          <w:sz w:val="28"/>
          <w:szCs w:val="28"/>
          <w:highlight w:val="none"/>
        </w:rPr>
      </w:pPr>
    </w:p>
    <w:p>
      <w:pPr>
        <w:spacing w:beforeLines="50" w:line="360" w:lineRule="auto"/>
        <w:ind w:left="0" w:leftChars="0" w:right="-78" w:rightChars="-37" w:firstLine="281" w:firstLineChars="100"/>
        <w:jc w:val="both"/>
        <w:rPr>
          <w:rFonts w:hint="eastAsia" w:ascii="宋体" w:hAnsi="宋体" w:eastAsia="宋体" w:cs="宋体"/>
          <w:b/>
          <w:bCs/>
          <w:color w:val="auto"/>
          <w:spacing w:val="20"/>
          <w:kern w:val="0"/>
          <w:sz w:val="28"/>
          <w:szCs w:val="28"/>
          <w:highlight w:val="none"/>
          <w:u w:val="none"/>
          <w:lang w:val="en-US" w:eastAsia="zh-CN"/>
        </w:rPr>
      </w:pPr>
      <w:r>
        <w:rPr>
          <w:rFonts w:hint="eastAsia" w:ascii="宋体" w:hAnsi="宋体" w:eastAsia="宋体" w:cs="宋体"/>
          <w:b/>
          <w:color w:val="auto"/>
          <w:sz w:val="28"/>
          <w:szCs w:val="28"/>
          <w:highlight w:val="none"/>
          <w:lang w:eastAsia="zh-CN"/>
        </w:rPr>
        <w:t>法人或委托代理人</w:t>
      </w:r>
      <w:r>
        <w:rPr>
          <w:rFonts w:hint="eastAsia" w:ascii="宋体" w:hAnsi="宋体" w:eastAsia="宋体" w:cs="宋体"/>
          <w:b/>
          <w:bCs/>
          <w:color w:val="auto"/>
          <w:spacing w:val="20"/>
          <w:kern w:val="0"/>
          <w:sz w:val="28"/>
          <w:szCs w:val="28"/>
          <w:highlight w:val="none"/>
          <w:lang w:eastAsia="zh-CN"/>
        </w:rPr>
        <w:t>：</w:t>
      </w:r>
      <w:r>
        <w:rPr>
          <w:rFonts w:hint="eastAsia" w:ascii="宋体" w:hAnsi="宋体" w:eastAsia="宋体" w:cs="宋体"/>
          <w:b/>
          <w:bCs/>
          <w:color w:val="auto"/>
          <w:spacing w:val="20"/>
          <w:kern w:val="0"/>
          <w:sz w:val="28"/>
          <w:szCs w:val="28"/>
          <w:highlight w:val="none"/>
          <w:u w:val="single"/>
          <w:lang w:val="en-US" w:eastAsia="zh-CN"/>
        </w:rPr>
        <w:t xml:space="preserve">               </w:t>
      </w:r>
      <w:r>
        <w:rPr>
          <w:rFonts w:hint="eastAsia" w:ascii="宋体" w:hAnsi="宋体" w:eastAsia="宋体" w:cs="宋体"/>
          <w:b/>
          <w:bCs/>
          <w:color w:val="auto"/>
          <w:spacing w:val="20"/>
          <w:kern w:val="0"/>
          <w:sz w:val="28"/>
          <w:szCs w:val="28"/>
          <w:highlight w:val="none"/>
          <w:u w:val="none"/>
          <w:lang w:val="en-US" w:eastAsia="zh-CN"/>
        </w:rPr>
        <w:t>（签字或盖章）</w:t>
      </w:r>
    </w:p>
    <w:p>
      <w:pPr>
        <w:pStyle w:val="2"/>
        <w:jc w:val="center"/>
        <w:rPr>
          <w:rFonts w:hint="eastAsia" w:ascii="宋体" w:hAnsi="宋体" w:eastAsia="宋体" w:cs="宋体"/>
          <w:color w:val="auto"/>
          <w:sz w:val="28"/>
          <w:szCs w:val="28"/>
          <w:highlight w:val="none"/>
          <w:lang w:val="en-US" w:eastAsia="zh-CN"/>
        </w:rPr>
      </w:pPr>
    </w:p>
    <w:p>
      <w:pPr>
        <w:spacing w:beforeLines="50" w:line="360" w:lineRule="auto"/>
        <w:ind w:left="0" w:leftChars="0" w:right="-78" w:rightChars="-37" w:firstLine="0" w:firstLineChars="0"/>
        <w:jc w:val="center"/>
        <w:rPr>
          <w:rFonts w:hint="eastAsia" w:ascii="宋体" w:hAnsi="宋体" w:eastAsia="宋体" w:cs="宋体"/>
          <w:b/>
          <w:bCs/>
          <w:color w:val="auto"/>
          <w:spacing w:val="20"/>
          <w:kern w:val="0"/>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日  期 </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pacing w:val="20"/>
          <w:kern w:val="0"/>
          <w:sz w:val="28"/>
          <w:szCs w:val="28"/>
          <w:highlight w:val="none"/>
          <w:lang w:eastAsia="zh-CN"/>
        </w:rPr>
        <w:t>年</w:t>
      </w:r>
      <w:r>
        <w:rPr>
          <w:rFonts w:hint="eastAsia" w:ascii="宋体" w:hAnsi="宋体" w:eastAsia="宋体" w:cs="宋体"/>
          <w:b/>
          <w:bCs/>
          <w:color w:val="auto"/>
          <w:spacing w:val="20"/>
          <w:kern w:val="0"/>
          <w:sz w:val="28"/>
          <w:szCs w:val="28"/>
          <w:highlight w:val="none"/>
          <w:lang w:val="en-US" w:eastAsia="zh-CN"/>
        </w:rPr>
        <w:t xml:space="preserve">   月   日</w:t>
      </w:r>
    </w:p>
    <w:p>
      <w:pPr>
        <w:rPr>
          <w:rFonts w:hint="eastAsia" w:ascii="宋体" w:hAnsi="宋体" w:eastAsia="宋体" w:cs="宋体"/>
          <w:b/>
          <w:bCs/>
          <w:color w:val="auto"/>
          <w:spacing w:val="20"/>
          <w:kern w:val="0"/>
          <w:sz w:val="30"/>
          <w:szCs w:val="30"/>
          <w:highlight w:val="none"/>
          <w:lang w:val="en-US" w:eastAsia="zh-CN"/>
        </w:rPr>
      </w:pPr>
      <w:r>
        <w:rPr>
          <w:rFonts w:hint="eastAsia" w:ascii="宋体" w:hAnsi="宋体" w:eastAsia="宋体" w:cs="宋体"/>
          <w:b/>
          <w:bCs/>
          <w:color w:val="auto"/>
          <w:spacing w:val="20"/>
          <w:kern w:val="0"/>
          <w:sz w:val="30"/>
          <w:szCs w:val="30"/>
          <w:highlight w:val="none"/>
          <w:lang w:val="en-US" w:eastAsia="zh-CN"/>
        </w:rPr>
        <w:br w:type="page"/>
      </w:r>
    </w:p>
    <w:p>
      <w:pPr>
        <w:numPr>
          <w:ilvl w:val="0"/>
          <w:numId w:val="0"/>
        </w:numPr>
        <w:spacing w:line="48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32"/>
          <w:szCs w:val="32"/>
          <w:highlight w:val="none"/>
          <w:lang w:val="en-US" w:eastAsia="zh-CN"/>
        </w:rPr>
        <w:t xml:space="preserve"> 目        录</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lang w:eastAsia="zh-CN"/>
        </w:rPr>
      </w:pPr>
      <w:r>
        <w:rPr>
          <w:rFonts w:hint="eastAsia" w:ascii="宋体" w:hAnsi="宋体" w:eastAsia="宋体" w:cs="宋体"/>
          <w:b/>
          <w:bCs/>
          <w:color w:val="auto"/>
          <w:sz w:val="24"/>
          <w:szCs w:val="24"/>
          <w:highlight w:val="none"/>
          <w:lang w:val="en-US" w:eastAsia="zh-CN"/>
        </w:rPr>
        <w:t>第一部分、资格证明文件</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pStyle w:val="2"/>
        <w:numPr>
          <w:ilvl w:val="0"/>
          <w:numId w:val="4"/>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符合性证明文件</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pStyle w:val="2"/>
        <w:numPr>
          <w:ilvl w:val="0"/>
          <w:numId w:val="4"/>
        </w:numPr>
        <w:ind w:left="0"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响应方案</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p>
      <w:pPr>
        <w:numPr>
          <w:ilvl w:val="0"/>
          <w:numId w:val="0"/>
        </w:numPr>
        <w:spacing w:line="480" w:lineRule="auto"/>
        <w:ind w:leftChars="0"/>
        <w:jc w:val="left"/>
        <w:rPr>
          <w:rFonts w:hint="eastAsia" w:ascii="宋体" w:hAnsi="宋体" w:eastAsia="宋体" w:cs="宋体"/>
          <w:b w:val="0"/>
          <w:bCs w:val="0"/>
          <w:color w:val="auto"/>
          <w:sz w:val="24"/>
          <w:szCs w:val="24"/>
          <w:highlight w:val="none"/>
          <w:lang w:val="en-US" w:eastAsia="zh-CN"/>
        </w:rPr>
      </w:pPr>
    </w:p>
    <w:p>
      <w:pPr>
        <w:numPr>
          <w:ilvl w:val="0"/>
          <w:numId w:val="0"/>
        </w:numPr>
        <w:spacing w:line="480" w:lineRule="auto"/>
        <w:ind w:leftChars="0"/>
        <w:jc w:val="left"/>
        <w:rPr>
          <w:rFonts w:hint="eastAsia" w:ascii="宋体" w:hAnsi="宋体" w:eastAsia="宋体" w:cs="宋体"/>
          <w:b w:val="0"/>
          <w:bCs w:val="0"/>
          <w:color w:val="auto"/>
          <w:sz w:val="24"/>
          <w:szCs w:val="24"/>
          <w:highlight w:val="none"/>
          <w:lang w:val="en-US" w:eastAsia="zh-CN"/>
        </w:rPr>
      </w:pPr>
    </w:p>
    <w:p>
      <w:pPr>
        <w:pStyle w:val="2"/>
        <w:jc w:val="center"/>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lang w:val="en-US" w:eastAsia="zh-CN"/>
        </w:rPr>
        <w:t>详细格式自拟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bookmarkEnd w:id="139"/>
    <w:p>
      <w:pPr>
        <w:jc w:val="center"/>
        <w:rPr>
          <w:rFonts w:hint="eastAsia" w:ascii="宋体" w:hAnsi="宋体" w:eastAsia="宋体" w:cs="宋体"/>
          <w:b/>
          <w:bCs/>
          <w:color w:val="auto"/>
          <w:sz w:val="24"/>
          <w:szCs w:val="24"/>
          <w:highlight w:val="none"/>
        </w:rPr>
      </w:pPr>
      <w:bookmarkStart w:id="143" w:name="OLE_LINK77"/>
      <w:bookmarkStart w:id="144" w:name="_Toc15340"/>
      <w:bookmarkStart w:id="145" w:name="_Toc5388"/>
      <w:bookmarkStart w:id="146" w:name="_Toc39"/>
      <w:bookmarkStart w:id="147" w:name="_Toc22423"/>
      <w:bookmarkStart w:id="148" w:name="_Toc4223"/>
      <w:bookmarkStart w:id="149" w:name="_Toc15318"/>
      <w:bookmarkStart w:id="150" w:name="_Toc188808834"/>
      <w:bookmarkStart w:id="151" w:name="_Toc193187098"/>
      <w:bookmarkStart w:id="152" w:name="_Toc193126882"/>
      <w:bookmarkStart w:id="153" w:name="_Toc194663919"/>
      <w:r>
        <w:rPr>
          <w:rFonts w:hint="eastAsia" w:ascii="宋体" w:hAnsi="宋体" w:eastAsia="宋体" w:cs="宋体"/>
          <w:b/>
          <w:bCs/>
          <w:color w:val="auto"/>
          <w:sz w:val="24"/>
          <w:szCs w:val="24"/>
          <w:highlight w:val="none"/>
          <w:lang w:val="en-US" w:eastAsia="zh-CN"/>
        </w:rPr>
        <w:t>第一部分、资格证明文件</w:t>
      </w:r>
    </w:p>
    <w:tbl>
      <w:tblPr>
        <w:tblStyle w:val="30"/>
        <w:tblW w:w="8879" w:type="dxa"/>
        <w:tblInd w:w="3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659"/>
        <w:gridCol w:w="1020"/>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211" w:firstLineChars="10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标准</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521" w:leftChars="-3" w:hanging="527" w:hangingChars="25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主体资格证明</w:t>
            </w:r>
            <w:r>
              <w:rPr>
                <w:rFonts w:hint="eastAsia" w:ascii="宋体" w:hAnsi="宋体" w:eastAsia="宋体" w:cs="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highlight w:val="none"/>
              </w:rPr>
            </w:pPr>
            <w:r>
              <w:rPr>
                <w:rFonts w:hint="eastAsia"/>
              </w:rPr>
              <w:t>具有独立承担民事责任能力的企业法人、事业法人或其他组织，提供三证合一的营业执照（事业单位须提供事业单位法人证、组织机构代码证等证明文件；其他组织应提供合法证明文件）；</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rPr>
              <w:t>供应商应授权合法的人员参加投标全过程，其中法定代表人直接参加投标的，须出具法人身份证明，并与营业执照上信息一致，法定代表人授权代表参加投标的，须出具法定代表人授权书及授权代表身份证明；</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519" w:leftChars="97" w:hanging="315" w:hangingChars="15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519" w:leftChars="-3" w:hanging="525" w:hanging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519" w:leftChars="-3" w:hanging="525" w:hangingChars="2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519" w:leftChars="-3" w:hanging="525" w:hangingChars="25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rPr>
              <w:t>供应商须具备水利水电工程施工总承包三级及以上资质、具有建设行政主管部门颁发的安全生产许可证；</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cyan"/>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cyan"/>
                <w:lang w:val="en-US" w:eastAsia="zh-CN" w:bidi="ar-SA"/>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rPr>
              <w:t>拟委派项目经理须为本单位在职人员，具有水利水电工程二级（含二级）及以上注册建造师证书、具有有效的安全生产考核合格证，拟派项目经理在本单位2024年5月至今任意3个月职工养老保险缴纳证明，且无在建项目承诺。</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税收缴纳证明：</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rPr>
              <w:t>提供2024年5月至今任意3个月的纳税证明或完税证明，纳税证明或完税证明上应有代收机构或税务机关的公章或业务专用章，依法免税的供应商应提供相关文件证明；</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社保资金缴纳证明：</w:t>
            </w:r>
          </w:p>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0"/>
                <w:sz w:val="21"/>
                <w:szCs w:val="21"/>
                <w:highlight w:val="none"/>
              </w:rPr>
            </w:pPr>
            <w:r>
              <w:rPr>
                <w:rFonts w:hint="eastAsia"/>
              </w:rPr>
              <w:t>提供2024年5月至今任意3个月的社会保障资金缴存单据或社保机构开具的社会保险参保缴费情况证明，单据或证明上应有社保机构或收机构的公章或业务专用章。依法不需要缴纳社会保障资金的供应商应提供相关文件证明；</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财务状况报告</w:t>
            </w:r>
            <w:r>
              <w:rPr>
                <w:rFonts w:hint="eastAsia" w:ascii="宋体" w:hAnsi="宋体" w:eastAsia="宋体" w:cs="宋体"/>
                <w:color w:val="auto"/>
                <w:kern w:val="0"/>
                <w:sz w:val="21"/>
                <w:szCs w:val="21"/>
                <w:highlight w:val="none"/>
                <w:lang w:val="en-US" w:eastAsia="zh-CN"/>
              </w:rPr>
              <w:t>：</w:t>
            </w:r>
            <w:r>
              <w:rPr>
                <w:rFonts w:hint="eastAsia"/>
              </w:rPr>
              <w:t>提供2023或2024年度的财务审计报告（成立时间至提交投标文件截止时间不足一年的可提供成立后任意时段的资产负债表）或开标前三个月内其基本存款账户开户银行出具的资信证明；</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kern w:val="0"/>
                <w:sz w:val="21"/>
                <w:szCs w:val="21"/>
                <w:highlight w:val="none"/>
              </w:rPr>
            </w:pPr>
            <w:r>
              <w:rPr>
                <w:rFonts w:hint="eastAsia"/>
              </w:rPr>
              <w:t>近三年无重大违法记录书面声明：参加本次采购活动前三年内，在经营活动中无重大违法记录的书面声明。</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文件提供的格式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rPr>
            </w:pPr>
            <w:r>
              <w:rPr>
                <w:rFonts w:hint="eastAsia"/>
              </w:rPr>
              <w:t>单位负责人为同一人或者存在直接</w:t>
            </w:r>
            <w:r>
              <w:rPr>
                <w:rFonts w:hint="eastAsia"/>
                <w:b/>
                <w:bCs/>
              </w:rPr>
              <w:t>控股、管</w:t>
            </w:r>
            <w:r>
              <w:rPr>
                <w:rFonts w:hint="eastAsia"/>
              </w:rPr>
              <w:t>理关系的不同供应商，不得参加同一合同项下的政府采购活动；</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65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rPr>
              <w:t>信用记录：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5659" w:type="dxa"/>
            <w:noWrap w:val="0"/>
            <w:vAlign w:val="center"/>
          </w:tcPr>
          <w:p>
            <w:pPr>
              <w:pStyle w:val="9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kern w:val="2"/>
                <w:sz w:val="21"/>
                <w:szCs w:val="24"/>
                <w:lang w:val="en-US" w:eastAsia="zh-CN" w:bidi="ar-SA"/>
              </w:rPr>
              <w:t>提供具有履行本合同所必需的设备和专业技术能力的承诺书</w:t>
            </w:r>
            <w:r>
              <w:rPr>
                <w:rFonts w:hint="eastAsia"/>
              </w:rPr>
              <w:t xml:space="preserve">； </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659"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交纳</w:t>
            </w:r>
            <w:r>
              <w:rPr>
                <w:rFonts w:hint="eastAsia" w:ascii="宋体" w:hAnsi="宋体" w:eastAsia="宋体" w:cs="宋体"/>
                <w:b/>
                <w:color w:val="auto"/>
                <w:kern w:val="0"/>
                <w:sz w:val="21"/>
                <w:szCs w:val="21"/>
                <w:highlight w:val="none"/>
                <w:lang w:eastAsia="zh-CN"/>
              </w:rPr>
              <w:t>磋商</w:t>
            </w:r>
            <w:r>
              <w:rPr>
                <w:rFonts w:hint="eastAsia" w:ascii="宋体" w:hAnsi="宋体" w:eastAsia="宋体" w:cs="宋体"/>
                <w:b/>
                <w:color w:val="auto"/>
                <w:kern w:val="0"/>
                <w:sz w:val="21"/>
                <w:szCs w:val="21"/>
                <w:highlight w:val="none"/>
              </w:rPr>
              <w:t>保证金证明：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保证金交纳凭证</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13</w:t>
            </w:r>
          </w:p>
        </w:tc>
        <w:tc>
          <w:tcPr>
            <w:tcW w:w="56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Hans" w:bidi="ar-SA"/>
              </w:rPr>
              <w:t>本项目不接受联合体投标（提供承诺书）。</w:t>
            </w:r>
          </w:p>
        </w:tc>
        <w:tc>
          <w:tcPr>
            <w:tcW w:w="102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p>
        </w:tc>
        <w:tc>
          <w:tcPr>
            <w:tcW w:w="1278"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提供证明</w:t>
            </w:r>
            <w:r>
              <w:rPr>
                <w:rFonts w:hint="eastAsia" w:ascii="宋体" w:hAnsi="宋体" w:eastAsia="宋体" w:cs="宋体"/>
                <w:color w:val="auto"/>
                <w:kern w:val="0"/>
                <w:sz w:val="21"/>
                <w:szCs w:val="21"/>
                <w:highlight w:val="none"/>
                <w:lang w:eastAsia="zh-CN"/>
              </w:rPr>
              <w:t>材料</w:t>
            </w:r>
          </w:p>
        </w:tc>
      </w:tr>
    </w:tbl>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响应文件中应附一套完整的资格证明材料，缺少一项或某项达不到</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文件要求的按无效响应文件处理，复印件加盖供应商单位公章</w:t>
      </w:r>
      <w:r>
        <w:rPr>
          <w:rFonts w:hint="eastAsia" w:ascii="宋体" w:hAnsi="宋体" w:eastAsia="宋体" w:cs="宋体"/>
          <w:b/>
          <w:bCs/>
          <w:color w:val="auto"/>
          <w:sz w:val="24"/>
          <w:szCs w:val="24"/>
          <w:highlight w:val="none"/>
          <w:lang w:eastAsia="zh-CN"/>
        </w:rPr>
        <w:t>。</w:t>
      </w:r>
    </w:p>
    <w:p>
      <w:pPr>
        <w:rPr>
          <w:rFonts w:hint="eastAsia" w:ascii="宋体" w:hAnsi="宋体" w:eastAsia="宋体" w:cs="宋体"/>
          <w:bCs/>
          <w:caps/>
          <w:color w:val="auto"/>
          <w:sz w:val="24"/>
          <w:szCs w:val="24"/>
          <w:highlight w:val="none"/>
          <w:lang w:val="en-US" w:eastAsia="zh-CN"/>
        </w:rPr>
      </w:pPr>
      <w:r>
        <w:rPr>
          <w:rFonts w:hint="eastAsia" w:ascii="宋体" w:hAnsi="宋体" w:eastAsia="宋体" w:cs="宋体"/>
          <w:bCs/>
          <w:caps/>
          <w:color w:val="auto"/>
          <w:sz w:val="24"/>
          <w:szCs w:val="24"/>
          <w:highlight w:val="none"/>
          <w:lang w:val="en-US" w:eastAsia="zh-CN"/>
        </w:rPr>
        <w:br w:type="page"/>
      </w:r>
    </w:p>
    <w:p>
      <w:pPr>
        <w:numPr>
          <w:ilvl w:val="0"/>
          <w:numId w:val="0"/>
        </w:numPr>
        <w:ind w:leftChars="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pPr>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法定代表人身份证明书或法定代表人授权委托书</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p>
      <w:pPr>
        <w:snapToGrid w:val="0"/>
        <w:spacing w:line="480" w:lineRule="auto"/>
        <w:rPr>
          <w:rFonts w:hint="eastAsia" w:ascii="宋体" w:hAnsi="宋体" w:eastAsia="宋体" w:cs="宋体"/>
          <w:color w:val="auto"/>
          <w:sz w:val="24"/>
          <w:szCs w:val="24"/>
          <w:highlight w:val="none"/>
        </w:rPr>
      </w:pP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（供应商名称）的法定代表人。</w:t>
      </w: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pPr>
        <w:autoSpaceDE w:val="0"/>
        <w:autoSpaceDN w:val="0"/>
        <w:adjustRightInd w:val="0"/>
        <w:snapToGrid w:val="0"/>
        <w:spacing w:before="120" w:beforeLines="50" w:line="360" w:lineRule="auto"/>
        <w:ind w:left="0" w:leftChars="0" w:firstLine="0" w:firstLineChars="0"/>
        <w:jc w:val="left"/>
        <w:rPr>
          <w:rFonts w:hint="eastAsia" w:ascii="宋体" w:hAnsi="宋体" w:eastAsia="宋体" w:cs="宋体"/>
          <w:color w:val="auto"/>
          <w:sz w:val="24"/>
          <w:szCs w:val="24"/>
          <w:highlight w:val="none"/>
        </w:rPr>
      </w:pPr>
    </w:p>
    <w:p>
      <w:pPr>
        <w:autoSpaceDE w:val="0"/>
        <w:autoSpaceDN w:val="0"/>
        <w:adjustRightInd w:val="0"/>
        <w:snapToGrid w:val="0"/>
        <w:spacing w:before="120" w:beforeLines="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pPr>
        <w:snapToGrid w:val="0"/>
        <w:spacing w:line="480" w:lineRule="auto"/>
        <w:rPr>
          <w:rFonts w:hint="eastAsia" w:ascii="宋体" w:hAnsi="宋体" w:eastAsia="宋体" w:cs="宋体"/>
          <w:color w:val="auto"/>
          <w:sz w:val="24"/>
          <w:szCs w:val="24"/>
          <w:highlight w:val="none"/>
        </w:rPr>
      </w:pPr>
    </w:p>
    <w:tbl>
      <w:tblPr>
        <w:tblStyle w:val="3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036" w:type="dxa"/>
            <w:noWrap w:val="0"/>
            <w:vAlign w:val="center"/>
          </w:tcPr>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center"/>
              <w:rPr>
                <w:rFonts w:hint="eastAsia" w:ascii="宋体" w:hAnsi="宋体" w:eastAsia="宋体" w:cs="宋体"/>
                <w:color w:val="auto"/>
                <w:sz w:val="24"/>
                <w:szCs w:val="24"/>
                <w:highlight w:val="none"/>
              </w:rPr>
            </w:pPr>
          </w:p>
          <w:p>
            <w:pPr>
              <w:autoSpaceDE w:val="0"/>
              <w:autoSpaceDN w:val="0"/>
              <w:adjustRightInd w:val="0"/>
              <w:snapToGrid w:val="0"/>
              <w:spacing w:before="120" w:beforeLines="5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法定代表人身份证正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反面复印件</w:t>
            </w:r>
          </w:p>
          <w:p>
            <w:pPr>
              <w:snapToGrid w:val="0"/>
              <w:spacing w:line="480" w:lineRule="auto"/>
              <w:jc w:val="center"/>
              <w:rPr>
                <w:rFonts w:hint="eastAsia" w:ascii="宋体" w:hAnsi="宋体" w:eastAsia="宋体" w:cs="宋体"/>
                <w:color w:val="auto"/>
                <w:sz w:val="24"/>
                <w:szCs w:val="24"/>
                <w:highlight w:val="none"/>
              </w:rPr>
            </w:pPr>
          </w:p>
          <w:p>
            <w:pPr>
              <w:snapToGrid w:val="0"/>
              <w:spacing w:line="480" w:lineRule="auto"/>
              <w:jc w:val="center"/>
              <w:rPr>
                <w:rFonts w:hint="eastAsia" w:ascii="宋体" w:hAnsi="宋体" w:eastAsia="宋体" w:cs="宋体"/>
                <w:color w:val="auto"/>
                <w:sz w:val="24"/>
                <w:szCs w:val="24"/>
                <w:highlight w:val="none"/>
              </w:rPr>
            </w:pPr>
          </w:p>
        </w:tc>
      </w:tr>
    </w:tbl>
    <w:p>
      <w:pPr>
        <w:snapToGrid w:val="0"/>
        <w:spacing w:line="480" w:lineRule="auto"/>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snapToGrid w:val="0"/>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ind w:right="420"/>
        <w:rPr>
          <w:rFonts w:hint="eastAsia" w:ascii="宋体" w:hAnsi="宋体" w:eastAsia="宋体" w:cs="宋体"/>
          <w:color w:val="auto"/>
          <w:sz w:val="24"/>
          <w:szCs w:val="24"/>
          <w:highlight w:val="none"/>
        </w:rPr>
      </w:pPr>
    </w:p>
    <w:p>
      <w:pPr>
        <w:adjustRightInd w:val="0"/>
        <w:snapToGrid w:val="0"/>
        <w:spacing w:line="360" w:lineRule="auto"/>
        <w:ind w:left="0" w:leftChars="0" w:right="420" w:firstLine="0" w:firstLineChars="0"/>
        <w:rPr>
          <w:rFonts w:hint="eastAsia" w:ascii="宋体" w:hAnsi="宋体" w:eastAsia="宋体" w:cs="宋体"/>
          <w:color w:val="auto"/>
          <w:sz w:val="24"/>
          <w:szCs w:val="24"/>
          <w:highlight w:val="none"/>
        </w:rPr>
      </w:pPr>
    </w:p>
    <w:p>
      <w:pPr>
        <w:adjustRightInd w:val="0"/>
        <w:snapToGrid w:val="0"/>
        <w:spacing w:line="360" w:lineRule="auto"/>
        <w:ind w:left="0" w:leftChars="0" w:right="420" w:firstLine="0" w:firstLineChars="0"/>
        <w:rPr>
          <w:rFonts w:hint="eastAsia" w:ascii="宋体" w:hAnsi="宋体" w:eastAsia="宋体" w:cs="宋体"/>
          <w:color w:val="auto"/>
          <w:sz w:val="24"/>
          <w:szCs w:val="24"/>
          <w:highlight w:val="none"/>
        </w:rPr>
      </w:pPr>
    </w:p>
    <w:p>
      <w:pPr>
        <w:adjustRightInd w:val="0"/>
        <w:snapToGrid w:val="0"/>
        <w:spacing w:line="360" w:lineRule="auto"/>
        <w:ind w:right="420" w:firstLine="3720" w:firstLineChars="1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adjustRightInd w:val="0"/>
        <w:snapToGrid w:val="0"/>
        <w:spacing w:line="360" w:lineRule="auto"/>
        <w:ind w:right="420" w:firstLine="5520" w:firstLineChars="2300"/>
        <w:rPr>
          <w:rFonts w:hint="eastAsia" w:ascii="宋体" w:hAnsi="宋体" w:eastAsia="宋体" w:cs="宋体"/>
          <w:color w:val="auto"/>
          <w:sz w:val="24"/>
          <w:szCs w:val="24"/>
          <w:highlight w:val="none"/>
        </w:rPr>
      </w:pPr>
    </w:p>
    <w:p>
      <w:pPr>
        <w:spacing w:line="240" w:lineRule="auto"/>
        <w:ind w:firstLine="3840" w:firstLineChars="16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adjustRightInd w:val="0"/>
        <w:snapToGrid w:val="0"/>
        <w:spacing w:line="360" w:lineRule="auto"/>
        <w:ind w:right="420" w:firstLine="4860" w:firstLineChars="202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pPr>
        <w:spacing w:before="240" w:beforeLines="10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（姓名）系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（供应商名称）的法定代表人（单位负责人），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（姓名）为我方代理人。代理人根据授权，以我方的名义签署、澄清确认、递交、撤回、修改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（采购项目）响应文件、签订合同和全权处理一切与之有关的事宜，</w:t>
      </w:r>
      <w:r>
        <w:rPr>
          <w:rFonts w:hint="eastAsia" w:ascii="宋体" w:hAnsi="宋体" w:eastAsia="宋体" w:cs="宋体"/>
          <w:color w:val="auto"/>
          <w:kern w:val="0"/>
          <w:sz w:val="24"/>
          <w:szCs w:val="24"/>
          <w:highlight w:val="none"/>
        </w:rPr>
        <w:t>其法律后果由我方承担。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委托期限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自磋商响应截止之日起90日历天</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代理人无转委托权。</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附：法定代表人（单位负责人）身份证复印件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委托代理人身份证复印件</w:t>
      </w:r>
    </w:p>
    <w:tbl>
      <w:tblPr>
        <w:tblStyle w:val="3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0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96" w:hRule="atLeast"/>
          <w:jc w:val="center"/>
        </w:trPr>
        <w:tc>
          <w:tcPr>
            <w:tcW w:w="8060" w:type="dxa"/>
            <w:tcBorders>
              <w:top w:val="double" w:color="auto" w:sz="4" w:space="0"/>
              <w:left w:val="double" w:color="auto" w:sz="4" w:space="0"/>
              <w:bottom w:val="double" w:color="auto" w:sz="4" w:space="0"/>
              <w:right w:val="double" w:color="auto" w:sz="4" w:space="0"/>
            </w:tcBorders>
            <w:noWrap w:val="0"/>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w:t>
            </w:r>
            <w:r>
              <w:rPr>
                <w:rFonts w:hint="eastAsia" w:ascii="宋体" w:hAnsi="宋体" w:eastAsia="宋体" w:cs="宋体"/>
                <w:color w:val="auto"/>
                <w:sz w:val="24"/>
                <w:szCs w:val="24"/>
                <w:highlight w:val="none"/>
              </w:rPr>
              <w:t>面）</w:t>
            </w:r>
          </w:p>
          <w:p>
            <w:pPr>
              <w:adjustRightInd w:val="0"/>
              <w:snapToGrid w:val="0"/>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23" w:hRule="atLeast"/>
          <w:jc w:val="center"/>
        </w:trPr>
        <w:tc>
          <w:tcPr>
            <w:tcW w:w="8060" w:type="dxa"/>
            <w:tcBorders>
              <w:top w:val="double" w:color="auto" w:sz="4" w:space="0"/>
              <w:left w:val="double" w:color="auto" w:sz="4" w:space="0"/>
              <w:bottom w:val="double" w:color="auto" w:sz="4" w:space="0"/>
              <w:right w:val="double" w:color="auto" w:sz="4" w:space="0"/>
            </w:tcBorders>
            <w:noWrap w:val="0"/>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w:t>
            </w:r>
            <w:r>
              <w:rPr>
                <w:rFonts w:hint="eastAsia" w:ascii="宋体" w:hAnsi="宋体" w:eastAsia="宋体" w:cs="宋体"/>
                <w:color w:val="auto"/>
                <w:sz w:val="24"/>
                <w:szCs w:val="24"/>
                <w:highlight w:val="none"/>
              </w:rPr>
              <w:t>面）</w:t>
            </w:r>
          </w:p>
          <w:p>
            <w:pPr>
              <w:adjustRightInd w:val="0"/>
              <w:snapToGrid w:val="0"/>
              <w:rPr>
                <w:rFonts w:hint="eastAsia" w:ascii="宋体" w:hAnsi="宋体" w:eastAsia="宋体" w:cs="宋体"/>
                <w:color w:val="auto"/>
                <w:sz w:val="24"/>
                <w:szCs w:val="24"/>
                <w:highlight w:val="none"/>
              </w:rPr>
            </w:pPr>
          </w:p>
        </w:tc>
      </w:tr>
    </w:tbl>
    <w:p>
      <w:pPr>
        <w:ind w:left="0" w:leftChars="0" w:firstLine="0" w:firstLineChars="0"/>
        <w:rPr>
          <w:rFonts w:hint="eastAsia" w:ascii="宋体" w:hAnsi="宋体" w:eastAsia="宋体" w:cs="宋体"/>
          <w:color w:val="auto"/>
          <w:sz w:val="24"/>
          <w:szCs w:val="24"/>
          <w:highlight w:val="none"/>
        </w:rPr>
      </w:pPr>
    </w:p>
    <w:p>
      <w:pPr>
        <w:spacing w:before="120" w:beforeLines="50"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（盖单位章） </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法定代表人（单位负责人）: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（签名）</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rPr>
        <w:t xml:space="preserve">                              </w:t>
      </w:r>
    </w:p>
    <w:p>
      <w:pPr>
        <w:spacing w:line="240" w:lineRule="auto"/>
        <w:rPr>
          <w:rFonts w:hint="eastAsia" w:ascii="宋体" w:hAnsi="宋体" w:eastAsia="宋体" w:cs="宋体"/>
          <w:color w:val="auto"/>
          <w:sz w:val="24"/>
          <w:szCs w:val="24"/>
          <w:highlight w:val="none"/>
        </w:rPr>
      </w:pPr>
    </w:p>
    <w:p>
      <w:pPr>
        <w:spacing w:line="24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（签名）     </w:t>
      </w:r>
    </w:p>
    <w:p>
      <w:pPr>
        <w:spacing w:line="240" w:lineRule="auto"/>
        <w:jc w:val="left"/>
        <w:rPr>
          <w:rFonts w:hint="eastAsia" w:ascii="宋体" w:hAnsi="宋体" w:eastAsia="宋体" w:cs="宋体"/>
          <w:color w:val="auto"/>
          <w:sz w:val="24"/>
          <w:szCs w:val="24"/>
          <w:highlight w:val="none"/>
        </w:rPr>
      </w:pPr>
    </w:p>
    <w:p>
      <w:pPr>
        <w:spacing w:line="240" w:lineRule="auto"/>
        <w:ind w:firstLine="3240" w:firstLineChars="13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rPr>
        <w:t xml:space="preserve">                              </w:t>
      </w:r>
    </w:p>
    <w:p>
      <w:pPr>
        <w:spacing w:line="240" w:lineRule="auto"/>
        <w:rPr>
          <w:rFonts w:hint="eastAsia" w:ascii="宋体" w:hAnsi="宋体" w:eastAsia="宋体" w:cs="宋体"/>
          <w:color w:val="auto"/>
          <w:sz w:val="24"/>
          <w:szCs w:val="24"/>
          <w:highlight w:val="none"/>
        </w:rPr>
      </w:pPr>
    </w:p>
    <w:p>
      <w:pPr>
        <w:spacing w:line="240" w:lineRule="auto"/>
        <w:ind w:firstLine="3120" w:firstLineChars="1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numPr>
          <w:ilvl w:val="0"/>
          <w:numId w:val="0"/>
        </w:numPr>
        <w:bidi w:val="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附件2： </w:t>
      </w:r>
    </w:p>
    <w:p>
      <w:pPr>
        <w:numPr>
          <w:ilvl w:val="0"/>
          <w:numId w:val="0"/>
        </w:numPr>
        <w:bidi w:val="0"/>
        <w:jc w:val="center"/>
        <w:outlineLvl w:val="0"/>
        <w:rPr>
          <w:rFonts w:hint="eastAsia" w:ascii="宋体" w:hAnsi="宋体" w:eastAsia="宋体" w:cs="宋体"/>
          <w:b/>
          <w:bCs/>
          <w:color w:val="auto"/>
          <w:sz w:val="24"/>
          <w:szCs w:val="24"/>
          <w:highlight w:val="none"/>
          <w:lang w:val="en-US" w:eastAsia="zh-CN"/>
        </w:rPr>
      </w:pPr>
      <w:bookmarkStart w:id="154" w:name="_Toc28869"/>
      <w:bookmarkStart w:id="155" w:name="_Toc22278"/>
      <w:r>
        <w:rPr>
          <w:rFonts w:hint="eastAsia" w:ascii="宋体" w:hAnsi="宋体" w:eastAsia="宋体" w:cs="宋体"/>
          <w:b/>
          <w:bCs/>
          <w:color w:val="auto"/>
          <w:sz w:val="24"/>
          <w:szCs w:val="24"/>
          <w:highlight w:val="none"/>
          <w:lang w:val="en-US" w:eastAsia="zh-CN"/>
        </w:rPr>
        <w:t>近三年无重大违法、违纪书面声明（格式）</w:t>
      </w:r>
      <w:bookmarkEnd w:id="154"/>
      <w:bookmarkEnd w:id="155"/>
    </w:p>
    <w:p>
      <w:pPr>
        <w:pStyle w:val="47"/>
        <w:rPr>
          <w:rFonts w:hint="eastAsia" w:ascii="宋体" w:hAnsi="宋体" w:eastAsia="宋体" w:cs="宋体"/>
          <w:color w:val="auto"/>
          <w:sz w:val="24"/>
          <w:szCs w:val="24"/>
          <w:highlight w:val="none"/>
          <w:lang w:val="en-US" w:eastAsia="zh-CN"/>
        </w:rPr>
      </w:pPr>
    </w:p>
    <w:p>
      <w:pPr>
        <w:numPr>
          <w:ilvl w:val="0"/>
          <w:numId w:val="0"/>
        </w:numPr>
        <w:bidi w:val="0"/>
        <w:jc w:val="center"/>
        <w:outlineLvl w:val="0"/>
        <w:rPr>
          <w:rFonts w:hint="eastAsia" w:ascii="宋体" w:hAnsi="宋体" w:eastAsia="宋体" w:cs="宋体"/>
          <w:b/>
          <w:bCs/>
          <w:color w:val="auto"/>
          <w:sz w:val="24"/>
          <w:szCs w:val="24"/>
          <w:highlight w:val="none"/>
          <w:lang w:val="en-US" w:eastAsia="zh-CN"/>
        </w:rPr>
      </w:pPr>
      <w:bookmarkStart w:id="156" w:name="_Toc14809"/>
      <w:bookmarkStart w:id="157" w:name="_Toc132"/>
      <w:r>
        <w:rPr>
          <w:rFonts w:hint="eastAsia" w:ascii="宋体" w:hAnsi="宋体" w:eastAsia="宋体" w:cs="宋体"/>
          <w:b/>
          <w:bCs/>
          <w:color w:val="auto"/>
          <w:sz w:val="24"/>
          <w:szCs w:val="24"/>
          <w:highlight w:val="none"/>
          <w:lang w:val="en-US" w:eastAsia="zh-CN"/>
        </w:rPr>
        <w:t>近三年无重大违法、违纪书面声明</w:t>
      </w:r>
      <w:bookmarkEnd w:id="156"/>
      <w:bookmarkEnd w:id="157"/>
    </w:p>
    <w:p>
      <w:pPr>
        <w:pStyle w:val="29"/>
        <w:rPr>
          <w:rFonts w:hint="eastAsia" w:ascii="宋体" w:hAnsi="宋体" w:eastAsia="宋体" w:cs="宋体"/>
          <w:color w:val="auto"/>
          <w:sz w:val="24"/>
          <w:szCs w:val="24"/>
          <w:highlight w:val="none"/>
          <w:lang w:val="en-US" w:eastAsia="zh-CN"/>
        </w:rPr>
      </w:pPr>
    </w:p>
    <w:p>
      <w:pPr>
        <w:spacing w:line="480" w:lineRule="exact"/>
        <w:ind w:left="0" w:leftChars="0" w:firstLine="0" w:firstLineChars="0"/>
        <w:outlineLvl w:val="0"/>
        <w:rPr>
          <w:rFonts w:hint="eastAsia" w:ascii="宋体" w:hAnsi="宋体" w:eastAsia="宋体" w:cs="宋体"/>
          <w:color w:val="auto"/>
          <w:sz w:val="24"/>
          <w:szCs w:val="24"/>
          <w:highlight w:val="none"/>
          <w:lang w:eastAsia="zh-CN"/>
        </w:rPr>
      </w:pPr>
      <w:bookmarkStart w:id="158" w:name="_Toc6967"/>
      <w:bookmarkStart w:id="159" w:name="_Toc27798"/>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bookmarkEnd w:id="158"/>
      <w:r>
        <w:rPr>
          <w:rFonts w:hint="eastAsia" w:ascii="宋体" w:hAnsi="宋体" w:eastAsia="宋体" w:cs="宋体"/>
          <w:b/>
          <w:color w:val="auto"/>
          <w:sz w:val="24"/>
          <w:szCs w:val="24"/>
          <w:highlight w:val="none"/>
          <w:u w:val="single"/>
          <w:lang w:eastAsia="zh-CN"/>
        </w:rPr>
        <w:t>中智达项目管理有限公司</w:t>
      </w:r>
      <w:bookmarkEnd w:id="159"/>
      <w:r>
        <w:rPr>
          <w:rFonts w:hint="eastAsia" w:ascii="宋体" w:hAnsi="宋体" w:eastAsia="宋体" w:cs="宋体"/>
          <w:b/>
          <w:color w:val="auto"/>
          <w:sz w:val="24"/>
          <w:szCs w:val="24"/>
          <w:highlight w:val="none"/>
          <w:u w:val="single"/>
          <w:lang w:eastAsia="zh-CN"/>
        </w:rPr>
        <w:t xml:space="preserve">  </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我单位声明参加本次政府采购活动</w:t>
      </w:r>
      <w:r>
        <w:rPr>
          <w:rFonts w:hint="eastAsia" w:ascii="宋体" w:hAnsi="宋体" w:eastAsia="宋体" w:cs="宋体"/>
          <w:color w:val="auto"/>
          <w:sz w:val="24"/>
          <w:szCs w:val="24"/>
          <w:highlight w:val="none"/>
          <w:lang w:eastAsia="zh-CN"/>
        </w:rPr>
        <w:t>近三年</w:t>
      </w:r>
      <w:r>
        <w:rPr>
          <w:rFonts w:hint="eastAsia" w:ascii="宋体" w:hAnsi="宋体" w:eastAsia="宋体" w:cs="宋体"/>
          <w:color w:val="auto"/>
          <w:sz w:val="24"/>
          <w:szCs w:val="24"/>
          <w:highlight w:val="none"/>
        </w:rPr>
        <w:t>内，在经营活动中没有重大违纪，以及未被列入失信被执行人、未在重大税收违法案件当事人名单及政府采购严重违法失信行为记录名单中。</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以上如构成虚假，自愿承担相关法律责任。</w:t>
      </w:r>
    </w:p>
    <w:p>
      <w:pPr>
        <w:spacing w:line="360" w:lineRule="auto"/>
        <w:jc w:val="left"/>
        <w:rPr>
          <w:rFonts w:hint="eastAsia" w:ascii="宋体" w:hAnsi="宋体" w:eastAsia="宋体" w:cs="宋体"/>
          <w:b/>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360" w:lineRule="auto"/>
        <w:ind w:firstLine="480" w:firstLineChars="200"/>
        <w:jc w:val="left"/>
        <w:rPr>
          <w:rFonts w:hint="eastAsia" w:ascii="宋体" w:hAnsi="宋体" w:eastAsia="宋体" w:cs="宋体"/>
          <w:color w:val="auto"/>
          <w:sz w:val="24"/>
          <w:szCs w:val="24"/>
          <w:highlight w:val="none"/>
        </w:rPr>
      </w:pPr>
    </w:p>
    <w:p>
      <w:pPr>
        <w:spacing w:line="480" w:lineRule="auto"/>
        <w:ind w:firstLine="480" w:firstLineChars="200"/>
        <w:jc w:val="left"/>
        <w:rPr>
          <w:rFonts w:hint="eastAsia" w:ascii="宋体" w:hAnsi="宋体" w:eastAsia="宋体" w:cs="宋体"/>
          <w:color w:val="auto"/>
          <w:sz w:val="24"/>
          <w:szCs w:val="24"/>
          <w:highlight w:val="none"/>
        </w:rPr>
      </w:pPr>
    </w:p>
    <w:p>
      <w:pPr>
        <w:pStyle w:val="2"/>
        <w:rPr>
          <w:rFonts w:hint="eastAsia" w:ascii="宋体" w:hAnsi="宋体" w:eastAsia="宋体" w:cs="宋体"/>
        </w:rPr>
      </w:pPr>
    </w:p>
    <w:p>
      <w:pPr>
        <w:spacing w:line="48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声明人（公章）：</w:t>
      </w:r>
      <w:r>
        <w:rPr>
          <w:rFonts w:hint="eastAsia" w:ascii="宋体" w:hAnsi="宋体" w:eastAsia="宋体" w:cs="宋体"/>
          <w:color w:val="auto"/>
          <w:sz w:val="24"/>
          <w:szCs w:val="24"/>
          <w:highlight w:val="none"/>
          <w:u w:val="single"/>
        </w:rPr>
        <w:t xml:space="preserve">                           </w:t>
      </w:r>
    </w:p>
    <w:p>
      <w:pPr>
        <w:spacing w:line="48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tabs>
          <w:tab w:val="left" w:pos="3990"/>
        </w:tabs>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lang w:val="zh-CN"/>
        </w:rPr>
      </w:pPr>
    </w:p>
    <w:bookmarkEnd w:id="143"/>
    <w:p>
      <w:pPr>
        <w:ind w:left="0" w:leftChars="0" w:firstLine="0" w:firstLineChars="0"/>
        <w:rPr>
          <w:rFonts w:hint="eastAsia" w:ascii="宋体" w:hAnsi="宋体" w:eastAsia="宋体" w:cs="宋体"/>
          <w:color w:val="auto"/>
          <w:sz w:val="24"/>
          <w:szCs w:val="24"/>
          <w:highlight w:val="none"/>
          <w:u w:val="single"/>
          <w:lang w:val="zh-CN" w:eastAsia="zh-CN"/>
        </w:rPr>
      </w:pPr>
    </w:p>
    <w:p>
      <w:pPr>
        <w:ind w:left="0" w:leftChars="0" w:firstLine="0" w:firstLineChars="0"/>
        <w:rPr>
          <w:rFonts w:hint="eastAsia" w:ascii="宋体" w:hAnsi="宋体" w:eastAsia="宋体" w:cs="宋体"/>
          <w:color w:val="auto"/>
          <w:sz w:val="24"/>
          <w:szCs w:val="24"/>
          <w:highlight w:val="none"/>
          <w:u w:val="single"/>
          <w:lang w:val="zh-CN" w:eastAsia="zh-CN"/>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2"/>
        <w:keepNext w:val="0"/>
        <w:keepLines w:val="0"/>
        <w:pageBreakBefore w:val="0"/>
        <w:widowControl w:val="0"/>
        <w:kinsoku/>
        <w:wordWrap/>
        <w:overflowPunct/>
        <w:topLinePunct w:val="0"/>
        <w:autoSpaceDE/>
        <w:autoSpaceDN/>
        <w:bidi w:val="0"/>
        <w:snapToGrid/>
        <w:spacing w:after="0"/>
        <w:jc w:val="center"/>
        <w:rPr>
          <w:rFonts w:hint="eastAsia" w:ascii="宋体" w:hAnsi="宋体" w:eastAsia="宋体" w:cs="宋体"/>
          <w:lang w:val="en-US" w:eastAsia="zh-CN"/>
        </w:rPr>
      </w:pPr>
      <w:r>
        <w:rPr>
          <w:rFonts w:hint="eastAsia" w:ascii="宋体" w:hAnsi="宋体" w:eastAsia="宋体" w:cs="宋体"/>
          <w:b/>
          <w:bCs/>
          <w:color w:val="auto"/>
          <w:sz w:val="24"/>
          <w:szCs w:val="24"/>
          <w:highlight w:val="none"/>
          <w:lang w:val="en-US" w:eastAsia="zh-CN"/>
        </w:rPr>
        <w:t>第二部分、符合性证明文件</w:t>
      </w:r>
    </w:p>
    <w:bookmarkEnd w:id="144"/>
    <w:bookmarkEnd w:id="145"/>
    <w:bookmarkEnd w:id="146"/>
    <w:bookmarkEnd w:id="147"/>
    <w:bookmarkEnd w:id="148"/>
    <w:bookmarkEnd w:id="149"/>
    <w:p>
      <w:pPr>
        <w:keepNext w:val="0"/>
        <w:keepLines w:val="0"/>
        <w:pageBreakBefore w:val="0"/>
        <w:widowControl w:val="0"/>
        <w:numPr>
          <w:ilvl w:val="0"/>
          <w:numId w:val="0"/>
        </w:numPr>
        <w:kinsoku/>
        <w:wordWrap/>
        <w:overflowPunct/>
        <w:topLinePunct w:val="0"/>
        <w:autoSpaceDE/>
        <w:autoSpaceDN/>
        <w:bidi w:val="0"/>
        <w:snapToGrid/>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响</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应</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函</w:t>
      </w:r>
    </w:p>
    <w:p>
      <w:pPr>
        <w:pStyle w:val="47"/>
        <w:keepNext w:val="0"/>
        <w:keepLines w:val="0"/>
        <w:pageBreakBefore w:val="0"/>
        <w:widowControl w:val="0"/>
        <w:numPr>
          <w:ilvl w:val="0"/>
          <w:numId w:val="0"/>
        </w:numPr>
        <w:kinsoku/>
        <w:wordWrap/>
        <w:overflowPunct/>
        <w:topLinePunct w:val="0"/>
        <w:autoSpaceDE/>
        <w:autoSpaceDN/>
        <w:bidi w:val="0"/>
        <w:snapToGrid/>
        <w:ind w:leftChars="200"/>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致：</w:t>
      </w:r>
      <w:r>
        <w:rPr>
          <w:rFonts w:hint="eastAsia" w:ascii="宋体" w:hAnsi="宋体" w:eastAsia="宋体" w:cs="宋体"/>
          <w:b w:val="0"/>
          <w:bCs/>
          <w:color w:val="auto"/>
          <w:sz w:val="24"/>
          <w:szCs w:val="24"/>
          <w:highlight w:val="none"/>
          <w:u w:val="single"/>
          <w:lang w:val="en-US" w:eastAsia="zh-CN"/>
        </w:rPr>
        <w:t xml:space="preserve">凤县凤州镇人民政府 </w:t>
      </w:r>
    </w:p>
    <w:p>
      <w:pPr>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（采购</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，我方代表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（姓名、职务）   </w:t>
      </w:r>
      <w:r>
        <w:rPr>
          <w:rFonts w:hint="eastAsia" w:ascii="宋体" w:hAnsi="宋体" w:eastAsia="宋体" w:cs="宋体"/>
          <w:color w:val="auto"/>
          <w:sz w:val="24"/>
          <w:szCs w:val="24"/>
          <w:highlight w:val="none"/>
        </w:rPr>
        <w:t>经正式授权并代表</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就该项目进行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在此，我方郑重承诺以下诸点，并负法律责任：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1、我方具备本项目竞争性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文件中规定的资格条件。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2、我方已详细审阅竞争性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响应文件，确认无误。我方提交的竞争性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响应文件正本一份，副本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份，电子文件一份。</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60" w:name="OLE_LINK30"/>
      <w:r>
        <w:rPr>
          <w:rFonts w:hint="eastAsia" w:ascii="宋体" w:hAnsi="宋体" w:eastAsia="宋体" w:cs="宋体"/>
          <w:sz w:val="24"/>
          <w:szCs w:val="24"/>
        </w:rPr>
        <w:t>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文件的要求，完成本项目工程至验收合格的投标报价为：</w:t>
      </w:r>
      <w:bookmarkEnd w:id="160"/>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4、我方已详细审查全部竞争性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文件（包括澄清函、补充通知等），完全理解供应商须知的所有条款。</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5、我方完全满足和响应竞争性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文件中的各项商务和技术要求，若有偏差，已在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响应文件中明确说明。</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6、我方接受竞争性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、我方同意按照要求提供</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响应有关的一切数据或资料。</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、我方同意按竞争性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文件规定，遵守贵方有关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的各项规定和要求。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、我方对本次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 xml:space="preserve">内容及与本项目有关的知识产权、技术资料、商业秘密及相关信息保密。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、我方与采购人和采购代理机构无任何的隶属关系或者其他利害关系。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、若我方被选为成交供应商，我方保证按有关规定向贵方支付</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响应有效期为</w:t>
      </w:r>
      <w:r>
        <w:rPr>
          <w:rFonts w:hint="eastAsia" w:ascii="宋体" w:hAnsi="宋体" w:eastAsia="宋体" w:cs="宋体"/>
          <w:color w:val="auto"/>
          <w:sz w:val="24"/>
          <w:szCs w:val="24"/>
          <w:highlight w:val="none"/>
          <w:lang w:eastAsia="zh-CN"/>
        </w:rPr>
        <w:t>自提交磋商响应文件的截止之日起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、所有关于本项目的函电，请按下列地址联系：</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zh-CN"/>
        </w:rPr>
        <w:t xml:space="preserve"> </w:t>
      </w:r>
    </w:p>
    <w:p>
      <w:pPr>
        <w:pStyle w:val="14"/>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u w:val="single"/>
          <w:lang w:val="en-US" w:eastAsia="zh-CN"/>
        </w:rPr>
      </w:pPr>
    </w:p>
    <w:p>
      <w:pPr>
        <w:numPr>
          <w:ilvl w:val="0"/>
          <w:numId w:val="0"/>
        </w:numPr>
        <w:ind w:leftChars="0"/>
        <w:jc w:val="center"/>
        <w:outlineLvl w:val="9"/>
        <w:rPr>
          <w:rFonts w:hint="eastAsia" w:ascii="宋体" w:hAnsi="宋体" w:eastAsia="宋体" w:cs="宋体"/>
          <w:b/>
          <w:bCs/>
          <w:color w:val="auto"/>
          <w:sz w:val="24"/>
          <w:szCs w:val="24"/>
          <w:highlight w:val="none"/>
          <w:lang w:val="en-US" w:eastAsia="zh-CN"/>
        </w:rPr>
      </w:pPr>
      <w:bookmarkStart w:id="161" w:name="_Toc9496"/>
      <w:bookmarkStart w:id="162" w:name="_Toc6924"/>
      <w:bookmarkStart w:id="163" w:name="_Toc19231"/>
      <w:bookmarkStart w:id="164" w:name="_Toc31519"/>
      <w:bookmarkStart w:id="165" w:name="_Toc495908038"/>
      <w:bookmarkStart w:id="166" w:name="_Toc495681523"/>
      <w:bookmarkStart w:id="167" w:name="_Toc495681242"/>
      <w:bookmarkStart w:id="168" w:name="_Toc31028"/>
      <w:bookmarkStart w:id="169" w:name="_Toc31138"/>
      <w:bookmarkStart w:id="170" w:name="_Toc495681396"/>
      <w:bookmarkStart w:id="171" w:name="_Toc8463"/>
      <w:bookmarkStart w:id="172" w:name="OLE_LINK78"/>
      <w:r>
        <w:rPr>
          <w:rFonts w:hint="eastAsia" w:ascii="宋体" w:hAnsi="宋体" w:eastAsia="宋体" w:cs="宋体"/>
          <w:b/>
          <w:bCs/>
          <w:color w:val="auto"/>
          <w:sz w:val="24"/>
          <w:szCs w:val="24"/>
          <w:highlight w:val="none"/>
          <w:lang w:val="en-US" w:eastAsia="zh-CN"/>
        </w:rPr>
        <w:t>2、第一次磋商报价表</w:t>
      </w:r>
    </w:p>
    <w:p>
      <w:pPr>
        <w:pStyle w:val="53"/>
        <w:rPr>
          <w:rFonts w:hint="eastAsia" w:ascii="宋体" w:hAnsi="宋体" w:eastAsia="宋体" w:cs="宋体"/>
          <w:color w:val="auto"/>
          <w:sz w:val="24"/>
          <w:szCs w:val="24"/>
          <w:highlight w:val="none"/>
          <w:lang w:val="en-US" w:eastAsia="zh-CN"/>
        </w:rPr>
      </w:pPr>
    </w:p>
    <w:bookmarkEnd w:id="161"/>
    <w:bookmarkEnd w:id="162"/>
    <w:bookmarkEnd w:id="163"/>
    <w:bookmarkEnd w:id="164"/>
    <w:bookmarkEnd w:id="165"/>
    <w:bookmarkEnd w:id="166"/>
    <w:bookmarkEnd w:id="167"/>
    <w:bookmarkEnd w:id="168"/>
    <w:bookmarkEnd w:id="169"/>
    <w:bookmarkEnd w:id="170"/>
    <w:bookmarkEnd w:id="171"/>
    <w:tbl>
      <w:tblPr>
        <w:tblStyle w:val="3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6079"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项目编号</w:t>
            </w:r>
          </w:p>
        </w:tc>
        <w:tc>
          <w:tcPr>
            <w:tcW w:w="6079"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520" w:type="dxa"/>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总报价（元）</w:t>
            </w:r>
          </w:p>
        </w:tc>
        <w:tc>
          <w:tcPr>
            <w:tcW w:w="6079"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lang w:eastAsia="zh-CN"/>
              </w:rPr>
            </w:pPr>
            <w:bookmarkStart w:id="173" w:name="OLE_LINK73"/>
            <w:r>
              <w:rPr>
                <w:rFonts w:hint="eastAsia" w:ascii="宋体" w:hAnsi="宋体" w:eastAsia="宋体" w:cs="宋体"/>
                <w:color w:val="auto"/>
                <w:sz w:val="24"/>
                <w:szCs w:val="24"/>
                <w:highlight w:val="none"/>
                <w:lang w:val="en-US" w:eastAsia="zh-CN"/>
              </w:rPr>
              <w:t>工期（合同履行期）</w:t>
            </w:r>
            <w:bookmarkEnd w:id="173"/>
          </w:p>
        </w:tc>
        <w:tc>
          <w:tcPr>
            <w:tcW w:w="6079" w:type="dxa"/>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lang w:eastAsia="zh-CN"/>
              </w:rPr>
            </w:pPr>
            <w:bookmarkStart w:id="174" w:name="OLE_LINK74"/>
            <w:r>
              <w:rPr>
                <w:rFonts w:hint="eastAsia" w:ascii="宋体" w:hAnsi="宋体" w:eastAsia="宋体" w:cs="宋体"/>
                <w:color w:val="auto"/>
                <w:sz w:val="24"/>
                <w:szCs w:val="24"/>
                <w:highlight w:val="none"/>
                <w:lang w:val="en-US" w:eastAsia="zh-CN"/>
              </w:rPr>
              <w:t>质量</w:t>
            </w:r>
            <w:bookmarkEnd w:id="174"/>
          </w:p>
        </w:tc>
        <w:tc>
          <w:tcPr>
            <w:tcW w:w="6079" w:type="dxa"/>
            <w:vAlign w:val="center"/>
          </w:tcPr>
          <w:p>
            <w:pPr>
              <w:widowControl/>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520" w:type="dxa"/>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bookmarkStart w:id="175" w:name="OLE_LINK75"/>
            <w:r>
              <w:rPr>
                <w:rFonts w:hint="eastAsia" w:ascii="宋体" w:hAnsi="宋体" w:eastAsia="宋体" w:cs="宋体"/>
                <w:color w:val="auto"/>
                <w:sz w:val="24"/>
                <w:szCs w:val="24"/>
                <w:highlight w:val="none"/>
                <w:lang w:val="en-US" w:eastAsia="zh-CN"/>
              </w:rPr>
              <w:t>项目经理</w:t>
            </w:r>
            <w:bookmarkEnd w:id="175"/>
          </w:p>
        </w:tc>
        <w:tc>
          <w:tcPr>
            <w:tcW w:w="6079" w:type="dxa"/>
            <w:vAlign w:val="center"/>
          </w:tcPr>
          <w:p>
            <w:pPr>
              <w:widowControl/>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99" w:type="dxa"/>
            <w:gridSpan w:val="2"/>
            <w:vAlign w:val="center"/>
          </w:tcPr>
          <w:p>
            <w:pPr>
              <w:widowControl/>
              <w:spacing w:line="360" w:lineRule="auto"/>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报价以元为单位，保留小数点后两位，大小写不一致时，以大写为准。</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 xml:space="preserve">  </w:t>
      </w:r>
    </w:p>
    <w:p>
      <w:pPr>
        <w:spacing w:line="480" w:lineRule="auto"/>
        <w:ind w:firstLine="2150" w:firstLineChars="896"/>
        <w:jc w:val="left"/>
        <w:rPr>
          <w:rFonts w:hint="eastAsia" w:ascii="宋体" w:hAnsi="宋体" w:eastAsia="宋体" w:cs="宋体"/>
          <w:color w:val="auto"/>
          <w:sz w:val="24"/>
          <w:szCs w:val="24"/>
          <w:highlight w:val="none"/>
        </w:rPr>
      </w:pPr>
    </w:p>
    <w:p>
      <w:pPr>
        <w:spacing w:line="480" w:lineRule="auto"/>
        <w:ind w:firstLine="2150" w:firstLineChars="896"/>
        <w:jc w:val="left"/>
        <w:rPr>
          <w:rFonts w:hint="eastAsia" w:ascii="宋体" w:hAnsi="宋体" w:eastAsia="宋体" w:cs="宋体"/>
          <w:color w:val="auto"/>
          <w:sz w:val="24"/>
          <w:szCs w:val="24"/>
          <w:highlight w:val="none"/>
        </w:rPr>
      </w:pPr>
    </w:p>
    <w:p>
      <w:pPr>
        <w:spacing w:line="480" w:lineRule="auto"/>
        <w:ind w:firstLine="2150" w:firstLineChars="8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法定代表人或其委托代理人（签字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autoSpaceDE w:val="0"/>
        <w:autoSpaceDN w:val="0"/>
        <w:adjustRightInd w:val="0"/>
        <w:snapToGrid w:val="0"/>
        <w:spacing w:line="480" w:lineRule="auto"/>
        <w:ind w:firstLine="2150" w:firstLineChars="89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bookmarkEnd w:id="150"/>
    <w:bookmarkEnd w:id="151"/>
    <w:bookmarkEnd w:id="152"/>
    <w:bookmarkEnd w:id="153"/>
    <w:bookmarkEnd w:id="172"/>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ind w:left="0" w:leftChars="0" w:firstLine="0" w:firstLineChars="0"/>
        <w:jc w:val="center"/>
        <w:rPr>
          <w:rFonts w:hint="eastAsia" w:ascii="宋体" w:hAnsi="宋体" w:eastAsia="宋体" w:cs="宋体"/>
          <w:b/>
          <w:bCs/>
          <w:color w:val="auto"/>
          <w:kern w:val="2"/>
          <w:sz w:val="24"/>
          <w:szCs w:val="24"/>
          <w:highlight w:val="none"/>
          <w:lang w:val="en-US" w:eastAsia="zh-CN" w:bidi="ar-SA"/>
        </w:rPr>
      </w:pPr>
      <w:bookmarkStart w:id="176" w:name="OLE_LINK80"/>
      <w:bookmarkStart w:id="177" w:name="_Toc193126902"/>
      <w:bookmarkStart w:id="178" w:name="_Toc188808852"/>
      <w:bookmarkStart w:id="179" w:name="_Toc193187108"/>
      <w:bookmarkStart w:id="180" w:name="_Toc194663939"/>
      <w:r>
        <w:rPr>
          <w:rFonts w:hint="eastAsia" w:ascii="宋体" w:hAnsi="宋体" w:eastAsia="宋体" w:cs="宋体"/>
          <w:b/>
          <w:bCs/>
          <w:color w:val="auto"/>
          <w:kern w:val="2"/>
          <w:sz w:val="24"/>
          <w:szCs w:val="24"/>
          <w:highlight w:val="none"/>
          <w:lang w:val="en-US" w:eastAsia="zh-CN" w:bidi="ar-SA"/>
        </w:rPr>
        <w:t>3、</w:t>
      </w:r>
      <w:bookmarkStart w:id="181" w:name="OLE_LINK79"/>
      <w:r>
        <w:rPr>
          <w:rFonts w:hint="eastAsia" w:ascii="宋体" w:hAnsi="宋体" w:eastAsia="宋体" w:cs="宋体"/>
          <w:b/>
          <w:bCs/>
          <w:color w:val="auto"/>
          <w:sz w:val="24"/>
          <w:szCs w:val="24"/>
          <w:highlight w:val="none"/>
          <w:lang w:val="en-US" w:eastAsia="zh-CN"/>
        </w:rPr>
        <w:t>已标价工程量清单</w:t>
      </w:r>
      <w:bookmarkEnd w:id="181"/>
    </w:p>
    <w:bookmarkEnd w:id="176"/>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ind w:left="0" w:leftChars="0" w:firstLine="0" w:firstLineChars="0"/>
        <w:jc w:val="center"/>
        <w:rPr>
          <w:rFonts w:hint="eastAsia" w:ascii="宋体" w:hAnsi="宋体" w:eastAsia="宋体" w:cs="宋体"/>
          <w:b/>
          <w:bCs/>
          <w:color w:val="auto"/>
          <w:kern w:val="2"/>
          <w:sz w:val="24"/>
          <w:szCs w:val="24"/>
          <w:highlight w:val="none"/>
          <w:lang w:val="en-US" w:eastAsia="zh-CN" w:bidi="ar-SA"/>
        </w:rPr>
      </w:pPr>
      <w:bookmarkStart w:id="182" w:name="OLE_LINK83"/>
      <w:r>
        <w:rPr>
          <w:rFonts w:hint="eastAsia" w:ascii="宋体" w:hAnsi="宋体" w:eastAsia="宋体" w:cs="宋体"/>
          <w:b/>
          <w:bCs/>
          <w:color w:val="auto"/>
          <w:kern w:val="2"/>
          <w:sz w:val="24"/>
          <w:szCs w:val="24"/>
          <w:highlight w:val="none"/>
          <w:lang w:val="en-US" w:eastAsia="zh-CN" w:bidi="ar-SA"/>
        </w:rPr>
        <w:t>4、供应商承诺书</w:t>
      </w:r>
    </w:p>
    <w:p>
      <w:pPr>
        <w:numPr>
          <w:ilvl w:val="0"/>
          <w:numId w:val="0"/>
        </w:numPr>
        <w:spacing w:after="240" w:afterLines="100"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履约承诺书</w:t>
      </w:r>
    </w:p>
    <w:p>
      <w:pPr>
        <w:keepNext w:val="0"/>
        <w:keepLines w:val="0"/>
        <w:pageBreakBefore w:val="0"/>
        <w:widowControl w:val="0"/>
        <w:kinsoku/>
        <w:overflowPunct/>
        <w:topLinePunct w:val="0"/>
        <w:bidi w:val="0"/>
        <w:snapToGrid/>
        <w:spacing w:before="120" w:beforeLines="50" w:after="120" w:afterLines="50" w:line="36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我方全承诺</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val="0"/>
          <w:bCs/>
          <w:color w:val="auto"/>
          <w:sz w:val="24"/>
          <w:szCs w:val="24"/>
          <w:highlight w:val="none"/>
          <w:u w:val="single"/>
        </w:rPr>
        <w:t>（项目名称）</w:t>
      </w:r>
      <w:r>
        <w:rPr>
          <w:rFonts w:hint="eastAsia" w:ascii="宋体" w:hAnsi="宋体" w:eastAsia="宋体" w:cs="宋体"/>
          <w:color w:val="auto"/>
          <w:sz w:val="24"/>
          <w:szCs w:val="24"/>
          <w:highlight w:val="none"/>
        </w:rPr>
        <w:t>磋商文件和合同条款。在此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（姓名）以合法地位郑重做如下承诺：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一旦成交，我方将承担合同规定的全部责任和义务。如果成交后不能履行合同规定义务，出现如下任何一种情况的，采购人有权没收履约保证金：</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1.投入的主要管理人员、机械设备数量和型号、管理及施工队伍的配置等与合同约定不符；</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2.工程质量达不到合同要求，进度严重滞后，或该合同段控制工程进度影响了整体工程进度和项目总目标的实现任何一种情况；</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3.将工程转包或将主体工程违法分包，或以劳务协作为名，将工程违法分包给不具备相应资质的施工队伍或个体承包者；</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4.在项目建设过程中因工程管理（包括：质量、进度、安全、廉政、资金使用、文明工地）受到省级以上主管部门通报批评或被新闻媒体曝光；</w:t>
      </w:r>
    </w:p>
    <w:p>
      <w:pPr>
        <w:keepNext w:val="0"/>
        <w:keepLines w:val="0"/>
        <w:pageBreakBefore w:val="0"/>
        <w:widowControl w:val="0"/>
        <w:tabs>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5.违规使用工程预付款，将建设资金从该合同段项目经理部抽走，或拖欠工程款、材料款和劳务费用。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我公司还承诺，如果没收履约保证金不能免除我方的合同义务，接受采购人对我方所采取的如下任何处理措施：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（1）限期整改纠正，使工程建设满足采购人要求；</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（2）同意采购人从正常支付中扣除相应款项，直接支付所欠工程款和劳务费用；</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（3）采购人有权终止供应商在本合同段的承包，或将本合同段工程中部分工作交由其他供应商或特殊分包人完成，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（供应商名称）无条件按照采购人规定的期限退场或接受调遣。在不解除本合同规定的承包人和义务的同时，由此引起的责任及相关费用均由供应商承担。</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（4）同意承担合同段清场而引起的材料、供货、设备租用、民工工资和其他相关损失费用，否则采购人有权采取必要的手段和措施，并无条件没收履约担保。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本承诺和履约担保自合同签订之日起生效，在采购人向供应商颁发交工证书之日失效。</w:t>
      </w:r>
    </w:p>
    <w:p>
      <w:pPr>
        <w:keepNext w:val="0"/>
        <w:keepLines w:val="0"/>
        <w:pageBreakBefore w:val="0"/>
        <w:widowControl w:val="0"/>
        <w:kinsoku/>
        <w:overflowPunct/>
        <w:topLinePunct w:val="0"/>
        <w:autoSpaceDE w:val="0"/>
        <w:autoSpaceDN w:val="0"/>
        <w:bidi w:val="0"/>
        <w:adjustRightInd w:val="0"/>
        <w:snapToGrid/>
        <w:spacing w:line="360" w:lineRule="exact"/>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val="0"/>
        <w:kinsoku/>
        <w:overflowPunct/>
        <w:topLinePunct w:val="0"/>
        <w:autoSpaceDE w:val="0"/>
        <w:autoSpaceDN w:val="0"/>
        <w:bidi w:val="0"/>
        <w:adjustRightInd w:val="0"/>
        <w:snapToGrid/>
        <w:spacing w:line="360" w:lineRule="exact"/>
        <w:ind w:right="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 应 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pPr>
        <w:keepNext w:val="0"/>
        <w:keepLines w:val="0"/>
        <w:pageBreakBefore w:val="0"/>
        <w:widowControl w:val="0"/>
        <w:kinsoku/>
        <w:wordWrap w:val="0"/>
        <w:overflowPunct/>
        <w:topLinePunct w:val="0"/>
        <w:autoSpaceDE w:val="0"/>
        <w:autoSpaceDN w:val="0"/>
        <w:bidi w:val="0"/>
        <w:adjustRightInd w:val="0"/>
        <w:snapToGrid/>
        <w:spacing w:before="120" w:beforeLines="50" w:after="120" w:afterLines="50" w:line="360" w:lineRule="exact"/>
        <w:ind w:right="65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val="0"/>
        <w:bidi w:val="0"/>
        <w:adjustRightInd w:val="0"/>
        <w:snapToGrid/>
        <w:spacing w:before="120" w:beforeLines="50" w:after="120" w:afterLines="50" w:line="360" w:lineRule="exact"/>
        <w:ind w:right="658"/>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pStyle w:val="6"/>
        <w:spacing w:before="240" w:beforeLines="100" w:after="120" w:afterLines="50"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（2）质量安全责任承诺书</w:t>
      </w:r>
    </w:p>
    <w:p>
      <w:pPr>
        <w:spacing w:before="120" w:beforeLines="50" w:after="120" w:afterLines="5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为保证本采购项目顺利进行，作为投标人，现郑重承诺：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1.我方所投产品的生产（包括设计、制造、安装、改造、维修等）、投入使用的材料等均完全符合国家现行质量、安全、环保标准和要求。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2.我方将严格按照国家现行相关储存、运输、安装调试技术标准及规范、服务标准及规范、施工标准及规范，在规定的时限内，保质、保量完成项目全部内容，并向采购人交付合格产品。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3.对于因产品生产质量以及储存、运输、安装调试、服务、施工等过程中产生的任何安全事故，我方承担全部责任。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4.我方提供的货物、工程、服务等符合现行的国家、行业、地区、企业标准及要求，标准不一致的，以更为严格的为准，我方对提供的货物、工程、服务等的质量、安全、环保等承担全部责任。</w:t>
      </w:r>
    </w:p>
    <w:p>
      <w:pPr>
        <w:spacing w:line="360" w:lineRule="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adjustRightIn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（供应商名称，盖单位章）</w:t>
      </w:r>
    </w:p>
    <w:p>
      <w:pPr>
        <w:adjustRightInd w:val="0"/>
        <w:spacing w:line="360" w:lineRule="auto"/>
        <w:ind w:firstLine="420"/>
        <w:jc w:val="left"/>
        <w:rPr>
          <w:rFonts w:hint="eastAsia" w:ascii="宋体" w:hAnsi="宋体" w:eastAsia="宋体" w:cs="宋体"/>
          <w:color w:val="auto"/>
          <w:sz w:val="24"/>
          <w:szCs w:val="24"/>
          <w:highlight w:val="none"/>
        </w:rPr>
      </w:pPr>
    </w:p>
    <w:p>
      <w:pPr>
        <w:adjustRightIn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adjustRightInd w:val="0"/>
        <w:spacing w:line="400" w:lineRule="exact"/>
        <w:jc w:val="left"/>
        <w:rPr>
          <w:rFonts w:hint="eastAsia" w:ascii="宋体" w:hAnsi="宋体" w:eastAsia="宋体" w:cs="宋体"/>
          <w:b/>
          <w:color w:val="auto"/>
          <w:sz w:val="24"/>
          <w:szCs w:val="24"/>
          <w:highlight w:val="none"/>
        </w:rPr>
      </w:pPr>
    </w:p>
    <w:p>
      <w:pPr>
        <w:adjustRightInd w:val="0"/>
        <w:spacing w:line="400" w:lineRule="exact"/>
        <w:jc w:val="left"/>
        <w:rPr>
          <w:rFonts w:hint="eastAsia" w:ascii="宋体" w:hAnsi="宋体" w:eastAsia="宋体" w:cs="宋体"/>
          <w:b/>
          <w:bCs/>
          <w:color w:val="auto"/>
          <w:sz w:val="24"/>
          <w:szCs w:val="24"/>
          <w:highlight w:val="none"/>
        </w:rPr>
      </w:pPr>
    </w:p>
    <w:p>
      <w:pPr>
        <w:adjustRightInd w:val="0"/>
        <w:spacing w:line="400" w:lineRule="exact"/>
        <w:jc w:val="left"/>
        <w:rPr>
          <w:rFonts w:hint="eastAsia" w:ascii="宋体" w:hAnsi="宋体" w:eastAsia="宋体" w:cs="宋体"/>
          <w:b/>
          <w:bCs/>
          <w:color w:val="auto"/>
          <w:sz w:val="36"/>
          <w:szCs w:val="36"/>
          <w:highlight w:val="none"/>
        </w:rPr>
      </w:pPr>
    </w:p>
    <w:p>
      <w:pPr>
        <w:adjustRightInd w:val="0"/>
        <w:spacing w:line="400" w:lineRule="exact"/>
        <w:jc w:val="left"/>
        <w:rPr>
          <w:rFonts w:hint="eastAsia" w:ascii="宋体" w:hAnsi="宋体" w:eastAsia="宋体" w:cs="宋体"/>
          <w:b/>
          <w:bCs/>
          <w:color w:val="auto"/>
          <w:sz w:val="36"/>
          <w:szCs w:val="36"/>
          <w:highlight w:val="none"/>
        </w:rPr>
      </w:pPr>
    </w:p>
    <w:p>
      <w:pPr>
        <w:adjustRightInd w:val="0"/>
        <w:spacing w:line="400" w:lineRule="exact"/>
        <w:jc w:val="left"/>
        <w:rPr>
          <w:rFonts w:hint="eastAsia" w:ascii="宋体" w:hAnsi="宋体" w:eastAsia="宋体" w:cs="宋体"/>
          <w:b/>
          <w:bCs/>
          <w:color w:val="auto"/>
          <w:sz w:val="36"/>
          <w:szCs w:val="36"/>
          <w:highlight w:val="none"/>
        </w:rPr>
      </w:pPr>
    </w:p>
    <w:p>
      <w:pPr>
        <w:adjustRightInd w:val="0"/>
        <w:spacing w:line="400" w:lineRule="exact"/>
        <w:jc w:val="left"/>
        <w:rPr>
          <w:rFonts w:hint="eastAsia" w:ascii="宋体" w:hAnsi="宋体" w:eastAsia="宋体" w:cs="宋体"/>
          <w:b/>
          <w:bCs/>
          <w:color w:val="auto"/>
          <w:sz w:val="36"/>
          <w:szCs w:val="36"/>
          <w:highlight w:val="none"/>
        </w:rPr>
      </w:pPr>
    </w:p>
    <w:p>
      <w:pPr>
        <w:pStyle w:val="6"/>
        <w:spacing w:before="240" w:beforeLines="100" w:after="120" w:afterLines="50"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（3）参加政府采购活动行为自律承诺书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作为参加本次政府采购项目的投标人，我方郑重承诺在参与政府采购活动中遵纪守法、公平竞争、诚实守信，如有违反愿承担一切责任及后果：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1．不与采购人、采购代理机构、政府采购评审专家恶意串通，不向其行贿或提供其他不正当利益；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2．不与其他投标人恶意串通，采取“围标、串标、陪标”等商业欺诈手段谋取中标、成交；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3．不提供虚假或无效证明文件（包括但不限于资格证明文件、合同及验收文件、检验检测报告、从业人员资格证书、机构或所投产品的各类认证证书等）或虚假材料谋取中标；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4．不采取不正当手段诋毁、排挤其他供应商；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5．不以不正当理由拒不与采购人签订政府采购合同，或逾期签订政府采购合同，或不按照采购文件确定的事项签订政府采购合同；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6．不以不正当理由拒绝履行合同义务，不会擅自变更、中止或者终止政府采购合同或将政府采购合同转包；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7．不在提供商品、服务或工程施工过程中提供假冒伪劣产品，损害采购人的合法权益或公共利益；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8．不采取捏造事实、提供虚假材料或者以非法手段取得证明材料进行质疑和投诉；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10．尊重和接受政府采购监督管理部门的监督和采购人、采购代理机构的政府采购工作要求，愿意承担因违约行为给采购人造成的损失。</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（供应商名称、加盖单位章）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br w:type="page"/>
      </w:r>
    </w:p>
    <w:p>
      <w:pPr>
        <w:pStyle w:val="8"/>
        <w:spacing w:before="0" w:line="520" w:lineRule="exact"/>
        <w:ind w:firstLine="0" w:firstLineChars="0"/>
        <w:jc w:val="center"/>
        <w:rPr>
          <w:rFonts w:hint="eastAsia" w:ascii="宋体" w:hAnsi="宋体" w:eastAsia="宋体" w:cs="宋体"/>
          <w:b w:val="0"/>
          <w:bCs w:val="0"/>
          <w:color w:val="auto"/>
          <w:kern w:val="2"/>
          <w:sz w:val="24"/>
          <w:szCs w:val="24"/>
          <w:highlight w:val="none"/>
          <w:lang w:val="en-US" w:eastAsia="zh-CN" w:bidi="ar-SA"/>
        </w:rPr>
      </w:pPr>
      <w:bookmarkStart w:id="183" w:name="_Toc11040"/>
      <w:bookmarkStart w:id="184" w:name="_Toc2741"/>
      <w:r>
        <w:rPr>
          <w:rFonts w:hint="eastAsia" w:ascii="宋体" w:hAnsi="宋体" w:eastAsia="宋体" w:cs="宋体"/>
          <w:b w:val="0"/>
          <w:bCs w:val="0"/>
          <w:color w:val="auto"/>
          <w:kern w:val="2"/>
          <w:sz w:val="24"/>
          <w:szCs w:val="24"/>
          <w:highlight w:val="none"/>
          <w:lang w:val="en-US" w:eastAsia="zh-CN" w:bidi="ar-SA"/>
        </w:rPr>
        <w:t>（4）宝鸡市政府采购供应商诚信承诺书</w:t>
      </w:r>
      <w:bookmarkEnd w:id="183"/>
      <w:bookmarkEnd w:id="184"/>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bCs/>
          <w:color w:val="auto"/>
          <w:sz w:val="24"/>
          <w:szCs w:val="24"/>
          <w:highlight w:val="none"/>
        </w:rPr>
        <w:t>致：</w:t>
      </w:r>
      <w:r>
        <w:rPr>
          <w:rFonts w:hint="eastAsia" w:ascii="宋体" w:hAnsi="宋体" w:eastAsia="宋体" w:cs="宋体"/>
          <w:color w:val="auto"/>
          <w:kern w:val="0"/>
          <w:sz w:val="24"/>
          <w:szCs w:val="24"/>
          <w:highlight w:val="none"/>
          <w:u w:val="single"/>
          <w:lang w:val="en-US" w:eastAsia="zh-CN"/>
        </w:rPr>
        <w:t xml:space="preserve">凤县凤州镇人民政府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统一社会信用代码证为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的我方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（供应商名称）自愿参加贵单位组织的编号为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（采购项目编号）的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项目（采购</w:t>
      </w:r>
      <w:r>
        <w:rPr>
          <w:rFonts w:hint="eastAsia" w:ascii="宋体" w:hAnsi="宋体" w:eastAsia="宋体" w:cs="宋体"/>
          <w:color w:val="auto"/>
          <w:kern w:val="0"/>
          <w:sz w:val="24"/>
          <w:szCs w:val="24"/>
          <w:highlight w:val="none"/>
          <w:lang w:eastAsia="zh-CN"/>
        </w:rPr>
        <w:t>项目名称</w:t>
      </w:r>
      <w:r>
        <w:rPr>
          <w:rFonts w:hint="eastAsia" w:ascii="宋体" w:hAnsi="宋体" w:eastAsia="宋体" w:cs="宋体"/>
          <w:color w:val="auto"/>
          <w:kern w:val="0"/>
          <w:sz w:val="24"/>
          <w:szCs w:val="24"/>
          <w:highlight w:val="none"/>
        </w:rPr>
        <w:t>）的政府采购活动，我方已知悉并理解本项目采购文件的各项要求。为贯彻公开、公平、公正和诚实信用的政府采购原则，共同维护宝鸡市政府采购市场良好秩序，我方郑重声明和承诺如下：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一、在参加本次政府采购活动中严格遵守《中国人民共和国政府采购法》等法律、法规、规章及宝鸡市有关规定。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二、我方郑重声明。在参加本次政府采购活动三年内，无因违法经营受到刑事处罚或者责令停产停业、吊销许可证或者执照、较大数额罚款等重大违法记录。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我方同时声明，在参加本次政府采购活动前，未被列入失信被执行人、重大税收违法案件当事人名单、政府采购严重违法失信行为记录名单。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我方对以上生命的正式性负责，接收采购人、采购代理机构根据相关政策规定进行的信用记录查询。如发现以上声明不实，我方承担相应后果。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（2）不与其他供应商串通采取围标、陪标等商业欺诈手段谋取中标（成交）；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（3）不出借或借用资质；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（6）不以虚假材料谋取中标（成交）；</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（7）不以低于成本或恶意低价竞争；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（8）不与采购人在招标采购过程中进行协商</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（9）中标或者成交后不得提供假冒伪劣产品；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（10）中标或者成交后非因不可抗力不得变更投标（响应）文件中承诺的项目管理实施人员；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（11）中标或者成交后无正当理由不得拒不与采购人签订政府采购合同；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（12）不得有未按招标采购文件确定的事项与采购人签订政府采购合同，或者与采购人另行订立背离合同实质性内容协议的行为；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（13）不转包或违法分包政府采购合同，不擅自变更、终止或者终止政府采购合同；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（16）不得有其他违反国家法律法规和规章要求的违法犯罪或者失信行为。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1、投标（响应）无效；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2、不予退还</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保证金或者履约保证金；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3、约谈法定代表人或者主要负责人，责令整改；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4、中标（成交）无效；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5、处以采购金额千分之五以上千分之十以下的罚款，列入不良行为记录名单，在一至三年内禁止参加政府采购活动；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6、没收违法得所得；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7、吊销营业执照；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8、政府相关部门的联合惩戒措施；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9、追究民事责任；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11、法律法规规定的其他处理处罚措施。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szCs w:val="24"/>
          <w:highlight w:val="none"/>
        </w:rPr>
      </w:pPr>
    </w:p>
    <w:p>
      <w:pPr>
        <w:pStyle w:val="47"/>
        <w:rPr>
          <w:rFonts w:hint="eastAsia" w:ascii="宋体" w:hAnsi="宋体" w:eastAsia="宋体" w:cs="宋体"/>
          <w:color w:val="auto"/>
          <w:sz w:val="24"/>
          <w:szCs w:val="24"/>
          <w:highlight w:val="none"/>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spacing w:line="480" w:lineRule="auto"/>
        <w:ind w:left="0" w:leftChars="0" w:firstLine="0" w:firstLineChars="0"/>
        <w:rPr>
          <w:rFonts w:hint="eastAsia" w:ascii="宋体" w:hAnsi="宋体" w:eastAsia="宋体" w:cs="宋体"/>
          <w:color w:val="auto"/>
          <w:sz w:val="24"/>
          <w:szCs w:val="24"/>
          <w:highlight w:val="none"/>
          <w:lang w:val="en-US" w:eastAsia="zh-CN"/>
        </w:rPr>
        <w:sectPr>
          <w:footerReference r:id="rId8" w:type="first"/>
          <w:footerReference r:id="rId7" w:type="default"/>
          <w:pgSz w:w="11905" w:h="16838"/>
          <w:pgMar w:top="1440" w:right="1083" w:bottom="1440" w:left="1083" w:header="850" w:footer="992" w:gutter="567"/>
          <w:pgBorders>
            <w:top w:val="none" w:sz="0" w:space="0"/>
            <w:left w:val="none" w:sz="0" w:space="0"/>
            <w:bottom w:val="none" w:sz="0" w:space="0"/>
            <w:right w:val="none" w:sz="0" w:space="0"/>
          </w:pgBorders>
          <w:pgNumType w:fmt="decimal" w:start="1"/>
          <w:cols w:space="0" w:num="1"/>
          <w:titlePg/>
          <w:docGrid w:type="lines" w:linePitch="314" w:charSpace="0"/>
        </w:sectPr>
      </w:pP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（5）《拒绝政府采购领域商业贿赂承诺书》</w:t>
      </w: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陕西省政府采购供应商</w:t>
      </w:r>
    </w:p>
    <w:p>
      <w:pPr>
        <w:spacing w:before="0" w:line="520" w:lineRule="exact"/>
        <w:ind w:firstLine="0" w:firstLineChars="0"/>
        <w:jc w:val="center"/>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拒绝政府采购领域商业贿赂承诺书</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为响应党中央、国务院关于治理政府采购领域商业贿赂行为的号召，我单位在此庄严承诺：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1、在参与政府采购活动中遵纪守法、诚信经营、公平竞争。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2、不向采购人、采购代理机构和政府采购评审专家进行任何形式的商业贿赂以谋取交易机会。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3、不向政府采购采购代理机构和采购人提供虚假资质文件或采用虚假应标方式参与政府采购市场竞争并谋取成交。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4、不采取“围标、陪标”等商业欺诈手段获得政府采购定单。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5、不采取不正当手段低毁、排挤其他供应商。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6、不在提供商品和服务时“偷梁换柱、以次充好”损害采购人的合法权益。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7、不与采购人、采购代理机构政府采购评审专家或其它供应商恶意串通，进行质疑和投诉，维护政府采购市场秩序。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8、尊重和接受政府采购监督管理部门的监督和政府采购代理机构采购要求，承担因违约行为给采购人造成的损失。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9、不发生其他有悖于政府采购公开、公平、公正和诚信原则的行为。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lang w:val="en-US" w:eastAsia="zh-CN"/>
        </w:rPr>
        <w:t xml:space="preserve">                              </w:t>
      </w:r>
    </w:p>
    <w:p>
      <w:pPr>
        <w:pageBreakBefore w:val="0"/>
        <w:widowControl/>
        <w:kinsoku/>
        <w:wordWrap/>
        <w:overflowPunct/>
        <w:topLinePunct w:val="0"/>
        <w:autoSpaceDE/>
        <w:autoSpaceDN/>
        <w:bidi w:val="0"/>
        <w:adjustRightInd/>
        <w:snapToGrid/>
        <w:spacing w:line="520" w:lineRule="exact"/>
        <w:ind w:firstLine="960" w:firstLineChars="400"/>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pPr>
        <w:pageBreakBefore w:val="0"/>
        <w:widowControl/>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电　　话：</w:t>
      </w:r>
      <w:r>
        <w:rPr>
          <w:rFonts w:hint="eastAsia" w:ascii="宋体" w:hAnsi="宋体" w:eastAsia="宋体" w:cs="宋体"/>
          <w:color w:val="auto"/>
          <w:kern w:val="0"/>
          <w:sz w:val="24"/>
          <w:szCs w:val="24"/>
          <w:highlight w:val="none"/>
          <w:u w:val="single"/>
        </w:rPr>
        <w:t>　　　                　　　　</w:t>
      </w:r>
    </w:p>
    <w:p>
      <w:pPr>
        <w:pStyle w:val="8"/>
        <w:pageBreakBefore w:val="0"/>
        <w:kinsoku/>
        <w:wordWrap/>
        <w:overflowPunct/>
        <w:topLinePunct w:val="0"/>
        <w:autoSpaceDE/>
        <w:autoSpaceDN/>
        <w:bidi w:val="0"/>
        <w:adjustRightInd/>
        <w:snapToGrid/>
        <w:spacing w:before="0" w:line="520" w:lineRule="exact"/>
        <w:ind w:firstLine="0" w:firstLineChars="0"/>
        <w:textAlignment w:val="auto"/>
        <w:outlineLvl w:val="9"/>
        <w:rPr>
          <w:rFonts w:hint="eastAsia" w:ascii="宋体" w:hAnsi="宋体" w:eastAsia="宋体" w:cs="宋体"/>
          <w:color w:val="auto"/>
          <w:sz w:val="24"/>
          <w:szCs w:val="24"/>
          <w:highlight w:val="none"/>
        </w:rPr>
        <w:sectPr>
          <w:footerReference r:id="rId10" w:type="first"/>
          <w:footerReference r:id="rId9"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rtlGutter w:val="0"/>
          <w:docGrid w:type="lines" w:linePitch="314" w:charSpace="0"/>
        </w:sectPr>
      </w:pPr>
    </w:p>
    <w:bookmarkEnd w:id="182"/>
    <w:p>
      <w:pPr>
        <w:ind w:left="0" w:leftChars="0" w:firstLine="0" w:firstLineChars="0"/>
        <w:jc w:val="center"/>
        <w:rPr>
          <w:rFonts w:hint="eastAsia" w:ascii="宋体" w:hAnsi="宋体" w:eastAsia="宋体" w:cs="宋体"/>
          <w:b/>
          <w:bCs/>
          <w:color w:val="auto"/>
          <w:kern w:val="2"/>
          <w:sz w:val="24"/>
          <w:szCs w:val="24"/>
          <w:highlight w:val="none"/>
          <w:lang w:val="en-US" w:eastAsia="zh-CN" w:bidi="ar-SA"/>
        </w:rPr>
      </w:pPr>
      <w:bookmarkStart w:id="185" w:name="OLE_LINK85"/>
      <w:r>
        <w:rPr>
          <w:rFonts w:hint="eastAsia" w:ascii="宋体" w:hAnsi="宋体" w:eastAsia="宋体" w:cs="宋体"/>
          <w:b/>
          <w:bCs/>
          <w:color w:val="auto"/>
          <w:kern w:val="2"/>
          <w:sz w:val="24"/>
          <w:szCs w:val="24"/>
          <w:highlight w:val="none"/>
          <w:lang w:val="en-US" w:eastAsia="zh-CN" w:bidi="ar-SA"/>
        </w:rPr>
        <w:t>5、</w:t>
      </w:r>
      <w:bookmarkStart w:id="186" w:name="OLE_LINK84"/>
      <w:r>
        <w:rPr>
          <w:rFonts w:hint="eastAsia" w:ascii="宋体" w:hAnsi="宋体" w:eastAsia="宋体" w:cs="宋体"/>
          <w:b/>
          <w:bCs/>
          <w:color w:val="auto"/>
          <w:kern w:val="2"/>
          <w:sz w:val="24"/>
          <w:szCs w:val="24"/>
          <w:highlight w:val="none"/>
          <w:lang w:val="en-US" w:eastAsia="zh-CN" w:bidi="ar-SA"/>
        </w:rPr>
        <w:t>磋商声明书</w:t>
      </w:r>
      <w:bookmarkEnd w:id="186"/>
    </w:p>
    <w:p>
      <w:pPr>
        <w:pStyle w:val="51"/>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sz w:val="24"/>
          <w:szCs w:val="24"/>
          <w:highlight w:val="none"/>
        </w:rPr>
        <w:t>致：</w:t>
      </w:r>
      <w:r>
        <w:rPr>
          <w:rFonts w:hint="eastAsia" w:ascii="宋体" w:hAnsi="宋体" w:eastAsia="宋体" w:cs="宋体"/>
          <w:color w:val="auto"/>
          <w:kern w:val="0"/>
          <w:sz w:val="24"/>
          <w:szCs w:val="24"/>
          <w:highlight w:val="none"/>
          <w:u w:val="single"/>
          <w:lang w:val="en-US" w:eastAsia="zh-CN"/>
        </w:rPr>
        <w:t xml:space="preserve">凤县凤州镇人民政府 </w:t>
      </w:r>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87" w:name="_Toc458617487"/>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，就参加</w:t>
      </w:r>
      <w:r>
        <w:rPr>
          <w:rFonts w:hint="eastAsia" w:ascii="宋体" w:hAnsi="宋体" w:eastAsia="宋体" w:cs="宋体"/>
          <w:color w:val="auto"/>
          <w:sz w:val="24"/>
          <w:szCs w:val="24"/>
          <w:highlight w:val="none"/>
          <w:u w:val="single"/>
        </w:rPr>
        <w:t xml:space="preserve">      （采购</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事宜，在此郑重声明：</w:t>
      </w:r>
      <w:bookmarkEnd w:id="187"/>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88" w:name="_Toc458617488"/>
      <w:r>
        <w:rPr>
          <w:rFonts w:hint="eastAsia" w:ascii="宋体" w:hAnsi="宋体" w:eastAsia="宋体" w:cs="宋体"/>
          <w:color w:val="auto"/>
          <w:sz w:val="24"/>
          <w:szCs w:val="24"/>
          <w:highlight w:val="none"/>
        </w:rPr>
        <w:t>1、我公司所提交的竞争性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响应文件全部真实有效；</w:t>
      </w:r>
      <w:bookmarkEnd w:id="188"/>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89" w:name="_Toc458617489"/>
      <w:r>
        <w:rPr>
          <w:rFonts w:hint="eastAsia" w:ascii="宋体" w:hAnsi="宋体" w:eastAsia="宋体" w:cs="宋体"/>
          <w:color w:val="auto"/>
          <w:sz w:val="24"/>
          <w:szCs w:val="24"/>
          <w:highlight w:val="none"/>
        </w:rPr>
        <w:t>2、我公司近3年来无因安全事故、质量事故、投标违规等不良记录被政府有关部门处罚期内的情形存在；</w:t>
      </w:r>
      <w:bookmarkEnd w:id="189"/>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90" w:name="_Toc458617490"/>
      <w:r>
        <w:rPr>
          <w:rFonts w:hint="eastAsia" w:ascii="宋体" w:hAnsi="宋体" w:eastAsia="宋体" w:cs="宋体"/>
          <w:color w:val="auto"/>
          <w:sz w:val="24"/>
          <w:szCs w:val="24"/>
          <w:highlight w:val="none"/>
        </w:rPr>
        <w:t>3、我公司近3年来无违规违法经营受到责令停产（或停止经营）、吊销生产许可证（或经营许可证）、较大数额罚款等行政处罚的情形存在；</w:t>
      </w:r>
      <w:bookmarkEnd w:id="190"/>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91" w:name="_Toc458617491"/>
      <w:r>
        <w:rPr>
          <w:rFonts w:hint="eastAsia" w:ascii="宋体" w:hAnsi="宋体" w:eastAsia="宋体" w:cs="宋体"/>
          <w:color w:val="auto"/>
          <w:sz w:val="24"/>
          <w:szCs w:val="24"/>
          <w:highlight w:val="none"/>
        </w:rPr>
        <w:t>4、我公司无企业财产被查封、冻结或处于破产状态或严重亏损状态等情形存在；</w:t>
      </w:r>
      <w:bookmarkEnd w:id="191"/>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92" w:name="_Toc458617492"/>
      <w:r>
        <w:rPr>
          <w:rFonts w:hint="eastAsia" w:ascii="宋体" w:hAnsi="宋体" w:eastAsia="宋体" w:cs="宋体"/>
          <w:color w:val="auto"/>
          <w:sz w:val="24"/>
          <w:szCs w:val="24"/>
          <w:highlight w:val="none"/>
        </w:rPr>
        <w:t>5、我公司承诺在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过程中，保证不与其他单位围标、串标，不出让</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资格，不采取不正当手段诋毁、排挤其他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供应商，不向采购代理机构、评审委员会成员行贿。</w:t>
      </w:r>
      <w:bookmarkEnd w:id="192"/>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bookmarkStart w:id="193" w:name="_Toc458617493"/>
      <w:r>
        <w:rPr>
          <w:rFonts w:hint="eastAsia" w:ascii="宋体" w:hAnsi="宋体" w:eastAsia="宋体" w:cs="宋体"/>
          <w:color w:val="auto"/>
          <w:sz w:val="24"/>
          <w:szCs w:val="24"/>
          <w:highlight w:val="none"/>
        </w:rPr>
        <w:t>以上声明若违反，一经查实，本公司愿意接受政府有关部门的相应处罚，并愿意承担由此带来的法律后果。</w:t>
      </w:r>
      <w:bookmarkEnd w:id="193"/>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p>
    <w:p>
      <w:pPr>
        <w:pStyle w:val="51"/>
        <w:keepNext w:val="0"/>
        <w:keepLines w:val="0"/>
        <w:pageBreakBefore w:val="0"/>
        <w:widowControl/>
        <w:kinsoku/>
        <w:wordWrap/>
        <w:overflowPunct/>
        <w:topLinePunct w:val="0"/>
        <w:autoSpaceDE/>
        <w:autoSpaceDN/>
        <w:bidi w:val="0"/>
        <w:adjustRightInd/>
        <w:snapToGrid/>
        <w:spacing w:line="520" w:lineRule="exact"/>
        <w:ind w:firstLine="530" w:firstLineChars="221"/>
        <w:textAlignment w:val="auto"/>
        <w:rPr>
          <w:rFonts w:hint="eastAsia" w:ascii="宋体" w:hAnsi="宋体" w:eastAsia="宋体" w:cs="宋体"/>
          <w:color w:val="auto"/>
          <w:sz w:val="24"/>
          <w:szCs w:val="24"/>
          <w:highlight w:val="none"/>
        </w:rPr>
      </w:pPr>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194" w:name="_Toc458617494"/>
      <w:r>
        <w:rPr>
          <w:rFonts w:hint="eastAsia" w:ascii="宋体" w:hAnsi="宋体" w:eastAsia="宋体" w:cs="宋体"/>
          <w:color w:val="auto"/>
          <w:sz w:val="24"/>
          <w:szCs w:val="24"/>
          <w:highlight w:val="none"/>
        </w:rPr>
        <w:t>特此声明！</w:t>
      </w:r>
      <w:bookmarkEnd w:id="194"/>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195" w:name="_Toc458617495"/>
      <w:r>
        <w:rPr>
          <w:rFonts w:hint="eastAsia" w:ascii="宋体" w:hAnsi="宋体" w:eastAsia="宋体" w:cs="宋体"/>
          <w:color w:val="auto"/>
          <w:sz w:val="24"/>
          <w:szCs w:val="24"/>
          <w:highlight w:val="none"/>
        </w:rPr>
        <w:t>声  明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（供应商名称、公章）</w:t>
      </w:r>
      <w:bookmarkEnd w:id="195"/>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196" w:name="_Toc458617496"/>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bookmarkEnd w:id="196"/>
    </w:p>
    <w:p>
      <w:pPr>
        <w:pStyle w:val="51"/>
        <w:keepNext w:val="0"/>
        <w:keepLines w:val="0"/>
        <w:pageBreakBefore w:val="0"/>
        <w:widowControl/>
        <w:kinsoku/>
        <w:wordWrap/>
        <w:overflowPunct/>
        <w:topLinePunct w:val="0"/>
        <w:autoSpaceDE/>
        <w:autoSpaceDN/>
        <w:bidi w:val="0"/>
        <w:adjustRightInd/>
        <w:snapToGrid/>
        <w:spacing w:line="520" w:lineRule="exact"/>
        <w:ind w:firstLine="410" w:firstLineChars="171"/>
        <w:textAlignment w:val="auto"/>
        <w:rPr>
          <w:rFonts w:hint="eastAsia" w:ascii="宋体" w:hAnsi="宋体" w:eastAsia="宋体" w:cs="宋体"/>
          <w:color w:val="auto"/>
          <w:sz w:val="24"/>
          <w:szCs w:val="24"/>
          <w:highlight w:val="none"/>
        </w:rPr>
      </w:pPr>
      <w:bookmarkStart w:id="197" w:name="_Toc458617497"/>
      <w:r>
        <w:rPr>
          <w:rFonts w:hint="eastAsia" w:ascii="宋体" w:hAnsi="宋体" w:eastAsia="宋体" w:cs="宋体"/>
          <w:color w:val="auto"/>
          <w:sz w:val="24"/>
          <w:szCs w:val="24"/>
          <w:highlight w:val="none"/>
        </w:rPr>
        <w:t>日      期：</w:t>
      </w:r>
      <w:bookmarkEnd w:id="197"/>
    </w:p>
    <w:p>
      <w:pPr>
        <w:rPr>
          <w:rFonts w:hint="eastAsia" w:ascii="宋体" w:hAnsi="宋体" w:eastAsia="宋体" w:cs="宋体"/>
          <w:b/>
          <w:bCs w:val="0"/>
          <w:color w:val="auto"/>
          <w:sz w:val="24"/>
          <w:szCs w:val="24"/>
          <w:highlight w:val="none"/>
          <w:lang w:val="en-US" w:eastAsia="zh-CN"/>
        </w:rPr>
      </w:pPr>
    </w:p>
    <w:p>
      <w:pP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br w:type="page"/>
      </w:r>
    </w:p>
    <w:bookmarkEnd w:id="185"/>
    <w:p>
      <w:pPr>
        <w:spacing w:after="240" w:afterLines="100" w:line="360" w:lineRule="auto"/>
        <w:jc w:val="center"/>
        <w:rPr>
          <w:rFonts w:hint="eastAsia" w:ascii="宋体" w:hAnsi="宋体" w:eastAsia="宋体" w:cs="宋体"/>
          <w:b/>
          <w:bCs w:val="0"/>
          <w:color w:val="auto"/>
          <w:sz w:val="24"/>
          <w:szCs w:val="24"/>
          <w:highlight w:val="none"/>
        </w:rPr>
      </w:pPr>
      <w:bookmarkStart w:id="198" w:name="OLE_LINK87"/>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w:t>
      </w:r>
      <w:bookmarkStart w:id="199" w:name="OLE_LINK86"/>
      <w:r>
        <w:rPr>
          <w:rFonts w:hint="eastAsia" w:ascii="宋体" w:hAnsi="宋体" w:eastAsia="宋体" w:cs="宋体"/>
          <w:b/>
          <w:bCs w:val="0"/>
          <w:color w:val="auto"/>
          <w:sz w:val="24"/>
          <w:szCs w:val="24"/>
          <w:highlight w:val="none"/>
          <w:lang w:val="en-US" w:eastAsia="zh-CN"/>
        </w:rPr>
        <w:t>商务与</w:t>
      </w:r>
      <w:r>
        <w:rPr>
          <w:rFonts w:hint="eastAsia" w:ascii="宋体" w:hAnsi="宋体" w:eastAsia="宋体" w:cs="宋体"/>
          <w:b/>
          <w:bCs w:val="0"/>
          <w:color w:val="auto"/>
          <w:sz w:val="24"/>
          <w:szCs w:val="24"/>
          <w:highlight w:val="none"/>
        </w:rPr>
        <w:t>合同条款偏离表</w:t>
      </w:r>
      <w:bookmarkEnd w:id="199"/>
    </w:p>
    <w:p>
      <w:pPr>
        <w:spacing w:after="120" w:afterLines="50"/>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项目编号</w:t>
      </w:r>
      <w:r>
        <w:rPr>
          <w:rFonts w:hint="eastAsia" w:ascii="宋体" w:hAnsi="宋体" w:eastAsia="宋体" w:cs="宋体"/>
          <w:color w:val="auto"/>
          <w:sz w:val="24"/>
          <w:szCs w:val="24"/>
          <w:highlight w:val="none"/>
        </w:rPr>
        <w:t xml:space="preserve">：    </w:t>
      </w:r>
    </w:p>
    <w:tbl>
      <w:tblPr>
        <w:tblStyle w:val="30"/>
        <w:tblW w:w="8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79"/>
        <w:gridCol w:w="1999"/>
        <w:gridCol w:w="2833"/>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39" w:hRule="atLeast"/>
          <w:jc w:val="center"/>
        </w:trPr>
        <w:tc>
          <w:tcPr>
            <w:tcW w:w="1260" w:type="dxa"/>
            <w:noWrap w:val="0"/>
            <w:vAlign w:val="center"/>
          </w:tcPr>
          <w:p>
            <w:pPr>
              <w:spacing w:line="52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579" w:type="dxa"/>
            <w:noWrap w:val="0"/>
            <w:vAlign w:val="center"/>
          </w:tcPr>
          <w:p>
            <w:pPr>
              <w:spacing w:line="240" w:lineRule="auto"/>
              <w:ind w:left="0" w:lef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竞争性</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商务合同</w:t>
            </w:r>
            <w:r>
              <w:rPr>
                <w:rFonts w:hint="eastAsia" w:ascii="宋体" w:hAnsi="宋体" w:eastAsia="宋体" w:cs="宋体"/>
                <w:b w:val="0"/>
                <w:bCs w:val="0"/>
                <w:color w:val="auto"/>
                <w:sz w:val="24"/>
                <w:szCs w:val="24"/>
                <w:highlight w:val="none"/>
              </w:rPr>
              <w:t>要求</w:t>
            </w:r>
          </w:p>
        </w:tc>
        <w:tc>
          <w:tcPr>
            <w:tcW w:w="1999" w:type="dxa"/>
            <w:noWrap w:val="0"/>
            <w:vAlign w:val="center"/>
          </w:tcPr>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竞争性</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响应</w:t>
            </w:r>
          </w:p>
          <w:p>
            <w:pPr>
              <w:spacing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商务合同</w:t>
            </w:r>
            <w:r>
              <w:rPr>
                <w:rFonts w:hint="eastAsia" w:ascii="宋体" w:hAnsi="宋体" w:eastAsia="宋体" w:cs="宋体"/>
                <w:b w:val="0"/>
                <w:bCs w:val="0"/>
                <w:color w:val="auto"/>
                <w:sz w:val="24"/>
                <w:szCs w:val="24"/>
                <w:highlight w:val="none"/>
              </w:rPr>
              <w:t>响应</w:t>
            </w:r>
          </w:p>
        </w:tc>
        <w:tc>
          <w:tcPr>
            <w:tcW w:w="2833" w:type="dxa"/>
            <w:noWrap w:val="0"/>
            <w:vAlign w:val="center"/>
          </w:tcPr>
          <w:p>
            <w:pPr>
              <w:spacing w:line="52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偏离情况</w:t>
            </w:r>
          </w:p>
        </w:tc>
        <w:tc>
          <w:tcPr>
            <w:tcW w:w="1126" w:type="dxa"/>
            <w:noWrap w:val="0"/>
            <w:vAlign w:val="center"/>
          </w:tcPr>
          <w:p>
            <w:pPr>
              <w:spacing w:line="520" w:lineRule="exact"/>
              <w:ind w:firstLine="170" w:firstLineChars="71"/>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57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999"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2833" w:type="dxa"/>
            <w:noWrap w:val="0"/>
            <w:vAlign w:val="center"/>
          </w:tcPr>
          <w:p>
            <w:pPr>
              <w:adjustRightInd w:val="0"/>
              <w:snapToGrid w:val="0"/>
              <w:jc w:val="center"/>
              <w:rPr>
                <w:rFonts w:hint="eastAsia" w:ascii="宋体" w:hAnsi="宋体" w:eastAsia="宋体" w:cs="宋体"/>
                <w:color w:val="auto"/>
                <w:sz w:val="24"/>
                <w:szCs w:val="24"/>
                <w:highlight w:val="none"/>
              </w:rPr>
            </w:pPr>
          </w:p>
        </w:tc>
        <w:tc>
          <w:tcPr>
            <w:tcW w:w="1126" w:type="dxa"/>
            <w:noWrap w:val="0"/>
            <w:vAlign w:val="top"/>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797" w:type="dxa"/>
            <w:gridSpan w:val="5"/>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1.偏离应按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商文件第二章定义理解，本表只填写有偏离的情况。</w:t>
            </w:r>
          </w:p>
          <w:p>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val="en-US" w:eastAsia="zh-CN"/>
              </w:rPr>
              <w:t>商务及合同</w:t>
            </w:r>
            <w:r>
              <w:rPr>
                <w:rFonts w:hint="eastAsia" w:ascii="宋体" w:hAnsi="宋体" w:eastAsia="宋体" w:cs="宋体"/>
                <w:color w:val="auto"/>
                <w:sz w:val="21"/>
                <w:szCs w:val="21"/>
                <w:highlight w:val="none"/>
              </w:rPr>
              <w:t>条款中所有要求，除本表所列出偏离外，均视为供应商响应其余全部</w:t>
            </w:r>
            <w:r>
              <w:rPr>
                <w:rFonts w:hint="eastAsia" w:ascii="宋体" w:hAnsi="宋体" w:eastAsia="宋体" w:cs="宋体"/>
                <w:color w:val="auto"/>
                <w:sz w:val="21"/>
                <w:szCs w:val="21"/>
                <w:highlight w:val="none"/>
                <w:lang w:val="en-US" w:eastAsia="zh-CN"/>
              </w:rPr>
              <w:t>商务合同</w:t>
            </w:r>
            <w:r>
              <w:rPr>
                <w:rFonts w:hint="eastAsia" w:ascii="宋体" w:hAnsi="宋体" w:eastAsia="宋体" w:cs="宋体"/>
                <w:color w:val="auto"/>
                <w:sz w:val="21"/>
                <w:szCs w:val="21"/>
                <w:highlight w:val="none"/>
              </w:rPr>
              <w:t>要求；如供应商响应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文件所有</w:t>
            </w:r>
            <w:r>
              <w:rPr>
                <w:rFonts w:hint="eastAsia" w:ascii="宋体" w:hAnsi="宋体" w:eastAsia="宋体" w:cs="宋体"/>
                <w:color w:val="auto"/>
                <w:sz w:val="21"/>
                <w:szCs w:val="21"/>
                <w:highlight w:val="none"/>
                <w:lang w:val="en-US" w:eastAsia="zh-CN"/>
              </w:rPr>
              <w:t>商务合同</w:t>
            </w:r>
            <w:r>
              <w:rPr>
                <w:rFonts w:hint="eastAsia" w:ascii="宋体" w:hAnsi="宋体" w:eastAsia="宋体" w:cs="宋体"/>
                <w:color w:val="auto"/>
                <w:sz w:val="21"/>
                <w:szCs w:val="21"/>
                <w:highlight w:val="none"/>
              </w:rPr>
              <w:t>要求的，必须提交空白表，否则，其</w:t>
            </w:r>
            <w:r>
              <w:rPr>
                <w:rFonts w:hint="eastAsia" w:ascii="宋体" w:hAnsi="宋体" w:eastAsia="宋体" w:cs="宋体"/>
                <w:b/>
                <w:color w:val="auto"/>
                <w:sz w:val="21"/>
                <w:szCs w:val="21"/>
                <w:highlight w:val="none"/>
              </w:rPr>
              <w:t>响应文件无效</w:t>
            </w:r>
            <w:r>
              <w:rPr>
                <w:rFonts w:hint="eastAsia" w:ascii="宋体" w:hAnsi="宋体" w:eastAsia="宋体" w:cs="宋体"/>
                <w:color w:val="auto"/>
                <w:sz w:val="21"/>
                <w:szCs w:val="21"/>
                <w:highlight w:val="none"/>
              </w:rPr>
              <w:t>。</w:t>
            </w:r>
          </w:p>
        </w:tc>
      </w:tr>
    </w:tbl>
    <w:p>
      <w:pPr>
        <w:adjustRightInd w:val="0"/>
        <w:spacing w:line="400" w:lineRule="exact"/>
        <w:ind w:firstLine="480" w:firstLineChars="200"/>
        <w:jc w:val="left"/>
        <w:rPr>
          <w:rFonts w:hint="eastAsia" w:ascii="宋体" w:hAnsi="宋体" w:eastAsia="宋体" w:cs="宋体"/>
          <w:bCs/>
          <w:color w:val="auto"/>
          <w:sz w:val="24"/>
          <w:szCs w:val="24"/>
          <w:highlight w:val="none"/>
        </w:rPr>
      </w:pPr>
    </w:p>
    <w:p>
      <w:pPr>
        <w:adjustRightInd w:val="0"/>
        <w:spacing w:line="400" w:lineRule="exact"/>
        <w:ind w:firstLine="480" w:firstLineChars="200"/>
        <w:jc w:val="left"/>
        <w:rPr>
          <w:rFonts w:hint="eastAsia" w:ascii="宋体" w:hAnsi="宋体" w:eastAsia="宋体" w:cs="宋体"/>
          <w:bCs/>
          <w:color w:val="auto"/>
          <w:sz w:val="24"/>
          <w:szCs w:val="24"/>
          <w:highlight w:val="none"/>
        </w:rPr>
      </w:pPr>
    </w:p>
    <w:p>
      <w:pPr>
        <w:spacing w:line="360" w:lineRule="auto"/>
        <w:ind w:left="1260" w:leftChars="0" w:firstLine="420" w:firstLineChars="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360" w:lineRule="auto"/>
        <w:ind w:left="126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bookmarkEnd w:id="198"/>
    <w:p>
      <w:pPr>
        <w:spacing w:line="520" w:lineRule="exact"/>
        <w:ind w:left="420" w:firstLine="0" w:firstLineChars="0"/>
        <w:rPr>
          <w:rFonts w:hint="eastAsia" w:ascii="宋体" w:hAnsi="宋体" w:eastAsia="宋体" w:cs="宋体"/>
          <w:color w:val="auto"/>
          <w:sz w:val="24"/>
          <w:szCs w:val="24"/>
          <w:highlight w:val="none"/>
        </w:rPr>
      </w:pP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
        <w:jc w:val="center"/>
        <w:rPr>
          <w:rFonts w:hint="eastAsia" w:ascii="宋体" w:hAnsi="宋体" w:eastAsia="宋体" w:cs="宋体"/>
          <w:lang w:val="en-US" w:eastAsia="zh-CN"/>
        </w:rPr>
      </w:pPr>
      <w:bookmarkStart w:id="200" w:name="OLE_LINK90"/>
      <w:r>
        <w:rPr>
          <w:rFonts w:hint="eastAsia" w:ascii="宋体" w:hAnsi="宋体" w:eastAsia="宋体" w:cs="宋体"/>
          <w:b/>
          <w:bCs/>
          <w:color w:val="auto"/>
          <w:sz w:val="24"/>
          <w:szCs w:val="24"/>
          <w:highlight w:val="none"/>
          <w:lang w:val="en-US" w:eastAsia="zh-CN"/>
        </w:rPr>
        <w:t>第三部分、响应文件</w:t>
      </w:r>
    </w:p>
    <w:p>
      <w:pPr>
        <w:ind w:left="0" w:leftChars="0" w:firstLine="0" w:firstLineChars="0"/>
        <w:jc w:val="center"/>
        <w:rPr>
          <w:rFonts w:hint="eastAsia" w:ascii="宋体" w:hAnsi="宋体" w:eastAsia="宋体" w:cs="宋体"/>
          <w:b/>
          <w:bCs/>
          <w:color w:val="auto"/>
          <w:kern w:val="2"/>
          <w:sz w:val="24"/>
          <w:szCs w:val="24"/>
          <w:highlight w:val="none"/>
          <w:lang w:val="en-US" w:eastAsia="zh-CN" w:bidi="ar-SA"/>
        </w:rPr>
      </w:pPr>
      <w:bookmarkStart w:id="201" w:name="OLE_LINK89"/>
      <w:r>
        <w:rPr>
          <w:rFonts w:hint="eastAsia" w:ascii="宋体" w:hAnsi="宋体" w:eastAsia="宋体" w:cs="宋体"/>
          <w:b/>
          <w:bCs/>
          <w:color w:val="auto"/>
          <w:kern w:val="2"/>
          <w:sz w:val="24"/>
          <w:szCs w:val="24"/>
          <w:highlight w:val="none"/>
          <w:lang w:val="en-US" w:eastAsia="zh-CN" w:bidi="ar-SA"/>
        </w:rPr>
        <w:t>1、</w:t>
      </w:r>
      <w:bookmarkStart w:id="202" w:name="OLE_LINK88"/>
      <w:r>
        <w:rPr>
          <w:rFonts w:hint="eastAsia" w:ascii="宋体" w:hAnsi="宋体" w:eastAsia="宋体" w:cs="宋体"/>
          <w:b/>
          <w:bCs/>
          <w:color w:val="auto"/>
          <w:kern w:val="2"/>
          <w:sz w:val="24"/>
          <w:szCs w:val="24"/>
          <w:highlight w:val="none"/>
          <w:lang w:val="en-US" w:eastAsia="zh-CN" w:bidi="ar-SA"/>
        </w:rPr>
        <w:t>施工组织设计</w:t>
      </w:r>
      <w:bookmarkEnd w:id="202"/>
    </w:p>
    <w:p>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以下内容：</w:t>
      </w:r>
      <w:r>
        <w:rPr>
          <w:rFonts w:hint="eastAsia" w:ascii="宋体" w:hAnsi="宋体" w:eastAsia="宋体" w:cs="宋体"/>
          <w:color w:val="auto"/>
          <w:sz w:val="24"/>
          <w:szCs w:val="24"/>
          <w:highlight w:val="none"/>
          <w:lang w:eastAsia="zh-CN"/>
        </w:rPr>
        <w:t>（格式自拟）</w:t>
      </w:r>
    </w:p>
    <w:p>
      <w:pPr>
        <w:adjustRightInd w:val="0"/>
        <w:snapToGrid w:val="0"/>
        <w:spacing w:line="360" w:lineRule="auto"/>
        <w:ind w:firstLine="720" w:firstLineChars="300"/>
        <w:rPr>
          <w:rFonts w:hint="eastAsia" w:ascii="宋体" w:hAnsi="宋体" w:eastAsia="宋体" w:cs="宋体"/>
          <w:color w:val="000000"/>
          <w:sz w:val="24"/>
          <w:szCs w:val="24"/>
          <w:highlight w:val="cyan"/>
        </w:rPr>
      </w:pP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（1）确保工程质量的技术组织措施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（2）确保安全生产技术组织措施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（3）确保文明施工的技术组织措施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（4）确保环境保护组织措施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（5）确保工期的技术组织措施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（6）施工方案                              </w:t>
      </w:r>
      <w:r>
        <w:rPr>
          <w:rFonts w:hint="eastAsia" w:ascii="宋体" w:hAnsi="宋体" w:eastAsia="宋体" w:cs="宋体"/>
          <w:color w:val="000000"/>
          <w:sz w:val="24"/>
          <w:szCs w:val="24"/>
          <w:highlight w:val="none"/>
          <w:lang w:val="en-US" w:eastAsia="zh-CN"/>
        </w:rPr>
        <w:t xml:space="preserve">     </w:t>
      </w:r>
    </w:p>
    <w:p>
      <w:pPr>
        <w:adjustRightInd w:val="0"/>
        <w:snapToGrid w:val="0"/>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施工资源配备计划</w:t>
      </w:r>
      <w:r>
        <w:rPr>
          <w:rFonts w:hint="eastAsia" w:ascii="宋体" w:hAnsi="宋体" w:eastAsia="宋体" w:cs="宋体"/>
          <w:color w:val="000000"/>
          <w:sz w:val="24"/>
          <w:szCs w:val="24"/>
          <w:highlight w:val="none"/>
        </w:rPr>
        <w:t xml:space="preserve">     </w:t>
      </w:r>
    </w:p>
    <w:p>
      <w:pPr>
        <w:adjustRightInd w:val="0"/>
        <w:snapToGrid w:val="0"/>
        <w:spacing w:line="360" w:lineRule="auto"/>
        <w:ind w:firstLine="720" w:firstLineChars="3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bookmarkStart w:id="203" w:name="OLE_LINK81"/>
      <w:r>
        <w:rPr>
          <w:rFonts w:hint="eastAsia" w:ascii="宋体" w:hAnsi="宋体" w:eastAsia="宋体" w:cs="宋体"/>
          <w:color w:val="000000"/>
          <w:sz w:val="24"/>
          <w:szCs w:val="24"/>
          <w:highlight w:val="none"/>
        </w:rPr>
        <w:t>针对本项目提供详细的工程完工后服务方案</w:t>
      </w:r>
    </w:p>
    <w:bookmarkEnd w:id="200"/>
    <w:bookmarkEnd w:id="201"/>
    <w:bookmarkEnd w:id="203"/>
    <w:p>
      <w:pPr>
        <w:pStyle w:val="2"/>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23"/>
        <w:rPr>
          <w:rFonts w:hint="eastAsia" w:ascii="宋体" w:hAnsi="宋体" w:eastAsia="宋体" w:cs="宋体"/>
          <w:color w:val="auto"/>
          <w:sz w:val="24"/>
          <w:szCs w:val="24"/>
          <w:highlight w:val="none"/>
          <w:lang w:eastAsia="zh-CN"/>
        </w:rPr>
      </w:pPr>
    </w:p>
    <w:p>
      <w:pPr>
        <w:pStyle w:val="8"/>
        <w:numPr>
          <w:ilvl w:val="0"/>
          <w:numId w:val="0"/>
        </w:numPr>
        <w:spacing w:before="0" w:line="5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kern w:val="2"/>
          <w:sz w:val="24"/>
          <w:szCs w:val="24"/>
          <w:highlight w:val="none"/>
          <w:lang w:val="en-US" w:eastAsia="zh-CN" w:bidi="ar-SA"/>
        </w:rPr>
        <w:t>2、项目管理机构</w:t>
      </w:r>
      <w:bookmarkEnd w:id="177"/>
      <w:bookmarkEnd w:id="178"/>
      <w:bookmarkEnd w:id="179"/>
      <w:bookmarkEnd w:id="180"/>
    </w:p>
    <w:p>
      <w:pPr>
        <w:pStyle w:val="5"/>
        <w:numPr>
          <w:ilvl w:val="0"/>
          <w:numId w:val="0"/>
        </w:numPr>
        <w:spacing w:before="120" w:beforeLines="50"/>
        <w:ind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提供相关人员资格证、身份证、学历证、职称证（若有）</w:t>
      </w:r>
    </w:p>
    <w:p>
      <w:pPr>
        <w:pStyle w:val="5"/>
        <w:numPr>
          <w:ilvl w:val="0"/>
          <w:numId w:val="0"/>
        </w:numPr>
        <w:spacing w:before="120" w:beforeLines="50"/>
        <w:ind w:firstLine="960" w:firstLineChars="4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需要补充的材料可另纸说明。</w:t>
      </w:r>
    </w:p>
    <w:p>
      <w:pPr>
        <w:adjustRightInd w:val="0"/>
        <w:spacing w:line="400" w:lineRule="exact"/>
        <w:jc w:val="left"/>
        <w:rPr>
          <w:rFonts w:hint="eastAsia" w:ascii="宋体" w:hAnsi="宋体" w:eastAsia="宋体" w:cs="宋体"/>
          <w:b/>
          <w:color w:val="auto"/>
          <w:sz w:val="36"/>
          <w:szCs w:val="36"/>
          <w:highlight w:val="none"/>
        </w:rPr>
      </w:pP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8"/>
        <w:spacing w:before="0" w:line="520" w:lineRule="exact"/>
        <w:ind w:firstLine="0" w:firstLineChars="0"/>
        <w:jc w:val="center"/>
        <w:outlineLvl w:val="0"/>
        <w:rPr>
          <w:rFonts w:hint="eastAsia" w:ascii="宋体" w:hAnsi="宋体" w:eastAsia="宋体" w:cs="宋体"/>
          <w:color w:val="auto"/>
          <w:sz w:val="24"/>
          <w:szCs w:val="24"/>
          <w:highlight w:val="none"/>
          <w:lang w:val="en-US" w:eastAsia="zh-CN"/>
        </w:rPr>
      </w:pPr>
      <w:bookmarkStart w:id="204" w:name="_Toc31245"/>
      <w:bookmarkStart w:id="205" w:name="_Toc22112"/>
      <w:bookmarkStart w:id="206" w:name="OLE_LINK91"/>
      <w:bookmarkStart w:id="207" w:name="OLE_LINK92"/>
      <w:r>
        <w:rPr>
          <w:rFonts w:hint="eastAsia" w:ascii="宋体" w:hAnsi="宋体" w:eastAsia="宋体" w:cs="宋体"/>
          <w:color w:val="auto"/>
          <w:sz w:val="24"/>
          <w:szCs w:val="24"/>
          <w:highlight w:val="none"/>
          <w:lang w:val="en-US" w:eastAsia="zh-CN"/>
        </w:rPr>
        <w:t>3、享受政府采购优惠政策的证明材料</w:t>
      </w:r>
      <w:bookmarkEnd w:id="204"/>
      <w:bookmarkEnd w:id="205"/>
    </w:p>
    <w:bookmarkEnd w:id="206"/>
    <w:p>
      <w:pPr>
        <w:pStyle w:val="8"/>
        <w:spacing w:before="0" w:line="520" w:lineRule="exact"/>
        <w:ind w:firstLine="0" w:firstLineChars="0"/>
        <w:outlineLvl w:val="0"/>
        <w:rPr>
          <w:rFonts w:hint="eastAsia" w:ascii="宋体" w:hAnsi="宋体" w:eastAsia="宋体" w:cs="宋体"/>
          <w:color w:val="auto"/>
          <w:sz w:val="24"/>
          <w:szCs w:val="24"/>
          <w:highlight w:val="none"/>
          <w:lang w:val="en-US" w:eastAsia="zh-CN"/>
        </w:rPr>
      </w:pPr>
      <w:bookmarkStart w:id="208" w:name="_Toc20270"/>
      <w:bookmarkStart w:id="209" w:name="_Toc3106"/>
      <w:r>
        <w:rPr>
          <w:rFonts w:hint="eastAsia" w:ascii="宋体" w:hAnsi="宋体" w:eastAsia="宋体" w:cs="宋体"/>
          <w:color w:val="auto"/>
          <w:sz w:val="24"/>
          <w:szCs w:val="24"/>
          <w:highlight w:val="none"/>
          <w:lang w:val="en-US" w:eastAsia="zh-CN"/>
        </w:rPr>
        <w:t>附件3：</w:t>
      </w:r>
      <w:bookmarkEnd w:id="208"/>
      <w:bookmarkEnd w:id="209"/>
    </w:p>
    <w:p>
      <w:pPr>
        <w:pStyle w:val="8"/>
        <w:spacing w:before="0" w:line="520" w:lineRule="exact"/>
        <w:ind w:firstLine="0" w:firstLineChars="0"/>
        <w:jc w:val="center"/>
        <w:outlineLvl w:val="0"/>
        <w:rPr>
          <w:rFonts w:hint="eastAsia" w:ascii="宋体" w:hAnsi="宋体" w:eastAsia="宋体" w:cs="宋体"/>
          <w:color w:val="auto"/>
          <w:sz w:val="24"/>
          <w:szCs w:val="24"/>
          <w:highlight w:val="none"/>
          <w:lang w:eastAsia="zh-CN"/>
        </w:rPr>
      </w:pPr>
      <w:bookmarkStart w:id="210" w:name="_Toc5084"/>
      <w:bookmarkStart w:id="211" w:name="_Toc19888"/>
      <w:r>
        <w:rPr>
          <w:rFonts w:hint="eastAsia" w:ascii="宋体" w:hAnsi="宋体" w:eastAsia="宋体" w:cs="宋体"/>
          <w:color w:val="auto"/>
          <w:sz w:val="24"/>
          <w:szCs w:val="24"/>
          <w:highlight w:val="none"/>
          <w:lang w:eastAsia="zh-CN"/>
        </w:rPr>
        <w:t>《小微企业声明函》（</w:t>
      </w:r>
      <w:r>
        <w:rPr>
          <w:rFonts w:hint="eastAsia" w:ascii="宋体" w:hAnsi="宋体" w:eastAsia="宋体" w:cs="宋体"/>
          <w:color w:val="auto"/>
          <w:sz w:val="24"/>
          <w:szCs w:val="24"/>
          <w:highlight w:val="none"/>
          <w:lang w:val="en-US" w:eastAsia="zh-CN"/>
        </w:rPr>
        <w:t>格式</w:t>
      </w:r>
      <w:r>
        <w:rPr>
          <w:rFonts w:hint="eastAsia" w:ascii="宋体" w:hAnsi="宋体" w:eastAsia="宋体" w:cs="宋体"/>
          <w:color w:val="auto"/>
          <w:sz w:val="24"/>
          <w:szCs w:val="24"/>
          <w:highlight w:val="none"/>
          <w:lang w:eastAsia="zh-CN"/>
        </w:rPr>
        <w:t>）</w:t>
      </w:r>
      <w:bookmarkEnd w:id="210"/>
      <w:bookmarkEnd w:id="211"/>
    </w:p>
    <w:p>
      <w:pPr>
        <w:pStyle w:val="17"/>
        <w:adjustRightInd w:val="0"/>
        <w:snapToGrid w:val="0"/>
        <w:spacing w:line="360" w:lineRule="auto"/>
        <w:ind w:firstLine="3735" w:firstLineChars="1550"/>
        <w:jc w:val="both"/>
        <w:rPr>
          <w:rFonts w:hint="eastAsia" w:ascii="宋体" w:hAnsi="宋体" w:eastAsia="宋体" w:cs="宋体"/>
          <w:b/>
          <w:bCs/>
          <w:color w:val="auto"/>
          <w:kern w:val="0"/>
          <w:sz w:val="24"/>
          <w:szCs w:val="24"/>
          <w:highlight w:val="none"/>
          <w:lang w:val="en-US" w:eastAsia="zh-CN" w:bidi="ar-SA"/>
        </w:rPr>
      </w:pPr>
      <w:bookmarkStart w:id="212" w:name="_Toc30563"/>
      <w:bookmarkStart w:id="213" w:name="_Toc19434"/>
      <w:r>
        <w:rPr>
          <w:rFonts w:hint="eastAsia" w:ascii="宋体" w:hAnsi="宋体" w:eastAsia="宋体" w:cs="宋体"/>
          <w:b/>
          <w:bCs/>
          <w:color w:val="auto"/>
          <w:kern w:val="0"/>
          <w:sz w:val="24"/>
          <w:szCs w:val="24"/>
          <w:highlight w:val="none"/>
          <w:lang w:val="en-US" w:eastAsia="zh-CN" w:bidi="ar-SA"/>
        </w:rPr>
        <w:t>中小企业声明函</w:t>
      </w:r>
    </w:p>
    <w:p>
      <w:pPr>
        <w:spacing w:before="240" w:beforeLines="1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采 购 人 名 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 目 名 称</w:t>
      </w:r>
      <w:r>
        <w:rPr>
          <w:rFonts w:hint="eastAsia" w:ascii="宋体" w:hAnsi="宋体" w:eastAsia="宋体" w:cs="宋体"/>
          <w:color w:val="auto"/>
          <w:spacing w:val="6"/>
          <w:sz w:val="24"/>
          <w:szCs w:val="24"/>
          <w:highlight w:val="none"/>
        </w:rPr>
        <w:t>)采购活动，工程的施工单位全部由符合政策要求的中小企业承建。相关企业(含联合体中的中小企业、签订分包意向协议的中小企业)的具体情况如下:</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标 的 名 称</w:t>
      </w:r>
      <w:r>
        <w:rPr>
          <w:rFonts w:hint="eastAsia" w:ascii="宋体" w:hAnsi="宋体" w:eastAsia="宋体" w:cs="宋体"/>
          <w:color w:val="auto"/>
          <w:spacing w:val="6"/>
          <w:sz w:val="24"/>
          <w:szCs w:val="24"/>
          <w:highlight w:val="none"/>
        </w:rPr>
        <w:t>) ，属于建筑业;承建企业为(</w:t>
      </w:r>
      <w:r>
        <w:rPr>
          <w:rFonts w:hint="eastAsia" w:ascii="宋体" w:hAnsi="宋体" w:eastAsia="宋体" w:cs="宋体"/>
          <w:color w:val="auto"/>
          <w:spacing w:val="6"/>
          <w:sz w:val="24"/>
          <w:szCs w:val="24"/>
          <w:highlight w:val="none"/>
          <w:u w:val="single"/>
        </w:rPr>
        <w:t>企 业 名 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万元，属于(中型企业、小型企业、微型企业);</w:t>
      </w:r>
    </w:p>
    <w:p>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标 的 名 称</w:t>
      </w:r>
      <w:r>
        <w:rPr>
          <w:rFonts w:hint="eastAsia" w:ascii="宋体" w:hAnsi="宋体" w:eastAsia="宋体" w:cs="宋体"/>
          <w:color w:val="auto"/>
          <w:spacing w:val="6"/>
          <w:sz w:val="24"/>
          <w:szCs w:val="24"/>
          <w:highlight w:val="none"/>
        </w:rPr>
        <w:t>) ，属于建筑业;承建企业为(</w:t>
      </w:r>
      <w:r>
        <w:rPr>
          <w:rFonts w:hint="eastAsia" w:ascii="宋体" w:hAnsi="宋体" w:eastAsia="宋体" w:cs="宋体"/>
          <w:color w:val="auto"/>
          <w:spacing w:val="6"/>
          <w:sz w:val="24"/>
          <w:szCs w:val="24"/>
          <w:highlight w:val="none"/>
          <w:u w:val="single"/>
        </w:rPr>
        <w:t>企 业 名 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万元，属于(中型企业、小型企业、微型企业);</w:t>
      </w:r>
    </w:p>
    <w:p>
      <w:pPr>
        <w:spacing w:before="480" w:beforeLines="2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以上企业，不属于大企业的分支机构，不存在控股股东为大企业的情形，也不存在与大企业的负责人为同一人的情形。</w:t>
      </w:r>
    </w:p>
    <w:p>
      <w:pPr>
        <w:spacing w:before="480" w:beforeLines="200"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pPr>
        <w:spacing w:line="480" w:lineRule="auto"/>
        <w:jc w:val="left"/>
        <w:outlineLvl w:val="9"/>
        <w:rPr>
          <w:rFonts w:hint="eastAsia" w:ascii="宋体" w:hAnsi="宋体" w:eastAsia="宋体" w:cs="宋体"/>
          <w:b w:val="0"/>
          <w:bCs w:val="0"/>
          <w:color w:val="auto"/>
          <w:sz w:val="24"/>
          <w:szCs w:val="24"/>
          <w:highlight w:val="none"/>
          <w:lang w:val="en-US" w:eastAsia="zh-CN"/>
        </w:rPr>
      </w:pPr>
    </w:p>
    <w:p>
      <w:pPr>
        <w:spacing w:line="480" w:lineRule="auto"/>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bookmarkEnd w:id="212"/>
    <w:bookmarkEnd w:id="213"/>
    <w:p>
      <w:pPr>
        <w:pStyle w:val="8"/>
        <w:spacing w:before="0" w:line="520" w:lineRule="exact"/>
        <w:ind w:firstLine="0" w:firstLineChars="0"/>
        <w:outlineLvl w:val="0"/>
        <w:rPr>
          <w:rFonts w:hint="eastAsia" w:ascii="宋体" w:hAnsi="宋体" w:eastAsia="宋体" w:cs="宋体"/>
          <w:color w:val="auto"/>
          <w:sz w:val="24"/>
          <w:szCs w:val="24"/>
          <w:highlight w:val="none"/>
          <w:lang w:val="en-US" w:eastAsia="zh-CN"/>
        </w:rPr>
      </w:pPr>
      <w:bookmarkStart w:id="214" w:name="_Toc21592"/>
      <w:bookmarkStart w:id="215" w:name="_Toc13592"/>
      <w:r>
        <w:rPr>
          <w:rFonts w:hint="eastAsia" w:ascii="宋体" w:hAnsi="宋体" w:eastAsia="宋体" w:cs="宋体"/>
          <w:color w:val="auto"/>
          <w:sz w:val="24"/>
          <w:szCs w:val="24"/>
          <w:highlight w:val="none"/>
          <w:lang w:val="en-US" w:eastAsia="zh-CN"/>
        </w:rPr>
        <w:t>附件4：</w:t>
      </w:r>
      <w:bookmarkEnd w:id="214"/>
      <w:bookmarkEnd w:id="215"/>
    </w:p>
    <w:p>
      <w:pPr>
        <w:pStyle w:val="8"/>
        <w:spacing w:before="0" w:line="520" w:lineRule="exact"/>
        <w:ind w:firstLine="0" w:firstLineChars="0"/>
        <w:jc w:val="center"/>
        <w:outlineLvl w:val="0"/>
        <w:rPr>
          <w:rFonts w:hint="eastAsia" w:ascii="宋体" w:hAnsi="宋体" w:eastAsia="宋体" w:cs="宋体"/>
          <w:color w:val="auto"/>
          <w:sz w:val="24"/>
          <w:szCs w:val="24"/>
          <w:highlight w:val="none"/>
          <w:lang w:eastAsia="zh-CN"/>
        </w:rPr>
      </w:pPr>
      <w:bookmarkStart w:id="216" w:name="_Toc15624"/>
      <w:bookmarkStart w:id="217" w:name="_Toc94"/>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（格式）</w:t>
      </w:r>
      <w:bookmarkEnd w:id="216"/>
      <w:bookmarkEnd w:id="217"/>
    </w:p>
    <w:p>
      <w:pPr>
        <w:spacing w:line="520" w:lineRule="exact"/>
        <w:ind w:firstLine="108" w:firstLineChars="45"/>
        <w:jc w:val="center"/>
        <w:outlineLvl w:val="0"/>
        <w:rPr>
          <w:rFonts w:hint="eastAsia" w:ascii="宋体" w:hAnsi="宋体" w:eastAsia="宋体" w:cs="宋体"/>
          <w:b/>
          <w:color w:val="auto"/>
          <w:sz w:val="24"/>
          <w:szCs w:val="24"/>
          <w:highlight w:val="none"/>
          <w:lang w:eastAsia="zh-CN"/>
        </w:rPr>
      </w:pPr>
      <w:bookmarkStart w:id="218" w:name="_Toc26383"/>
      <w:bookmarkStart w:id="219" w:name="_Toc30190"/>
      <w:bookmarkStart w:id="220" w:name="OLE_LINK14"/>
      <w:r>
        <w:rPr>
          <w:rFonts w:hint="eastAsia" w:ascii="宋体" w:hAnsi="宋体" w:eastAsia="宋体" w:cs="宋体"/>
          <w:b/>
          <w:color w:val="auto"/>
          <w:sz w:val="24"/>
          <w:szCs w:val="24"/>
          <w:highlight w:val="none"/>
        </w:rPr>
        <w:t>残疾人福利性单位声明函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非残疾人福利性单位不填</w:t>
      </w:r>
      <w:r>
        <w:rPr>
          <w:rFonts w:hint="eastAsia" w:ascii="宋体" w:hAnsi="宋体" w:eastAsia="宋体" w:cs="宋体"/>
          <w:b/>
          <w:color w:val="auto"/>
          <w:sz w:val="24"/>
          <w:szCs w:val="24"/>
          <w:highlight w:val="none"/>
          <w:lang w:eastAsia="zh-CN"/>
        </w:rPr>
        <w:t>）</w:t>
      </w:r>
      <w:bookmarkEnd w:id="218"/>
      <w:bookmarkEnd w:id="219"/>
    </w:p>
    <w:bookmarkEnd w:id="220"/>
    <w:p>
      <w:pPr>
        <w:spacing w:line="520" w:lineRule="exact"/>
        <w:ind w:firstLine="0" w:firstLineChars="0"/>
        <w:rPr>
          <w:rFonts w:hint="eastAsia" w:ascii="宋体" w:hAnsi="宋体" w:eastAsia="宋体" w:cs="宋体"/>
          <w:b/>
          <w:color w:val="auto"/>
          <w:sz w:val="24"/>
          <w:szCs w:val="24"/>
          <w:highlight w:val="none"/>
        </w:rPr>
      </w:pP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若内容属实，请附相关部门证明文件，加盖公章。</w:t>
      </w: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spacing w:line="520" w:lineRule="exact"/>
        <w:ind w:firstLine="640"/>
        <w:jc w:val="cente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spacing w:line="480" w:lineRule="auto"/>
        <w:ind w:left="0" w:leftChars="0" w:firstLine="0" w:firstLineChars="0"/>
        <w:rPr>
          <w:rFonts w:hint="eastAsia" w:ascii="宋体" w:hAnsi="宋体" w:eastAsia="宋体" w:cs="宋体"/>
          <w:color w:val="auto"/>
          <w:sz w:val="24"/>
          <w:szCs w:val="24"/>
          <w:highlight w:val="none"/>
          <w:lang w:val="en-US" w:eastAsia="zh-CN"/>
        </w:rPr>
        <w:sectPr>
          <w:footerReference r:id="rId13" w:type="first"/>
          <w:headerReference r:id="rId11" w:type="default"/>
          <w:footerReference r:id="rId12"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docGrid w:type="lines" w:linePitch="314" w:charSpace="0"/>
        </w:sectPr>
      </w:pPr>
    </w:p>
    <w:p>
      <w:pPr>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附件5：</w:t>
      </w:r>
    </w:p>
    <w:p>
      <w:pPr>
        <w:ind w:left="0" w:leftChars="0" w:firstLine="0" w:firstLineChars="0"/>
        <w:jc w:val="center"/>
        <w:outlineLvl w:val="0"/>
        <w:rPr>
          <w:rFonts w:hint="eastAsia" w:ascii="宋体" w:hAnsi="宋体" w:eastAsia="宋体" w:cs="宋体"/>
          <w:b/>
          <w:bCs/>
          <w:color w:val="auto"/>
          <w:kern w:val="2"/>
          <w:sz w:val="24"/>
          <w:szCs w:val="24"/>
          <w:highlight w:val="none"/>
          <w:lang w:val="en-US" w:eastAsia="zh-CN" w:bidi="ar-SA"/>
        </w:rPr>
      </w:pPr>
      <w:bookmarkStart w:id="221" w:name="_Toc6047"/>
      <w:bookmarkStart w:id="222" w:name="_Toc30605"/>
      <w:r>
        <w:rPr>
          <w:rFonts w:hint="eastAsia" w:ascii="宋体" w:hAnsi="宋体" w:eastAsia="宋体" w:cs="宋体"/>
          <w:b/>
          <w:bCs/>
          <w:color w:val="auto"/>
          <w:kern w:val="2"/>
          <w:sz w:val="24"/>
          <w:szCs w:val="24"/>
          <w:highlight w:val="none"/>
          <w:lang w:val="en-US" w:eastAsia="zh-CN" w:bidi="ar-SA"/>
        </w:rPr>
        <w:t>《监狱企业证明文件》（格式）</w:t>
      </w:r>
      <w:bookmarkEnd w:id="221"/>
      <w:bookmarkEnd w:id="222"/>
    </w:p>
    <w:p>
      <w:pPr>
        <w:tabs>
          <w:tab w:val="left" w:pos="4860"/>
        </w:tabs>
        <w:spacing w:line="588" w:lineRule="exact"/>
        <w:ind w:right="156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pPr>
        <w:tabs>
          <w:tab w:val="left" w:pos="4860"/>
        </w:tabs>
        <w:spacing w:line="588" w:lineRule="exact"/>
        <w:ind w:right="1560"/>
        <w:jc w:val="center"/>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bookmarkStart w:id="223" w:name="_Toc21100"/>
      <w:bookmarkStart w:id="224" w:name="_Toc10551"/>
      <w:r>
        <w:rPr>
          <w:rFonts w:hint="eastAsia" w:ascii="宋体" w:hAnsi="宋体" w:eastAsia="宋体" w:cs="宋体"/>
          <w:b/>
          <w:bCs/>
          <w:color w:val="auto"/>
          <w:sz w:val="24"/>
          <w:szCs w:val="24"/>
          <w:highlight w:val="none"/>
        </w:rPr>
        <w:t>监狱企业证明文件</w:t>
      </w:r>
      <w:r>
        <w:rPr>
          <w:rFonts w:hint="eastAsia" w:ascii="宋体" w:hAnsi="宋体" w:eastAsia="宋体" w:cs="宋体"/>
          <w:b/>
          <w:color w:val="auto"/>
          <w:sz w:val="24"/>
          <w:szCs w:val="24"/>
          <w:highlight w:val="none"/>
        </w:rPr>
        <w:t>（非监狱企业单位不填）</w:t>
      </w:r>
      <w:bookmarkEnd w:id="223"/>
      <w:bookmarkEnd w:id="224"/>
    </w:p>
    <w:p>
      <w:pPr>
        <w:spacing w:line="520" w:lineRule="exact"/>
        <w:ind w:firstLine="560"/>
        <w:rPr>
          <w:rFonts w:hint="eastAsia" w:ascii="宋体" w:hAnsi="宋体" w:eastAsia="宋体" w:cs="宋体"/>
          <w:color w:val="auto"/>
          <w:sz w:val="24"/>
          <w:szCs w:val="24"/>
          <w:highlight w:val="none"/>
        </w:rPr>
      </w:pPr>
    </w:p>
    <w:p>
      <w:pPr>
        <w:spacing w:line="5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说明：根据《关于政府采购支持监狱企业发展有关问题的通知》（财库〔2014〕68号）的规定，监狱企业参加政府采购活动时，应当提供由省级以上监狱管理局、戒毒管理局（含新疆生产建设兵团）出具的属于监狱企业的证明文件。</w:t>
      </w:r>
    </w:p>
    <w:p>
      <w:pPr>
        <w:spacing w:line="480" w:lineRule="auto"/>
        <w:ind w:firstLine="2160" w:firstLineChars="900"/>
        <w:jc w:val="left"/>
        <w:outlineLvl w:val="9"/>
        <w:rPr>
          <w:rFonts w:hint="eastAsia" w:ascii="宋体" w:hAnsi="宋体" w:eastAsia="宋体" w:cs="宋体"/>
          <w:b w:val="0"/>
          <w:bCs w:val="0"/>
          <w:color w:val="auto"/>
          <w:sz w:val="24"/>
          <w:szCs w:val="24"/>
          <w:highlight w:val="none"/>
          <w:lang w:val="en-US" w:eastAsia="zh-CN"/>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lang w:val="en-US" w:eastAsia="zh-CN"/>
        </w:rPr>
      </w:pPr>
    </w:p>
    <w:p>
      <w:pPr>
        <w:spacing w:line="480" w:lineRule="auto"/>
        <w:ind w:firstLine="2160" w:firstLineChars="900"/>
        <w:jc w:val="left"/>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（盖章）</w:t>
      </w:r>
    </w:p>
    <w:p>
      <w:pPr>
        <w:pStyle w:val="47"/>
        <w:spacing w:line="480" w:lineRule="auto"/>
        <w:ind w:left="1260" w:leftChars="0"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pPr>
        <w:pStyle w:val="29"/>
        <w:keepNext w:val="0"/>
        <w:keepLines w:val="0"/>
        <w:pageBreakBefore w:val="0"/>
        <w:widowControl w:val="0"/>
        <w:kinsoku/>
        <w:wordWrap/>
        <w:overflowPunct/>
        <w:topLinePunct w:val="0"/>
        <w:autoSpaceDE/>
        <w:autoSpaceDN/>
        <w:bidi w:val="0"/>
        <w:adjustRightInd/>
        <w:snapToGrid/>
        <w:spacing w:line="480" w:lineRule="auto"/>
        <w:ind w:left="1260" w:leftChars="0" w:firstLine="960" w:firstLineChars="4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日     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pPr>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u w:val="single"/>
          <w:lang w:val="zh-CN" w:eastAsia="zh-CN"/>
        </w:rPr>
        <w:br w:type="page"/>
      </w:r>
    </w:p>
    <w:bookmarkEnd w:id="207"/>
    <w:p>
      <w:pPr>
        <w:pStyle w:val="8"/>
        <w:spacing w:before="0" w:line="520" w:lineRule="exact"/>
        <w:ind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4、供应商需要补充说明的事宜</w:t>
      </w:r>
    </w:p>
    <w:p>
      <w:pPr>
        <w:spacing w:beforeAutospacing="0" w:line="520" w:lineRule="exact"/>
        <w:ind w:left="420" w:firstLine="0" w:firstLineChars="0"/>
        <w:rPr>
          <w:rFonts w:hint="eastAsia" w:ascii="宋体" w:hAnsi="宋体" w:eastAsia="宋体" w:cs="宋体"/>
          <w:b/>
          <w:bCs/>
          <w:color w:val="auto"/>
          <w:sz w:val="24"/>
          <w:szCs w:val="24"/>
          <w:highlight w:val="none"/>
          <w:lang w:eastAsia="zh-CN"/>
        </w:rPr>
      </w:pPr>
    </w:p>
    <w:p>
      <w:pPr>
        <w:spacing w:beforeAutospacing="0" w:line="520" w:lineRule="exact"/>
        <w:ind w:left="42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000000"/>
          <w:sz w:val="24"/>
          <w:szCs w:val="24"/>
          <w:highlight w:val="none"/>
          <w:lang w:val="en-US" w:eastAsia="zh-CN"/>
        </w:rPr>
        <w:t>供应商提供近三年(2022年5月至今）完成过的同类或类似项目业绩（以合同签订时间为准，业绩证明材料以合同准）；</w:t>
      </w:r>
    </w:p>
    <w:p>
      <w:pPr>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供应商其它补充材料；</w:t>
      </w:r>
    </w:p>
    <w:bookmarkEnd w:id="140"/>
    <w:bookmarkEnd w:id="141"/>
    <w:p>
      <w:pPr>
        <w:ind w:left="0" w:leftChars="0" w:firstLine="0" w:firstLineChars="0"/>
        <w:rPr>
          <w:rFonts w:hint="eastAsia" w:ascii="宋体" w:hAnsi="宋体" w:eastAsia="宋体" w:cs="宋体"/>
          <w:lang w:val="zh-CN" w:eastAsia="zh-CN"/>
        </w:rPr>
      </w:pPr>
    </w:p>
    <w:sectPr>
      <w:footerReference r:id="rId16" w:type="first"/>
      <w:headerReference r:id="rId14" w:type="default"/>
      <w:footerReference r:id="rId15" w:type="default"/>
      <w:pgSz w:w="11905" w:h="16838"/>
      <w:pgMar w:top="1440" w:right="1083" w:bottom="1440" w:left="1083" w:header="850" w:footer="992" w:gutter="567"/>
      <w:pgBorders>
        <w:top w:val="none" w:sz="0" w:space="0"/>
        <w:left w:val="none" w:sz="0" w:space="0"/>
        <w:bottom w:val="none" w:sz="0" w:space="0"/>
        <w:right w:val="none" w:sz="0" w:space="0"/>
      </w:pgBorders>
      <w:pgNumType w:fmt="decimal"/>
      <w:cols w:space="0" w:num="1"/>
      <w:titlePg/>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84</w:t>
                    </w:r>
                    <w:r>
                      <w:fldChar w:fldCharType="end"/>
                    </w:r>
                  </w:p>
                </w:txbxContent>
              </v:textbox>
            </v:shape>
          </w:pict>
        </mc:Fallback>
      </mc:AlternateContent>
    </w:r>
  </w:p>
  <w:p>
    <w:pPr>
      <w:pStyle w:val="19"/>
      <w:ind w:firstLine="0" w:firstLineChars="0"/>
      <w:rPr>
        <w:rFonts w:ascii="宋体" w:hAns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
      </w:pBdr>
      <w:tabs>
        <w:tab w:val="clear" w:pos="4153"/>
      </w:tabs>
      <w:ind w:left="0" w:leftChars="0" w:firstLine="0" w:firstLineChars="0"/>
      <w:jc w:val="center"/>
      <w:rPr>
        <w:rFonts w:hint="default" w:eastAsia="宋体"/>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41E4"/>
    <w:multiLevelType w:val="singleLevel"/>
    <w:tmpl w:val="AF4D41E4"/>
    <w:lvl w:ilvl="0" w:tentative="0">
      <w:start w:val="1"/>
      <w:numFmt w:val="chineseCounting"/>
      <w:suff w:val="nothing"/>
      <w:lvlText w:val="%1、"/>
      <w:lvlJc w:val="left"/>
      <w:rPr>
        <w:rFonts w:hint="eastAsia"/>
      </w:rPr>
    </w:lvl>
  </w:abstractNum>
  <w:abstractNum w:abstractNumId="1">
    <w:nsid w:val="E73E327E"/>
    <w:multiLevelType w:val="singleLevel"/>
    <w:tmpl w:val="E73E327E"/>
    <w:lvl w:ilvl="0" w:tentative="0">
      <w:start w:val="2"/>
      <w:numFmt w:val="chineseCounting"/>
      <w:suff w:val="nothing"/>
      <w:lvlText w:val="第%1部分、"/>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7300154"/>
    <w:multiLevelType w:val="singleLevel"/>
    <w:tmpl w:val="77300154"/>
    <w:lvl w:ilvl="0" w:tentative="0">
      <w:start w:val="2"/>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mirrorMargins w:val="1"/>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YjY3ZGEzODIzMWFmZjgwMjc1N2I0NWVhNjNlMDIifQ=="/>
    <w:docVar w:name="KSO_WPS_MARK_KEY" w:val="314a1bc4-583d-490b-b1cf-5dfc6b493e24"/>
  </w:docVars>
  <w:rsids>
    <w:rsidRoot w:val="00172A27"/>
    <w:rsid w:val="00000BDA"/>
    <w:rsid w:val="00002CD1"/>
    <w:rsid w:val="00005402"/>
    <w:rsid w:val="00005941"/>
    <w:rsid w:val="00041AD1"/>
    <w:rsid w:val="00050743"/>
    <w:rsid w:val="00060C6A"/>
    <w:rsid w:val="0007201D"/>
    <w:rsid w:val="00074FB2"/>
    <w:rsid w:val="000861CB"/>
    <w:rsid w:val="000A1970"/>
    <w:rsid w:val="000A7932"/>
    <w:rsid w:val="000A7D2E"/>
    <w:rsid w:val="000C03F2"/>
    <w:rsid w:val="000C6E28"/>
    <w:rsid w:val="000E7B1F"/>
    <w:rsid w:val="000F08FD"/>
    <w:rsid w:val="0010612A"/>
    <w:rsid w:val="00124BD9"/>
    <w:rsid w:val="00125131"/>
    <w:rsid w:val="00132B75"/>
    <w:rsid w:val="00134908"/>
    <w:rsid w:val="00160607"/>
    <w:rsid w:val="0018278B"/>
    <w:rsid w:val="0019212A"/>
    <w:rsid w:val="001A08C7"/>
    <w:rsid w:val="001A2911"/>
    <w:rsid w:val="001E6339"/>
    <w:rsid w:val="002001D9"/>
    <w:rsid w:val="002113E9"/>
    <w:rsid w:val="00230734"/>
    <w:rsid w:val="00246844"/>
    <w:rsid w:val="002601E6"/>
    <w:rsid w:val="0028098F"/>
    <w:rsid w:val="0028137B"/>
    <w:rsid w:val="00294527"/>
    <w:rsid w:val="002A20FC"/>
    <w:rsid w:val="002A246C"/>
    <w:rsid w:val="002A3F8D"/>
    <w:rsid w:val="002C1130"/>
    <w:rsid w:val="002D2BE7"/>
    <w:rsid w:val="002E3D95"/>
    <w:rsid w:val="002E433D"/>
    <w:rsid w:val="002E7E18"/>
    <w:rsid w:val="002F111D"/>
    <w:rsid w:val="00307653"/>
    <w:rsid w:val="00320926"/>
    <w:rsid w:val="00327E85"/>
    <w:rsid w:val="00331505"/>
    <w:rsid w:val="00331D34"/>
    <w:rsid w:val="00334112"/>
    <w:rsid w:val="0033589A"/>
    <w:rsid w:val="003423CC"/>
    <w:rsid w:val="00345B9C"/>
    <w:rsid w:val="0035116F"/>
    <w:rsid w:val="00361B45"/>
    <w:rsid w:val="00372347"/>
    <w:rsid w:val="0038723E"/>
    <w:rsid w:val="00387C8F"/>
    <w:rsid w:val="003A05F7"/>
    <w:rsid w:val="003A2314"/>
    <w:rsid w:val="003B2319"/>
    <w:rsid w:val="003D33A2"/>
    <w:rsid w:val="003F1738"/>
    <w:rsid w:val="0040047B"/>
    <w:rsid w:val="0043289F"/>
    <w:rsid w:val="004362EF"/>
    <w:rsid w:val="00451AE4"/>
    <w:rsid w:val="004544EC"/>
    <w:rsid w:val="00455D04"/>
    <w:rsid w:val="00466DC3"/>
    <w:rsid w:val="004860ED"/>
    <w:rsid w:val="004951F6"/>
    <w:rsid w:val="004A0673"/>
    <w:rsid w:val="004B4FCB"/>
    <w:rsid w:val="004F06D1"/>
    <w:rsid w:val="004F6FA9"/>
    <w:rsid w:val="00521053"/>
    <w:rsid w:val="00524B6E"/>
    <w:rsid w:val="00530FE9"/>
    <w:rsid w:val="00532C50"/>
    <w:rsid w:val="005577B6"/>
    <w:rsid w:val="00560718"/>
    <w:rsid w:val="005840EF"/>
    <w:rsid w:val="005A3C06"/>
    <w:rsid w:val="005A69AD"/>
    <w:rsid w:val="005B009E"/>
    <w:rsid w:val="005E456F"/>
    <w:rsid w:val="00602F3F"/>
    <w:rsid w:val="006061B9"/>
    <w:rsid w:val="00610AC5"/>
    <w:rsid w:val="006174F8"/>
    <w:rsid w:val="00627516"/>
    <w:rsid w:val="006617C5"/>
    <w:rsid w:val="00662F33"/>
    <w:rsid w:val="0067732F"/>
    <w:rsid w:val="006A06DE"/>
    <w:rsid w:val="006A1CB2"/>
    <w:rsid w:val="006C50AA"/>
    <w:rsid w:val="006C54AB"/>
    <w:rsid w:val="006E0A8C"/>
    <w:rsid w:val="006E2AED"/>
    <w:rsid w:val="006E4218"/>
    <w:rsid w:val="006E6865"/>
    <w:rsid w:val="00712198"/>
    <w:rsid w:val="00712B43"/>
    <w:rsid w:val="00717707"/>
    <w:rsid w:val="00720F21"/>
    <w:rsid w:val="007236A0"/>
    <w:rsid w:val="00724B84"/>
    <w:rsid w:val="00737E15"/>
    <w:rsid w:val="007401D7"/>
    <w:rsid w:val="00740D02"/>
    <w:rsid w:val="00740DCB"/>
    <w:rsid w:val="00757B3F"/>
    <w:rsid w:val="00785329"/>
    <w:rsid w:val="007A4E72"/>
    <w:rsid w:val="007B79E8"/>
    <w:rsid w:val="007D13A0"/>
    <w:rsid w:val="007E16D8"/>
    <w:rsid w:val="007E60B7"/>
    <w:rsid w:val="007F095D"/>
    <w:rsid w:val="00803ED0"/>
    <w:rsid w:val="0081040F"/>
    <w:rsid w:val="00820218"/>
    <w:rsid w:val="00830209"/>
    <w:rsid w:val="00841FF9"/>
    <w:rsid w:val="0085027D"/>
    <w:rsid w:val="008570B9"/>
    <w:rsid w:val="00884235"/>
    <w:rsid w:val="008876E9"/>
    <w:rsid w:val="00887BC2"/>
    <w:rsid w:val="008960F8"/>
    <w:rsid w:val="008967D6"/>
    <w:rsid w:val="008A0690"/>
    <w:rsid w:val="008A618E"/>
    <w:rsid w:val="008A65CB"/>
    <w:rsid w:val="008B3CAD"/>
    <w:rsid w:val="008C4F70"/>
    <w:rsid w:val="008D34F5"/>
    <w:rsid w:val="008D3BEE"/>
    <w:rsid w:val="008F5DB4"/>
    <w:rsid w:val="00901FC6"/>
    <w:rsid w:val="009117AB"/>
    <w:rsid w:val="00934DBB"/>
    <w:rsid w:val="00942892"/>
    <w:rsid w:val="0095226B"/>
    <w:rsid w:val="00955EB6"/>
    <w:rsid w:val="009579D5"/>
    <w:rsid w:val="00971089"/>
    <w:rsid w:val="009837BE"/>
    <w:rsid w:val="00990A3C"/>
    <w:rsid w:val="0099397D"/>
    <w:rsid w:val="00996E4B"/>
    <w:rsid w:val="009A0920"/>
    <w:rsid w:val="009A26E0"/>
    <w:rsid w:val="009B39C2"/>
    <w:rsid w:val="009B6A54"/>
    <w:rsid w:val="009E3B5D"/>
    <w:rsid w:val="009E4E26"/>
    <w:rsid w:val="009F7EC1"/>
    <w:rsid w:val="00A07571"/>
    <w:rsid w:val="00A10558"/>
    <w:rsid w:val="00A11A32"/>
    <w:rsid w:val="00A305F7"/>
    <w:rsid w:val="00A323B6"/>
    <w:rsid w:val="00A33C90"/>
    <w:rsid w:val="00A36836"/>
    <w:rsid w:val="00A42CB1"/>
    <w:rsid w:val="00A50A7C"/>
    <w:rsid w:val="00A51653"/>
    <w:rsid w:val="00AB7CB8"/>
    <w:rsid w:val="00AC0F23"/>
    <w:rsid w:val="00AC483C"/>
    <w:rsid w:val="00AD3BA4"/>
    <w:rsid w:val="00AE3A1C"/>
    <w:rsid w:val="00AF08C0"/>
    <w:rsid w:val="00AF1562"/>
    <w:rsid w:val="00AF72D5"/>
    <w:rsid w:val="00B174FD"/>
    <w:rsid w:val="00B54299"/>
    <w:rsid w:val="00B62E1E"/>
    <w:rsid w:val="00B63A3B"/>
    <w:rsid w:val="00B64495"/>
    <w:rsid w:val="00B6561D"/>
    <w:rsid w:val="00B71BDB"/>
    <w:rsid w:val="00B7651D"/>
    <w:rsid w:val="00BA1937"/>
    <w:rsid w:val="00BA74AA"/>
    <w:rsid w:val="00BA77C7"/>
    <w:rsid w:val="00C0350C"/>
    <w:rsid w:val="00C05FA6"/>
    <w:rsid w:val="00C07976"/>
    <w:rsid w:val="00C14AB4"/>
    <w:rsid w:val="00C369DD"/>
    <w:rsid w:val="00C85278"/>
    <w:rsid w:val="00C937B8"/>
    <w:rsid w:val="00CB2895"/>
    <w:rsid w:val="00CC7C85"/>
    <w:rsid w:val="00CD635D"/>
    <w:rsid w:val="00CE24C5"/>
    <w:rsid w:val="00CF2A8B"/>
    <w:rsid w:val="00CF7756"/>
    <w:rsid w:val="00D019D8"/>
    <w:rsid w:val="00D0574D"/>
    <w:rsid w:val="00D075E6"/>
    <w:rsid w:val="00D248AE"/>
    <w:rsid w:val="00D3073F"/>
    <w:rsid w:val="00D31784"/>
    <w:rsid w:val="00D32E59"/>
    <w:rsid w:val="00D451AA"/>
    <w:rsid w:val="00D57459"/>
    <w:rsid w:val="00D62DAF"/>
    <w:rsid w:val="00D7391C"/>
    <w:rsid w:val="00DA1429"/>
    <w:rsid w:val="00DB10A3"/>
    <w:rsid w:val="00DB2CB0"/>
    <w:rsid w:val="00DD0536"/>
    <w:rsid w:val="00DE67B1"/>
    <w:rsid w:val="00DF7EE4"/>
    <w:rsid w:val="00E01684"/>
    <w:rsid w:val="00E21993"/>
    <w:rsid w:val="00E26FF9"/>
    <w:rsid w:val="00E6284A"/>
    <w:rsid w:val="00E90D12"/>
    <w:rsid w:val="00EA0587"/>
    <w:rsid w:val="00EB09E8"/>
    <w:rsid w:val="00EB25F1"/>
    <w:rsid w:val="00EC1D26"/>
    <w:rsid w:val="00ED36CB"/>
    <w:rsid w:val="00EE410B"/>
    <w:rsid w:val="00EE56BE"/>
    <w:rsid w:val="00EF7650"/>
    <w:rsid w:val="00F00476"/>
    <w:rsid w:val="00F02276"/>
    <w:rsid w:val="00F11F53"/>
    <w:rsid w:val="00F12BCC"/>
    <w:rsid w:val="00F33728"/>
    <w:rsid w:val="00F466B1"/>
    <w:rsid w:val="00F52208"/>
    <w:rsid w:val="00F62B23"/>
    <w:rsid w:val="00F63043"/>
    <w:rsid w:val="00F63BC1"/>
    <w:rsid w:val="00F76FBC"/>
    <w:rsid w:val="00F86929"/>
    <w:rsid w:val="00F91871"/>
    <w:rsid w:val="00FA0450"/>
    <w:rsid w:val="00FA1D35"/>
    <w:rsid w:val="00FD3859"/>
    <w:rsid w:val="00FD7BC3"/>
    <w:rsid w:val="010C1511"/>
    <w:rsid w:val="014619CB"/>
    <w:rsid w:val="014F57A9"/>
    <w:rsid w:val="01605517"/>
    <w:rsid w:val="01617EC6"/>
    <w:rsid w:val="01797F8F"/>
    <w:rsid w:val="017E0477"/>
    <w:rsid w:val="01814321"/>
    <w:rsid w:val="01BA6406"/>
    <w:rsid w:val="01CE7CDB"/>
    <w:rsid w:val="01D75FD3"/>
    <w:rsid w:val="0202001C"/>
    <w:rsid w:val="02260AA1"/>
    <w:rsid w:val="02301B99"/>
    <w:rsid w:val="0284375E"/>
    <w:rsid w:val="02A14633"/>
    <w:rsid w:val="02A97BE9"/>
    <w:rsid w:val="02C9166D"/>
    <w:rsid w:val="02CD5A6F"/>
    <w:rsid w:val="02CE3A19"/>
    <w:rsid w:val="02CF29B1"/>
    <w:rsid w:val="02D50DC8"/>
    <w:rsid w:val="02F82AEF"/>
    <w:rsid w:val="032A6F1F"/>
    <w:rsid w:val="032C18EA"/>
    <w:rsid w:val="03462792"/>
    <w:rsid w:val="03490487"/>
    <w:rsid w:val="038A1BB2"/>
    <w:rsid w:val="038A3960"/>
    <w:rsid w:val="038D0666"/>
    <w:rsid w:val="03BE04A3"/>
    <w:rsid w:val="03C86237"/>
    <w:rsid w:val="03CE6B59"/>
    <w:rsid w:val="03DA068D"/>
    <w:rsid w:val="03E53E41"/>
    <w:rsid w:val="040B069A"/>
    <w:rsid w:val="041C3EAA"/>
    <w:rsid w:val="041F585D"/>
    <w:rsid w:val="0435689D"/>
    <w:rsid w:val="044F7FA7"/>
    <w:rsid w:val="046917C8"/>
    <w:rsid w:val="04A63D5B"/>
    <w:rsid w:val="04AA2EB9"/>
    <w:rsid w:val="04B76A0F"/>
    <w:rsid w:val="04CB54AC"/>
    <w:rsid w:val="04F82B4C"/>
    <w:rsid w:val="05012C80"/>
    <w:rsid w:val="05107B33"/>
    <w:rsid w:val="052714BD"/>
    <w:rsid w:val="057102F4"/>
    <w:rsid w:val="058401C5"/>
    <w:rsid w:val="05A94A52"/>
    <w:rsid w:val="05B747B5"/>
    <w:rsid w:val="05C05ECA"/>
    <w:rsid w:val="05C446C1"/>
    <w:rsid w:val="05C462DF"/>
    <w:rsid w:val="05D43F64"/>
    <w:rsid w:val="05DA5172"/>
    <w:rsid w:val="05DF2EB7"/>
    <w:rsid w:val="063F1D3B"/>
    <w:rsid w:val="06417385"/>
    <w:rsid w:val="065240A5"/>
    <w:rsid w:val="06816AD0"/>
    <w:rsid w:val="069F5975"/>
    <w:rsid w:val="06AC5FC8"/>
    <w:rsid w:val="06EC37ED"/>
    <w:rsid w:val="06F25426"/>
    <w:rsid w:val="070206B7"/>
    <w:rsid w:val="07177C01"/>
    <w:rsid w:val="074A5052"/>
    <w:rsid w:val="075229E7"/>
    <w:rsid w:val="07545BA3"/>
    <w:rsid w:val="075514AC"/>
    <w:rsid w:val="07846E6E"/>
    <w:rsid w:val="07942A0A"/>
    <w:rsid w:val="079D2727"/>
    <w:rsid w:val="07B36BAA"/>
    <w:rsid w:val="07CE30A5"/>
    <w:rsid w:val="07E9569A"/>
    <w:rsid w:val="08181E19"/>
    <w:rsid w:val="08461A0E"/>
    <w:rsid w:val="08876261"/>
    <w:rsid w:val="088E69BA"/>
    <w:rsid w:val="08AD37BE"/>
    <w:rsid w:val="08B000F1"/>
    <w:rsid w:val="08C16076"/>
    <w:rsid w:val="08E75CAB"/>
    <w:rsid w:val="08F301FA"/>
    <w:rsid w:val="08F859A2"/>
    <w:rsid w:val="091A6ECE"/>
    <w:rsid w:val="09241359"/>
    <w:rsid w:val="09255874"/>
    <w:rsid w:val="092A51B9"/>
    <w:rsid w:val="09546E5A"/>
    <w:rsid w:val="095B65B9"/>
    <w:rsid w:val="09644C54"/>
    <w:rsid w:val="09861926"/>
    <w:rsid w:val="099E6C43"/>
    <w:rsid w:val="09C621B3"/>
    <w:rsid w:val="09CF2487"/>
    <w:rsid w:val="0A256191"/>
    <w:rsid w:val="0A2E299B"/>
    <w:rsid w:val="0A410123"/>
    <w:rsid w:val="0A4F76B2"/>
    <w:rsid w:val="0A690BF1"/>
    <w:rsid w:val="0A7662D4"/>
    <w:rsid w:val="0A9F7A40"/>
    <w:rsid w:val="0AF64791"/>
    <w:rsid w:val="0AF72DEA"/>
    <w:rsid w:val="0AFF3DB4"/>
    <w:rsid w:val="0B1E56CA"/>
    <w:rsid w:val="0B37537A"/>
    <w:rsid w:val="0B7F7B23"/>
    <w:rsid w:val="0BBE3729"/>
    <w:rsid w:val="0BDD3577"/>
    <w:rsid w:val="0BDF154A"/>
    <w:rsid w:val="0C1D04B6"/>
    <w:rsid w:val="0C344DB1"/>
    <w:rsid w:val="0C784998"/>
    <w:rsid w:val="0CC31FBD"/>
    <w:rsid w:val="0CC954FA"/>
    <w:rsid w:val="0D002EE5"/>
    <w:rsid w:val="0D2A397D"/>
    <w:rsid w:val="0D3635FF"/>
    <w:rsid w:val="0D3E52E2"/>
    <w:rsid w:val="0D5D10AC"/>
    <w:rsid w:val="0D7F02AE"/>
    <w:rsid w:val="0D8976BC"/>
    <w:rsid w:val="0DA51EB4"/>
    <w:rsid w:val="0DA970D9"/>
    <w:rsid w:val="0DAF65AC"/>
    <w:rsid w:val="0DB7090B"/>
    <w:rsid w:val="0DC91AF2"/>
    <w:rsid w:val="0DCD26CE"/>
    <w:rsid w:val="0DCE1378"/>
    <w:rsid w:val="0DD979BE"/>
    <w:rsid w:val="0DEF5EB5"/>
    <w:rsid w:val="0E06452B"/>
    <w:rsid w:val="0E524C63"/>
    <w:rsid w:val="0E526D1E"/>
    <w:rsid w:val="0E652AC5"/>
    <w:rsid w:val="0E82022A"/>
    <w:rsid w:val="0EB214D9"/>
    <w:rsid w:val="0ED30B62"/>
    <w:rsid w:val="0F216D58"/>
    <w:rsid w:val="0F3B4094"/>
    <w:rsid w:val="0F5948A1"/>
    <w:rsid w:val="0FED59A3"/>
    <w:rsid w:val="1008458B"/>
    <w:rsid w:val="10190546"/>
    <w:rsid w:val="101A606C"/>
    <w:rsid w:val="10283402"/>
    <w:rsid w:val="103958FB"/>
    <w:rsid w:val="104C7C15"/>
    <w:rsid w:val="10713773"/>
    <w:rsid w:val="10E86C02"/>
    <w:rsid w:val="10EA4C46"/>
    <w:rsid w:val="10ED39E0"/>
    <w:rsid w:val="10F51815"/>
    <w:rsid w:val="11021A7C"/>
    <w:rsid w:val="110977C3"/>
    <w:rsid w:val="11116F88"/>
    <w:rsid w:val="1112327D"/>
    <w:rsid w:val="111B209C"/>
    <w:rsid w:val="114535BD"/>
    <w:rsid w:val="11641C95"/>
    <w:rsid w:val="118332D7"/>
    <w:rsid w:val="11BD13A5"/>
    <w:rsid w:val="11E861A6"/>
    <w:rsid w:val="11F83520"/>
    <w:rsid w:val="121C60CC"/>
    <w:rsid w:val="122144B3"/>
    <w:rsid w:val="122B712F"/>
    <w:rsid w:val="12302D61"/>
    <w:rsid w:val="12487C82"/>
    <w:rsid w:val="126B224A"/>
    <w:rsid w:val="126F6B6A"/>
    <w:rsid w:val="12747FB2"/>
    <w:rsid w:val="127D0124"/>
    <w:rsid w:val="127E0B34"/>
    <w:rsid w:val="128D0276"/>
    <w:rsid w:val="12B04C8F"/>
    <w:rsid w:val="12DF3E00"/>
    <w:rsid w:val="13103EF7"/>
    <w:rsid w:val="13171183"/>
    <w:rsid w:val="132C019B"/>
    <w:rsid w:val="132C233E"/>
    <w:rsid w:val="13386F35"/>
    <w:rsid w:val="134066B9"/>
    <w:rsid w:val="137A0018"/>
    <w:rsid w:val="137D0DEC"/>
    <w:rsid w:val="13943FC4"/>
    <w:rsid w:val="13BB5261"/>
    <w:rsid w:val="13DA7FEC"/>
    <w:rsid w:val="13EA05A8"/>
    <w:rsid w:val="13F11BD6"/>
    <w:rsid w:val="14100460"/>
    <w:rsid w:val="143112D2"/>
    <w:rsid w:val="14326EE2"/>
    <w:rsid w:val="1448631D"/>
    <w:rsid w:val="145B4B9E"/>
    <w:rsid w:val="14633C50"/>
    <w:rsid w:val="14687BCE"/>
    <w:rsid w:val="14733D41"/>
    <w:rsid w:val="14AC1563"/>
    <w:rsid w:val="14B57FEC"/>
    <w:rsid w:val="14D20BD1"/>
    <w:rsid w:val="14FF4901"/>
    <w:rsid w:val="15125E28"/>
    <w:rsid w:val="154A40A8"/>
    <w:rsid w:val="155C4236"/>
    <w:rsid w:val="156B5551"/>
    <w:rsid w:val="157B135B"/>
    <w:rsid w:val="15F343A2"/>
    <w:rsid w:val="15F71B1B"/>
    <w:rsid w:val="15FA2BC8"/>
    <w:rsid w:val="1616238A"/>
    <w:rsid w:val="16166E00"/>
    <w:rsid w:val="1617643A"/>
    <w:rsid w:val="16435107"/>
    <w:rsid w:val="165C0F52"/>
    <w:rsid w:val="16650559"/>
    <w:rsid w:val="16B94831"/>
    <w:rsid w:val="16D42C63"/>
    <w:rsid w:val="16E61BB5"/>
    <w:rsid w:val="16EB2510"/>
    <w:rsid w:val="16EF5BB7"/>
    <w:rsid w:val="16F80247"/>
    <w:rsid w:val="172579DE"/>
    <w:rsid w:val="172D39A9"/>
    <w:rsid w:val="17320D57"/>
    <w:rsid w:val="17341D79"/>
    <w:rsid w:val="173704A2"/>
    <w:rsid w:val="17586147"/>
    <w:rsid w:val="177D585E"/>
    <w:rsid w:val="17901809"/>
    <w:rsid w:val="17966F17"/>
    <w:rsid w:val="17B62B1E"/>
    <w:rsid w:val="17C22223"/>
    <w:rsid w:val="180F3F2C"/>
    <w:rsid w:val="18142B44"/>
    <w:rsid w:val="18307632"/>
    <w:rsid w:val="1835402A"/>
    <w:rsid w:val="183838D1"/>
    <w:rsid w:val="184316F9"/>
    <w:rsid w:val="18470786"/>
    <w:rsid w:val="185A01E2"/>
    <w:rsid w:val="1877562E"/>
    <w:rsid w:val="18820C52"/>
    <w:rsid w:val="18C80D5B"/>
    <w:rsid w:val="18F05177"/>
    <w:rsid w:val="1903789F"/>
    <w:rsid w:val="191E6BCD"/>
    <w:rsid w:val="193C094E"/>
    <w:rsid w:val="19591D0C"/>
    <w:rsid w:val="198F12B9"/>
    <w:rsid w:val="199045AE"/>
    <w:rsid w:val="19974381"/>
    <w:rsid w:val="19AD151C"/>
    <w:rsid w:val="19C403E2"/>
    <w:rsid w:val="19D345FA"/>
    <w:rsid w:val="19D55C86"/>
    <w:rsid w:val="19DE635C"/>
    <w:rsid w:val="1A081978"/>
    <w:rsid w:val="1A127D0D"/>
    <w:rsid w:val="1A291608"/>
    <w:rsid w:val="1A367F46"/>
    <w:rsid w:val="1A575204"/>
    <w:rsid w:val="1AA11B06"/>
    <w:rsid w:val="1AC53A17"/>
    <w:rsid w:val="1AC94716"/>
    <w:rsid w:val="1ACA0E1F"/>
    <w:rsid w:val="1AEC19EB"/>
    <w:rsid w:val="1B0E4A1F"/>
    <w:rsid w:val="1B0F4269"/>
    <w:rsid w:val="1B373115"/>
    <w:rsid w:val="1B523329"/>
    <w:rsid w:val="1B701236"/>
    <w:rsid w:val="1B766FB8"/>
    <w:rsid w:val="1B7A2DDF"/>
    <w:rsid w:val="1B9428DD"/>
    <w:rsid w:val="1B983786"/>
    <w:rsid w:val="1BB306CD"/>
    <w:rsid w:val="1BB40010"/>
    <w:rsid w:val="1BB5521A"/>
    <w:rsid w:val="1BE12A66"/>
    <w:rsid w:val="1BE65DEF"/>
    <w:rsid w:val="1C09595D"/>
    <w:rsid w:val="1C1A24F6"/>
    <w:rsid w:val="1C310F17"/>
    <w:rsid w:val="1C32204E"/>
    <w:rsid w:val="1C41749B"/>
    <w:rsid w:val="1C4345D0"/>
    <w:rsid w:val="1C4F1DA3"/>
    <w:rsid w:val="1C62609F"/>
    <w:rsid w:val="1C7B4FB1"/>
    <w:rsid w:val="1CAF64B4"/>
    <w:rsid w:val="1CDB00AF"/>
    <w:rsid w:val="1CF856B4"/>
    <w:rsid w:val="1D0B27B6"/>
    <w:rsid w:val="1D127FAE"/>
    <w:rsid w:val="1D5E22DD"/>
    <w:rsid w:val="1D5E6247"/>
    <w:rsid w:val="1D873E63"/>
    <w:rsid w:val="1DB2181A"/>
    <w:rsid w:val="1DC52889"/>
    <w:rsid w:val="1DD91315"/>
    <w:rsid w:val="1DE53CB5"/>
    <w:rsid w:val="1E186A8B"/>
    <w:rsid w:val="1E211BF0"/>
    <w:rsid w:val="1E296894"/>
    <w:rsid w:val="1E4160E0"/>
    <w:rsid w:val="1E4946EC"/>
    <w:rsid w:val="1E8E1153"/>
    <w:rsid w:val="1E9113D7"/>
    <w:rsid w:val="1EA25BAA"/>
    <w:rsid w:val="1EAD3892"/>
    <w:rsid w:val="1EDA1FF3"/>
    <w:rsid w:val="1F0625BA"/>
    <w:rsid w:val="1F065D9E"/>
    <w:rsid w:val="1F2A318B"/>
    <w:rsid w:val="1F51312D"/>
    <w:rsid w:val="1F5570C1"/>
    <w:rsid w:val="1F7D2DEF"/>
    <w:rsid w:val="1F86727A"/>
    <w:rsid w:val="1F8E612F"/>
    <w:rsid w:val="1FC63826"/>
    <w:rsid w:val="1FDF6D29"/>
    <w:rsid w:val="1FF329D5"/>
    <w:rsid w:val="1FF47729"/>
    <w:rsid w:val="1FFE4899"/>
    <w:rsid w:val="20210D51"/>
    <w:rsid w:val="20372DA2"/>
    <w:rsid w:val="204B6E41"/>
    <w:rsid w:val="20673977"/>
    <w:rsid w:val="2075292D"/>
    <w:rsid w:val="207574C7"/>
    <w:rsid w:val="20AD0837"/>
    <w:rsid w:val="20AF3447"/>
    <w:rsid w:val="20BB33A7"/>
    <w:rsid w:val="20F40E9A"/>
    <w:rsid w:val="21002854"/>
    <w:rsid w:val="210C161E"/>
    <w:rsid w:val="212C5BFF"/>
    <w:rsid w:val="21352002"/>
    <w:rsid w:val="213571AA"/>
    <w:rsid w:val="213916B0"/>
    <w:rsid w:val="213A7EBB"/>
    <w:rsid w:val="21470C8B"/>
    <w:rsid w:val="21674E89"/>
    <w:rsid w:val="2169571E"/>
    <w:rsid w:val="216C4E21"/>
    <w:rsid w:val="218E547E"/>
    <w:rsid w:val="21A44904"/>
    <w:rsid w:val="21F91F85"/>
    <w:rsid w:val="22322BC7"/>
    <w:rsid w:val="223C00C4"/>
    <w:rsid w:val="2240464B"/>
    <w:rsid w:val="22B616AD"/>
    <w:rsid w:val="22B76F01"/>
    <w:rsid w:val="22B91715"/>
    <w:rsid w:val="22BC31BB"/>
    <w:rsid w:val="22DD3E77"/>
    <w:rsid w:val="22ED0BEB"/>
    <w:rsid w:val="235715D1"/>
    <w:rsid w:val="237F64BA"/>
    <w:rsid w:val="23A01028"/>
    <w:rsid w:val="23AF50A6"/>
    <w:rsid w:val="23C17137"/>
    <w:rsid w:val="24053ACF"/>
    <w:rsid w:val="24184152"/>
    <w:rsid w:val="242F5B1A"/>
    <w:rsid w:val="24904464"/>
    <w:rsid w:val="249E6E14"/>
    <w:rsid w:val="24A83EAE"/>
    <w:rsid w:val="24AE0DC0"/>
    <w:rsid w:val="24BB0485"/>
    <w:rsid w:val="24BE4D5C"/>
    <w:rsid w:val="24CF06C7"/>
    <w:rsid w:val="24F05AB0"/>
    <w:rsid w:val="25147436"/>
    <w:rsid w:val="25240784"/>
    <w:rsid w:val="253269B6"/>
    <w:rsid w:val="253D0C2E"/>
    <w:rsid w:val="254B2E8E"/>
    <w:rsid w:val="254C749A"/>
    <w:rsid w:val="25692A8C"/>
    <w:rsid w:val="2580476C"/>
    <w:rsid w:val="25993EFA"/>
    <w:rsid w:val="259D531E"/>
    <w:rsid w:val="25B461BB"/>
    <w:rsid w:val="25B577CB"/>
    <w:rsid w:val="25C1713F"/>
    <w:rsid w:val="25D61D38"/>
    <w:rsid w:val="26085B5B"/>
    <w:rsid w:val="262D0A99"/>
    <w:rsid w:val="26453A33"/>
    <w:rsid w:val="26793695"/>
    <w:rsid w:val="267B0F30"/>
    <w:rsid w:val="26895FE2"/>
    <w:rsid w:val="26964247"/>
    <w:rsid w:val="26A70A5F"/>
    <w:rsid w:val="26BA7ACA"/>
    <w:rsid w:val="26BD004B"/>
    <w:rsid w:val="26DD1E76"/>
    <w:rsid w:val="26FB7898"/>
    <w:rsid w:val="27264AD6"/>
    <w:rsid w:val="273677D8"/>
    <w:rsid w:val="27421CD9"/>
    <w:rsid w:val="276119F8"/>
    <w:rsid w:val="276975B2"/>
    <w:rsid w:val="276D142B"/>
    <w:rsid w:val="276E04CD"/>
    <w:rsid w:val="27745528"/>
    <w:rsid w:val="27B81A94"/>
    <w:rsid w:val="27D24773"/>
    <w:rsid w:val="27E13DAB"/>
    <w:rsid w:val="283E0826"/>
    <w:rsid w:val="283F26BC"/>
    <w:rsid w:val="285F3130"/>
    <w:rsid w:val="287656A9"/>
    <w:rsid w:val="28856DEA"/>
    <w:rsid w:val="28935C31"/>
    <w:rsid w:val="28AC2F9C"/>
    <w:rsid w:val="28AF1916"/>
    <w:rsid w:val="28C36276"/>
    <w:rsid w:val="28D32D10"/>
    <w:rsid w:val="28D77066"/>
    <w:rsid w:val="28DE3491"/>
    <w:rsid w:val="28FD5667"/>
    <w:rsid w:val="29065BB3"/>
    <w:rsid w:val="29520A3C"/>
    <w:rsid w:val="29581063"/>
    <w:rsid w:val="29AA122F"/>
    <w:rsid w:val="29BD5A15"/>
    <w:rsid w:val="29F26020"/>
    <w:rsid w:val="2A0C2A49"/>
    <w:rsid w:val="2A1A022B"/>
    <w:rsid w:val="2A5F0CB9"/>
    <w:rsid w:val="2A5F287C"/>
    <w:rsid w:val="2A685EFA"/>
    <w:rsid w:val="2A887CF2"/>
    <w:rsid w:val="2A895779"/>
    <w:rsid w:val="2A913313"/>
    <w:rsid w:val="2A954815"/>
    <w:rsid w:val="2ABE6DF4"/>
    <w:rsid w:val="2AFA66B8"/>
    <w:rsid w:val="2B1471CE"/>
    <w:rsid w:val="2B1933A5"/>
    <w:rsid w:val="2B4C0A3A"/>
    <w:rsid w:val="2B4D52AF"/>
    <w:rsid w:val="2B4F3741"/>
    <w:rsid w:val="2B7D7783"/>
    <w:rsid w:val="2B7E6E47"/>
    <w:rsid w:val="2B8B4429"/>
    <w:rsid w:val="2BA67961"/>
    <w:rsid w:val="2BAC0FC3"/>
    <w:rsid w:val="2BDF1DD6"/>
    <w:rsid w:val="2BE47802"/>
    <w:rsid w:val="2C2C1A2B"/>
    <w:rsid w:val="2C4C13AD"/>
    <w:rsid w:val="2C5C2C5E"/>
    <w:rsid w:val="2C78744F"/>
    <w:rsid w:val="2C8D2CC3"/>
    <w:rsid w:val="2C9961AA"/>
    <w:rsid w:val="2CCB206F"/>
    <w:rsid w:val="2CD16A6A"/>
    <w:rsid w:val="2CD4025C"/>
    <w:rsid w:val="2CD45AC9"/>
    <w:rsid w:val="2CE33AFF"/>
    <w:rsid w:val="2CE64D88"/>
    <w:rsid w:val="2CFB5B08"/>
    <w:rsid w:val="2D52184C"/>
    <w:rsid w:val="2D8800E4"/>
    <w:rsid w:val="2D880AB0"/>
    <w:rsid w:val="2D9D3B38"/>
    <w:rsid w:val="2DBB4D93"/>
    <w:rsid w:val="2DBD4E3A"/>
    <w:rsid w:val="2DC35F52"/>
    <w:rsid w:val="2DCB177F"/>
    <w:rsid w:val="2DCE060F"/>
    <w:rsid w:val="2DD2692A"/>
    <w:rsid w:val="2DE955A4"/>
    <w:rsid w:val="2DF6387A"/>
    <w:rsid w:val="2E0A65FD"/>
    <w:rsid w:val="2E3D144C"/>
    <w:rsid w:val="2E552A66"/>
    <w:rsid w:val="2E5A1FFE"/>
    <w:rsid w:val="2E842D85"/>
    <w:rsid w:val="2EAC6B47"/>
    <w:rsid w:val="2EDB721C"/>
    <w:rsid w:val="2EDE1785"/>
    <w:rsid w:val="2EE70873"/>
    <w:rsid w:val="2F092ADC"/>
    <w:rsid w:val="2F195277"/>
    <w:rsid w:val="2F1C3757"/>
    <w:rsid w:val="2F2410C6"/>
    <w:rsid w:val="2F302FA6"/>
    <w:rsid w:val="2F3258B6"/>
    <w:rsid w:val="2F4B7B98"/>
    <w:rsid w:val="2F590507"/>
    <w:rsid w:val="2F670849"/>
    <w:rsid w:val="2F6D332C"/>
    <w:rsid w:val="2FE41B89"/>
    <w:rsid w:val="2FF034A9"/>
    <w:rsid w:val="2FFE4C5E"/>
    <w:rsid w:val="300246FB"/>
    <w:rsid w:val="30177BBE"/>
    <w:rsid w:val="3028087F"/>
    <w:rsid w:val="30366C6D"/>
    <w:rsid w:val="30495890"/>
    <w:rsid w:val="304D3ACD"/>
    <w:rsid w:val="308B2FF5"/>
    <w:rsid w:val="30CB6AC3"/>
    <w:rsid w:val="30D76C74"/>
    <w:rsid w:val="30DF4A3C"/>
    <w:rsid w:val="30F960DF"/>
    <w:rsid w:val="31175F84"/>
    <w:rsid w:val="311A5C23"/>
    <w:rsid w:val="311B2CAC"/>
    <w:rsid w:val="313501AC"/>
    <w:rsid w:val="314E6F3A"/>
    <w:rsid w:val="31871181"/>
    <w:rsid w:val="31880508"/>
    <w:rsid w:val="318D5235"/>
    <w:rsid w:val="319D4C6E"/>
    <w:rsid w:val="31A15090"/>
    <w:rsid w:val="31AA329C"/>
    <w:rsid w:val="31E22599"/>
    <w:rsid w:val="322E7A29"/>
    <w:rsid w:val="32A42095"/>
    <w:rsid w:val="32C9777E"/>
    <w:rsid w:val="32CF1EC0"/>
    <w:rsid w:val="32E11F1C"/>
    <w:rsid w:val="32E41FF1"/>
    <w:rsid w:val="331A1B21"/>
    <w:rsid w:val="33251397"/>
    <w:rsid w:val="333C43BC"/>
    <w:rsid w:val="33412663"/>
    <w:rsid w:val="33705E1F"/>
    <w:rsid w:val="33A23C92"/>
    <w:rsid w:val="33AF0BEC"/>
    <w:rsid w:val="33C75C31"/>
    <w:rsid w:val="33F474BA"/>
    <w:rsid w:val="3440651E"/>
    <w:rsid w:val="34504586"/>
    <w:rsid w:val="3461586D"/>
    <w:rsid w:val="348222AE"/>
    <w:rsid w:val="348D3030"/>
    <w:rsid w:val="34BB756E"/>
    <w:rsid w:val="34BC163A"/>
    <w:rsid w:val="34E44001"/>
    <w:rsid w:val="35315576"/>
    <w:rsid w:val="353667BB"/>
    <w:rsid w:val="353C420B"/>
    <w:rsid w:val="35493093"/>
    <w:rsid w:val="35543844"/>
    <w:rsid w:val="35690D78"/>
    <w:rsid w:val="358E0106"/>
    <w:rsid w:val="35CF46CC"/>
    <w:rsid w:val="35E1140C"/>
    <w:rsid w:val="35E816ED"/>
    <w:rsid w:val="35F72828"/>
    <w:rsid w:val="36004001"/>
    <w:rsid w:val="36054F45"/>
    <w:rsid w:val="361013B4"/>
    <w:rsid w:val="363661D5"/>
    <w:rsid w:val="365E4655"/>
    <w:rsid w:val="36855E10"/>
    <w:rsid w:val="36987B67"/>
    <w:rsid w:val="36AD48B5"/>
    <w:rsid w:val="36B10C29"/>
    <w:rsid w:val="36B50719"/>
    <w:rsid w:val="36B92101"/>
    <w:rsid w:val="36C624AE"/>
    <w:rsid w:val="36FD0F01"/>
    <w:rsid w:val="36FD1924"/>
    <w:rsid w:val="36FF3742"/>
    <w:rsid w:val="3712124C"/>
    <w:rsid w:val="37312F46"/>
    <w:rsid w:val="373D1B65"/>
    <w:rsid w:val="37460D68"/>
    <w:rsid w:val="374E20B4"/>
    <w:rsid w:val="37787C6C"/>
    <w:rsid w:val="377B7D8F"/>
    <w:rsid w:val="378A79BC"/>
    <w:rsid w:val="37B10638"/>
    <w:rsid w:val="380B5449"/>
    <w:rsid w:val="380F5C07"/>
    <w:rsid w:val="381909D7"/>
    <w:rsid w:val="381D06EE"/>
    <w:rsid w:val="385505E5"/>
    <w:rsid w:val="38576B25"/>
    <w:rsid w:val="3865122D"/>
    <w:rsid w:val="38913B26"/>
    <w:rsid w:val="38947DA8"/>
    <w:rsid w:val="38A51606"/>
    <w:rsid w:val="38AC025A"/>
    <w:rsid w:val="38D96215"/>
    <w:rsid w:val="38DD5D05"/>
    <w:rsid w:val="38F13A6D"/>
    <w:rsid w:val="38F80D91"/>
    <w:rsid w:val="391A4397"/>
    <w:rsid w:val="3923323B"/>
    <w:rsid w:val="392A318C"/>
    <w:rsid w:val="39454843"/>
    <w:rsid w:val="39736669"/>
    <w:rsid w:val="39897C3B"/>
    <w:rsid w:val="39924D42"/>
    <w:rsid w:val="39A8054D"/>
    <w:rsid w:val="39A95845"/>
    <w:rsid w:val="39BB5C70"/>
    <w:rsid w:val="39C26CA4"/>
    <w:rsid w:val="39C80763"/>
    <w:rsid w:val="39CA16D6"/>
    <w:rsid w:val="39E44E71"/>
    <w:rsid w:val="3A276927"/>
    <w:rsid w:val="3A296D28"/>
    <w:rsid w:val="3A341025"/>
    <w:rsid w:val="3A3C3348"/>
    <w:rsid w:val="3A4C4AAD"/>
    <w:rsid w:val="3A4F49E1"/>
    <w:rsid w:val="3A4F67A6"/>
    <w:rsid w:val="3A6342D0"/>
    <w:rsid w:val="3A696247"/>
    <w:rsid w:val="3AA43A2C"/>
    <w:rsid w:val="3ABD64EA"/>
    <w:rsid w:val="3AC777D8"/>
    <w:rsid w:val="3AD23D56"/>
    <w:rsid w:val="3B0E6E8B"/>
    <w:rsid w:val="3B294D7C"/>
    <w:rsid w:val="3B2A0FAA"/>
    <w:rsid w:val="3B3E2069"/>
    <w:rsid w:val="3B4F7C09"/>
    <w:rsid w:val="3B51341F"/>
    <w:rsid w:val="3B5174DF"/>
    <w:rsid w:val="3B7979B8"/>
    <w:rsid w:val="3B894CF8"/>
    <w:rsid w:val="3B920E0E"/>
    <w:rsid w:val="3BA5573D"/>
    <w:rsid w:val="3BA743A8"/>
    <w:rsid w:val="3BC92571"/>
    <w:rsid w:val="3BCA775A"/>
    <w:rsid w:val="3BE450AA"/>
    <w:rsid w:val="3C080519"/>
    <w:rsid w:val="3C2459F9"/>
    <w:rsid w:val="3C4073E3"/>
    <w:rsid w:val="3C7249B6"/>
    <w:rsid w:val="3C73683F"/>
    <w:rsid w:val="3CAD45E4"/>
    <w:rsid w:val="3CCC7253"/>
    <w:rsid w:val="3CD84C82"/>
    <w:rsid w:val="3D1102E9"/>
    <w:rsid w:val="3D211A92"/>
    <w:rsid w:val="3D31661F"/>
    <w:rsid w:val="3D4102B6"/>
    <w:rsid w:val="3D4C5207"/>
    <w:rsid w:val="3D69400B"/>
    <w:rsid w:val="3D813C05"/>
    <w:rsid w:val="3D856813"/>
    <w:rsid w:val="3D874664"/>
    <w:rsid w:val="3D88190B"/>
    <w:rsid w:val="3D9045B5"/>
    <w:rsid w:val="3DA46DF1"/>
    <w:rsid w:val="3DB95166"/>
    <w:rsid w:val="3DC60709"/>
    <w:rsid w:val="3DF71593"/>
    <w:rsid w:val="3E1273D0"/>
    <w:rsid w:val="3E4B21C4"/>
    <w:rsid w:val="3E5801B1"/>
    <w:rsid w:val="3E650094"/>
    <w:rsid w:val="3E741759"/>
    <w:rsid w:val="3E784AEC"/>
    <w:rsid w:val="3E817133"/>
    <w:rsid w:val="3E8310FD"/>
    <w:rsid w:val="3EAF4DE8"/>
    <w:rsid w:val="3EEE6A52"/>
    <w:rsid w:val="3F066A65"/>
    <w:rsid w:val="3F1A5D9D"/>
    <w:rsid w:val="3F32452F"/>
    <w:rsid w:val="3F394D68"/>
    <w:rsid w:val="3F485E99"/>
    <w:rsid w:val="3F5369C5"/>
    <w:rsid w:val="3F6A5E19"/>
    <w:rsid w:val="3F6F1681"/>
    <w:rsid w:val="3F8E3C85"/>
    <w:rsid w:val="3FB63EAA"/>
    <w:rsid w:val="3FC347BE"/>
    <w:rsid w:val="3FD4133A"/>
    <w:rsid w:val="3FD80FD4"/>
    <w:rsid w:val="3FF52DBA"/>
    <w:rsid w:val="3FFC2066"/>
    <w:rsid w:val="40140539"/>
    <w:rsid w:val="402A3E6D"/>
    <w:rsid w:val="404708C6"/>
    <w:rsid w:val="404A2CE8"/>
    <w:rsid w:val="40512269"/>
    <w:rsid w:val="40774C91"/>
    <w:rsid w:val="40792EDA"/>
    <w:rsid w:val="40A315E2"/>
    <w:rsid w:val="40B04005"/>
    <w:rsid w:val="40E65CEF"/>
    <w:rsid w:val="4100471D"/>
    <w:rsid w:val="41015482"/>
    <w:rsid w:val="4105401E"/>
    <w:rsid w:val="413907D9"/>
    <w:rsid w:val="414A68F0"/>
    <w:rsid w:val="41632B09"/>
    <w:rsid w:val="416C5AC6"/>
    <w:rsid w:val="419051D7"/>
    <w:rsid w:val="41B46F4C"/>
    <w:rsid w:val="41B6661A"/>
    <w:rsid w:val="41E24282"/>
    <w:rsid w:val="41E76CD6"/>
    <w:rsid w:val="42014B04"/>
    <w:rsid w:val="42016538"/>
    <w:rsid w:val="42150760"/>
    <w:rsid w:val="42494D08"/>
    <w:rsid w:val="425F59DD"/>
    <w:rsid w:val="427B49AA"/>
    <w:rsid w:val="42963344"/>
    <w:rsid w:val="42A258CA"/>
    <w:rsid w:val="42B0684E"/>
    <w:rsid w:val="42D87FBC"/>
    <w:rsid w:val="42DB3E9B"/>
    <w:rsid w:val="42E346A1"/>
    <w:rsid w:val="43045686"/>
    <w:rsid w:val="430E7CDA"/>
    <w:rsid w:val="431274CF"/>
    <w:rsid w:val="43184D30"/>
    <w:rsid w:val="43271E38"/>
    <w:rsid w:val="43351ADA"/>
    <w:rsid w:val="435D1AE3"/>
    <w:rsid w:val="43A930FF"/>
    <w:rsid w:val="43B15A82"/>
    <w:rsid w:val="43E77FD2"/>
    <w:rsid w:val="441F5C81"/>
    <w:rsid w:val="442411A9"/>
    <w:rsid w:val="4465706B"/>
    <w:rsid w:val="449868CA"/>
    <w:rsid w:val="44A36A71"/>
    <w:rsid w:val="44AF36DF"/>
    <w:rsid w:val="44C5660C"/>
    <w:rsid w:val="44CA3E60"/>
    <w:rsid w:val="44F67674"/>
    <w:rsid w:val="452B712E"/>
    <w:rsid w:val="45916A22"/>
    <w:rsid w:val="45A30251"/>
    <w:rsid w:val="45B62B7F"/>
    <w:rsid w:val="45F67075"/>
    <w:rsid w:val="45F9503F"/>
    <w:rsid w:val="4601631D"/>
    <w:rsid w:val="46156655"/>
    <w:rsid w:val="46410D35"/>
    <w:rsid w:val="46712183"/>
    <w:rsid w:val="468546C6"/>
    <w:rsid w:val="46913477"/>
    <w:rsid w:val="469C1FB7"/>
    <w:rsid w:val="469F4F9C"/>
    <w:rsid w:val="46B37F45"/>
    <w:rsid w:val="46C7315E"/>
    <w:rsid w:val="46E717E5"/>
    <w:rsid w:val="46E841F3"/>
    <w:rsid w:val="46F5091B"/>
    <w:rsid w:val="46FA1DD1"/>
    <w:rsid w:val="47044E98"/>
    <w:rsid w:val="470A74D1"/>
    <w:rsid w:val="470E124A"/>
    <w:rsid w:val="47161AFE"/>
    <w:rsid w:val="4723712B"/>
    <w:rsid w:val="47452DBF"/>
    <w:rsid w:val="474867B9"/>
    <w:rsid w:val="47490A0A"/>
    <w:rsid w:val="47606B93"/>
    <w:rsid w:val="476561F7"/>
    <w:rsid w:val="47797C67"/>
    <w:rsid w:val="477E7F34"/>
    <w:rsid w:val="47C27897"/>
    <w:rsid w:val="483250E7"/>
    <w:rsid w:val="483321EC"/>
    <w:rsid w:val="483E2043"/>
    <w:rsid w:val="48531B40"/>
    <w:rsid w:val="48755A36"/>
    <w:rsid w:val="489108BA"/>
    <w:rsid w:val="48965917"/>
    <w:rsid w:val="48A565CB"/>
    <w:rsid w:val="48BD04F4"/>
    <w:rsid w:val="48C4268C"/>
    <w:rsid w:val="48F50E49"/>
    <w:rsid w:val="48FF3564"/>
    <w:rsid w:val="49180A1A"/>
    <w:rsid w:val="492B03C7"/>
    <w:rsid w:val="49470F79"/>
    <w:rsid w:val="494B74E7"/>
    <w:rsid w:val="49565A11"/>
    <w:rsid w:val="49635DB3"/>
    <w:rsid w:val="49640EEF"/>
    <w:rsid w:val="49997A45"/>
    <w:rsid w:val="499F4DE4"/>
    <w:rsid w:val="49AC37B1"/>
    <w:rsid w:val="49CB7B10"/>
    <w:rsid w:val="49D22F38"/>
    <w:rsid w:val="49E46F6C"/>
    <w:rsid w:val="49FE7477"/>
    <w:rsid w:val="4A4977A0"/>
    <w:rsid w:val="4A851D59"/>
    <w:rsid w:val="4AAA61F4"/>
    <w:rsid w:val="4AB924A6"/>
    <w:rsid w:val="4ABD3CDB"/>
    <w:rsid w:val="4AC11B60"/>
    <w:rsid w:val="4AFC3A99"/>
    <w:rsid w:val="4B052E99"/>
    <w:rsid w:val="4B086994"/>
    <w:rsid w:val="4B096283"/>
    <w:rsid w:val="4B13425A"/>
    <w:rsid w:val="4B305936"/>
    <w:rsid w:val="4B3B01F7"/>
    <w:rsid w:val="4B5A4F93"/>
    <w:rsid w:val="4B5E0F27"/>
    <w:rsid w:val="4B6D116B"/>
    <w:rsid w:val="4B7224AB"/>
    <w:rsid w:val="4B9B3BFA"/>
    <w:rsid w:val="4BB548C0"/>
    <w:rsid w:val="4BC01DCD"/>
    <w:rsid w:val="4BD42748"/>
    <w:rsid w:val="4BE566B2"/>
    <w:rsid w:val="4BE716CC"/>
    <w:rsid w:val="4BEF02BB"/>
    <w:rsid w:val="4C051897"/>
    <w:rsid w:val="4C0A0767"/>
    <w:rsid w:val="4C1C011A"/>
    <w:rsid w:val="4C3D01A9"/>
    <w:rsid w:val="4C551C11"/>
    <w:rsid w:val="4C8177CF"/>
    <w:rsid w:val="4CB01C13"/>
    <w:rsid w:val="4CBA4EBC"/>
    <w:rsid w:val="4CDE4F94"/>
    <w:rsid w:val="4CE23492"/>
    <w:rsid w:val="4CE92A73"/>
    <w:rsid w:val="4D255A89"/>
    <w:rsid w:val="4D607942"/>
    <w:rsid w:val="4D7B0486"/>
    <w:rsid w:val="4D85232C"/>
    <w:rsid w:val="4DA44C16"/>
    <w:rsid w:val="4DAE165B"/>
    <w:rsid w:val="4DAE68CB"/>
    <w:rsid w:val="4DCF38C0"/>
    <w:rsid w:val="4DDA23BB"/>
    <w:rsid w:val="4DF004C4"/>
    <w:rsid w:val="4E1C4782"/>
    <w:rsid w:val="4E2D6CE2"/>
    <w:rsid w:val="4E41501E"/>
    <w:rsid w:val="4E5552C4"/>
    <w:rsid w:val="4E671319"/>
    <w:rsid w:val="4E730970"/>
    <w:rsid w:val="4ED212E5"/>
    <w:rsid w:val="4EDA5548"/>
    <w:rsid w:val="4EDE412D"/>
    <w:rsid w:val="4EE27864"/>
    <w:rsid w:val="4EE47719"/>
    <w:rsid w:val="4F0771E0"/>
    <w:rsid w:val="4F0F42E7"/>
    <w:rsid w:val="4F1B2C8C"/>
    <w:rsid w:val="4F1F27CB"/>
    <w:rsid w:val="4F834E0C"/>
    <w:rsid w:val="4F9842DC"/>
    <w:rsid w:val="4FA70208"/>
    <w:rsid w:val="4FAF1422"/>
    <w:rsid w:val="4FB33151"/>
    <w:rsid w:val="4FB520CE"/>
    <w:rsid w:val="4FB6225D"/>
    <w:rsid w:val="4FB74E4D"/>
    <w:rsid w:val="4FBC446F"/>
    <w:rsid w:val="4FCE0F50"/>
    <w:rsid w:val="4FCE2A71"/>
    <w:rsid w:val="50070CBC"/>
    <w:rsid w:val="5015592D"/>
    <w:rsid w:val="50393E82"/>
    <w:rsid w:val="504D3319"/>
    <w:rsid w:val="50564E78"/>
    <w:rsid w:val="507B2CC5"/>
    <w:rsid w:val="507E7976"/>
    <w:rsid w:val="508E0C32"/>
    <w:rsid w:val="50A36325"/>
    <w:rsid w:val="50B71F0B"/>
    <w:rsid w:val="50B94892"/>
    <w:rsid w:val="50C726C5"/>
    <w:rsid w:val="50E043C0"/>
    <w:rsid w:val="51034FC7"/>
    <w:rsid w:val="51053BF3"/>
    <w:rsid w:val="5119769F"/>
    <w:rsid w:val="511D36C2"/>
    <w:rsid w:val="51357696"/>
    <w:rsid w:val="514559E4"/>
    <w:rsid w:val="516954EA"/>
    <w:rsid w:val="51A47B70"/>
    <w:rsid w:val="51AB6549"/>
    <w:rsid w:val="51C6305E"/>
    <w:rsid w:val="52214472"/>
    <w:rsid w:val="522D6F59"/>
    <w:rsid w:val="5235115E"/>
    <w:rsid w:val="52701540"/>
    <w:rsid w:val="52833A3A"/>
    <w:rsid w:val="52837B73"/>
    <w:rsid w:val="528F5874"/>
    <w:rsid w:val="52B01B7D"/>
    <w:rsid w:val="52DA6152"/>
    <w:rsid w:val="53087A18"/>
    <w:rsid w:val="53220A8C"/>
    <w:rsid w:val="53267CAD"/>
    <w:rsid w:val="53313F04"/>
    <w:rsid w:val="535A5118"/>
    <w:rsid w:val="5360631A"/>
    <w:rsid w:val="536A09D1"/>
    <w:rsid w:val="5382777D"/>
    <w:rsid w:val="53844FCF"/>
    <w:rsid w:val="538C5511"/>
    <w:rsid w:val="53E60089"/>
    <w:rsid w:val="53F21610"/>
    <w:rsid w:val="53F23969"/>
    <w:rsid w:val="53FE1E11"/>
    <w:rsid w:val="5406215C"/>
    <w:rsid w:val="542D21D9"/>
    <w:rsid w:val="542F4543"/>
    <w:rsid w:val="54497D93"/>
    <w:rsid w:val="547C04BF"/>
    <w:rsid w:val="547F7922"/>
    <w:rsid w:val="54813591"/>
    <w:rsid w:val="5483138F"/>
    <w:rsid w:val="54C3651B"/>
    <w:rsid w:val="54D8295A"/>
    <w:rsid w:val="54F067AF"/>
    <w:rsid w:val="551F233A"/>
    <w:rsid w:val="55335652"/>
    <w:rsid w:val="55525286"/>
    <w:rsid w:val="55697977"/>
    <w:rsid w:val="556C75FD"/>
    <w:rsid w:val="557C0063"/>
    <w:rsid w:val="55B65945"/>
    <w:rsid w:val="561B739D"/>
    <w:rsid w:val="566B44F9"/>
    <w:rsid w:val="569A2918"/>
    <w:rsid w:val="56E1798D"/>
    <w:rsid w:val="56E96D0D"/>
    <w:rsid w:val="572733C5"/>
    <w:rsid w:val="573C3DC9"/>
    <w:rsid w:val="575116E6"/>
    <w:rsid w:val="576E3ADD"/>
    <w:rsid w:val="578A4715"/>
    <w:rsid w:val="57AE6D93"/>
    <w:rsid w:val="57BC7A46"/>
    <w:rsid w:val="57C65681"/>
    <w:rsid w:val="57E664A3"/>
    <w:rsid w:val="57EA3B43"/>
    <w:rsid w:val="58123872"/>
    <w:rsid w:val="584F1CC3"/>
    <w:rsid w:val="585369D4"/>
    <w:rsid w:val="58736E3D"/>
    <w:rsid w:val="58777892"/>
    <w:rsid w:val="587965EA"/>
    <w:rsid w:val="5886386C"/>
    <w:rsid w:val="589539B3"/>
    <w:rsid w:val="58994BE9"/>
    <w:rsid w:val="58C47EF0"/>
    <w:rsid w:val="58DD210E"/>
    <w:rsid w:val="591F5596"/>
    <w:rsid w:val="593B074D"/>
    <w:rsid w:val="595B41EB"/>
    <w:rsid w:val="595D3A01"/>
    <w:rsid w:val="59777B12"/>
    <w:rsid w:val="597F63C7"/>
    <w:rsid w:val="598810BE"/>
    <w:rsid w:val="59C014FD"/>
    <w:rsid w:val="59D02528"/>
    <w:rsid w:val="59E50152"/>
    <w:rsid w:val="59E96DB1"/>
    <w:rsid w:val="59F53829"/>
    <w:rsid w:val="5A2813B5"/>
    <w:rsid w:val="5A4858C3"/>
    <w:rsid w:val="5A4A633C"/>
    <w:rsid w:val="5A5221E9"/>
    <w:rsid w:val="5A5277D0"/>
    <w:rsid w:val="5A5365AD"/>
    <w:rsid w:val="5A5C2E63"/>
    <w:rsid w:val="5A62692D"/>
    <w:rsid w:val="5A6C4824"/>
    <w:rsid w:val="5AA858A6"/>
    <w:rsid w:val="5AAB580B"/>
    <w:rsid w:val="5AAE0E58"/>
    <w:rsid w:val="5AB64E01"/>
    <w:rsid w:val="5AB7294A"/>
    <w:rsid w:val="5AF820D3"/>
    <w:rsid w:val="5B2443D6"/>
    <w:rsid w:val="5B2F7DF4"/>
    <w:rsid w:val="5B3248C1"/>
    <w:rsid w:val="5B465534"/>
    <w:rsid w:val="5B4C14A4"/>
    <w:rsid w:val="5B4D347F"/>
    <w:rsid w:val="5B4F3703"/>
    <w:rsid w:val="5B7237C3"/>
    <w:rsid w:val="5B8B5273"/>
    <w:rsid w:val="5B8D4150"/>
    <w:rsid w:val="5B952655"/>
    <w:rsid w:val="5BAD32F1"/>
    <w:rsid w:val="5BB00807"/>
    <w:rsid w:val="5BCB36A0"/>
    <w:rsid w:val="5BD46AE9"/>
    <w:rsid w:val="5BD9388B"/>
    <w:rsid w:val="5BE00E14"/>
    <w:rsid w:val="5C1530C9"/>
    <w:rsid w:val="5C3F727D"/>
    <w:rsid w:val="5C4B6B03"/>
    <w:rsid w:val="5C78171D"/>
    <w:rsid w:val="5C844709"/>
    <w:rsid w:val="5C8F147F"/>
    <w:rsid w:val="5C9B0BD5"/>
    <w:rsid w:val="5C9C18B0"/>
    <w:rsid w:val="5CA249EC"/>
    <w:rsid w:val="5CBD7356"/>
    <w:rsid w:val="5CD41AAD"/>
    <w:rsid w:val="5CDE4C9C"/>
    <w:rsid w:val="5CEB13BF"/>
    <w:rsid w:val="5D363F59"/>
    <w:rsid w:val="5D406DE2"/>
    <w:rsid w:val="5D794026"/>
    <w:rsid w:val="5D79574D"/>
    <w:rsid w:val="5D9407D9"/>
    <w:rsid w:val="5D9965F4"/>
    <w:rsid w:val="5DB708E0"/>
    <w:rsid w:val="5DE66AAE"/>
    <w:rsid w:val="5DE93185"/>
    <w:rsid w:val="5DEA03F9"/>
    <w:rsid w:val="5DED6487"/>
    <w:rsid w:val="5DFE3EA4"/>
    <w:rsid w:val="5DFE5341"/>
    <w:rsid w:val="5DFF280D"/>
    <w:rsid w:val="5E004D2C"/>
    <w:rsid w:val="5E092458"/>
    <w:rsid w:val="5E49515E"/>
    <w:rsid w:val="5E5E5AD6"/>
    <w:rsid w:val="5E611A65"/>
    <w:rsid w:val="5E9709D8"/>
    <w:rsid w:val="5EBC5719"/>
    <w:rsid w:val="5EC055C6"/>
    <w:rsid w:val="5EC6635E"/>
    <w:rsid w:val="5ED02A2C"/>
    <w:rsid w:val="5ED03A93"/>
    <w:rsid w:val="5EFA2EFC"/>
    <w:rsid w:val="5F1B37D5"/>
    <w:rsid w:val="5F2C785A"/>
    <w:rsid w:val="5F567A52"/>
    <w:rsid w:val="5F6C12F1"/>
    <w:rsid w:val="5F8E3724"/>
    <w:rsid w:val="5F993F77"/>
    <w:rsid w:val="5FAD12BF"/>
    <w:rsid w:val="5FBF5EDA"/>
    <w:rsid w:val="5FCD3683"/>
    <w:rsid w:val="5FD365E5"/>
    <w:rsid w:val="600D1D86"/>
    <w:rsid w:val="602E6D04"/>
    <w:rsid w:val="60326B7B"/>
    <w:rsid w:val="603D641C"/>
    <w:rsid w:val="605943B4"/>
    <w:rsid w:val="605B55DE"/>
    <w:rsid w:val="605D2EC0"/>
    <w:rsid w:val="60BD1DF5"/>
    <w:rsid w:val="60D64C64"/>
    <w:rsid w:val="60DA0BF8"/>
    <w:rsid w:val="614378DA"/>
    <w:rsid w:val="61475B62"/>
    <w:rsid w:val="614B38A4"/>
    <w:rsid w:val="615F02B8"/>
    <w:rsid w:val="616710AC"/>
    <w:rsid w:val="617F4A66"/>
    <w:rsid w:val="61A15272"/>
    <w:rsid w:val="61B2122D"/>
    <w:rsid w:val="61B50F59"/>
    <w:rsid w:val="61BF7588"/>
    <w:rsid w:val="61C5311B"/>
    <w:rsid w:val="61D41BE3"/>
    <w:rsid w:val="61E27730"/>
    <w:rsid w:val="6203465B"/>
    <w:rsid w:val="62294BE7"/>
    <w:rsid w:val="623C4F9B"/>
    <w:rsid w:val="623E047D"/>
    <w:rsid w:val="62456545"/>
    <w:rsid w:val="629A4EFB"/>
    <w:rsid w:val="62D41677"/>
    <w:rsid w:val="62E06520"/>
    <w:rsid w:val="63026DF8"/>
    <w:rsid w:val="63064468"/>
    <w:rsid w:val="630D5AEA"/>
    <w:rsid w:val="633A7AAD"/>
    <w:rsid w:val="63495BC1"/>
    <w:rsid w:val="635F3637"/>
    <w:rsid w:val="636D2535"/>
    <w:rsid w:val="6376620E"/>
    <w:rsid w:val="638C16E4"/>
    <w:rsid w:val="639130C5"/>
    <w:rsid w:val="63932BF6"/>
    <w:rsid w:val="639B133D"/>
    <w:rsid w:val="63A47EED"/>
    <w:rsid w:val="63CE7C12"/>
    <w:rsid w:val="63F2405B"/>
    <w:rsid w:val="63FD6001"/>
    <w:rsid w:val="64103515"/>
    <w:rsid w:val="641702FF"/>
    <w:rsid w:val="641A130C"/>
    <w:rsid w:val="641E02AD"/>
    <w:rsid w:val="644D678D"/>
    <w:rsid w:val="645E569D"/>
    <w:rsid w:val="646B3A43"/>
    <w:rsid w:val="647563B8"/>
    <w:rsid w:val="648F1CFA"/>
    <w:rsid w:val="64C46673"/>
    <w:rsid w:val="64D26CC1"/>
    <w:rsid w:val="64EF7066"/>
    <w:rsid w:val="650A168A"/>
    <w:rsid w:val="651A4ABD"/>
    <w:rsid w:val="65225D18"/>
    <w:rsid w:val="654A470C"/>
    <w:rsid w:val="65534AD5"/>
    <w:rsid w:val="65543E02"/>
    <w:rsid w:val="6578309D"/>
    <w:rsid w:val="658D7658"/>
    <w:rsid w:val="65A35A33"/>
    <w:rsid w:val="65AC2438"/>
    <w:rsid w:val="65D11106"/>
    <w:rsid w:val="65F10A49"/>
    <w:rsid w:val="65FC7F22"/>
    <w:rsid w:val="66236C76"/>
    <w:rsid w:val="66252916"/>
    <w:rsid w:val="664E7D0E"/>
    <w:rsid w:val="6663343E"/>
    <w:rsid w:val="66694FCF"/>
    <w:rsid w:val="666A7424"/>
    <w:rsid w:val="667A4675"/>
    <w:rsid w:val="66890F14"/>
    <w:rsid w:val="66A852F5"/>
    <w:rsid w:val="66D103A8"/>
    <w:rsid w:val="66E60A07"/>
    <w:rsid w:val="66E64FEB"/>
    <w:rsid w:val="672D4985"/>
    <w:rsid w:val="674633FE"/>
    <w:rsid w:val="67515045"/>
    <w:rsid w:val="675F0860"/>
    <w:rsid w:val="675F1E54"/>
    <w:rsid w:val="6775532B"/>
    <w:rsid w:val="67760F4F"/>
    <w:rsid w:val="677C449A"/>
    <w:rsid w:val="678135B8"/>
    <w:rsid w:val="678F62EE"/>
    <w:rsid w:val="67D16185"/>
    <w:rsid w:val="67F307F2"/>
    <w:rsid w:val="67FA3DD0"/>
    <w:rsid w:val="682A2E8F"/>
    <w:rsid w:val="68445049"/>
    <w:rsid w:val="686D103D"/>
    <w:rsid w:val="68F74404"/>
    <w:rsid w:val="69417EED"/>
    <w:rsid w:val="6945690F"/>
    <w:rsid w:val="694B48D3"/>
    <w:rsid w:val="69590003"/>
    <w:rsid w:val="698B2555"/>
    <w:rsid w:val="69913E1E"/>
    <w:rsid w:val="699F4C46"/>
    <w:rsid w:val="69A46D16"/>
    <w:rsid w:val="69EA7883"/>
    <w:rsid w:val="69F0323B"/>
    <w:rsid w:val="6A0415FE"/>
    <w:rsid w:val="6A071A31"/>
    <w:rsid w:val="6A1862EE"/>
    <w:rsid w:val="6A187A82"/>
    <w:rsid w:val="6A255CDC"/>
    <w:rsid w:val="6A2D100B"/>
    <w:rsid w:val="6A535ACC"/>
    <w:rsid w:val="6A6E0279"/>
    <w:rsid w:val="6A784EEB"/>
    <w:rsid w:val="6A911F2B"/>
    <w:rsid w:val="6A9A5B6B"/>
    <w:rsid w:val="6AAB7162"/>
    <w:rsid w:val="6AB82292"/>
    <w:rsid w:val="6AC41DCA"/>
    <w:rsid w:val="6AF35CF4"/>
    <w:rsid w:val="6AF37A21"/>
    <w:rsid w:val="6AFD3AEE"/>
    <w:rsid w:val="6B0B768B"/>
    <w:rsid w:val="6B340F05"/>
    <w:rsid w:val="6B363B99"/>
    <w:rsid w:val="6B421874"/>
    <w:rsid w:val="6B5477F9"/>
    <w:rsid w:val="6B5D6BE3"/>
    <w:rsid w:val="6B877EFD"/>
    <w:rsid w:val="6BB46A94"/>
    <w:rsid w:val="6BB5049A"/>
    <w:rsid w:val="6BC54253"/>
    <w:rsid w:val="6BD558A4"/>
    <w:rsid w:val="6BE008DA"/>
    <w:rsid w:val="6BF6265F"/>
    <w:rsid w:val="6BF96149"/>
    <w:rsid w:val="6C125595"/>
    <w:rsid w:val="6C151B6B"/>
    <w:rsid w:val="6C270A6A"/>
    <w:rsid w:val="6C292A34"/>
    <w:rsid w:val="6C385E0F"/>
    <w:rsid w:val="6C4076DB"/>
    <w:rsid w:val="6C417D7E"/>
    <w:rsid w:val="6C47421C"/>
    <w:rsid w:val="6C6B4119"/>
    <w:rsid w:val="6C6E179B"/>
    <w:rsid w:val="6C7C7008"/>
    <w:rsid w:val="6C8643C6"/>
    <w:rsid w:val="6C9A25F9"/>
    <w:rsid w:val="6C9F7A56"/>
    <w:rsid w:val="6CA363A7"/>
    <w:rsid w:val="6CA53C7B"/>
    <w:rsid w:val="6CCF432B"/>
    <w:rsid w:val="6D113D91"/>
    <w:rsid w:val="6D116B25"/>
    <w:rsid w:val="6D1E08A2"/>
    <w:rsid w:val="6D1E78C6"/>
    <w:rsid w:val="6D1F49BB"/>
    <w:rsid w:val="6D26735A"/>
    <w:rsid w:val="6D282CEC"/>
    <w:rsid w:val="6D3E161D"/>
    <w:rsid w:val="6D404CD5"/>
    <w:rsid w:val="6D6636EA"/>
    <w:rsid w:val="6D772F7F"/>
    <w:rsid w:val="6D986D98"/>
    <w:rsid w:val="6D9A281E"/>
    <w:rsid w:val="6DAD1663"/>
    <w:rsid w:val="6DC72505"/>
    <w:rsid w:val="6DDB64CE"/>
    <w:rsid w:val="6DF44AC8"/>
    <w:rsid w:val="6DFF3A4C"/>
    <w:rsid w:val="6E0B4179"/>
    <w:rsid w:val="6E162B44"/>
    <w:rsid w:val="6E20699B"/>
    <w:rsid w:val="6E3B1639"/>
    <w:rsid w:val="6E673F6F"/>
    <w:rsid w:val="6E7070FA"/>
    <w:rsid w:val="6EA5707A"/>
    <w:rsid w:val="6ECA1E1E"/>
    <w:rsid w:val="6ED67DC4"/>
    <w:rsid w:val="6EED60D3"/>
    <w:rsid w:val="6EF020B7"/>
    <w:rsid w:val="6EFC7910"/>
    <w:rsid w:val="6F1C062E"/>
    <w:rsid w:val="6F202742"/>
    <w:rsid w:val="6F504E19"/>
    <w:rsid w:val="6F5A6C77"/>
    <w:rsid w:val="6F793060"/>
    <w:rsid w:val="6F837FC0"/>
    <w:rsid w:val="6FC50886"/>
    <w:rsid w:val="6FD3134A"/>
    <w:rsid w:val="6FF75CF0"/>
    <w:rsid w:val="70032111"/>
    <w:rsid w:val="700958FF"/>
    <w:rsid w:val="70392CED"/>
    <w:rsid w:val="703E41A6"/>
    <w:rsid w:val="70422A06"/>
    <w:rsid w:val="70436AA5"/>
    <w:rsid w:val="706408F5"/>
    <w:rsid w:val="707F0E75"/>
    <w:rsid w:val="708323E1"/>
    <w:rsid w:val="708451F5"/>
    <w:rsid w:val="70862B2B"/>
    <w:rsid w:val="70927F1D"/>
    <w:rsid w:val="70F82A47"/>
    <w:rsid w:val="71035517"/>
    <w:rsid w:val="711B4160"/>
    <w:rsid w:val="711C66C3"/>
    <w:rsid w:val="711E3FED"/>
    <w:rsid w:val="713028A8"/>
    <w:rsid w:val="71325EE7"/>
    <w:rsid w:val="713734FD"/>
    <w:rsid w:val="713F74C2"/>
    <w:rsid w:val="714F0CAE"/>
    <w:rsid w:val="717166C9"/>
    <w:rsid w:val="717414E2"/>
    <w:rsid w:val="719426FE"/>
    <w:rsid w:val="71AC73A6"/>
    <w:rsid w:val="71D3553B"/>
    <w:rsid w:val="71DE507E"/>
    <w:rsid w:val="71F118FE"/>
    <w:rsid w:val="72035AD5"/>
    <w:rsid w:val="720F4264"/>
    <w:rsid w:val="72121AFE"/>
    <w:rsid w:val="7224673B"/>
    <w:rsid w:val="72275320"/>
    <w:rsid w:val="72804CD0"/>
    <w:rsid w:val="729F4DE6"/>
    <w:rsid w:val="72AA681E"/>
    <w:rsid w:val="72D65243"/>
    <w:rsid w:val="72D76DD9"/>
    <w:rsid w:val="730C06CE"/>
    <w:rsid w:val="730E64E0"/>
    <w:rsid w:val="731A5665"/>
    <w:rsid w:val="73330F42"/>
    <w:rsid w:val="73372C4B"/>
    <w:rsid w:val="735452E9"/>
    <w:rsid w:val="7358775B"/>
    <w:rsid w:val="739C6A45"/>
    <w:rsid w:val="73B02548"/>
    <w:rsid w:val="73DD6485"/>
    <w:rsid w:val="73EF6A1C"/>
    <w:rsid w:val="741C1999"/>
    <w:rsid w:val="741C22B6"/>
    <w:rsid w:val="74255FEB"/>
    <w:rsid w:val="742C285F"/>
    <w:rsid w:val="74575638"/>
    <w:rsid w:val="74662A75"/>
    <w:rsid w:val="747D5FA1"/>
    <w:rsid w:val="747E0200"/>
    <w:rsid w:val="749D71DB"/>
    <w:rsid w:val="74A57E4D"/>
    <w:rsid w:val="74D80B53"/>
    <w:rsid w:val="74EB0EBB"/>
    <w:rsid w:val="74F60441"/>
    <w:rsid w:val="75093403"/>
    <w:rsid w:val="75186775"/>
    <w:rsid w:val="751B3E16"/>
    <w:rsid w:val="75346B5B"/>
    <w:rsid w:val="753F0BD2"/>
    <w:rsid w:val="755220B9"/>
    <w:rsid w:val="75556EE0"/>
    <w:rsid w:val="755602FE"/>
    <w:rsid w:val="75605B4F"/>
    <w:rsid w:val="75704D2D"/>
    <w:rsid w:val="75993AFB"/>
    <w:rsid w:val="75BC31F4"/>
    <w:rsid w:val="75C31803"/>
    <w:rsid w:val="75D74FF2"/>
    <w:rsid w:val="760F2FFC"/>
    <w:rsid w:val="767B6EBC"/>
    <w:rsid w:val="767B7569"/>
    <w:rsid w:val="7693433A"/>
    <w:rsid w:val="76C3221F"/>
    <w:rsid w:val="76C50835"/>
    <w:rsid w:val="77043E82"/>
    <w:rsid w:val="770C491A"/>
    <w:rsid w:val="77195A27"/>
    <w:rsid w:val="771F06A7"/>
    <w:rsid w:val="772C0DD1"/>
    <w:rsid w:val="77381FCA"/>
    <w:rsid w:val="77564021"/>
    <w:rsid w:val="77831EC2"/>
    <w:rsid w:val="77892045"/>
    <w:rsid w:val="778925D9"/>
    <w:rsid w:val="77D85F42"/>
    <w:rsid w:val="77DB7262"/>
    <w:rsid w:val="77E5662D"/>
    <w:rsid w:val="77FB2566"/>
    <w:rsid w:val="78064210"/>
    <w:rsid w:val="782642CC"/>
    <w:rsid w:val="783E5C50"/>
    <w:rsid w:val="784E1A0A"/>
    <w:rsid w:val="78570929"/>
    <w:rsid w:val="785E5813"/>
    <w:rsid w:val="789027B0"/>
    <w:rsid w:val="78A321D2"/>
    <w:rsid w:val="78B47F53"/>
    <w:rsid w:val="78C15749"/>
    <w:rsid w:val="78D23D3F"/>
    <w:rsid w:val="78D86D9C"/>
    <w:rsid w:val="78E102EF"/>
    <w:rsid w:val="791D718A"/>
    <w:rsid w:val="794B4E5D"/>
    <w:rsid w:val="79584B14"/>
    <w:rsid w:val="795A6AB0"/>
    <w:rsid w:val="797A63B2"/>
    <w:rsid w:val="7986584C"/>
    <w:rsid w:val="79A22753"/>
    <w:rsid w:val="79B92B8C"/>
    <w:rsid w:val="79E8203B"/>
    <w:rsid w:val="79F0693F"/>
    <w:rsid w:val="79F91C98"/>
    <w:rsid w:val="7A02256C"/>
    <w:rsid w:val="7A05524C"/>
    <w:rsid w:val="7A18601E"/>
    <w:rsid w:val="7A223A11"/>
    <w:rsid w:val="7A2F58C7"/>
    <w:rsid w:val="7A613399"/>
    <w:rsid w:val="7A7E313A"/>
    <w:rsid w:val="7A8C63BA"/>
    <w:rsid w:val="7AD26FEE"/>
    <w:rsid w:val="7ADD3307"/>
    <w:rsid w:val="7B032B29"/>
    <w:rsid w:val="7B36328B"/>
    <w:rsid w:val="7B601D72"/>
    <w:rsid w:val="7B646B38"/>
    <w:rsid w:val="7B876987"/>
    <w:rsid w:val="7BAE5F0A"/>
    <w:rsid w:val="7BB1016A"/>
    <w:rsid w:val="7BB31275"/>
    <w:rsid w:val="7BB404C9"/>
    <w:rsid w:val="7BCE579E"/>
    <w:rsid w:val="7BD81177"/>
    <w:rsid w:val="7BED088A"/>
    <w:rsid w:val="7BED7BDD"/>
    <w:rsid w:val="7BF41FC0"/>
    <w:rsid w:val="7C177107"/>
    <w:rsid w:val="7C1B2AF6"/>
    <w:rsid w:val="7C1E1BC0"/>
    <w:rsid w:val="7C3E33B8"/>
    <w:rsid w:val="7C560DBE"/>
    <w:rsid w:val="7C580C52"/>
    <w:rsid w:val="7C6929D9"/>
    <w:rsid w:val="7C765EAD"/>
    <w:rsid w:val="7C922BDE"/>
    <w:rsid w:val="7CA16A54"/>
    <w:rsid w:val="7CA30690"/>
    <w:rsid w:val="7CB91BF8"/>
    <w:rsid w:val="7CCA45BF"/>
    <w:rsid w:val="7CE0171B"/>
    <w:rsid w:val="7CF5344E"/>
    <w:rsid w:val="7D272678"/>
    <w:rsid w:val="7D534E47"/>
    <w:rsid w:val="7D5F6D53"/>
    <w:rsid w:val="7D856813"/>
    <w:rsid w:val="7DB07112"/>
    <w:rsid w:val="7DB27958"/>
    <w:rsid w:val="7DB5056D"/>
    <w:rsid w:val="7DB859C6"/>
    <w:rsid w:val="7DBA23A5"/>
    <w:rsid w:val="7DBB6C93"/>
    <w:rsid w:val="7DC00764"/>
    <w:rsid w:val="7DC925EB"/>
    <w:rsid w:val="7DDD367E"/>
    <w:rsid w:val="7DFD0091"/>
    <w:rsid w:val="7E492112"/>
    <w:rsid w:val="7E5E7184"/>
    <w:rsid w:val="7E68083E"/>
    <w:rsid w:val="7E6D5F5F"/>
    <w:rsid w:val="7E8D720B"/>
    <w:rsid w:val="7E8E0A07"/>
    <w:rsid w:val="7ECB7038"/>
    <w:rsid w:val="7ED64D7F"/>
    <w:rsid w:val="7EE72C33"/>
    <w:rsid w:val="7EEC6B92"/>
    <w:rsid w:val="7F0A63E4"/>
    <w:rsid w:val="7F2E26D9"/>
    <w:rsid w:val="7F7E1C77"/>
    <w:rsid w:val="7F8C2C66"/>
    <w:rsid w:val="7FA35B88"/>
    <w:rsid w:val="7FC80734"/>
    <w:rsid w:val="7FDD1714"/>
    <w:rsid w:val="7FE45EE8"/>
    <w:rsid w:val="7FE70C9B"/>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paragraph" w:styleId="4">
    <w:name w:val="heading 2"/>
    <w:basedOn w:val="1"/>
    <w:next w:val="5"/>
    <w:link w:val="83"/>
    <w:qFormat/>
    <w:uiPriority w:val="99"/>
    <w:pPr>
      <w:keepNext/>
      <w:keepLines/>
      <w:spacing w:line="413" w:lineRule="auto"/>
      <w:outlineLvl w:val="1"/>
    </w:pPr>
    <w:rPr>
      <w:rFonts w:ascii="Arial" w:hAnsi="Arial" w:eastAsia="黑体"/>
      <w:b/>
      <w:bCs/>
      <w:sz w:val="32"/>
      <w:szCs w:val="32"/>
    </w:rPr>
  </w:style>
  <w:style w:type="paragraph" w:styleId="6">
    <w:name w:val="heading 3"/>
    <w:basedOn w:val="1"/>
    <w:next w:val="5"/>
    <w:qFormat/>
    <w:uiPriority w:val="0"/>
    <w:pPr>
      <w:keepNext/>
      <w:keepLines/>
      <w:spacing w:before="260" w:after="260" w:line="412" w:lineRule="auto"/>
      <w:outlineLvl w:val="2"/>
    </w:pPr>
    <w:rPr>
      <w:b/>
      <w:sz w:val="32"/>
      <w:szCs w:val="20"/>
    </w:rPr>
  </w:style>
  <w:style w:type="paragraph" w:styleId="7">
    <w:name w:val="heading 4"/>
    <w:basedOn w:val="1"/>
    <w:next w:val="1"/>
    <w:qFormat/>
    <w:uiPriority w:val="0"/>
    <w:pPr>
      <w:keepNext/>
      <w:keepLines/>
      <w:tabs>
        <w:tab w:val="left" w:pos="864"/>
      </w:tabs>
      <w:spacing w:line="360" w:lineRule="auto"/>
      <w:ind w:left="864" w:hanging="864"/>
      <w:outlineLvl w:val="3"/>
    </w:pPr>
    <w:rPr>
      <w:rFonts w:ascii="Arial" w:hAnsi="Arial"/>
      <w:bCs/>
      <w:szCs w:val="28"/>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16" w:lineRule="auto"/>
      <w:outlineLvl w:val="6"/>
    </w:pPr>
    <w:rPr>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Times New Roman" w:cs="Times New Roman"/>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11">
    <w:name w:val="Document Map"/>
    <w:basedOn w:val="1"/>
    <w:link w:val="52"/>
    <w:qFormat/>
    <w:uiPriority w:val="0"/>
    <w:rPr>
      <w:rFonts w:ascii="宋体"/>
      <w:sz w:val="18"/>
      <w:szCs w:val="18"/>
    </w:r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annotation text"/>
    <w:basedOn w:val="1"/>
    <w:qFormat/>
    <w:uiPriority w:val="0"/>
    <w:pPr>
      <w:jc w:val="left"/>
    </w:pPr>
  </w:style>
  <w:style w:type="paragraph" w:styleId="14">
    <w:name w:val="Body Text Indent"/>
    <w:basedOn w:val="1"/>
    <w:next w:val="15"/>
    <w:qFormat/>
    <w:uiPriority w:val="0"/>
    <w:pPr>
      <w:ind w:firstLine="552"/>
    </w:pPr>
    <w:rPr>
      <w:rFonts w:ascii="宋体"/>
      <w:sz w:val="28"/>
    </w:rPr>
  </w:style>
  <w:style w:type="paragraph" w:styleId="15">
    <w:name w:val="annotation subject"/>
    <w:basedOn w:val="13"/>
    <w:next w:val="1"/>
    <w:qFormat/>
    <w:uiPriority w:val="0"/>
    <w:pPr>
      <w:adjustRightInd/>
      <w:spacing w:line="240" w:lineRule="auto"/>
      <w:textAlignment w:val="auto"/>
    </w:pPr>
    <w:rPr>
      <w:b/>
      <w:bCs/>
      <w:kern w:val="2"/>
      <w:sz w:val="21"/>
      <w:szCs w:val="24"/>
    </w:rPr>
  </w:style>
  <w:style w:type="paragraph" w:styleId="16">
    <w:name w:val="Block Text"/>
    <w:basedOn w:val="1"/>
    <w:next w:val="17"/>
    <w:qFormat/>
    <w:uiPriority w:val="99"/>
    <w:pPr>
      <w:adjustRightInd w:val="0"/>
      <w:ind w:left="420" w:right="33"/>
      <w:jc w:val="left"/>
      <w:textAlignment w:val="baseline"/>
    </w:pPr>
    <w:rPr>
      <w:rFonts w:ascii="Times New Roman" w:hAnsi="Times New Roman" w:cs="Times New Roman"/>
      <w:kern w:val="0"/>
      <w:sz w:val="24"/>
      <w:szCs w:val="24"/>
    </w:rPr>
  </w:style>
  <w:style w:type="paragraph" w:styleId="17">
    <w:name w:val="Plain Text"/>
    <w:basedOn w:val="1"/>
    <w:qFormat/>
    <w:uiPriority w:val="0"/>
    <w:rPr>
      <w:rFonts w:ascii="宋体" w:hAnsi="Courier New" w:cs="Courier New"/>
      <w:szCs w:val="21"/>
    </w:rPr>
  </w:style>
  <w:style w:type="paragraph" w:styleId="18">
    <w:name w:val="Body Text Indent 2"/>
    <w:basedOn w:val="1"/>
    <w:qFormat/>
    <w:uiPriority w:val="0"/>
    <w:pPr>
      <w:ind w:firstLine="630"/>
    </w:pPr>
    <w:rPr>
      <w:sz w:val="32"/>
      <w:szCs w:val="20"/>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Body Text 2"/>
    <w:basedOn w:val="1"/>
    <w:unhideWhenUsed/>
    <w:qFormat/>
    <w:uiPriority w:val="99"/>
    <w:rPr>
      <w:sz w:val="28"/>
    </w:rPr>
  </w:style>
  <w:style w:type="paragraph" w:styleId="24">
    <w:name w:val="Message Header"/>
    <w:basedOn w:val="1"/>
    <w:next w:val="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1"/>
      <w:szCs w:val="22"/>
    </w:rPr>
  </w:style>
  <w:style w:type="paragraph" w:styleId="2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7">
    <w:name w:val="Title"/>
    <w:basedOn w:val="1"/>
    <w:next w:val="1"/>
    <w:qFormat/>
    <w:uiPriority w:val="0"/>
    <w:pPr>
      <w:spacing w:before="240" w:after="60"/>
      <w:jc w:val="center"/>
      <w:outlineLvl w:val="0"/>
    </w:pPr>
    <w:rPr>
      <w:rFonts w:ascii="Cambria" w:hAnsi="Cambria" w:cs="Times New Roman"/>
      <w:b/>
      <w:bCs/>
      <w:sz w:val="32"/>
      <w:szCs w:val="32"/>
    </w:rPr>
  </w:style>
  <w:style w:type="paragraph" w:styleId="28">
    <w:name w:val="Body Text First Indent"/>
    <w:basedOn w:val="2"/>
    <w:next w:val="29"/>
    <w:unhideWhenUsed/>
    <w:qFormat/>
    <w:uiPriority w:val="99"/>
    <w:pPr>
      <w:ind w:firstLine="420" w:firstLineChars="100"/>
    </w:pPr>
  </w:style>
  <w:style w:type="paragraph" w:styleId="29">
    <w:name w:val="Body Text First Indent 2"/>
    <w:basedOn w:val="14"/>
    <w:next w:val="28"/>
    <w:qFormat/>
    <w:uiPriority w:val="0"/>
    <w:pPr>
      <w:ind w:firstLine="420" w:firstLineChars="200"/>
    </w:pPr>
  </w:style>
  <w:style w:type="table" w:styleId="31">
    <w:name w:val="Table Grid"/>
    <w:basedOn w:val="3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8">
    <w:name w:val="列出段落1"/>
    <w:basedOn w:val="1"/>
    <w:qFormat/>
    <w:uiPriority w:val="34"/>
    <w:pPr>
      <w:ind w:firstLine="420"/>
    </w:pPr>
    <w:rPr>
      <w:szCs w:val="20"/>
    </w:rPr>
  </w:style>
  <w:style w:type="paragraph" w:customStyle="1" w:styleId="49">
    <w:name w:val="p15"/>
    <w:basedOn w:val="1"/>
    <w:qFormat/>
    <w:uiPriority w:val="99"/>
    <w:pPr>
      <w:widowControl/>
    </w:pPr>
    <w:rPr>
      <w:kern w:val="0"/>
      <w:szCs w:val="21"/>
    </w:rPr>
  </w:style>
  <w:style w:type="paragraph" w:styleId="50">
    <w:name w:val="No Spacing"/>
    <w:qFormat/>
    <w:uiPriority w:val="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52">
    <w:name w:val="文档结构图 Char"/>
    <w:basedOn w:val="32"/>
    <w:link w:val="11"/>
    <w:qFormat/>
    <w:uiPriority w:val="0"/>
    <w:rPr>
      <w:rFonts w:ascii="宋体"/>
      <w:kern w:val="2"/>
      <w:sz w:val="18"/>
      <w:szCs w:val="18"/>
    </w:rPr>
  </w:style>
  <w:style w:type="paragraph" w:styleId="53">
    <w:name w:val="List Paragraph"/>
    <w:basedOn w:val="1"/>
    <w:qFormat/>
    <w:uiPriority w:val="34"/>
    <w:pPr>
      <w:ind w:firstLine="420"/>
    </w:pPr>
  </w:style>
  <w:style w:type="character" w:customStyle="1" w:styleId="54">
    <w:name w:val="font01"/>
    <w:basedOn w:val="32"/>
    <w:qFormat/>
    <w:uiPriority w:val="0"/>
    <w:rPr>
      <w:rFonts w:hint="eastAsia" w:ascii="宋体" w:hAnsi="宋体" w:eastAsia="宋体" w:cs="宋体"/>
      <w:color w:val="000000"/>
      <w:sz w:val="22"/>
      <w:szCs w:val="22"/>
      <w:u w:val="none"/>
    </w:rPr>
  </w:style>
  <w:style w:type="paragraph" w:customStyle="1" w:styleId="55">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6">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7">
    <w:name w:val="active6"/>
    <w:basedOn w:val="32"/>
    <w:qFormat/>
    <w:uiPriority w:val="0"/>
    <w:rPr>
      <w:color w:val="00FF00"/>
      <w:shd w:val="clear" w:fill="000000"/>
    </w:rPr>
  </w:style>
  <w:style w:type="character" w:customStyle="1" w:styleId="58">
    <w:name w:val="proollist"/>
    <w:basedOn w:val="32"/>
    <w:qFormat/>
    <w:uiPriority w:val="0"/>
  </w:style>
  <w:style w:type="character" w:customStyle="1" w:styleId="59">
    <w:name w:val="span-long"/>
    <w:basedOn w:val="32"/>
    <w:qFormat/>
    <w:uiPriority w:val="0"/>
  </w:style>
  <w:style w:type="character" w:customStyle="1" w:styleId="60">
    <w:name w:val="input-direction"/>
    <w:basedOn w:val="32"/>
    <w:qFormat/>
    <w:uiPriority w:val="0"/>
    <w:rPr>
      <w:color w:val="FF6600"/>
    </w:rPr>
  </w:style>
  <w:style w:type="character" w:customStyle="1" w:styleId="61">
    <w:name w:val="beforeinfotext"/>
    <w:basedOn w:val="32"/>
    <w:qFormat/>
    <w:uiPriority w:val="0"/>
    <w:rPr>
      <w:color w:val="666666"/>
    </w:rPr>
  </w:style>
  <w:style w:type="character" w:customStyle="1" w:styleId="62">
    <w:name w:val="hilite6"/>
    <w:basedOn w:val="32"/>
    <w:qFormat/>
    <w:uiPriority w:val="0"/>
    <w:rPr>
      <w:color w:val="FFFFFF"/>
      <w:shd w:val="clear" w:fill="666677"/>
    </w:rPr>
  </w:style>
  <w:style w:type="character" w:customStyle="1" w:styleId="63">
    <w:name w:val="stclosebtn"/>
    <w:basedOn w:val="32"/>
    <w:qFormat/>
    <w:uiPriority w:val="0"/>
  </w:style>
  <w:style w:type="character" w:customStyle="1" w:styleId="64">
    <w:name w:val="tmpztreemove_arrow"/>
    <w:basedOn w:val="32"/>
    <w:qFormat/>
    <w:uiPriority w:val="0"/>
  </w:style>
  <w:style w:type="character" w:customStyle="1" w:styleId="65">
    <w:name w:val="phone"/>
    <w:basedOn w:val="32"/>
    <w:qFormat/>
    <w:uiPriority w:val="0"/>
    <w:rPr>
      <w:color w:val="FF8833"/>
      <w:sz w:val="18"/>
      <w:szCs w:val="18"/>
    </w:rPr>
  </w:style>
  <w:style w:type="character" w:customStyle="1" w:styleId="66">
    <w:name w:val="number"/>
    <w:basedOn w:val="32"/>
    <w:qFormat/>
    <w:uiPriority w:val="0"/>
    <w:rPr>
      <w:color w:val="FF8833"/>
      <w:sz w:val="18"/>
      <w:szCs w:val="18"/>
    </w:rPr>
  </w:style>
  <w:style w:type="character" w:customStyle="1" w:styleId="67">
    <w:name w:val="button2"/>
    <w:basedOn w:val="32"/>
    <w:qFormat/>
    <w:uiPriority w:val="0"/>
  </w:style>
  <w:style w:type="paragraph" w:customStyle="1" w:styleId="68">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9">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70">
    <w:name w:val="button"/>
    <w:basedOn w:val="32"/>
    <w:qFormat/>
    <w:uiPriority w:val="0"/>
  </w:style>
  <w:style w:type="character" w:customStyle="1" w:styleId="71">
    <w:name w:val="hilite"/>
    <w:basedOn w:val="32"/>
    <w:qFormat/>
    <w:uiPriority w:val="0"/>
    <w:rPr>
      <w:color w:val="FFFFFF"/>
      <w:shd w:val="clear" w:fill="666677"/>
    </w:rPr>
  </w:style>
  <w:style w:type="character" w:customStyle="1" w:styleId="72">
    <w:name w:val="font151"/>
    <w:basedOn w:val="32"/>
    <w:qFormat/>
    <w:uiPriority w:val="0"/>
    <w:rPr>
      <w:rFonts w:ascii="宋体" w:hAnsi="宋体" w:eastAsia="宋体" w:cs="宋体"/>
      <w:color w:val="000000"/>
      <w:sz w:val="20"/>
      <w:szCs w:val="20"/>
      <w:u w:val="none"/>
    </w:rPr>
  </w:style>
  <w:style w:type="character" w:customStyle="1" w:styleId="73">
    <w:name w:val="font21"/>
    <w:basedOn w:val="32"/>
    <w:qFormat/>
    <w:uiPriority w:val="0"/>
    <w:rPr>
      <w:rFonts w:hint="eastAsia" w:ascii="宋体" w:hAnsi="宋体" w:eastAsia="宋体" w:cs="宋体"/>
      <w:color w:val="000000"/>
      <w:sz w:val="20"/>
      <w:szCs w:val="20"/>
      <w:u w:val="none"/>
    </w:rPr>
  </w:style>
  <w:style w:type="character" w:customStyle="1" w:styleId="74">
    <w:name w:val="font81"/>
    <w:basedOn w:val="32"/>
    <w:qFormat/>
    <w:uiPriority w:val="0"/>
    <w:rPr>
      <w:rFonts w:hint="eastAsia" w:ascii="宋体" w:hAnsi="宋体" w:eastAsia="宋体" w:cs="宋体"/>
      <w:color w:val="000000"/>
      <w:sz w:val="20"/>
      <w:szCs w:val="20"/>
      <w:u w:val="none"/>
    </w:rPr>
  </w:style>
  <w:style w:type="character" w:customStyle="1" w:styleId="75">
    <w:name w:val="font121"/>
    <w:basedOn w:val="32"/>
    <w:qFormat/>
    <w:uiPriority w:val="0"/>
    <w:rPr>
      <w:rFonts w:ascii="宋体" w:hAnsi="宋体" w:eastAsia="宋体" w:cs="宋体"/>
      <w:color w:val="000000"/>
      <w:sz w:val="20"/>
      <w:szCs w:val="20"/>
      <w:u w:val="none"/>
    </w:rPr>
  </w:style>
  <w:style w:type="character" w:customStyle="1" w:styleId="76">
    <w:name w:val="font41"/>
    <w:basedOn w:val="32"/>
    <w:qFormat/>
    <w:uiPriority w:val="0"/>
    <w:rPr>
      <w:rFonts w:hint="eastAsia" w:ascii="宋体" w:hAnsi="宋体" w:eastAsia="宋体" w:cs="宋体"/>
      <w:color w:val="000000"/>
      <w:sz w:val="20"/>
      <w:szCs w:val="20"/>
      <w:u w:val="none"/>
    </w:rPr>
  </w:style>
  <w:style w:type="character" w:customStyle="1" w:styleId="77">
    <w:name w:val="font141"/>
    <w:basedOn w:val="32"/>
    <w:qFormat/>
    <w:uiPriority w:val="0"/>
    <w:rPr>
      <w:rFonts w:ascii="宋体" w:hAnsi="宋体" w:eastAsia="宋体" w:cs="宋体"/>
      <w:color w:val="000000"/>
      <w:sz w:val="20"/>
      <w:szCs w:val="20"/>
      <w:u w:val="none"/>
    </w:rPr>
  </w:style>
  <w:style w:type="character" w:customStyle="1" w:styleId="78">
    <w:name w:val="font112"/>
    <w:basedOn w:val="32"/>
    <w:qFormat/>
    <w:uiPriority w:val="0"/>
    <w:rPr>
      <w:rFonts w:hint="eastAsia" w:ascii="宋体" w:hAnsi="宋体" w:eastAsia="宋体" w:cs="宋体"/>
      <w:color w:val="FF0000"/>
      <w:sz w:val="20"/>
      <w:szCs w:val="20"/>
      <w:u w:val="none"/>
    </w:rPr>
  </w:style>
  <w:style w:type="character" w:customStyle="1" w:styleId="79">
    <w:name w:val="font101"/>
    <w:basedOn w:val="32"/>
    <w:qFormat/>
    <w:uiPriority w:val="0"/>
    <w:rPr>
      <w:rFonts w:ascii="Arial" w:hAnsi="Arial" w:cs="Arial"/>
      <w:color w:val="000000"/>
      <w:sz w:val="20"/>
      <w:szCs w:val="20"/>
      <w:u w:val="none"/>
    </w:rPr>
  </w:style>
  <w:style w:type="character" w:customStyle="1" w:styleId="80">
    <w:name w:val="font11"/>
    <w:basedOn w:val="32"/>
    <w:qFormat/>
    <w:uiPriority w:val="0"/>
    <w:rPr>
      <w:rFonts w:hint="eastAsia" w:ascii="宋体" w:hAnsi="宋体" w:eastAsia="宋体" w:cs="宋体"/>
      <w:color w:val="000000"/>
      <w:sz w:val="22"/>
      <w:szCs w:val="22"/>
      <w:u w:val="none"/>
    </w:rPr>
  </w:style>
  <w:style w:type="paragraph" w:customStyle="1" w:styleId="81">
    <w:name w:val="样式 首行缩进:  2 字符"/>
    <w:basedOn w:val="1"/>
    <w:qFormat/>
    <w:uiPriority w:val="99"/>
    <w:pPr>
      <w:spacing w:line="400" w:lineRule="exact"/>
      <w:ind w:firstLine="200" w:firstLineChars="200"/>
    </w:pPr>
    <w:rPr>
      <w:rFonts w:cs="宋体"/>
      <w:szCs w:val="24"/>
    </w:rPr>
  </w:style>
  <w:style w:type="paragraph" w:customStyle="1" w:styleId="82">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83">
    <w:name w:val="标题 2 Char"/>
    <w:link w:val="4"/>
    <w:qFormat/>
    <w:uiPriority w:val="0"/>
    <w:rPr>
      <w:rFonts w:ascii="Arial" w:hAnsi="Arial" w:eastAsia="黑体"/>
      <w:b/>
      <w:bCs/>
      <w:sz w:val="32"/>
      <w:szCs w:val="32"/>
    </w:rPr>
  </w:style>
  <w:style w:type="paragraph" w:customStyle="1" w:styleId="8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p0"/>
    <w:basedOn w:val="1"/>
    <w:qFormat/>
    <w:uiPriority w:val="0"/>
    <w:pPr>
      <w:widowControl/>
    </w:pPr>
    <w:rPr>
      <w:kern w:val="0"/>
      <w:szCs w:val="21"/>
    </w:rPr>
  </w:style>
  <w:style w:type="paragraph" w:customStyle="1" w:styleId="87">
    <w:name w:val="Normal Indent1"/>
    <w:qFormat/>
    <w:uiPriority w:val="0"/>
    <w:pPr>
      <w:widowControl w:val="0"/>
      <w:spacing w:line="660" w:lineRule="exact"/>
      <w:ind w:firstLine="720" w:firstLineChars="200"/>
      <w:jc w:val="both"/>
    </w:pPr>
    <w:rPr>
      <w:rFonts w:ascii="Calibri" w:hAnsi="Calibri" w:eastAsia="楷体_GB2312" w:cs="Times New Roman"/>
      <w:kern w:val="2"/>
      <w:sz w:val="21"/>
      <w:szCs w:val="24"/>
      <w:lang w:val="en-US" w:eastAsia="zh-CN" w:bidi="ar-SA"/>
    </w:rPr>
  </w:style>
  <w:style w:type="paragraph" w:customStyle="1" w:styleId="88">
    <w:name w:val="WPSOffice手动目录 1"/>
    <w:qFormat/>
    <w:uiPriority w:val="0"/>
    <w:pPr>
      <w:ind w:leftChars="0"/>
    </w:pPr>
    <w:rPr>
      <w:rFonts w:ascii="Times New Roman" w:hAnsi="Times New Roman" w:eastAsia="宋体" w:cs="Times New Roman"/>
      <w:sz w:val="20"/>
      <w:szCs w:val="20"/>
    </w:rPr>
  </w:style>
  <w:style w:type="paragraph" w:customStyle="1" w:styleId="8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9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C9C5C-8C55-4F11-A6E2-98E177649487}">
  <ds:schemaRefs/>
</ds:datastoreItem>
</file>

<file path=docProps/app.xml><?xml version="1.0" encoding="utf-8"?>
<Properties xmlns="http://schemas.openxmlformats.org/officeDocument/2006/extended-properties" xmlns:vt="http://schemas.openxmlformats.org/officeDocument/2006/docPropsVTypes">
  <Template>Normal</Template>
  <Pages>86</Pages>
  <Words>41647</Words>
  <Characters>44911</Characters>
  <Lines>205</Lines>
  <Paragraphs>57</Paragraphs>
  <TotalTime>77</TotalTime>
  <ScaleCrop>false</ScaleCrop>
  <LinksUpToDate>false</LinksUpToDate>
  <CharactersWithSpaces>48126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2019-06-27T08:32:00Z</dcterms:created>
  <dc:creator>Z.</dc:creator>
  <cp:lastModifiedBy>JY-HALO</cp:lastModifiedBy>
  <cp:lastPrinted>2025-05-22T06:33:00Z</cp:lastPrinted>
  <dcterms:modified xsi:type="dcterms:W3CDTF">2025-05-22T06:43:24Z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AFD671A4EC594EF78822B14A0E4BE81F_13</vt:lpwstr>
  </property>
</Properties>
</file>