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media/image4.svg" ContentType="image/svg+xml"/>
  <Override PartName="/word/media/image5.svg" ContentType="image/svg+xml"/>
  <Override PartName="/word/media/image6.svg" ContentType="image/svg+xml"/>
  <Override PartName="/word/media/image8.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1E847">
      <w:pPr>
        <w:widowControl/>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阎良区武屯职业高级中学女生宿舍改造工程</w:t>
      </w:r>
    </w:p>
    <w:p w14:paraId="6EA368D0">
      <w:pPr>
        <w:widowControl/>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政府采购需求书</w:t>
      </w:r>
      <w:r>
        <w:rPr>
          <w:rFonts w:hint="eastAsia" w:ascii="仿宋" w:hAnsi="仿宋" w:eastAsia="仿宋" w:cs="仿宋"/>
          <w:b/>
          <w:color w:val="000000" w:themeColor="text1"/>
          <w:sz w:val="32"/>
          <w:szCs w:val="32"/>
          <w14:textFill>
            <w14:solidFill>
              <w14:schemeClr w14:val="tx1"/>
            </w14:solidFill>
          </w14:textFill>
        </w:rPr>
        <w:t>（工程类）</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2CE6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9D2BF8">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序号</w:t>
            </w:r>
          </w:p>
        </w:tc>
        <w:tc>
          <w:tcPr>
            <w:tcW w:w="1556" w:type="dxa"/>
            <w:vAlign w:val="center"/>
          </w:tcPr>
          <w:p w14:paraId="690FFCD1">
            <w:pPr>
              <w:pStyle w:val="34"/>
              <w:ind w:left="38"/>
              <w:jc w:val="center"/>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sz w:val="28"/>
                <w:szCs w:val="28"/>
                <w:lang w:val="zh-CN"/>
                <w14:textFill>
                  <w14:solidFill>
                    <w14:schemeClr w14:val="tx1"/>
                  </w14:solidFill>
                </w14:textFill>
              </w:rPr>
              <w:t>关键事项</w:t>
            </w:r>
          </w:p>
        </w:tc>
        <w:tc>
          <w:tcPr>
            <w:tcW w:w="7067" w:type="dxa"/>
            <w:vAlign w:val="center"/>
          </w:tcPr>
          <w:p w14:paraId="0DF5BD05">
            <w:pPr>
              <w:pStyle w:val="34"/>
              <w:jc w:val="center"/>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sz w:val="28"/>
                <w:szCs w:val="28"/>
                <w:lang w:val="zh-CN"/>
                <w14:textFill>
                  <w14:solidFill>
                    <w14:schemeClr w14:val="tx1"/>
                  </w14:solidFill>
                </w14:textFill>
              </w:rPr>
              <w:t>说明和要求</w:t>
            </w:r>
          </w:p>
        </w:tc>
      </w:tr>
      <w:tr w14:paraId="72C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C667EE8">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1</w:t>
            </w:r>
          </w:p>
        </w:tc>
        <w:tc>
          <w:tcPr>
            <w:tcW w:w="1556" w:type="dxa"/>
            <w:vAlign w:val="center"/>
          </w:tcPr>
          <w:p w14:paraId="1285D403">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采购预算</w:t>
            </w:r>
          </w:p>
        </w:tc>
        <w:tc>
          <w:tcPr>
            <w:tcW w:w="7067" w:type="dxa"/>
            <w:vAlign w:val="center"/>
          </w:tcPr>
          <w:p w14:paraId="057AB958">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w:t>
            </w:r>
            <w:r>
              <w:rPr>
                <w:rFonts w:hint="eastAsia" w:eastAsia="仿宋"/>
                <w:b/>
                <w:bCs/>
                <w:spacing w:val="-3"/>
                <w:highlight w:val="none"/>
                <w:u w:val="single"/>
                <w:lang w:val="en-US" w:eastAsia="zh-CN"/>
              </w:rPr>
              <w:t>2128375.55</w:t>
            </w:r>
            <w:r>
              <w:rPr>
                <w:rFonts w:hint="eastAsia"/>
                <w:b/>
                <w:bCs/>
                <w:spacing w:val="-3"/>
                <w:highlight w:val="none"/>
                <w:u w:val="single"/>
                <w:lang w:val="en-US" w:eastAsia="zh-CN"/>
              </w:rPr>
              <w:t xml:space="preserve"> </w:t>
            </w:r>
            <w:r>
              <w:rPr>
                <w:rFonts w:hint="eastAsia" w:ascii="仿宋" w:hAnsi="仿宋" w:eastAsia="仿宋" w:cs="仿宋"/>
                <w:b/>
                <w:color w:val="000000" w:themeColor="text1"/>
                <w:kern w:val="2"/>
                <w:lang w:val="zh-CN"/>
                <w14:textFill>
                  <w14:solidFill>
                    <w14:schemeClr w14:val="tx1"/>
                  </w14:solidFill>
                </w14:textFill>
              </w:rPr>
              <w:t>元</w:t>
            </w:r>
          </w:p>
          <w:p w14:paraId="6BC0F34B">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仅指与本次采购标的直接相关的费用，前期勘察费、设计费等已发生的费用，以及监理费</w:t>
            </w:r>
            <w:bookmarkStart w:id="0" w:name="_GoBack"/>
            <w:bookmarkEnd w:id="0"/>
            <w:r>
              <w:rPr>
                <w:rFonts w:hint="eastAsia" w:ascii="仿宋" w:hAnsi="仿宋" w:eastAsia="仿宋" w:cs="仿宋"/>
                <w:color w:val="000000" w:themeColor="text1"/>
                <w:kern w:val="2"/>
                <w:sz w:val="21"/>
                <w:szCs w:val="21"/>
                <w:lang w:val="zh-CN"/>
                <w14:textFill>
                  <w14:solidFill>
                    <w14:schemeClr w14:val="tx1"/>
                  </w14:solidFill>
                </w14:textFill>
              </w:rPr>
              <w:t>、接口费等为未来预留费用，不应当包含在本项目采购预算内，甲方须向本级财政部门经费业务处室申请办理经费剥离手续。</w:t>
            </w:r>
          </w:p>
        </w:tc>
      </w:tr>
      <w:tr w14:paraId="5B5D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3F3232A">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2</w:t>
            </w:r>
          </w:p>
        </w:tc>
        <w:tc>
          <w:tcPr>
            <w:tcW w:w="1556" w:type="dxa"/>
            <w:vAlign w:val="center"/>
          </w:tcPr>
          <w:p w14:paraId="2B6D0C4A">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最高限价</w:t>
            </w:r>
          </w:p>
        </w:tc>
        <w:tc>
          <w:tcPr>
            <w:tcW w:w="7067" w:type="dxa"/>
            <w:vAlign w:val="center"/>
          </w:tcPr>
          <w:p w14:paraId="46EF426F">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w:t>
            </w:r>
            <w:r>
              <w:rPr>
                <w:b/>
                <w:bCs/>
                <w:spacing w:val="-3"/>
                <w:u w:val="single"/>
              </w:rPr>
              <w:t>2078586.86</w:t>
            </w:r>
            <w:r>
              <w:rPr>
                <w:rFonts w:hint="eastAsia" w:ascii="仿宋" w:hAnsi="仿宋" w:eastAsia="仿宋" w:cs="仿宋"/>
                <w:b/>
                <w:color w:val="000000" w:themeColor="text1"/>
                <w:kern w:val="2"/>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lang w:val="zh-CN"/>
                <w14:textFill>
                  <w14:solidFill>
                    <w14:schemeClr w14:val="tx1"/>
                  </w14:solidFill>
                </w14:textFill>
              </w:rPr>
              <w:t>元</w:t>
            </w:r>
          </w:p>
          <w:p w14:paraId="0140EC95">
            <w:pPr>
              <w:pStyle w:val="34"/>
              <w:ind w:left="38"/>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供应商投标报价高于最高限价的则其投标文件将按无效投标文件处理。</w:t>
            </w:r>
          </w:p>
        </w:tc>
      </w:tr>
      <w:tr w14:paraId="4E2E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0D55D27">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3</w:t>
            </w:r>
          </w:p>
        </w:tc>
        <w:tc>
          <w:tcPr>
            <w:tcW w:w="1556" w:type="dxa"/>
            <w:vAlign w:val="center"/>
          </w:tcPr>
          <w:p w14:paraId="4A11FC3C">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暂列金</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或暂估价</w:t>
            </w:r>
          </w:p>
        </w:tc>
        <w:tc>
          <w:tcPr>
            <w:tcW w:w="7067" w:type="dxa"/>
            <w:vAlign w:val="center"/>
          </w:tcPr>
          <w:p w14:paraId="54A128AD">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人民币</w:t>
            </w:r>
            <w:r>
              <w:rPr>
                <w:rFonts w:hint="eastAsia" w:ascii="仿宋" w:hAnsi="仿宋" w:eastAsia="仿宋" w:cs="仿宋"/>
                <w:b/>
                <w:color w:val="000000" w:themeColor="text1"/>
                <w:kern w:val="2"/>
                <w:u w:val="single"/>
                <w:lang w:val="en-US" w:eastAsia="zh-CN"/>
                <w14:textFill>
                  <w14:solidFill>
                    <w14:schemeClr w14:val="tx1"/>
                  </w14:solidFill>
                </w14:textFill>
              </w:rPr>
              <w:t xml:space="preserve">  100000 </w:t>
            </w:r>
            <w:r>
              <w:rPr>
                <w:rFonts w:hint="eastAsia" w:ascii="仿宋" w:hAnsi="仿宋" w:eastAsia="仿宋" w:cs="仿宋"/>
                <w:b/>
                <w:color w:val="000000" w:themeColor="text1"/>
                <w:kern w:val="2"/>
                <w:lang w:val="zh-CN"/>
                <w14:textFill>
                  <w14:solidFill>
                    <w14:schemeClr w14:val="tx1"/>
                  </w14:solidFill>
                </w14:textFill>
              </w:rPr>
              <w:t>元</w:t>
            </w:r>
          </w:p>
          <w:p w14:paraId="026281B9">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如有，请列明。</w:t>
            </w:r>
          </w:p>
        </w:tc>
      </w:tr>
      <w:tr w14:paraId="641D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0444CCE">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4</w:t>
            </w:r>
          </w:p>
        </w:tc>
        <w:tc>
          <w:tcPr>
            <w:tcW w:w="1556" w:type="dxa"/>
            <w:vAlign w:val="center"/>
          </w:tcPr>
          <w:p w14:paraId="646CC2DA">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图纸</w:t>
            </w:r>
          </w:p>
        </w:tc>
        <w:tc>
          <w:tcPr>
            <w:tcW w:w="7067" w:type="dxa"/>
            <w:vAlign w:val="center"/>
          </w:tcPr>
          <w:p w14:paraId="72357313">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drawing>
                <wp:inline distT="0" distB="0" distL="114300" distR="114300">
                  <wp:extent cx="123190" cy="123190"/>
                  <wp:effectExtent l="0" t="0" r="10160" b="10160"/>
                  <wp:docPr id="1" name="图片 1"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1" name="图片 1" descr="点"/>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123190" cy="123190"/>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有图纸，图纸与工程量清单不一致时以</w:t>
            </w:r>
            <w:r>
              <w:rPr>
                <w:rFonts w:hint="eastAsia" w:ascii="仿宋" w:hAnsi="仿宋" w:eastAsia="仿宋" w:cs="仿宋"/>
                <w:b/>
                <w:color w:val="000000" w:themeColor="text1"/>
                <w:kern w:val="2"/>
                <w:u w:val="single"/>
                <w:lang w:val="en-US" w:eastAsia="zh-CN"/>
                <w14:textFill>
                  <w14:solidFill>
                    <w14:schemeClr w14:val="tx1"/>
                  </w14:solidFill>
                </w14:textFill>
              </w:rPr>
              <w:t xml:space="preserve"> 工程量清单 </w:t>
            </w:r>
            <w:r>
              <w:rPr>
                <w:rFonts w:hint="eastAsia" w:ascii="仿宋" w:hAnsi="仿宋" w:eastAsia="仿宋" w:cs="仿宋"/>
                <w:b/>
                <w:color w:val="000000" w:themeColor="text1"/>
                <w:kern w:val="2"/>
                <w:lang w:val="zh-CN"/>
                <w14:textFill>
                  <w14:solidFill>
                    <w14:schemeClr w14:val="tx1"/>
                  </w14:solidFill>
                </w14:textFill>
              </w:rPr>
              <w:t>为准。</w:t>
            </w:r>
          </w:p>
          <w:p w14:paraId="03A7044A">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○无图纸</w:t>
            </w:r>
          </w:p>
        </w:tc>
      </w:tr>
      <w:tr w14:paraId="05AA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5BE6236C">
            <w:pPr>
              <w:snapToGrid w:val="0"/>
              <w:spacing w:after="200"/>
              <w:jc w:val="center"/>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5</w:t>
            </w:r>
          </w:p>
        </w:tc>
        <w:tc>
          <w:tcPr>
            <w:tcW w:w="1556" w:type="dxa"/>
            <w:vMerge w:val="restart"/>
            <w:vAlign w:val="center"/>
          </w:tcPr>
          <w:p w14:paraId="7BC49198">
            <w:pPr>
              <w:pStyle w:val="34"/>
              <w:ind w:left="38"/>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项目性质</w:t>
            </w:r>
          </w:p>
        </w:tc>
        <w:tc>
          <w:tcPr>
            <w:tcW w:w="7067" w:type="dxa"/>
            <w:vAlign w:val="center"/>
          </w:tcPr>
          <w:p w14:paraId="07360697">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en-US" w:eastAsia="zh-CN"/>
                <w14:textFill>
                  <w14:solidFill>
                    <w14:schemeClr w14:val="tx1"/>
                  </w14:solidFill>
                </w14:textFill>
              </w:rPr>
              <w:drawing>
                <wp:inline distT="0" distB="0" distL="114300" distR="114300">
                  <wp:extent cx="131445" cy="131445"/>
                  <wp:effectExtent l="0" t="0" r="1905" b="1905"/>
                  <wp:docPr id="3" name="图片 3"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3" name="图片 3" descr="点"/>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31445" cy="131445"/>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专门面向中小企业采购</w:t>
            </w:r>
          </w:p>
          <w:p w14:paraId="7499E9BA">
            <w:pPr>
              <w:pStyle w:val="34"/>
              <w:ind w:left="38"/>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仅允许中小企业或小型、微型企业参与投标。</w:t>
            </w:r>
          </w:p>
        </w:tc>
      </w:tr>
      <w:tr w14:paraId="6A3C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C3EA26B">
            <w:pPr>
              <w:snapToGrid w:val="0"/>
              <w:spacing w:after="200"/>
              <w:ind w:left="142"/>
              <w:jc w:val="center"/>
              <w:rPr>
                <w:rFonts w:hint="eastAsia" w:ascii="仿宋" w:hAnsi="仿宋" w:eastAsia="仿宋" w:cs="仿宋"/>
                <w:b/>
                <w:color w:val="000000" w:themeColor="text1"/>
                <w:sz w:val="28"/>
                <w:szCs w:val="28"/>
                <w:lang w:val="zh-CN"/>
                <w14:textFill>
                  <w14:solidFill>
                    <w14:schemeClr w14:val="tx1"/>
                  </w14:solidFill>
                </w14:textFill>
              </w:rPr>
            </w:pPr>
          </w:p>
        </w:tc>
        <w:tc>
          <w:tcPr>
            <w:tcW w:w="1556" w:type="dxa"/>
            <w:vMerge w:val="continue"/>
            <w:vAlign w:val="center"/>
          </w:tcPr>
          <w:p w14:paraId="3680CCDF">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74789E68">
            <w:pPr>
              <w:rPr>
                <w:rFonts w:hint="eastAsia" w:ascii="仿宋" w:hAnsi="仿宋" w:eastAsia="仿宋" w:cs="仿宋"/>
                <w:b/>
                <w:color w:val="000000" w:themeColor="text1"/>
                <w:sz w:val="24"/>
                <w:szCs w:val="24"/>
                <w:lang w:val="zh-CN"/>
                <w14:textFill>
                  <w14:solidFill>
                    <w14:schemeClr w14:val="tx1"/>
                  </w14:solidFill>
                </w14:textFill>
              </w:rPr>
            </w:pPr>
            <w:r>
              <w:rPr>
                <w:rFonts w:hint="eastAsia" w:ascii="仿宋" w:hAnsi="仿宋" w:eastAsia="仿宋" w:cs="仿宋"/>
                <w:b/>
                <w:color w:val="000000" w:themeColor="text1"/>
                <w:sz w:val="24"/>
                <w:szCs w:val="24"/>
                <w:lang w:val="zh-CN"/>
                <w14:textFill>
                  <w14:solidFill>
                    <w14:schemeClr w14:val="tx1"/>
                  </w14:solidFill>
                </w14:textFill>
              </w:rPr>
              <w:t>○非专门面向中小企业采购</w:t>
            </w:r>
          </w:p>
          <w:p w14:paraId="60EE1506">
            <w:pPr>
              <w:ind w:right="94" w:rightChars="45"/>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仿宋" w:hAnsi="仿宋" w:eastAsia="仿宋" w:cs="仿宋"/>
                <w:b/>
                <w:color w:val="000000" w:themeColor="text1"/>
                <w:kern w:val="0"/>
                <w:szCs w:val="21"/>
                <w:lang w:val="zh-CN"/>
                <w14:textFill>
                  <w14:solidFill>
                    <w14:schemeClr w14:val="tx1"/>
                  </w14:solidFill>
                </w14:textFill>
              </w:rPr>
              <w:t>报价给予</w:t>
            </w:r>
            <w:r>
              <w:rPr>
                <w:rFonts w:hint="eastAsia" w:ascii="仿宋" w:hAnsi="仿宋" w:eastAsia="仿宋" w:cs="仿宋"/>
                <w:b/>
                <w:color w:val="000000" w:themeColor="text1"/>
                <w:kern w:val="0"/>
                <w:szCs w:val="21"/>
                <w:u w:val="single"/>
                <w:lang w:val="en-US" w:eastAsia="zh-CN"/>
                <w14:textFill>
                  <w14:solidFill>
                    <w14:schemeClr w14:val="tx1"/>
                  </w14:solidFill>
                </w14:textFill>
              </w:rPr>
              <w:t xml:space="preserve">   </w:t>
            </w:r>
            <w:r>
              <w:rPr>
                <w:rFonts w:hint="eastAsia" w:ascii="仿宋" w:hAnsi="仿宋" w:eastAsia="仿宋" w:cs="仿宋"/>
                <w:b/>
                <w:color w:val="000000" w:themeColor="text1"/>
                <w:kern w:val="0"/>
                <w:szCs w:val="21"/>
                <w:lang w:val="zh-CN"/>
                <w14:textFill>
                  <w14:solidFill>
                    <w14:schemeClr w14:val="tx1"/>
                  </w14:solidFill>
                </w14:textFill>
              </w:rPr>
              <w:t>%（3%-5%）的扣除（当采用招标方式时，实际上是对其价格分给予一定比例的增加）</w:t>
            </w:r>
            <w:r>
              <w:rPr>
                <w:rFonts w:hint="eastAsia" w:ascii="仿宋" w:hAnsi="仿宋" w:eastAsia="仿宋" w:cs="仿宋"/>
                <w:color w:val="000000" w:themeColor="text1"/>
                <w:kern w:val="0"/>
                <w:szCs w:val="21"/>
                <w:lang w:val="zh-CN"/>
                <w14:textFill>
                  <w14:solidFill>
                    <w14:schemeClr w14:val="tx1"/>
                  </w14:solidFill>
                </w14:textFill>
              </w:rPr>
              <w:t>，用扣除后的价格参加评审。</w:t>
            </w:r>
          </w:p>
        </w:tc>
      </w:tr>
      <w:tr w14:paraId="0E8B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492B27C">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556" w:type="dxa"/>
            <w:vAlign w:val="center"/>
          </w:tcPr>
          <w:p w14:paraId="7298BE43">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对供应商的</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资格要求</w:t>
            </w:r>
          </w:p>
        </w:tc>
        <w:tc>
          <w:tcPr>
            <w:tcW w:w="7067" w:type="dxa"/>
            <w:vAlign w:val="center"/>
          </w:tcPr>
          <w:p w14:paraId="1038C5C4">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1、提供供应商合法注册的法人或者其他组织的营业执照等证明文件、自然人的身份证明；</w:t>
            </w:r>
          </w:p>
          <w:p w14:paraId="23992109">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2、财务状况报告：提供具有财务审计资质单位出具的完整的2022年度财务报告（成立时间至开标时间不足一年的可提供成立后任意时段的资产负债表）或开标前六个月内其基本账户银行出具的资信证明或政府采购信用担保机构出具的担保函；</w:t>
            </w:r>
          </w:p>
          <w:p w14:paraId="2F746C8C">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3、税收缴纳证明：税收缴纳证明：提供截止至开标时间前一年内任意一个月的缴纳凭据；（增值税、企业所得税至少提供一种，依法免税的投标人应提供相关文件证明）；</w:t>
            </w:r>
          </w:p>
          <w:p w14:paraId="63E0A6DD">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4、社会保障资金缴纳证明：社会保障资金缴纳证明：提供截止至开标时间前六个月内任意一个月的社保缴纳凭据或社保机构开具的社会保险参保缴纳情况证明；（依法不需要缴纳社会保障资金的投标人应提供相关证明）；</w:t>
            </w:r>
          </w:p>
          <w:p w14:paraId="01A88B25">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5、提供具有履行本合同所必需的设备和专业技术能力的说明及承诺：提供具有履行本合同所必需的设备和专业技术能力的说明及承诺；（提供书面说明及承诺，加盖供应商公章）；</w:t>
            </w:r>
          </w:p>
          <w:p w14:paraId="436D2D2F">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zh-CN"/>
                <w14:textFill>
                  <w14:solidFill>
                    <w14:schemeClr w14:val="tx1"/>
                  </w14:solidFill>
                </w14:textFill>
              </w:rPr>
              <w:t>6、提供参加政府采购活动前三年内在经营活动中没有重大违法记录的书面声明：提供参加政府采购活动前三年内在经营活动中没有重大违法记录的书面声明；（提供书面声明，加盖供应商公章）；</w:t>
            </w:r>
          </w:p>
          <w:p w14:paraId="37AD00A1">
            <w:pPr>
              <w:pStyle w:val="34"/>
              <w:jc w:val="both"/>
              <w:rPr>
                <w:rFonts w:hint="eastAsia" w:ascii="仿宋" w:hAnsi="仿宋" w:eastAsia="仿宋" w:cs="仿宋"/>
                <w:b/>
                <w:color w:val="000000" w:themeColor="text1"/>
                <w:kern w:val="2"/>
                <w:u w:val="single"/>
                <w:lang w:val="zh-CN"/>
                <w14:textFill>
                  <w14:solidFill>
                    <w14:schemeClr w14:val="tx1"/>
                  </w14:solidFill>
                </w14:textFill>
              </w:rPr>
            </w:pPr>
            <w:r>
              <w:rPr>
                <w:rFonts w:hint="eastAsia" w:ascii="仿宋" w:hAnsi="仿宋" w:eastAsia="仿宋" w:cs="仿宋"/>
                <w:b/>
                <w:color w:val="000000" w:themeColor="text1"/>
                <w:kern w:val="2"/>
                <w:u w:val="single"/>
                <w:lang w:val="en-US" w:eastAsia="zh-CN"/>
                <w14:textFill>
                  <w14:solidFill>
                    <w14:schemeClr w14:val="tx1"/>
                  </w14:solidFill>
                </w14:textFill>
              </w:rPr>
              <w:t>7</w:t>
            </w:r>
            <w:r>
              <w:rPr>
                <w:rFonts w:hint="eastAsia" w:ascii="仿宋" w:hAnsi="仿宋" w:eastAsia="仿宋" w:cs="仿宋"/>
                <w:b/>
                <w:color w:val="000000" w:themeColor="text1"/>
                <w:kern w:val="2"/>
                <w:u w:val="single"/>
                <w:lang w:val="zh-CN"/>
                <w14:textFill>
                  <w14:solidFill>
                    <w14:schemeClr w14:val="tx1"/>
                  </w14:solidFill>
                </w14:textFill>
              </w:rPr>
              <w:t>、企业资质：具备建设行政部门颁发的建筑工程施工总承包三级以上（含三级）资质或者建筑装修装饰工程专业承包二级以上（含二级）资质，且具备有效的安全生产许可证；</w:t>
            </w:r>
          </w:p>
          <w:p w14:paraId="16FF6290">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u w:val="single"/>
                <w:lang w:val="en-US" w:eastAsia="zh-CN"/>
                <w14:textFill>
                  <w14:solidFill>
                    <w14:schemeClr w14:val="tx1"/>
                  </w14:solidFill>
                </w14:textFill>
              </w:rPr>
              <w:t>8</w:t>
            </w:r>
            <w:r>
              <w:rPr>
                <w:rFonts w:hint="eastAsia" w:ascii="仿宋" w:hAnsi="仿宋" w:eastAsia="仿宋" w:cs="仿宋"/>
                <w:b/>
                <w:color w:val="000000" w:themeColor="text1"/>
                <w:kern w:val="2"/>
                <w:u w:val="single"/>
                <w:lang w:val="zh-CN"/>
                <w14:textFill>
                  <w14:solidFill>
                    <w14:schemeClr w14:val="tx1"/>
                  </w14:solidFill>
                </w14:textFill>
              </w:rPr>
              <w:t>、人员资质：拟派项目经理须具备建筑工程专业二级以上（含二级）注册建造师资格，具有合格有效的安全生产考核合格证（B证）,本单位注册且无在建工程（提供承诺书）；</w:t>
            </w:r>
          </w:p>
          <w:p w14:paraId="07E2ABF8">
            <w:pPr>
              <w:pStyle w:val="34"/>
              <w:jc w:val="both"/>
              <w:rPr>
                <w:rFonts w:hint="eastAsia"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可依据住建部门发布的《建设工程资质》中的“承包工程范围”进行确定。</w:t>
            </w:r>
          </w:p>
          <w:p w14:paraId="5A7F7058">
            <w:pPr>
              <w:pStyle w:val="34"/>
              <w:jc w:val="both"/>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307C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24AD38D0">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556" w:type="dxa"/>
            <w:vMerge w:val="restart"/>
            <w:vAlign w:val="center"/>
          </w:tcPr>
          <w:p w14:paraId="452E9867">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是否接受</w:t>
            </w:r>
            <w:r>
              <w:rPr>
                <w:rFonts w:hint="eastAsia" w:ascii="仿宋" w:hAnsi="仿宋" w:eastAsia="仿宋" w:cs="仿宋"/>
                <w:color w:val="000000" w:themeColor="text1"/>
                <w:kern w:val="2"/>
                <w:lang w:val="zh-CN"/>
                <w14:textFill>
                  <w14:solidFill>
                    <w14:schemeClr w14:val="tx1"/>
                  </w14:solidFill>
                </w14:textFill>
              </w:rPr>
              <w:br w:type="textWrapping"/>
            </w:r>
            <w:r>
              <w:rPr>
                <w:rFonts w:hint="eastAsia" w:ascii="仿宋" w:hAnsi="仿宋" w:eastAsia="仿宋" w:cs="仿宋"/>
                <w:color w:val="000000" w:themeColor="text1"/>
                <w:kern w:val="2"/>
                <w:lang w:val="zh-CN"/>
                <w14:textFill>
                  <w14:solidFill>
                    <w14:schemeClr w14:val="tx1"/>
                  </w14:solidFill>
                </w14:textFill>
              </w:rPr>
              <w:t>联合体投标</w:t>
            </w:r>
          </w:p>
        </w:tc>
        <w:tc>
          <w:tcPr>
            <w:tcW w:w="7067" w:type="dxa"/>
            <w:vAlign w:val="center"/>
          </w:tcPr>
          <w:p w14:paraId="335F982C">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zh-CN"/>
                <w14:textFill>
                  <w14:solidFill>
                    <w14:schemeClr w14:val="tx1"/>
                  </w14:solidFill>
                </w14:textFill>
              </w:rPr>
              <w:t>○接受</w:t>
            </w:r>
          </w:p>
          <w:p w14:paraId="5B0515A1">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ascii="仿宋" w:hAnsi="仿宋" w:eastAsia="仿宋" w:cs="仿宋"/>
                <w:b/>
                <w:color w:val="000000" w:themeColor="text1"/>
                <w:kern w:val="2"/>
                <w:sz w:val="21"/>
                <w:szCs w:val="21"/>
                <w:lang w:val="zh-CN"/>
                <w14:textFill>
                  <w14:solidFill>
                    <w14:schemeClr w14:val="tx1"/>
                  </w14:solidFill>
                </w14:textFill>
              </w:rPr>
              <w:t>给予___%（4%—6%）的扣除</w:t>
            </w:r>
            <w:r>
              <w:rPr>
                <w:rFonts w:hint="eastAsia" w:ascii="仿宋" w:hAnsi="仿宋" w:eastAsia="仿宋" w:cs="仿宋"/>
                <w:b/>
                <w:color w:val="000000" w:themeColor="text1"/>
                <w:szCs w:val="21"/>
                <w:lang w:val="zh-CN"/>
                <w14:textFill>
                  <w14:solidFill>
                    <w14:schemeClr w14:val="tx1"/>
                  </w14:solidFill>
                </w14:textFill>
              </w:rPr>
              <w:t>（当采用招标方式时，实际上是对其价格分给予一定比例的增加）</w:t>
            </w:r>
            <w:r>
              <w:rPr>
                <w:rFonts w:hint="eastAsia" w:ascii="仿宋" w:hAnsi="仿宋" w:eastAsia="仿宋" w:cs="仿宋"/>
                <w:color w:val="000000" w:themeColor="text1"/>
                <w:kern w:val="2"/>
                <w:sz w:val="21"/>
                <w:szCs w:val="21"/>
                <w:lang w:val="zh-CN"/>
                <w14:textFill>
                  <w14:solidFill>
                    <w14:schemeClr w14:val="tx1"/>
                  </w14:solidFill>
                </w14:textFill>
              </w:rPr>
              <w:t>，用扣除后的报价参加评审。</w:t>
            </w:r>
          </w:p>
        </w:tc>
      </w:tr>
      <w:tr w14:paraId="2E2D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78B0C6DD">
            <w:pPr>
              <w:snapToGrid w:val="0"/>
              <w:spacing w:after="200"/>
              <w:ind w:left="142"/>
              <w:jc w:val="center"/>
              <w:rPr>
                <w:rFonts w:hint="eastAsia" w:ascii="仿宋" w:hAnsi="仿宋" w:eastAsia="仿宋" w:cs="仿宋"/>
                <w:color w:val="000000" w:themeColor="text1"/>
                <w:sz w:val="24"/>
                <w14:textFill>
                  <w14:solidFill>
                    <w14:schemeClr w14:val="tx1"/>
                  </w14:solidFill>
                </w14:textFill>
              </w:rPr>
            </w:pPr>
          </w:p>
        </w:tc>
        <w:tc>
          <w:tcPr>
            <w:tcW w:w="1556" w:type="dxa"/>
            <w:vMerge w:val="continue"/>
            <w:vAlign w:val="center"/>
          </w:tcPr>
          <w:p w14:paraId="07242D4A">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28B00350">
            <w:pPr>
              <w:pStyle w:val="34"/>
              <w:jc w:val="both"/>
              <w:rPr>
                <w:rFonts w:hint="eastAsia" w:ascii="仿宋" w:hAnsi="仿宋" w:eastAsia="仿宋" w:cs="仿宋"/>
                <w:b/>
                <w:color w:val="000000" w:themeColor="text1"/>
                <w:kern w:val="2"/>
                <w:lang w:val="zh-CN"/>
                <w14:textFill>
                  <w14:solidFill>
                    <w14:schemeClr w14:val="tx1"/>
                  </w14:solidFill>
                </w14:textFill>
              </w:rPr>
            </w:pPr>
            <w:r>
              <w:rPr>
                <w:rFonts w:hint="eastAsia" w:ascii="仿宋" w:hAnsi="仿宋" w:eastAsia="仿宋" w:cs="仿宋"/>
                <w:b/>
                <w:color w:val="000000" w:themeColor="text1"/>
                <w:kern w:val="2"/>
                <w:lang w:val="en-US" w:eastAsia="zh-CN"/>
                <w14:textFill>
                  <w14:solidFill>
                    <w14:schemeClr w14:val="tx1"/>
                  </w14:solidFill>
                </w14:textFill>
              </w:rPr>
              <w:drawing>
                <wp:inline distT="0" distB="0" distL="114300" distR="114300">
                  <wp:extent cx="131445" cy="131445"/>
                  <wp:effectExtent l="0" t="0" r="1905" b="1905"/>
                  <wp:docPr id="4" name="图片 4"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4" name="图片 4" descr="点"/>
                          <pic:cNvPicPr>
                            <a:picLocks noChangeAspect="1"/>
                          </pic:cNvPicPr>
                        </pic:nvPicPr>
                        <pic:blipFill>
                          <a:blip r:embed="rId8">
                            <a:extLs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Pr>
                <w:rFonts w:hint="eastAsia" w:ascii="仿宋" w:hAnsi="仿宋" w:eastAsia="仿宋" w:cs="仿宋"/>
                <w:b/>
                <w:color w:val="000000" w:themeColor="text1"/>
                <w:kern w:val="2"/>
                <w:lang w:val="zh-CN"/>
                <w14:textFill>
                  <w14:solidFill>
                    <w14:schemeClr w14:val="tx1"/>
                  </w14:solidFill>
                </w14:textFill>
              </w:rPr>
              <w:t>不接受</w:t>
            </w:r>
          </w:p>
        </w:tc>
      </w:tr>
      <w:tr w14:paraId="3826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934AF82">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556" w:type="dxa"/>
            <w:vMerge w:val="restart"/>
            <w:vAlign w:val="center"/>
          </w:tcPr>
          <w:p w14:paraId="152D670C">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履约保证金</w:t>
            </w:r>
          </w:p>
        </w:tc>
        <w:tc>
          <w:tcPr>
            <w:tcW w:w="7067" w:type="dxa"/>
            <w:vAlign w:val="center"/>
          </w:tcPr>
          <w:p w14:paraId="4127E578">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占政府采购合同金额的_</w:t>
            </w:r>
            <w:r>
              <w:rPr>
                <w:rFonts w:hint="eastAsia" w:ascii="仿宋" w:hAnsi="仿宋" w:eastAsia="仿宋" w:cs="仿宋"/>
                <w:b/>
                <w:color w:val="000000" w:themeColor="text1"/>
                <w:sz w:val="24"/>
                <w:u w:val="single"/>
                <w14:textFill>
                  <w14:solidFill>
                    <w14:schemeClr w14:val="tx1"/>
                  </w14:solidFill>
                </w14:textFill>
              </w:rPr>
              <w:t>_</w:t>
            </w:r>
            <w:r>
              <w:rPr>
                <w:rFonts w:hint="eastAsia" w:ascii="仿宋" w:hAnsi="仿宋" w:eastAsia="仿宋" w:cs="仿宋"/>
                <w:b/>
                <w:color w:val="000000" w:themeColor="text1"/>
                <w:sz w:val="24"/>
                <w:u w:val="single"/>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_%</w:t>
            </w:r>
          </w:p>
          <w:p w14:paraId="2BD28734">
            <w:pPr>
              <w:ind w:right="94" w:rightChars="4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履约保证金的数额不得超过政府采购合同金额的5%；对于单价合同，其数额不得超过采购预算的5%</w:t>
            </w:r>
          </w:p>
        </w:tc>
      </w:tr>
      <w:tr w14:paraId="2E62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7218830">
            <w:pPr>
              <w:snapToGrid w:val="0"/>
              <w:spacing w:after="200"/>
              <w:ind w:left="142"/>
              <w:jc w:val="center"/>
              <w:rPr>
                <w:rFonts w:hint="eastAsia" w:ascii="仿宋" w:hAnsi="仿宋" w:eastAsia="仿宋" w:cs="仿宋"/>
                <w:color w:val="000000" w:themeColor="text1"/>
                <w:sz w:val="24"/>
                <w14:textFill>
                  <w14:solidFill>
                    <w14:schemeClr w14:val="tx1"/>
                  </w14:solidFill>
                </w14:textFill>
              </w:rPr>
            </w:pPr>
          </w:p>
        </w:tc>
        <w:tc>
          <w:tcPr>
            <w:tcW w:w="1556" w:type="dxa"/>
            <w:vMerge w:val="continue"/>
            <w:vAlign w:val="center"/>
          </w:tcPr>
          <w:p w14:paraId="646DAEFF">
            <w:pPr>
              <w:pStyle w:val="34"/>
              <w:ind w:left="96"/>
              <w:jc w:val="center"/>
              <w:rPr>
                <w:rFonts w:hint="eastAsia" w:ascii="仿宋" w:hAnsi="仿宋" w:eastAsia="仿宋" w:cs="仿宋"/>
                <w:color w:val="000000" w:themeColor="text1"/>
                <w:kern w:val="2"/>
                <w:lang w:val="zh-CN"/>
                <w14:textFill>
                  <w14:solidFill>
                    <w14:schemeClr w14:val="tx1"/>
                  </w14:solidFill>
                </w14:textFill>
              </w:rPr>
            </w:pPr>
          </w:p>
        </w:tc>
        <w:tc>
          <w:tcPr>
            <w:tcW w:w="7067" w:type="dxa"/>
            <w:vAlign w:val="center"/>
          </w:tcPr>
          <w:p w14:paraId="638F287C">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○由采购单位自行收退</w:t>
            </w:r>
          </w:p>
          <w:p w14:paraId="5A6EB7F8">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○由代理机构负责收退</w:t>
            </w:r>
          </w:p>
        </w:tc>
      </w:tr>
      <w:tr w14:paraId="779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A1ECD92">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556" w:type="dxa"/>
            <w:vAlign w:val="center"/>
          </w:tcPr>
          <w:p w14:paraId="51077DE6">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现场踏勘和集中答疑</w:t>
            </w:r>
          </w:p>
        </w:tc>
        <w:tc>
          <w:tcPr>
            <w:tcW w:w="7067" w:type="dxa"/>
            <w:vAlign w:val="center"/>
          </w:tcPr>
          <w:p w14:paraId="55EE3FDF">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○组织，集结地点为：_______________________</w:t>
            </w:r>
          </w:p>
          <w:p w14:paraId="335EC93D">
            <w:pPr>
              <w:ind w:right="94" w:rightChars="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drawing>
                <wp:inline distT="0" distB="0" distL="114300" distR="114300">
                  <wp:extent cx="130810" cy="130810"/>
                  <wp:effectExtent l="0" t="0" r="2540" b="2540"/>
                  <wp:docPr id="6" name="图片 6"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6" name="图片 6" descr="点"/>
                          <pic:cNvPicPr>
                            <a:picLocks noChangeAspect="1"/>
                          </pic:cNvPicPr>
                        </pic:nvPicPr>
                        <pic:blipFill>
                          <a:blip r:embed="rId8">
                            <a:extLst>
                              <a:ext uri="{96DAC541-7B7A-43D3-8B79-37D633B846F1}">
                                <asvg:svgBlip xmlns:asvg="http://schemas.microsoft.com/office/drawing/2016/SVG/main" r:embed="rId11"/>
                              </a:ext>
                            </a:extLst>
                          </a:blip>
                          <a:stretch>
                            <a:fillRect/>
                          </a:stretch>
                        </pic:blipFill>
                        <pic:spPr>
                          <a:xfrm flipH="1">
                            <a:off x="0" y="0"/>
                            <a:ext cx="130810" cy="130810"/>
                          </a:xfrm>
                          <a:prstGeom prst="rect">
                            <a:avLst/>
                          </a:prstGeom>
                        </pic:spPr>
                      </pic:pic>
                    </a:graphicData>
                  </a:graphic>
                </wp:inline>
              </w:drawing>
            </w:r>
            <w:r>
              <w:rPr>
                <w:rFonts w:hint="eastAsia" w:ascii="仿宋" w:hAnsi="仿宋" w:eastAsia="仿宋" w:cs="仿宋"/>
                <w:b/>
                <w:color w:val="000000" w:themeColor="text1"/>
                <w:sz w:val="24"/>
                <w14:textFill>
                  <w14:solidFill>
                    <w14:schemeClr w14:val="tx1"/>
                  </w14:solidFill>
                </w14:textFill>
              </w:rPr>
              <w:t>不组织</w:t>
            </w:r>
          </w:p>
        </w:tc>
      </w:tr>
      <w:tr w14:paraId="2D52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FB5E23D">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556" w:type="dxa"/>
            <w:vAlign w:val="center"/>
          </w:tcPr>
          <w:p w14:paraId="2040C225">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价格分比重</w:t>
            </w:r>
          </w:p>
        </w:tc>
        <w:tc>
          <w:tcPr>
            <w:tcW w:w="7067" w:type="dxa"/>
            <w:vAlign w:val="center"/>
          </w:tcPr>
          <w:p w14:paraId="45F30281">
            <w:pPr>
              <w:widowControl/>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占总分值的</w:t>
            </w:r>
            <w:r>
              <w:rPr>
                <w:rFonts w:hint="eastAsia" w:ascii="仿宋" w:hAnsi="仿宋" w:eastAsia="仿宋" w:cs="仿宋"/>
                <w:b/>
                <w:color w:val="000000" w:themeColor="text1"/>
                <w:kern w:val="0"/>
                <w:sz w:val="24"/>
                <w:szCs w:val="24"/>
                <w:u w:val="single"/>
                <w:lang w:val="zh-CN"/>
                <w14:textFill>
                  <w14:solidFill>
                    <w14:schemeClr w14:val="tx1"/>
                  </w14:solidFill>
                </w14:textFill>
              </w:rPr>
              <w:t>_</w:t>
            </w:r>
            <w:r>
              <w:rPr>
                <w:rFonts w:hint="eastAsia" w:ascii="仿宋" w:hAnsi="仿宋" w:eastAsia="仿宋" w:cs="仿宋"/>
                <w:b/>
                <w:color w:val="000000" w:themeColor="text1"/>
                <w:kern w:val="0"/>
                <w:sz w:val="24"/>
                <w:szCs w:val="24"/>
                <w:u w:val="single"/>
                <w:lang w:val="en-US" w:eastAsia="zh-CN"/>
                <w14:textFill>
                  <w14:solidFill>
                    <w14:schemeClr w14:val="tx1"/>
                  </w14:solidFill>
                </w14:textFill>
              </w:rPr>
              <w:t>30</w:t>
            </w:r>
            <w:r>
              <w:rPr>
                <w:rFonts w:hint="eastAsia" w:ascii="仿宋" w:hAnsi="仿宋" w:eastAsia="仿宋" w:cs="仿宋"/>
                <w:b/>
                <w:color w:val="000000" w:themeColor="text1"/>
                <w:kern w:val="0"/>
                <w:sz w:val="24"/>
                <w:szCs w:val="24"/>
                <w:u w:val="single"/>
                <w:lang w:val="zh-CN"/>
                <w14:textFill>
                  <w14:solidFill>
                    <w14:schemeClr w14:val="tx1"/>
                  </w14:solidFill>
                </w14:textFill>
              </w:rPr>
              <w:t>_</w:t>
            </w:r>
            <w:r>
              <w:rPr>
                <w:rFonts w:hint="eastAsia" w:ascii="仿宋" w:hAnsi="仿宋" w:eastAsia="仿宋" w:cs="仿宋"/>
                <w:b/>
                <w:color w:val="000000" w:themeColor="text1"/>
                <w:kern w:val="0"/>
                <w:sz w:val="24"/>
                <w:szCs w:val="24"/>
                <w:lang w:val="zh-CN"/>
                <w14:textFill>
                  <w14:solidFill>
                    <w14:schemeClr w14:val="tx1"/>
                  </w14:solidFill>
                </w14:textFill>
              </w:rPr>
              <w:t>%</w:t>
            </w:r>
          </w:p>
          <w:p w14:paraId="3DC51AAE">
            <w:pPr>
              <w:widowControl/>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政府采购法律法规未有明确限制。</w:t>
            </w:r>
          </w:p>
        </w:tc>
      </w:tr>
      <w:tr w14:paraId="047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AA85A28">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556" w:type="dxa"/>
            <w:vAlign w:val="center"/>
          </w:tcPr>
          <w:p w14:paraId="5C1D4A4E">
            <w:pPr>
              <w:pStyle w:val="34"/>
              <w:ind w:left="96"/>
              <w:jc w:val="center"/>
              <w:rPr>
                <w:rFonts w:hint="eastAsia" w:ascii="仿宋" w:hAnsi="仿宋" w:eastAsia="仿宋" w:cs="仿宋"/>
                <w:color w:val="000000" w:themeColor="text1"/>
                <w:kern w:val="2"/>
                <w:lang w:val="zh-CN"/>
                <w14:textFill>
                  <w14:solidFill>
                    <w14:schemeClr w14:val="tx1"/>
                  </w14:solidFill>
                </w14:textFill>
              </w:rPr>
            </w:pPr>
            <w:r>
              <w:rPr>
                <w:rFonts w:hint="eastAsia" w:ascii="仿宋" w:hAnsi="仿宋" w:eastAsia="仿宋" w:cs="仿宋"/>
                <w:color w:val="000000" w:themeColor="text1"/>
                <w:kern w:val="2"/>
                <w:lang w:val="zh-CN"/>
                <w14:textFill>
                  <w14:solidFill>
                    <w14:schemeClr w14:val="tx1"/>
                  </w14:solidFill>
                </w14:textFill>
              </w:rPr>
              <w:t>合同类型</w:t>
            </w:r>
          </w:p>
        </w:tc>
        <w:tc>
          <w:tcPr>
            <w:tcW w:w="7067" w:type="dxa"/>
            <w:vAlign w:val="center"/>
          </w:tcPr>
          <w:p w14:paraId="799E7FAF">
            <w:pPr>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○总价</w:t>
            </w:r>
          </w:p>
          <w:p w14:paraId="209BD862">
            <w:pPr>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27940</wp:posOffset>
                  </wp:positionH>
                  <wp:positionV relativeFrom="margin">
                    <wp:posOffset>222250</wp:posOffset>
                  </wp:positionV>
                  <wp:extent cx="125095" cy="125095"/>
                  <wp:effectExtent l="0" t="0" r="8255" b="8255"/>
                  <wp:wrapNone/>
                  <wp:docPr id="2" name="图片 2" descr="圆点圆圈"/>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19987086&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2" name="图片 2" descr="圆点圆圈"/>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25095" cy="125095"/>
                          </a:xfrm>
                          <a:prstGeom prst="rect">
                            <a:avLst/>
                          </a:prstGeom>
                        </pic:spPr>
                      </pic:pic>
                    </a:graphicData>
                  </a:graphic>
                </wp:anchor>
              </w:drawing>
            </w:r>
            <w:r>
              <w:rPr>
                <w:rFonts w:hint="eastAsia" w:ascii="仿宋" w:hAnsi="仿宋" w:eastAsia="仿宋" w:cs="仿宋"/>
                <w:b/>
                <w:color w:val="000000" w:themeColor="text1"/>
                <w:sz w:val="24"/>
                <w:lang w:val="en-US" w:eastAsia="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综合单价（适用于采购数量不定的情形）</w:t>
            </w:r>
          </w:p>
          <w:p w14:paraId="6CCDF79E">
            <w:pP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○其他：___________________________</w:t>
            </w:r>
          </w:p>
        </w:tc>
      </w:tr>
      <w:tr w14:paraId="3E2D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708D72D">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556" w:type="dxa"/>
            <w:vAlign w:val="center"/>
          </w:tcPr>
          <w:p w14:paraId="0E9C30C7">
            <w:pPr>
              <w:tabs>
                <w:tab w:val="left" w:pos="7665"/>
              </w:tabs>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争议解决途径</w:t>
            </w:r>
          </w:p>
        </w:tc>
        <w:tc>
          <w:tcPr>
            <w:tcW w:w="7067" w:type="dxa"/>
            <w:vAlign w:val="center"/>
          </w:tcPr>
          <w:p w14:paraId="1D395A5A">
            <w:pPr>
              <w:tabs>
                <w:tab w:val="left" w:pos="7665"/>
              </w:tabs>
              <w:snapToGrid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drawing>
                <wp:inline distT="0" distB="0" distL="114300" distR="114300">
                  <wp:extent cx="116205" cy="116205"/>
                  <wp:effectExtent l="0" t="0" r="17145" b="17145"/>
                  <wp:docPr id="10" name="图片 10" descr="点"/>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4721222&quot;,&quot;origin&quot;:0,&quot;type&quot;:&quot;icons&quot;,&quot;user&quot;:&quot;691619394&quot;}"/>
                        </s:tag>
                      </a:ext>
                    </a:extLst>
                  </wp:cNvGraphicFramePr>
                  <a:graphic xmlns:a="http://schemas.openxmlformats.org/drawingml/2006/main">
                    <a:graphicData uri="http://schemas.openxmlformats.org/drawingml/2006/picture">
                      <pic:pic xmlns:pic="http://schemas.openxmlformats.org/drawingml/2006/picture">
                        <pic:nvPicPr>
                          <pic:cNvPr id="10" name="图片 10" descr="点"/>
                          <pic:cNvPicPr>
                            <a:picLocks noChangeAspect="1"/>
                          </pic:cNvPicPr>
                        </pic:nvPicPr>
                        <pic:blipFill>
                          <a:blip r:embed="rId8">
                            <a:extLst>
                              <a:ext uri="{96DAC541-7B7A-43D3-8B79-37D633B846F1}">
                                <asvg:svgBlip xmlns:asvg="http://schemas.microsoft.com/office/drawing/2016/SVG/main" r:embed="rId14"/>
                              </a:ext>
                            </a:extLst>
                          </a:blip>
                          <a:stretch>
                            <a:fillRect/>
                          </a:stretch>
                        </pic:blipFill>
                        <pic:spPr>
                          <a:xfrm>
                            <a:off x="0" y="0"/>
                            <a:ext cx="116205" cy="116205"/>
                          </a:xfrm>
                          <a:prstGeom prst="rect">
                            <a:avLst/>
                          </a:prstGeom>
                        </pic:spPr>
                      </pic:pic>
                    </a:graphicData>
                  </a:graphic>
                </wp:inline>
              </w:drawing>
            </w:r>
            <w:r>
              <w:rPr>
                <w:rFonts w:hint="eastAsia" w:ascii="仿宋" w:hAnsi="仿宋" w:eastAsia="仿宋" w:cs="仿宋"/>
                <w:b/>
                <w:color w:val="000000" w:themeColor="text1"/>
                <w:sz w:val="24"/>
                <w14:textFill>
                  <w14:solidFill>
                    <w14:schemeClr w14:val="tx1"/>
                  </w14:solidFill>
                </w14:textFill>
              </w:rPr>
              <w:t>向有管辖权的人民法院提起诉讼</w:t>
            </w:r>
          </w:p>
          <w:p w14:paraId="5C006D71">
            <w:pPr>
              <w:tabs>
                <w:tab w:val="left" w:pos="7665"/>
              </w:tabs>
              <w:snapToGrid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○向西安仲裁委员会提请仲裁</w:t>
            </w:r>
          </w:p>
          <w:p w14:paraId="782F9F15">
            <w:pPr>
              <w:tabs>
                <w:tab w:val="left" w:pos="7665"/>
              </w:tabs>
              <w:snapToGri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○由供应商做出选择</w:t>
            </w:r>
          </w:p>
        </w:tc>
      </w:tr>
      <w:tr w14:paraId="059B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6FF14D2">
            <w:pPr>
              <w:snapToGrid w:val="0"/>
              <w:spacing w:after="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556" w:type="dxa"/>
            <w:vAlign w:val="center"/>
          </w:tcPr>
          <w:p w14:paraId="0E25BD63">
            <w:pPr>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c>
          <w:tcPr>
            <w:tcW w:w="7067" w:type="dxa"/>
            <w:vAlign w:val="center"/>
          </w:tcPr>
          <w:p w14:paraId="7F8E32AC">
            <w:pPr>
              <w:tabs>
                <w:tab w:val="left" w:pos="7665"/>
              </w:tabs>
              <w:snapToGrid w:val="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项目对接人：</w:t>
            </w:r>
            <w:r>
              <w:rPr>
                <w:rFonts w:hint="eastAsia" w:ascii="仿宋" w:hAnsi="仿宋" w:eastAsia="仿宋" w:cs="仿宋"/>
                <w:b/>
                <w:bCs/>
                <w:color w:val="000000" w:themeColor="text1"/>
                <w:sz w:val="24"/>
                <w:u w:val="single"/>
                <w:lang w:val="en-US" w:eastAsia="zh-CN"/>
                <w14:textFill>
                  <w14:solidFill>
                    <w14:schemeClr w14:val="tx1"/>
                  </w14:solidFill>
                </w14:textFill>
              </w:rPr>
              <w:t xml:space="preserve">  杨小臣          </w:t>
            </w:r>
          </w:p>
          <w:p w14:paraId="7DD3194E">
            <w:pPr>
              <w:tabs>
                <w:tab w:val="left" w:pos="7665"/>
              </w:tabs>
              <w:snapToGrid w:val="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联系电话：</w:t>
            </w:r>
            <w:r>
              <w:rPr>
                <w:rFonts w:hint="eastAsia" w:ascii="仿宋" w:hAnsi="仿宋" w:eastAsia="仿宋" w:cs="仿宋"/>
                <w:b/>
                <w:bCs/>
                <w:color w:val="000000" w:themeColor="text1"/>
                <w:sz w:val="24"/>
                <w:u w:val="single"/>
                <w:lang w:val="en-US" w:eastAsia="zh-CN"/>
                <w14:textFill>
                  <w14:solidFill>
                    <w14:schemeClr w14:val="tx1"/>
                  </w14:solidFill>
                </w14:textFill>
              </w:rPr>
              <w:t xml:space="preserve">  86866077          </w:t>
            </w:r>
          </w:p>
          <w:p w14:paraId="65D45644">
            <w:pPr>
              <w:tabs>
                <w:tab w:val="left" w:pos="7665"/>
              </w:tabs>
              <w:snapToGri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电子邮箱：_</w:t>
            </w:r>
            <w:r>
              <w:rPr>
                <w:rFonts w:hint="eastAsia" w:ascii="仿宋" w:hAnsi="仿宋" w:eastAsia="仿宋" w:cs="仿宋"/>
                <w:b/>
                <w:bCs/>
                <w:color w:val="000000" w:themeColor="text1"/>
                <w:sz w:val="24"/>
                <w:u w:val="single"/>
                <w14:textFill>
                  <w14:solidFill>
                    <w14:schemeClr w14:val="tx1"/>
                  </w14:solidFill>
                </w14:textFill>
              </w:rPr>
              <w:t>yljy07603@163.com</w:t>
            </w:r>
            <w:r>
              <w:rPr>
                <w:rFonts w:hint="eastAsia" w:ascii="仿宋" w:hAnsi="仿宋" w:eastAsia="仿宋" w:cs="仿宋"/>
                <w:b/>
                <w:bCs/>
                <w:color w:val="000000" w:themeColor="text1"/>
                <w:sz w:val="24"/>
                <w14:textFill>
                  <w14:solidFill>
                    <w14:schemeClr w14:val="tx1"/>
                  </w14:solidFill>
                </w14:textFill>
              </w:rPr>
              <w:t>__</w:t>
            </w:r>
          </w:p>
        </w:tc>
      </w:tr>
    </w:tbl>
    <w:p w14:paraId="69972A78">
      <w:pPr>
        <w:widowControl/>
        <w:jc w:val="center"/>
        <w:rPr>
          <w:rFonts w:hint="eastAsia" w:ascii="仿宋" w:hAnsi="仿宋" w:eastAsia="仿宋" w:cs="仿宋"/>
          <w:b/>
          <w:color w:val="000000" w:themeColor="text1"/>
          <w:sz w:val="32"/>
          <w:szCs w:val="32"/>
          <w14:textFill>
            <w14:solidFill>
              <w14:schemeClr w14:val="tx1"/>
            </w14:solidFill>
          </w14:textFill>
        </w:rPr>
      </w:pPr>
    </w:p>
    <w:p w14:paraId="5D932DD6">
      <w:pPr>
        <w:widowControl/>
        <w:jc w:val="center"/>
        <w:rPr>
          <w:rFonts w:hint="eastAsia" w:ascii="仿宋" w:hAnsi="仿宋" w:eastAsia="仿宋" w:cs="仿宋"/>
          <w:b/>
          <w:color w:val="000000" w:themeColor="text1"/>
          <w:sz w:val="32"/>
          <w:szCs w:val="32"/>
          <w14:textFill>
            <w14:solidFill>
              <w14:schemeClr w14:val="tx1"/>
            </w14:solidFill>
          </w14:textFill>
        </w:rPr>
      </w:pPr>
    </w:p>
    <w:p w14:paraId="55B5F61A">
      <w:pPr>
        <w:widowControl/>
        <w:jc w:val="center"/>
        <w:rPr>
          <w:rFonts w:hint="eastAsia" w:ascii="仿宋" w:hAnsi="仿宋" w:eastAsia="仿宋" w:cs="仿宋"/>
          <w:b/>
          <w:color w:val="000000" w:themeColor="text1"/>
          <w:sz w:val="32"/>
          <w:szCs w:val="32"/>
          <w14:textFill>
            <w14:solidFill>
              <w14:schemeClr w14:val="tx1"/>
            </w14:solidFill>
          </w14:textFill>
        </w:rPr>
      </w:pPr>
    </w:p>
    <w:p w14:paraId="775DDE66">
      <w:pPr>
        <w:widowControl/>
        <w:jc w:val="center"/>
        <w:rPr>
          <w:rFonts w:hint="eastAsia" w:ascii="仿宋" w:hAnsi="仿宋" w:eastAsia="仿宋" w:cs="仿宋"/>
          <w:b/>
          <w:color w:val="000000" w:themeColor="text1"/>
          <w:sz w:val="32"/>
          <w:szCs w:val="32"/>
          <w14:textFill>
            <w14:solidFill>
              <w14:schemeClr w14:val="tx1"/>
            </w14:solidFill>
          </w14:textFill>
        </w:rPr>
      </w:pPr>
    </w:p>
    <w:p w14:paraId="61A23EB5">
      <w:pPr>
        <w:widowControl/>
        <w:jc w:val="center"/>
        <w:rPr>
          <w:rFonts w:hint="eastAsia" w:ascii="仿宋" w:hAnsi="仿宋" w:eastAsia="仿宋" w:cs="仿宋"/>
          <w:b/>
          <w:color w:val="000000" w:themeColor="text1"/>
          <w:sz w:val="32"/>
          <w:szCs w:val="32"/>
          <w14:textFill>
            <w14:solidFill>
              <w14:schemeClr w14:val="tx1"/>
            </w14:solidFill>
          </w14:textFill>
        </w:rPr>
      </w:pPr>
    </w:p>
    <w:p w14:paraId="05F3B656">
      <w:pPr>
        <w:widowControl/>
        <w:jc w:val="center"/>
        <w:rPr>
          <w:rFonts w:hint="eastAsia" w:ascii="仿宋" w:hAnsi="仿宋" w:eastAsia="仿宋" w:cs="仿宋"/>
          <w:b/>
          <w:color w:val="000000" w:themeColor="text1"/>
          <w:sz w:val="32"/>
          <w:szCs w:val="32"/>
          <w14:textFill>
            <w14:solidFill>
              <w14:schemeClr w14:val="tx1"/>
            </w14:solidFill>
          </w14:textFill>
        </w:rPr>
      </w:pPr>
    </w:p>
    <w:p w14:paraId="2E9F7B9C">
      <w:pPr>
        <w:widowControl/>
        <w:jc w:val="center"/>
        <w:rPr>
          <w:rFonts w:hint="eastAsia" w:ascii="仿宋" w:hAnsi="仿宋" w:eastAsia="仿宋" w:cs="仿宋"/>
          <w:b/>
          <w:color w:val="000000" w:themeColor="text1"/>
          <w:sz w:val="32"/>
          <w:szCs w:val="32"/>
          <w14:textFill>
            <w14:solidFill>
              <w14:schemeClr w14:val="tx1"/>
            </w14:solidFill>
          </w14:textFill>
        </w:rPr>
      </w:pPr>
    </w:p>
    <w:p w14:paraId="178F82A5">
      <w:pPr>
        <w:widowControl/>
        <w:jc w:val="both"/>
        <w:rPr>
          <w:rFonts w:hint="eastAsia" w:ascii="仿宋" w:hAnsi="仿宋" w:eastAsia="仿宋" w:cs="仿宋"/>
          <w:b/>
          <w:color w:val="000000" w:themeColor="text1"/>
          <w:sz w:val="32"/>
          <w:szCs w:val="32"/>
          <w14:textFill>
            <w14:solidFill>
              <w14:schemeClr w14:val="tx1"/>
            </w14:solidFill>
          </w14:textFill>
        </w:rPr>
      </w:pPr>
    </w:p>
    <w:p w14:paraId="4703301F">
      <w:pPr>
        <w:widowControl/>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需求框架（工程类）</w:t>
      </w:r>
    </w:p>
    <w:p w14:paraId="26007FF6">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一、项目概况</w:t>
      </w:r>
    </w:p>
    <w:p w14:paraId="66F95A3E">
      <w:pPr>
        <w:spacing w:before="210" w:line="353" w:lineRule="auto"/>
        <w:ind w:left="7" w:firstLine="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本工程为阎良区武屯职业高级中学女生宿舍改造工程。主要内容包括外  立面更新改造、房间木门全部重新油漆、卫生间更新改造、走廊更新改造、轻钢结构自行车棚拆除恢复、电气工程、给排水工程等工作内容，具体详见图纸及工程量清单。</w:t>
      </w:r>
    </w:p>
    <w:p w14:paraId="762B08BF">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二、工程内容和施工地点、计划工期、缺陷责任期、质量保修期</w:t>
      </w:r>
    </w:p>
    <w:p w14:paraId="7529A9FB">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（一）工程内容：</w:t>
      </w:r>
      <w:r>
        <w:rPr>
          <w:rFonts w:hint="eastAsia" w:ascii="仿宋" w:hAnsi="仿宋" w:eastAsia="仿宋" w:cs="仿宋"/>
          <w:color w:val="000000" w:themeColor="text1"/>
          <w:sz w:val="24"/>
          <w:szCs w:val="24"/>
          <w14:textFill>
            <w14:solidFill>
              <w14:schemeClr w14:val="tx1"/>
            </w14:solidFill>
          </w14:textFill>
        </w:rPr>
        <w:t>本工程为阎良区武屯职业高级中学女生宿舍改造工程。主要内容包括外  立面更新改造、房间木门全部重新油漆、卫生间更新改造、走廊更新改造、轻钢结构自行车棚拆除恢复、电气工程、给排水工程等工作内容，具体详见图纸及工程量清单。</w:t>
      </w:r>
    </w:p>
    <w:p w14:paraId="5D7271B4">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（二）工程地点：西安市阎良区武屯职业高级中学。</w:t>
      </w:r>
    </w:p>
    <w:p w14:paraId="529CB46B">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（三）计划工期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自进场之日起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14:textFill>
            <w14:solidFill>
              <w14:schemeClr w14:val="tx1"/>
            </w14:solidFill>
          </w14:textFill>
        </w:rPr>
        <w:t>个日历日内竣工。</w:t>
      </w:r>
    </w:p>
    <w:p w14:paraId="2C5E6553">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（四）缺陷责任期（与质保金的退还有关）：见《建设工程质量保证金管理暂行办法》，2年。</w:t>
      </w:r>
    </w:p>
    <w:p w14:paraId="4BB6BE01">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（五）质量保修期（与质保金的退还无关）：见《建设工程质量管理条例》。</w:t>
      </w:r>
    </w:p>
    <w:p w14:paraId="6BBA8FCD">
      <w:pPr>
        <w:pBdr>
          <w:bottom w:val="single" w:color="auto" w:sz="4" w:space="1"/>
        </w:pBdr>
        <w:spacing w:beforeLines="100"/>
        <w:ind w:left="420" w:hanging="42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三、工程量清单和计价依据</w:t>
      </w:r>
    </w:p>
    <w:p w14:paraId="7FADB4E5">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（一）计价依据：</w:t>
      </w:r>
    </w:p>
    <w:p w14:paraId="0B0CBDFD">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1、本工程依据送审图纸、相关标准图集、施工规范及验收规范；</w:t>
      </w:r>
    </w:p>
    <w:p w14:paraId="6D04AAE9">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2、《建设工程工程量清单计价规范》（GB50500-2008）、《陕西省建 设工程工程量清单计价规则》（2009）；</w:t>
      </w:r>
    </w:p>
    <w:p w14:paraId="55F26DAE">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3、《陕西省建筑、装饰工程消耗量定额》2004、《陕西省市政、景观 绿化工程消耗量定额》2004、《陕西省安装工程消耗量定额》2004 及《陕 西省建设工程消耗量定额勘误及补充定额》2009；</w:t>
      </w:r>
    </w:p>
    <w:p w14:paraId="0FBE7AE3">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4、《陕西省建筑、装饰工程价目表》2009、《陕西省安装工程价目表》</w:t>
      </w:r>
    </w:p>
    <w:p w14:paraId="13CAF641">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2009、《陕西省建设工程施工机械台班价目表》2009、《全统修缮定额土建 工程陕西省价目表》2001；</w:t>
      </w:r>
    </w:p>
    <w:p w14:paraId="47E7115F">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5、陕建发[2017]270 号文《关于增加建设工程扬尘治理专项措施费及 综合人工单价调整的通知》；</w:t>
      </w:r>
    </w:p>
    <w:p w14:paraId="4416A6F2">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6、陕建发[2019]45 号文《关于调整陕西省建设工程计价依据的通知》；</w:t>
      </w:r>
    </w:p>
    <w:p w14:paraId="58405C5D">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7A762538">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sectPr>
          <w:footerReference r:id="rId3" w:type="default"/>
          <w:pgSz w:w="11906" w:h="16839"/>
          <w:pgMar w:top="1431" w:right="1518" w:bottom="1180" w:left="1594" w:header="0" w:footer="966" w:gutter="0"/>
          <w:pgNumType w:fmt="decimal"/>
          <w:cols w:space="720" w:num="1"/>
        </w:sectPr>
      </w:pPr>
    </w:p>
    <w:p w14:paraId="7A8F1927">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7、陕建发[2019]1246 号文《关于发布我省落实建筑工人实名制管理计 价依据的通知》；</w:t>
      </w:r>
    </w:p>
    <w:p w14:paraId="51060948">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8、陕建发[2020]1097 号文《关于建筑施工安全生产责任保险费用计价 的通知》；</w:t>
      </w:r>
    </w:p>
    <w:p w14:paraId="523B884F">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9、陕建发[2021]1021 号文《陕西省住房和城乡建设厅关于全省统一停 止收缴建筑业劳保费用的通知》；</w:t>
      </w:r>
    </w:p>
    <w:p w14:paraId="612F5D62">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10、陕建发[2021]1097 号文《关于调整房屋建筑和市政基础设施工程 工程量清单计价综合人工单价的通知》；</w:t>
      </w:r>
    </w:p>
    <w:p w14:paraId="4B7A910A">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11、材料价格依次执行《陕西省工程造价管理信息—材料信息价》 （阎良）2025 年第 1 期，信息价中缺项的价格按市场询价执行；</w:t>
      </w:r>
    </w:p>
    <w:p w14:paraId="61F2A164">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12、采用广联达云计价平台 6.4100.23.122。</w:t>
      </w:r>
    </w:p>
    <w:p w14:paraId="3904FABD">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13、其他相关资料。</w:t>
      </w:r>
    </w:p>
    <w:p w14:paraId="5FE842E8">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47E48BCE">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2AA5FC02">
      <w:pPr>
        <w:pStyle w:val="41"/>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453FDF2">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14BC8147">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6C2F64A4">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62CDC488">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00379558">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38CD1F03">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7A6D515D">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7B297CC4">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44D7416C">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28DC199B">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p>
    <w:p w14:paraId="78596A01">
      <w:pPr>
        <w:rPr>
          <w:rFonts w:hint="eastAsia" w:ascii="仿宋" w:hAnsi="仿宋" w:cs="仿宋"/>
          <w:color w:val="000000" w:themeColor="text1"/>
          <w:sz w:val="24"/>
          <w:szCs w:val="24"/>
          <w:lang w:eastAsia="zh-CN"/>
          <w14:textFill>
            <w14:solidFill>
              <w14:schemeClr w14:val="tx1"/>
            </w14:solidFill>
          </w14:textFill>
        </w:rPr>
      </w:pPr>
      <w:r>
        <w:rPr>
          <w:rFonts w:hint="eastAsia" w:ascii="仿宋" w:hAnsi="仿宋" w:cs="仿宋"/>
          <w:color w:val="000000" w:themeColor="text1"/>
          <w:sz w:val="24"/>
          <w:szCs w:val="24"/>
          <w:lang w:eastAsia="zh-CN"/>
          <w14:textFill>
            <w14:solidFill>
              <w14:schemeClr w14:val="tx1"/>
            </w14:solidFill>
          </w14:textFill>
        </w:rPr>
        <w:br w:type="page"/>
      </w:r>
    </w:p>
    <w:p w14:paraId="3843C097">
      <w:pPr>
        <w:pStyle w:val="10"/>
        <w:numPr>
          <w:ilvl w:val="0"/>
          <w:numId w:val="0"/>
        </w:numPr>
        <w:ind w:leftChars="0" w:right="0" w:right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工程量清单：</w:t>
      </w:r>
    </w:p>
    <w:p w14:paraId="17A9FC63">
      <w:pPr>
        <w:pStyle w:val="10"/>
        <w:numPr>
          <w:ilvl w:val="0"/>
          <w:numId w:val="0"/>
        </w:numPr>
        <w:ind w:leftChars="0" w:right="0" w:rightChars="0"/>
        <w:rPr>
          <w:position w:val="-234"/>
        </w:rPr>
      </w:pPr>
      <w:r>
        <w:rPr>
          <w:position w:val="-234"/>
        </w:rPr>
        <w:drawing>
          <wp:inline distT="0" distB="0" distL="0" distR="0">
            <wp:extent cx="5410200" cy="7638415"/>
            <wp:effectExtent l="0" t="0" r="0" b="63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5410200" cy="7638415"/>
                    </a:xfrm>
                    <a:prstGeom prst="rect">
                      <a:avLst/>
                    </a:prstGeom>
                  </pic:spPr>
                </pic:pic>
              </a:graphicData>
            </a:graphic>
          </wp:inline>
        </w:drawing>
      </w:r>
    </w:p>
    <w:p w14:paraId="0E54EDAF">
      <w:pPr>
        <w:pStyle w:val="10"/>
        <w:numPr>
          <w:ilvl w:val="0"/>
          <w:numId w:val="0"/>
        </w:numPr>
        <w:ind w:leftChars="0" w:right="0" w:rightChars="0"/>
        <w:rPr>
          <w:position w:val="-234"/>
        </w:rPr>
      </w:pPr>
      <w:r>
        <w:rPr>
          <w:position w:val="-234"/>
        </w:rPr>
        <w:drawing>
          <wp:inline distT="0" distB="0" distL="0" distR="0">
            <wp:extent cx="5400675" cy="7751445"/>
            <wp:effectExtent l="0" t="0" r="9525" b="190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5400675" cy="7751445"/>
                    </a:xfrm>
                    <a:prstGeom prst="rect">
                      <a:avLst/>
                    </a:prstGeom>
                  </pic:spPr>
                </pic:pic>
              </a:graphicData>
            </a:graphic>
          </wp:inline>
        </w:drawing>
      </w:r>
    </w:p>
    <w:p w14:paraId="4F53AF7E">
      <w:pPr>
        <w:pStyle w:val="10"/>
        <w:numPr>
          <w:ilvl w:val="0"/>
          <w:numId w:val="0"/>
        </w:numPr>
        <w:ind w:leftChars="0" w:right="0" w:rightChars="0"/>
        <w:rPr>
          <w:position w:val="-234"/>
        </w:rPr>
      </w:pPr>
      <w:r>
        <w:rPr>
          <w:position w:val="-234"/>
        </w:rPr>
        <w:drawing>
          <wp:inline distT="0" distB="0" distL="0" distR="0">
            <wp:extent cx="5356860" cy="7863840"/>
            <wp:effectExtent l="0" t="0" r="15240" b="381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5356860" cy="7863840"/>
                    </a:xfrm>
                    <a:prstGeom prst="rect">
                      <a:avLst/>
                    </a:prstGeom>
                  </pic:spPr>
                </pic:pic>
              </a:graphicData>
            </a:graphic>
          </wp:inline>
        </w:drawing>
      </w:r>
    </w:p>
    <w:p w14:paraId="4FCDF580">
      <w:pPr>
        <w:pStyle w:val="10"/>
        <w:numPr>
          <w:ilvl w:val="0"/>
          <w:numId w:val="0"/>
        </w:numPr>
        <w:ind w:leftChars="0" w:right="0" w:rightChars="0"/>
        <w:rPr>
          <w:rFonts w:hint="eastAsia"/>
          <w:position w:val="-234"/>
          <w:lang w:eastAsia="zh-CN"/>
        </w:rPr>
      </w:pPr>
      <w:r>
        <w:rPr>
          <w:position w:val="-234"/>
        </w:rPr>
        <w:drawing>
          <wp:inline distT="0" distB="0" distL="0" distR="0">
            <wp:extent cx="5366385" cy="7880985"/>
            <wp:effectExtent l="0" t="0" r="5715" b="571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5366385" cy="7880985"/>
                    </a:xfrm>
                    <a:prstGeom prst="rect">
                      <a:avLst/>
                    </a:prstGeom>
                  </pic:spPr>
                </pic:pic>
              </a:graphicData>
            </a:graphic>
          </wp:inline>
        </w:drawing>
      </w:r>
      <w:r>
        <w:rPr>
          <w:position w:val="-234"/>
        </w:rPr>
        <w:drawing>
          <wp:inline distT="0" distB="0" distL="0" distR="0">
            <wp:extent cx="5426075" cy="8010525"/>
            <wp:effectExtent l="0" t="0" r="3175" b="952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5426075" cy="8010525"/>
                    </a:xfrm>
                    <a:prstGeom prst="rect">
                      <a:avLst/>
                    </a:prstGeom>
                  </pic:spPr>
                </pic:pic>
              </a:graphicData>
            </a:graphic>
          </wp:inline>
        </w:drawing>
      </w:r>
      <w:r>
        <w:rPr>
          <w:position w:val="-234"/>
        </w:rPr>
        <w:drawing>
          <wp:inline distT="0" distB="0" distL="0" distR="0">
            <wp:extent cx="5521960" cy="8072120"/>
            <wp:effectExtent l="0" t="0" r="2540" b="508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5521960" cy="8072120"/>
                    </a:xfrm>
                    <a:prstGeom prst="rect">
                      <a:avLst/>
                    </a:prstGeom>
                  </pic:spPr>
                </pic:pic>
              </a:graphicData>
            </a:graphic>
          </wp:inline>
        </w:drawing>
      </w:r>
      <w:r>
        <w:rPr>
          <w:position w:val="-234"/>
        </w:rPr>
        <w:drawing>
          <wp:inline distT="0" distB="0" distL="0" distR="0">
            <wp:extent cx="5400675" cy="7820025"/>
            <wp:effectExtent l="0" t="0" r="9525" b="952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5400675" cy="7820025"/>
                    </a:xfrm>
                    <a:prstGeom prst="rect">
                      <a:avLst/>
                    </a:prstGeom>
                  </pic:spPr>
                </pic:pic>
              </a:graphicData>
            </a:graphic>
          </wp:inline>
        </w:drawing>
      </w:r>
      <w:r>
        <w:rPr>
          <w:position w:val="-234"/>
        </w:rPr>
        <w:drawing>
          <wp:inline distT="0" distB="0" distL="0" distR="0">
            <wp:extent cx="5556250" cy="7985125"/>
            <wp:effectExtent l="0" t="0" r="6350"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5556250" cy="7985125"/>
                    </a:xfrm>
                    <a:prstGeom prst="rect">
                      <a:avLst/>
                    </a:prstGeom>
                  </pic:spPr>
                </pic:pic>
              </a:graphicData>
            </a:graphic>
          </wp:inline>
        </w:drawing>
      </w:r>
    </w:p>
    <w:p w14:paraId="6055CBB4">
      <w:pPr>
        <w:pBdr>
          <w:bottom w:val="single" w:color="auto" w:sz="4" w:space="1"/>
        </w:pBdr>
        <w:spacing w:beforeLines="100"/>
        <w:rPr>
          <w:rFonts w:hint="eastAsia" w:ascii="仿宋" w:hAnsi="仿宋" w:eastAsia="仿宋" w:cs="仿宋"/>
          <w:b/>
          <w:color w:val="000000" w:themeColor="text1"/>
          <w:sz w:val="28"/>
          <w:szCs w:val="28"/>
          <w14:textFill>
            <w14:solidFill>
              <w14:schemeClr w14:val="tx1"/>
            </w14:solidFill>
          </w14:textFill>
        </w:rPr>
      </w:pPr>
    </w:p>
    <w:p w14:paraId="455D3B57">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四、施工要求</w:t>
      </w:r>
    </w:p>
    <w:p w14:paraId="04FB7097">
      <w:pPr>
        <w:pStyle w:val="41"/>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在施工期间，中标供应商必须注意院内人员安全，加强安全措施，并对施工人员进行安全教育。施工人员必须持证上岗。因采购人工作的特殊性，要求中标供应商在施工中做到封闭性施工。</w:t>
      </w:r>
    </w:p>
    <w:p w14:paraId="61152BBF">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五、商务要求</w:t>
      </w:r>
    </w:p>
    <w:p w14:paraId="724A06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款项结算：合同签订后，项目完成并验收合格后甲方向乙方支付合同款的 70%，待结算审计完成后甲方向乙方支付至项目结算价款的100%，乙方要在项目质保期间严格履行好质保责任。</w:t>
      </w:r>
    </w:p>
    <w:p w14:paraId="7A978631">
      <w:pPr>
        <w:pBdr>
          <w:bottom w:val="single" w:color="auto" w:sz="4" w:space="1"/>
        </w:pBdr>
        <w:spacing w:beforeLines="100"/>
        <w:ind w:left="420" w:hanging="4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六、其他</w:t>
      </w:r>
    </w:p>
    <w:p w14:paraId="577CB99F">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（一）对供应商的业绩要求。</w:t>
      </w:r>
    </w:p>
    <w:p w14:paraId="258BCD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以合同形式提供供应商202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年1月至今类似项目业绩（以合同签署时间为准）。</w:t>
      </w:r>
    </w:p>
    <w:p w14:paraId="3A0646B4">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（二）质量验收标准或规范</w:t>
      </w:r>
    </w:p>
    <w:p w14:paraId="2BAF3E8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《建筑工程施工质量验收统一标准》(GB 50300-2001),《建筑装饰工程质量验收规范》(GB50210-2001)和中华人民共和国建设部颁发的其它现行标准、规范及省、市有关规定。</w:t>
      </w:r>
    </w:p>
    <w:p w14:paraId="5ED3AC4D">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（三）违约责任</w:t>
      </w:r>
    </w:p>
    <w:p w14:paraId="4B34EA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乙方不能按照合同中规定的工期、质量、进度履行合同条款，甲方认为工程进度缓慢、工程质量达不到规定的质量要求，甲方有权单方面解除合同，并以函件的形式通知乙方，无须诉诸司法机关或采取其他措施；因上述原因解除合同给甲方造成的经济损失，乙方应给予赔偿。</w:t>
      </w:r>
    </w:p>
    <w:p w14:paraId="20C1A58E">
      <w:pPr>
        <w:spacing w:line="360" w:lineRule="auto"/>
        <w:ind w:left="720" w:hanging="7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（四）与本工程相关的特别说明：</w:t>
      </w:r>
    </w:p>
    <w:p w14:paraId="28A75820">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本项目已完成施工图设计，参考</w:t>
      </w:r>
      <w:r>
        <w:rPr>
          <w:rFonts w:hint="eastAsia" w:ascii="仿宋" w:hAnsi="仿宋" w:eastAsia="仿宋" w:cs="仿宋"/>
          <w:color w:val="000000" w:themeColor="text1"/>
          <w:sz w:val="24"/>
          <w:szCs w:val="24"/>
          <w:highlight w:val="none"/>
          <w14:textFill>
            <w14:solidFill>
              <w14:schemeClr w14:val="tx1"/>
            </w14:solidFill>
          </w14:textFill>
        </w:rPr>
        <w:t>《陕西省工程造价管理信息—材料信息价》 （阎良）2025 年第 1 期</w:t>
      </w:r>
      <w:r>
        <w:rPr>
          <w:rFonts w:hint="eastAsia" w:ascii="仿宋" w:hAnsi="仿宋" w:eastAsia="仿宋" w:cs="仿宋"/>
          <w:color w:val="000000" w:themeColor="text1"/>
          <w:sz w:val="24"/>
          <w:szCs w:val="24"/>
          <w:lang w:val="en-US" w:eastAsia="zh-CN"/>
          <w14:textFill>
            <w14:solidFill>
              <w14:schemeClr w14:val="tx1"/>
            </w14:solidFill>
          </w14:textFill>
        </w:rPr>
        <w:t>及市场价编制了工程预算</w:t>
      </w:r>
      <w:r>
        <w:rPr>
          <w:rFonts w:hint="eastAsia" w:ascii="仿宋" w:hAnsi="仿宋" w:eastAsia="仿宋" w:cs="仿宋"/>
          <w:color w:val="000000" w:themeColor="text1"/>
          <w:sz w:val="24"/>
          <w:szCs w:val="24"/>
          <w14:textFill>
            <w14:solidFill>
              <w14:schemeClr w14:val="tx1"/>
            </w14:solidFill>
          </w14:textFill>
        </w:rPr>
        <w:t>。</w:t>
      </w:r>
    </w:p>
    <w:sectPr>
      <w:headerReference r:id="rId4" w:type="default"/>
      <w:pgSz w:w="11906" w:h="16838"/>
      <w:pgMar w:top="1440" w:right="1800" w:bottom="1135"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E15A">
    <w:pPr>
      <w:spacing w:line="209" w:lineRule="auto"/>
      <w:ind w:left="364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14EF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414EF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CF44">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GM1ZjllOTdkOWMzNGRjY2FmN2JiMTdkZGE4OT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D144B89"/>
    <w:rsid w:val="14325798"/>
    <w:rsid w:val="1462677D"/>
    <w:rsid w:val="21830AC2"/>
    <w:rsid w:val="261E5CE8"/>
    <w:rsid w:val="2CFA1945"/>
    <w:rsid w:val="307C26FF"/>
    <w:rsid w:val="53565EFD"/>
    <w:rsid w:val="536F6998"/>
    <w:rsid w:val="54014490"/>
    <w:rsid w:val="59271254"/>
    <w:rsid w:val="60E136A8"/>
    <w:rsid w:val="67BF6B59"/>
    <w:rsid w:val="71AD5A24"/>
    <w:rsid w:val="7A64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8"/>
    <w:semiHidden/>
    <w:unhideWhenUsed/>
    <w:qFormat/>
    <w:uiPriority w:val="99"/>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5">
    <w:name w:val="Balloon Text"/>
    <w:basedOn w:val="1"/>
    <w:link w:val="40"/>
    <w:semiHidden/>
    <w:unhideWhenUsed/>
    <w:qFormat/>
    <w:uiPriority w:val="99"/>
    <w:rPr>
      <w:sz w:val="18"/>
      <w:szCs w:val="18"/>
    </w:rPr>
  </w:style>
  <w:style w:type="paragraph" w:styleId="6">
    <w:name w:val="footer"/>
    <w:basedOn w:val="1"/>
    <w:link w:val="37"/>
    <w:unhideWhenUsed/>
    <w:qFormat/>
    <w:uiPriority w:val="99"/>
    <w:pPr>
      <w:tabs>
        <w:tab w:val="center" w:pos="4153"/>
        <w:tab w:val="right" w:pos="8306"/>
      </w:tabs>
      <w:snapToGrid w:val="0"/>
      <w:jc w:val="left"/>
    </w:pPr>
    <w:rPr>
      <w:sz w:val="18"/>
      <w:szCs w:val="18"/>
    </w:rPr>
  </w:style>
  <w:style w:type="paragraph" w:styleId="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39"/>
    <w:semiHidden/>
    <w:unhideWhenUsed/>
    <w:qFormat/>
    <w:uiPriority w:val="99"/>
    <w:rPr>
      <w:b/>
      <w:bCs/>
    </w:rPr>
  </w:style>
  <w:style w:type="paragraph" w:styleId="10">
    <w:name w:val="Body Text First Indent 2"/>
    <w:basedOn w:val="4"/>
    <w:qFormat/>
    <w:uiPriority w:val="0"/>
    <w:pPr>
      <w:ind w:firstLine="420" w:firstLineChars="200"/>
    </w:pPr>
  </w:style>
  <w:style w:type="character" w:styleId="13">
    <w:name w:val="annotation reference"/>
    <w:basedOn w:val="12"/>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2"/>
    <w:link w:val="7"/>
    <w:qFormat/>
    <w:uiPriority w:val="99"/>
    <w:rPr>
      <w:rFonts w:ascii="Calibri" w:hAnsi="Calibri" w:eastAsia="宋体" w:cs="Times New Roman"/>
      <w:sz w:val="18"/>
      <w:szCs w:val="18"/>
    </w:rPr>
  </w:style>
  <w:style w:type="character" w:customStyle="1" w:styleId="37">
    <w:name w:val="页脚 Char"/>
    <w:basedOn w:val="12"/>
    <w:link w:val="6"/>
    <w:qFormat/>
    <w:uiPriority w:val="99"/>
    <w:rPr>
      <w:rFonts w:ascii="Calibri" w:hAnsi="Calibri" w:eastAsia="宋体" w:cs="Times New Roman"/>
      <w:sz w:val="18"/>
      <w:szCs w:val="18"/>
    </w:rPr>
  </w:style>
  <w:style w:type="character" w:customStyle="1" w:styleId="38">
    <w:name w:val="批注文字 Char"/>
    <w:basedOn w:val="12"/>
    <w:link w:val="2"/>
    <w:semiHidden/>
    <w:qFormat/>
    <w:uiPriority w:val="99"/>
    <w:rPr>
      <w:rFonts w:ascii="Calibri" w:hAnsi="Calibri" w:eastAsia="宋体" w:cs="Times New Roman"/>
    </w:rPr>
  </w:style>
  <w:style w:type="character" w:customStyle="1" w:styleId="39">
    <w:name w:val="批注主题 Char"/>
    <w:basedOn w:val="38"/>
    <w:link w:val="9"/>
    <w:semiHidden/>
    <w:qFormat/>
    <w:uiPriority w:val="99"/>
    <w:rPr>
      <w:rFonts w:ascii="Calibri" w:hAnsi="Calibri" w:eastAsia="宋体" w:cs="Times New Roman"/>
      <w:b/>
      <w:bCs/>
    </w:rPr>
  </w:style>
  <w:style w:type="character" w:customStyle="1" w:styleId="40">
    <w:name w:val="批注框文本 Char"/>
    <w:basedOn w:val="12"/>
    <w:link w:val="5"/>
    <w:semiHidden/>
    <w:qFormat/>
    <w:uiPriority w:val="99"/>
    <w:rPr>
      <w:rFonts w:ascii="Calibri" w:hAnsi="Calibri" w:eastAsia="宋体" w:cs="Times New Roman"/>
      <w:sz w:val="18"/>
      <w:szCs w:val="18"/>
    </w:rPr>
  </w:style>
  <w:style w:type="paragraph" w:styleId="4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4.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svg"/><Relationship Id="rId13" Type="http://schemas.openxmlformats.org/officeDocument/2006/relationships/image" Target="media/image8.svg"/><Relationship Id="rId12" Type="http://schemas.openxmlformats.org/officeDocument/2006/relationships/image" Target="media/image7.png"/><Relationship Id="rId11" Type="http://schemas.openxmlformats.org/officeDocument/2006/relationships/image" Target="media/image6.svg"/><Relationship Id="rId10" Type="http://schemas.openxmlformats.org/officeDocument/2006/relationships/image" Target="media/image5.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2980</Words>
  <Characters>3259</Characters>
  <Lines>20</Lines>
  <Paragraphs>5</Paragraphs>
  <TotalTime>9</TotalTime>
  <ScaleCrop>false</ScaleCrop>
  <LinksUpToDate>false</LinksUpToDate>
  <CharactersWithSpaces>3328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WPS_1697529341</cp:lastModifiedBy>
  <cp:lastPrinted>2021-03-24T02:37:00Z</cp:lastPrinted>
  <dcterms:modified xsi:type="dcterms:W3CDTF">2025-05-12T03:27:19Z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7EB0995BA950415BA053A26514ED246F_13</vt:lpwstr>
  </property>
  <property fmtid="{D5CDD505-2E9C-101B-9397-08002B2CF9AE}" pid="4" name="KSOTemplateDocerSaveRecord">
    <vt:lpwstr>eyJoZGlkIjoiYWM0ZjRjYWMyZmRjYjJmOGI5MzIxMDNhNDczZTc4NjciLCJ1c2VySWQiOiIxNTUwNDAxMzIyIn0=</vt:lpwstr>
  </property>
</Properties>
</file>