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版本号：SXLX24-01-106Z(H)（三次)20250513001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计算机教室、校园广播及部室设备采购项目(三次)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SXLX24-01-106Z(H)（三次)</w:t>
      </w:r>
      <w:r>
        <w:br/>
      </w:r>
      <w:r>
        <w:br/>
      </w:r>
      <w:r>
        <w:br/>
      </w:r>
    </w:p>
    <w:p>
      <w:pPr>
        <w:pStyle w:val="null3"/>
        <w:jc w:val="center"/>
        <w:outlineLvl w:val="2"/>
      </w:pPr>
      <w:r>
        <w:rPr>
          <w:rFonts w:ascii="仿宋_GB2312" w:hAnsi="仿宋_GB2312" w:cs="仿宋_GB2312" w:eastAsia="仿宋_GB2312"/>
          <w:sz w:val="28"/>
          <w:b/>
        </w:rPr>
        <w:t>西安市航空六一八中学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西安市航空六一八中学</w:t>
      </w:r>
      <w:r>
        <w:rPr>
          <w:rFonts w:ascii="仿宋_GB2312" w:hAnsi="仿宋_GB2312" w:cs="仿宋_GB2312" w:eastAsia="仿宋_GB2312"/>
        </w:rPr>
        <w:t>委托，拟对</w:t>
      </w:r>
      <w:r>
        <w:rPr>
          <w:rFonts w:ascii="仿宋_GB2312" w:hAnsi="仿宋_GB2312" w:cs="仿宋_GB2312" w:eastAsia="仿宋_GB2312"/>
        </w:rPr>
        <w:t>计算机教室、校园广播及部室设备采购项目(三次)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SXLX24-01-106Z(H)（三次)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计算机教室、校园广播及部室设备采购项目(三次)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含：计算机教室、校园网络广播设备（电脑、教学软件、电源稳压器、机柜、学生桌凳、服务器、管理软件、调音台、话筒、音箱、功放、解码器、机柜等）等教学办公设备一批；要求满足日常教学及办公活动，所有货物（产品）质量合格、安装调试到位、验收合格达到交钥匙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西安市航空六一八中学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西安市雁塔区电子一路239号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凌浩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029-88249087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西安市雁塔区雁翔路111号赛格·中京坊6幢1单元2层10201室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学生电脑、教师电脑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学生凳、学生桌、学生电脑、教师电脑、教师桌椅 </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关于招标代理服务收费有关问题的通知》（发改办价格〔2003〕857号）文件规定的标准收取，不足柒仟元按柒仟元收取,此服务费应计入响应报价中，但不需要单独开列，具体收费金额将在成交公告中公布。 请将采购代理服务费汇至下列指定账户： 开户名称：陕西隆信项目管理有限公司 开户行：招商银行股份有限公司西安土门支行 账号：129904064810902 财务部电话：029-88489979-8501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西安市航空六一八中学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西安市航空六一八中学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西安市航空六一八中学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联系人：任甜、郑婧婧、杜航、李亚男、袁歆雨</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地址：西安市雁塔区雁翔路111号赛格·中京坊6幢1单元2层10201室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含：计算机教室、校园网络广播设备（电脑、教学软件、电源稳压器、机柜、学生桌凳、服务器、管理软件、调音台、话筒、音箱、功放、解码器、机柜等）等教学办公设备一批；要求满足日常教学及办公活动，所有货物（产品）质量合格、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计算机教室、校园网络广播设备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标的名称：计算机教室、校园网络广播设备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一、采购需求及要求</w:t>
            </w:r>
          </w:p>
          <w:p>
            <w:pPr>
              <w:pStyle w:val="null3"/>
              <w:ind w:firstLine="420"/>
              <w:jc w:val="both"/>
            </w:pPr>
            <w:r>
              <w:rPr>
                <w:rFonts w:ascii="仿宋_GB2312" w:hAnsi="仿宋_GB2312" w:cs="仿宋_GB2312" w:eastAsia="仿宋_GB2312"/>
                <w:sz w:val="21"/>
                <w:color w:val="000000"/>
              </w:rPr>
              <w:t>1.1采购需求清单：详见附</w:t>
            </w:r>
            <w:r>
              <w:rPr>
                <w:rFonts w:ascii="仿宋_GB2312" w:hAnsi="仿宋_GB2312" w:cs="仿宋_GB2312" w:eastAsia="仿宋_GB2312"/>
                <w:sz w:val="21"/>
                <w:color w:val="000000"/>
              </w:rPr>
              <w:t>表</w:t>
            </w:r>
            <w:r>
              <w:rPr>
                <w:rFonts w:ascii="仿宋_GB2312" w:hAnsi="仿宋_GB2312" w:cs="仿宋_GB2312" w:eastAsia="仿宋_GB2312"/>
                <w:sz w:val="21"/>
                <w:color w:val="000000"/>
              </w:rPr>
              <w:t>:计算机教室、校园网络广播设备采购需求清单</w:t>
            </w:r>
            <w:r>
              <w:rPr>
                <w:rFonts w:ascii="仿宋_GB2312" w:hAnsi="仿宋_GB2312" w:cs="仿宋_GB2312" w:eastAsia="仿宋_GB2312"/>
                <w:sz w:val="21"/>
                <w:color w:val="000000"/>
              </w:rPr>
              <w:t>（</w:t>
            </w:r>
            <w:r>
              <w:rPr>
                <w:rFonts w:ascii="仿宋_GB2312" w:hAnsi="仿宋_GB2312" w:cs="仿宋_GB2312" w:eastAsia="仿宋_GB2312"/>
                <w:sz w:val="21"/>
                <w:color w:val="000000"/>
              </w:rPr>
              <w:t>注：</w:t>
            </w:r>
            <w:r>
              <w:rPr>
                <w:rFonts w:ascii="仿宋_GB2312" w:hAnsi="仿宋_GB2312" w:cs="仿宋_GB2312" w:eastAsia="仿宋_GB2312"/>
                <w:sz w:val="21"/>
                <w:color w:val="000000"/>
              </w:rPr>
              <w:t>需求清单一览表中的</w:t>
            </w:r>
            <w:r>
              <w:rPr>
                <w:rFonts w:ascii="仿宋_GB2312" w:hAnsi="仿宋_GB2312" w:cs="仿宋_GB2312" w:eastAsia="仿宋_GB2312"/>
                <w:sz w:val="21"/>
                <w:color w:val="000000"/>
              </w:rPr>
              <w:t>★号技术指标参数，供应商未按要求提供相关证明材料或技术指标参数存在负偏离的，均按无效响</w:t>
            </w:r>
            <w:r>
              <w:rPr>
                <w:rFonts w:ascii="仿宋_GB2312" w:hAnsi="仿宋_GB2312" w:cs="仿宋_GB2312" w:eastAsia="仿宋_GB2312"/>
                <w:sz w:val="21"/>
                <w:color w:val="000000"/>
              </w:rPr>
              <w:t>应</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供应商应按要求提供所投的设备（产品）的技术资料（不限于原厂印刷的产品说明书、质量证书、检测报告、合格证、功能截图</w:t>
            </w:r>
            <w:r>
              <w:rPr>
                <w:rFonts w:ascii="仿宋_GB2312" w:hAnsi="仿宋_GB2312" w:cs="仿宋_GB2312" w:eastAsia="仿宋_GB2312"/>
                <w:sz w:val="21"/>
                <w:color w:val="000000"/>
              </w:rPr>
              <w:t>、</w:t>
            </w:r>
            <w:r>
              <w:rPr>
                <w:rFonts w:ascii="仿宋_GB2312" w:hAnsi="仿宋_GB2312" w:cs="仿宋_GB2312" w:eastAsia="仿宋_GB2312"/>
                <w:sz w:val="21"/>
                <w:color w:val="000000"/>
              </w:rPr>
              <w:t>官网截图等）；供应商应保证响应所提供第三方资料内容真实、完整、准确</w:t>
            </w:r>
            <w:r>
              <w:rPr>
                <w:rFonts w:ascii="仿宋_GB2312" w:hAnsi="仿宋_GB2312" w:cs="仿宋_GB2312" w:eastAsia="仿宋_GB2312"/>
                <w:sz w:val="21"/>
                <w:color w:val="000000"/>
              </w:rPr>
              <w:t>；</w:t>
            </w:r>
            <w:r>
              <w:rPr>
                <w:rFonts w:ascii="仿宋_GB2312" w:hAnsi="仿宋_GB2312" w:cs="仿宋_GB2312" w:eastAsia="仿宋_GB2312"/>
                <w:sz w:val="21"/>
                <w:color w:val="000000"/>
              </w:rPr>
              <w:t>如</w:t>
            </w:r>
            <w:r>
              <w:rPr>
                <w:rFonts w:ascii="仿宋_GB2312" w:hAnsi="仿宋_GB2312" w:cs="仿宋_GB2312" w:eastAsia="仿宋_GB2312"/>
                <w:sz w:val="21"/>
                <w:color w:val="000000"/>
              </w:rPr>
              <w:t>有</w:t>
            </w:r>
            <w:r>
              <w:rPr>
                <w:rFonts w:ascii="仿宋_GB2312" w:hAnsi="仿宋_GB2312" w:cs="仿宋_GB2312" w:eastAsia="仿宋_GB2312"/>
                <w:sz w:val="21"/>
                <w:color w:val="000000"/>
              </w:rPr>
              <w:t>相关第三方书面声明、相关检测报告等资料虚假，监管部门有权根据调查情形认定其是否属于提供虚假材料谋取中标（成交），并严肃处理</w:t>
            </w:r>
            <w:r>
              <w:rPr>
                <w:rFonts w:ascii="仿宋_GB2312" w:hAnsi="仿宋_GB2312" w:cs="仿宋_GB2312" w:eastAsia="仿宋_GB2312"/>
                <w:sz w:val="21"/>
                <w:color w:val="000000"/>
              </w:rPr>
              <w:t>。</w:t>
            </w:r>
          </w:p>
          <w:p>
            <w:pPr>
              <w:pStyle w:val="null3"/>
              <w:ind w:firstLine="422"/>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“三包”要求：货物（产品）属于国家规定的“三包产品”，产品制造商、经销代理商应遵守“三包”的规定，在产品发生质量问题时，及时对所提供产品实行“包退、包换、保修”服务。</w:t>
            </w:r>
          </w:p>
          <w:p>
            <w:pPr>
              <w:pStyle w:val="null3"/>
              <w:ind w:firstLine="422"/>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安全要求：认真贯彻执行国家及省、市有关安全文明生产的法律法规规章和强制性标准、安全操作规程等，所有设备</w:t>
            </w:r>
            <w:r>
              <w:rPr>
                <w:rFonts w:ascii="仿宋_GB2312" w:hAnsi="仿宋_GB2312" w:cs="仿宋_GB2312" w:eastAsia="仿宋_GB2312"/>
                <w:sz w:val="21"/>
                <w:color w:val="000000"/>
              </w:rPr>
              <w:t>(产品)应符合国家相关安全标准，所有货物（产品）能够承受频繁使用和可能的不当操作，结构稳定，不易倾倒或损坏；货物（产品）无锐利边角、无毒无害、不易造成意外伤害，电器设备（产品）应具备良好的防漏电、防火性能，并通过相关安全认证；部分尺寸可调节的产品应与实际使用场地相匹配；建立健全安装现场安全文明生产保证体系，落实各项具体措施，切实履行安全文明生产责任和义务，保护职工身体健康和生命安全，以及社会公众安全，保持安装现场整齐有序</w:t>
            </w:r>
            <w:r>
              <w:rPr>
                <w:rFonts w:ascii="仿宋_GB2312" w:hAnsi="仿宋_GB2312" w:cs="仿宋_GB2312" w:eastAsia="仿宋_GB2312"/>
                <w:sz w:val="21"/>
                <w:color w:val="000000"/>
              </w:rPr>
              <w:t>。</w:t>
            </w:r>
          </w:p>
          <w:p>
            <w:pPr>
              <w:pStyle w:val="null3"/>
              <w:ind w:firstLine="422"/>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电子电器产品服务要求：货物（产品）属于电子电器的，产品制造商、经销代理商应按照《政府采购电子电器服务规范》的要求提供服务</w:t>
            </w:r>
            <w:r>
              <w:rPr>
                <w:rFonts w:ascii="仿宋_GB2312" w:hAnsi="仿宋_GB2312" w:cs="仿宋_GB2312" w:eastAsia="仿宋_GB2312"/>
                <w:sz w:val="21"/>
                <w:color w:val="000000"/>
              </w:rPr>
              <w:t>。</w:t>
            </w:r>
          </w:p>
          <w:p>
            <w:pPr>
              <w:pStyle w:val="null3"/>
              <w:ind w:right="90" w:firstLine="422"/>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质量标准及要求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firstLine="42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）货物（产品）</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执行的标准、规范：必须执行国家、行业强制性标准；没有国家、行业强制性标准的按</w:t>
            </w:r>
            <w:r>
              <w:rPr>
                <w:rFonts w:ascii="仿宋_GB2312" w:hAnsi="仿宋_GB2312" w:cs="仿宋_GB2312" w:eastAsia="仿宋_GB2312"/>
                <w:sz w:val="21"/>
                <w:color w:val="000000"/>
              </w:rPr>
              <w:t>①国家标准、规范→②行业标准、规范→③地方标准、规范→④团体标准、规范→⑤企业标准、规范类推顺序执行；凡涉及的相关规范，国家有最新标准的以最新标准为准，所有标准哪个标准高执行哪个标准</w:t>
            </w:r>
            <w:r>
              <w:rPr>
                <w:rFonts w:ascii="仿宋_GB2312" w:hAnsi="仿宋_GB2312" w:cs="仿宋_GB2312" w:eastAsia="仿宋_GB2312"/>
                <w:sz w:val="21"/>
                <w:color w:val="000000"/>
              </w:rPr>
              <w:t>；</w:t>
            </w:r>
          </w:p>
          <w:p>
            <w:pPr>
              <w:pStyle w:val="null3"/>
              <w:ind w:firstLine="42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所有</w:t>
            </w:r>
            <w:r>
              <w:rPr>
                <w:rFonts w:ascii="仿宋_GB2312" w:hAnsi="仿宋_GB2312" w:cs="仿宋_GB2312" w:eastAsia="仿宋_GB2312"/>
                <w:sz w:val="21"/>
                <w:color w:val="000000"/>
              </w:rPr>
              <w:t>货物（产品）</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符合国家</w:t>
            </w:r>
            <w:r>
              <w:rPr>
                <w:rFonts w:ascii="仿宋_GB2312" w:hAnsi="仿宋_GB2312" w:cs="仿宋_GB2312" w:eastAsia="仿宋_GB2312"/>
                <w:sz w:val="21"/>
                <w:color w:val="000000"/>
              </w:rPr>
              <w:t>、</w:t>
            </w:r>
            <w:r>
              <w:rPr>
                <w:rFonts w:ascii="仿宋_GB2312" w:hAnsi="仿宋_GB2312" w:cs="仿宋_GB2312" w:eastAsia="仿宋_GB2312"/>
                <w:sz w:val="21"/>
                <w:color w:val="000000"/>
              </w:rPr>
              <w:t>省、市</w:t>
            </w:r>
            <w:r>
              <w:rPr>
                <w:rFonts w:ascii="仿宋_GB2312" w:hAnsi="仿宋_GB2312" w:cs="仿宋_GB2312" w:eastAsia="仿宋_GB2312"/>
                <w:sz w:val="21"/>
                <w:color w:val="000000"/>
              </w:rPr>
              <w:t>（行业）强制性标准及采购人要求的合格标准</w:t>
            </w:r>
            <w:r>
              <w:rPr>
                <w:rFonts w:ascii="仿宋_GB2312" w:hAnsi="仿宋_GB2312" w:cs="仿宋_GB2312" w:eastAsia="仿宋_GB2312"/>
                <w:sz w:val="21"/>
                <w:color w:val="000000"/>
              </w:rPr>
              <w:t>。</w:t>
            </w:r>
          </w:p>
          <w:p>
            <w:pPr>
              <w:pStyle w:val="null3"/>
              <w:ind w:firstLine="422"/>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为保证货物（软件和硬件）质量功能的严谨性，中标（成交）后采购人有权要求成交供应商对其所供的设备（产品）（包含软件和硬件）的功能进行逐一演示，如有功能与实际不相符，一律按虚假</w:t>
            </w:r>
            <w:r>
              <w:rPr>
                <w:rFonts w:ascii="仿宋_GB2312" w:hAnsi="仿宋_GB2312" w:cs="仿宋_GB2312" w:eastAsia="仿宋_GB2312"/>
                <w:sz w:val="21"/>
                <w:color w:val="000000"/>
              </w:rPr>
              <w:t>响应</w:t>
            </w:r>
            <w:r>
              <w:rPr>
                <w:rFonts w:ascii="仿宋_GB2312" w:hAnsi="仿宋_GB2312" w:cs="仿宋_GB2312" w:eastAsia="仿宋_GB2312"/>
                <w:sz w:val="21"/>
                <w:color w:val="000000"/>
              </w:rPr>
              <w:t>处理，由成交供应商承担因此产生的违约责任。</w:t>
            </w:r>
          </w:p>
          <w:p>
            <w:pPr>
              <w:pStyle w:val="null3"/>
              <w:ind w:firstLine="525"/>
              <w:jc w:val="both"/>
            </w:pPr>
            <w:r>
              <w:rPr>
                <w:rFonts w:ascii="仿宋_GB2312" w:hAnsi="仿宋_GB2312" w:cs="仿宋_GB2312" w:eastAsia="仿宋_GB2312"/>
                <w:sz w:val="21"/>
                <w:color w:val="000000"/>
              </w:rPr>
              <w:t>1.8</w:t>
            </w:r>
            <w:r>
              <w:rPr>
                <w:rFonts w:ascii="仿宋_GB2312" w:hAnsi="仿宋_GB2312" w:cs="仿宋_GB2312" w:eastAsia="仿宋_GB2312"/>
                <w:sz w:val="21"/>
                <w:color w:val="000000"/>
              </w:rPr>
              <w:t>售后服务要求：（</w:t>
            </w:r>
            <w:r>
              <w:rPr>
                <w:rFonts w:ascii="仿宋_GB2312" w:hAnsi="仿宋_GB2312" w:cs="仿宋_GB2312" w:eastAsia="仿宋_GB2312"/>
                <w:sz w:val="21"/>
                <w:color w:val="000000"/>
              </w:rPr>
              <w:t>1）成交供应商须指派专人负责与采购人联系售后服务事宜；</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2）成交供应商负责货物（硬件和软件）的现场安装、调试、测试和启动等；</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成交供应商负责货物（硬件和软件）的安装、启动、运行及维护等对使用人员进行免费培训：培训主要内容为货物（硬件和软件）的基本结构、性能、主要部件的构造及原理，日常使用操作、维护保养与管理，常见故障的排除、紧急情况的处理等，如使用方未使用过同类型货物（硬件和软件），成交供应商还需就货物（硬件和软件）的功能对使用方人员进行相应的技术培训，培训地点为货物安装现场或由采购人安排；</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4）质保期自采购人在质量验收单（终验）上签字之日起计算，质保费用计入总价；</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5）成交供应商负责对其提供的货物（硬件和软件）整体进行维修和系统维护，质保期内应无偿负责现场技术巡检</w:t>
            </w:r>
            <w:r>
              <w:rPr>
                <w:rFonts w:ascii="仿宋_GB2312" w:hAnsi="仿宋_GB2312" w:cs="仿宋_GB2312" w:eastAsia="仿宋_GB2312"/>
                <w:sz w:val="21"/>
                <w:color w:val="000000"/>
              </w:rPr>
              <w:t>、</w:t>
            </w:r>
            <w:r>
              <w:rPr>
                <w:rFonts w:ascii="仿宋_GB2312" w:hAnsi="仿宋_GB2312" w:cs="仿宋_GB2312" w:eastAsia="仿宋_GB2312"/>
                <w:sz w:val="21"/>
                <w:color w:val="000000"/>
              </w:rPr>
              <w:t>维修和替换等工作</w:t>
            </w:r>
            <w:r>
              <w:rPr>
                <w:rFonts w:ascii="仿宋_GB2312" w:hAnsi="仿宋_GB2312" w:cs="仿宋_GB2312" w:eastAsia="仿宋_GB2312"/>
                <w:sz w:val="21"/>
                <w:color w:val="000000"/>
              </w:rPr>
              <w:t>；</w:t>
            </w:r>
            <w:r>
              <w:rPr>
                <w:rFonts w:ascii="仿宋_GB2312" w:hAnsi="仿宋_GB2312" w:cs="仿宋_GB2312" w:eastAsia="仿宋_GB2312"/>
                <w:sz w:val="21"/>
                <w:color w:val="000000"/>
              </w:rPr>
              <w:t>若遇到</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重大活动需无条件提供现场技术支持服务且不再收取任何费用，但不可抗力（如火灾、雷击等）造成的故障除外；超出质保期只收取维修所需原设备、材料成本费用</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6）成交供应商负责对其所提供</w:t>
            </w:r>
            <w:r>
              <w:rPr>
                <w:rFonts w:ascii="仿宋_GB2312" w:hAnsi="仿宋_GB2312" w:cs="仿宋_GB2312" w:eastAsia="仿宋_GB2312"/>
                <w:sz w:val="21"/>
                <w:color w:val="000000"/>
              </w:rPr>
              <w:t>的</w:t>
            </w:r>
            <w:r>
              <w:rPr>
                <w:rFonts w:ascii="仿宋_GB2312" w:hAnsi="仿宋_GB2312" w:cs="仿宋_GB2312" w:eastAsia="仿宋_GB2312"/>
                <w:sz w:val="21"/>
                <w:color w:val="000000"/>
              </w:rPr>
              <w:t>软硬件设备、材料等备品配件供应</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提供长期维修，并提供技术咨询等服务，所有维修记录交</w:t>
            </w:r>
            <w:r>
              <w:rPr>
                <w:rFonts w:ascii="仿宋_GB2312" w:hAnsi="仿宋_GB2312" w:cs="仿宋_GB2312" w:eastAsia="仿宋_GB2312"/>
                <w:sz w:val="21"/>
                <w:color w:val="000000"/>
              </w:rPr>
              <w:t>由采购人</w:t>
            </w:r>
            <w:r>
              <w:rPr>
                <w:rFonts w:ascii="仿宋_GB2312" w:hAnsi="仿宋_GB2312" w:cs="仿宋_GB2312" w:eastAsia="仿宋_GB2312"/>
                <w:sz w:val="21"/>
                <w:color w:val="000000"/>
              </w:rPr>
              <w:t>的现场技术人员一份，并详细说明问题所在、解决办法及注意事项</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7）货物（硬件和软件）故障报修的响应时间为：7x24小时免费上门服务</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所有货物（硬件和软件）服务方式均为成交供应商上门服务，即由成交供应商派人到货物使用现场维修，由此产生的一切费用均由成交供应商承担，对系统进行定期的检修、保养工作，并与用户进行沟通，定期开展技术交流活动，预防故障发生，保证系统的正常运行；</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9）在保修期内更换系统中部件（软件和硬件），其保修期应相应延长</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10）质保期结束后的维修、维护等由双方协商再定。</w:t>
            </w:r>
          </w:p>
          <w:p>
            <w:pPr>
              <w:pStyle w:val="null3"/>
              <w:jc w:val="both"/>
            </w:pPr>
            <w:r>
              <w:rPr>
                <w:rFonts w:ascii="仿宋_GB2312" w:hAnsi="仿宋_GB2312" w:cs="仿宋_GB2312" w:eastAsia="仿宋_GB2312"/>
                <w:sz w:val="21"/>
                <w:b/>
                <w:color w:val="000000"/>
              </w:rPr>
              <w:t>二、其他要求或说明</w:t>
            </w:r>
          </w:p>
          <w:p>
            <w:pPr>
              <w:pStyle w:val="null3"/>
              <w:ind w:right="90" w:firstLine="422"/>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人员配置要求：供应商根据采购项目特性及要求，自行组织实施与管理，建立以负责人为核心的履行合同所必需人员团队，相关人员经过严格培训，有相关工作经验，能够胜任项目工作，保证项目顺利实施。</w:t>
            </w:r>
          </w:p>
          <w:p>
            <w:pPr>
              <w:pStyle w:val="null3"/>
              <w:ind w:right="90" w:firstLine="422"/>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设施设备要求：供应商根据采购项目特性及要求，自行配置投入履行合同所必需的各类设施设备（不限于专业设备、辅助设备、工具、软件等），保证项目顺利实施。</w:t>
            </w:r>
          </w:p>
          <w:p>
            <w:pPr>
              <w:pStyle w:val="null3"/>
            </w:pPr>
            <w:r>
              <w:rPr>
                <w:rFonts w:ascii="仿宋_GB2312" w:hAnsi="仿宋_GB2312" w:cs="仿宋_GB2312" w:eastAsia="仿宋_GB2312"/>
                <w:sz w:val="21"/>
                <w:color w:val="000000"/>
              </w:rPr>
              <w:t>2.3核心产品的名称：</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u w:val="single"/>
              </w:rPr>
              <w:t>教学软件</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2.4强制采购的节能产品名称：</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学生电脑、教师电脑</w:t>
            </w:r>
            <w:r>
              <w:rPr>
                <w:rFonts w:ascii="仿宋_GB2312" w:hAnsi="仿宋_GB2312" w:cs="仿宋_GB2312" w:eastAsia="仿宋_GB2312"/>
                <w:u w:val="single"/>
              </w:rPr>
              <w:t xml:space="preserve"> </w:t>
            </w:r>
            <w:r>
              <w:rPr>
                <w:rFonts w:ascii="仿宋_GB2312" w:hAnsi="仿宋_GB2312" w:cs="仿宋_GB2312" w:eastAsia="仿宋_GB2312"/>
                <w:sz w:val="21"/>
                <w:color w:val="000000"/>
              </w:rPr>
              <w:t>（注：应在</w:t>
            </w:r>
            <w:r>
              <w:rPr>
                <w:rFonts w:ascii="仿宋_GB2312" w:hAnsi="仿宋_GB2312" w:cs="仿宋_GB2312" w:eastAsia="仿宋_GB2312"/>
                <w:sz w:val="21"/>
                <w:color w:val="000000"/>
              </w:rPr>
              <w:t>“商务技术文件”中按要求提供强制节能产品认证证书，</w:t>
            </w:r>
            <w:r>
              <w:rPr>
                <w:rFonts w:ascii="仿宋_GB2312" w:hAnsi="仿宋_GB2312" w:cs="仿宋_GB2312" w:eastAsia="仿宋_GB2312"/>
                <w:sz w:val="21"/>
                <w:color w:val="000000"/>
              </w:rPr>
              <w:t>否则</w:t>
            </w:r>
            <w:r>
              <w:rPr>
                <w:rFonts w:ascii="仿宋_GB2312" w:hAnsi="仿宋_GB2312" w:cs="仿宋_GB2312" w:eastAsia="仿宋_GB2312"/>
                <w:sz w:val="21"/>
                <w:color w:val="000000"/>
              </w:rPr>
              <w:t>按无效响应）</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2.5本项目标的所属行业为:</w:t>
            </w:r>
            <w:r>
              <w:rPr>
                <w:rFonts w:ascii="仿宋_GB2312" w:hAnsi="仿宋_GB2312" w:cs="仿宋_GB2312" w:eastAsia="仿宋_GB2312"/>
                <w:u w:val="single"/>
              </w:rPr>
              <w:t xml:space="preserve"> </w:t>
            </w:r>
            <w:r>
              <w:rPr>
                <w:rFonts w:ascii="仿宋_GB2312" w:hAnsi="仿宋_GB2312" w:cs="仿宋_GB2312" w:eastAsia="仿宋_GB2312"/>
                <w:sz w:val="21"/>
                <w:color w:val="000000"/>
                <w:u w:val="single"/>
              </w:rPr>
              <w:t>工业</w:t>
            </w:r>
            <w:r>
              <w:rPr>
                <w:rFonts w:ascii="仿宋_GB2312" w:hAnsi="仿宋_GB2312" w:cs="仿宋_GB2312" w:eastAsia="仿宋_GB2312"/>
                <w:u w:val="single"/>
              </w:rPr>
              <w:t xml:space="preserve"> </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ind w:firstLine="36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所有货物交货完成，验收合格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国家（行业）强制性标准及合同约定对成交方所供货物（产品）或服务进行检查或验收，成交方须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要求：采用公路或铁路运输方式，选择风险小、运费低和运距短的运输路线。运杂费一次性包死在总价内，采购人不再额外支付，包括从生产厂家到使用（安装）现场的包装、装载、运输、卸载、现场保管、二次倒运等费用。 （2）包装要求：①全部货物（产品）均应按照国家、行业规定的标准和保护措施进行包装，该包装应适应于远距离运输、防潮、防震、防锈和防野蛮装卸，以确保货物安全运抵指定地点；②当包装使用塑料、纸质、木材等包装材料时，除应当按照国家、行业规定的包装标准进行包装外，还需按照《商品包装政府采购需求标准（试行）》（财办库〔2020〕）123号）规定的环保要求进行包装；③当采用快递交货方式时，快递包装除应当按照国家、行业规定的包装标准进行包装外，还需按照《快递包装政府采购需求标准（试行）》（财办库〔2020〕）123号）规定的环保要求进行包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本项目整体质保期不少于36个月，供应商承诺超过采购文件要求的，按其承诺的质保期进行质保，质保期起始时间为终验合格之日。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的报价是供应商响应招标项目要求的全部工作内容的价格体现，包括供应商完成本项目所需的直接费、间接费、利润、税金及其它相关的一切费用，包括但不限于：产品费、附件费、工具费、验收费、运输费、保险费、安装费、调试费、技术服务费（含售后）、招标代理费、税金、利润及不可预见费等费用；谈判总价中不得包含采购文件要求以外的内容，否则，在评标时不予核减。在供货、安装、调试、培训等工作中出现硬件、软件等的任何遗漏，均由中标人免费提供，采购人将不再支付任何费用。 二、谈判有效期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3.中标人的谈判有效期自动延长至合同终止为止。 三、分公司独立参与谈判时，不能使用总公司的资质或业绩；总公司单独参与谈判时，除总公司所投产品为分公司生产的产品外，不能使用分公司的资质或业绩。总公司授权分公司或分支机构参与谈判，可以使用总公司的资质或业绩。 四、采购文件中签名是指：手写签名或加盖签名章（含电子），盖章是指加盖单位章（含电子）。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参与本项目采购的供应商应通过陕西省政府采购综合管理平台的项目电子化交易系统在线实施响应、谈判、报价等操作，谈判响应时无需供应商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单元2层10201室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根据《中华人民共和国政府采购法》及其实施条例、《政府采购货物和服务招标投标管理办法》等法律法规的有关规定、本项目资格审查小组由1名采购人代表和2名采购代理机构工作人员组成，采购代理机构项目经理担任资格审查小组组长；资格审查小组依法对供应商的资格进行审查。</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根据供应商类别进行审查： (1)供应商属于企业的：营业执照(3证合1或多证合1)。 (2)供应商属于事业单位的：事业单位法人证书。 (3)供应商属于其他组织的：登记证书。 (4)供应商属于个体工商户的：个体工商户营业执照。 (5)自然人响应的：身份证。 【注】：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法定代表人（单位负责人）身份证明/法定代表人（单位负责人）授权委托书</w:t>
            </w:r>
          </w:p>
        </w:tc>
        <w:tc>
          <w:tcPr>
            <w:tcW w:type="dxa" w:w="3322"/>
          </w:tcPr>
          <w:p>
            <w:pPr>
              <w:pStyle w:val="null3"/>
            </w:pPr>
            <w:r>
              <w:rPr>
                <w:rFonts w:ascii="仿宋_GB2312" w:hAnsi="仿宋_GB2312" w:cs="仿宋_GB2312" w:eastAsia="仿宋_GB2312"/>
              </w:rPr>
              <w:t>（1）法定代表人（单位负责人）参加响应的，提供法定代表人（单位负责人）身份证。 （2）法定代表人（单位负责人）授权他人参加响应的，提供法定代表人（单位负责人）委托授权书及被授权代表的身份证。 说明：按照资格证明文件中提供的格式进行响应。</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要求： （1）是企业法人的，应提供2023或2024全年度经审计的财务报告，包括“四表一注”即《资产负债表》《利润表》《现金流量表》《所有者权益变动表》及其附注或其在提交响应文件截止时间前3个月基本账户开户银行出具的资信证明（附基本存款账户信息）。 （2）执行《小企业会计准则》的小微企业的，应提供2023或2024全年度经审计的财务报告，至少包括《资产负债表》《利润表》《现金流量表》及其附注，或其在提交响应文件截止时间前3个月内基本账户开户银行出具的资信证明（附基本存款账户信息）。 （3）是事业单位法人的，应提供2023或2024全年度经审计的财务报告，至少包括《资产负债表》《收入支出表或者收入费用表》《财政补助收入支出表》及其附注或其在提交响应文件截止时间前3个月内基本账户开户银行出具的资信证明（附基本存款账户信息）。 （4）部分其他组织和自然人，提供其在提交响应文件截止时间前3个月内银行出具的资信证明（附账户信息）。 （5）供应商成立不到1年（至提交响应文件截止时间）的，提供成立后任意时段的资产负债表或其在提交响应文件截止时间前3个月基本账户开户银行出具的资信证明（附基本存款账户信息）。 说明：以上形式的资料提供任何一种即可，且合法有效；1.财务报告不齐全的，为不合格。2.法人性质的资信证明未由基本开户银行出具，或未在规定时间内开具的，视为不合格。 【注】：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要求： （1）提供供应商提交响应文件截止时间前1年至今任意时段已缴纳完税凭证或税务机关开具的完税证明（除个人所得税的任意税种）。 （2）依法免税的应提供相关文件证明。 （3）其他组织和自然人需提供缴纳税收的凭据。 （4）新成立（成立时间至提交响应文件截止时间不足1年）未发生缴纳税收事项的供应商，应提供纳税书面承诺。 说明：合法有效，纳税凭证或完税证明上应有代收机构或税务机关的公章或业务专用章。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要求： （1）提供供应商提交响应文件截止时间前1年至今任意时段已缴纳的社会保障资金缴存单据或社保机构开具的社会保险参保缴费情况证明； （2）依法不需要缴纳社会保障资金的应提供相关文件证明； （3）其他组织和自然人需提供缴纳社会保险的凭据。 （4）新成立（成立时间至提交响应文件截止时间不足1年）未发生缴纳社保资金事项的供应商，应提供缴纳社保资金的书面承诺。 说明：合法有效，缴纳单据或证明上应有社保机构或代收机构的公章或业务专用章。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说明：按照资格证明文件中提供的格式进行响应。</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说明：按照资格证明文件中提供的格式进行响应声明。</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响应文件的签署、盖章及格式</w:t>
            </w:r>
          </w:p>
        </w:tc>
        <w:tc>
          <w:tcPr>
            <w:tcW w:type="dxa" w:w="3322"/>
          </w:tcPr>
          <w:p>
            <w:pPr>
              <w:pStyle w:val="null3"/>
            </w:pPr>
            <w:r>
              <w:rPr>
                <w:rFonts w:ascii="仿宋_GB2312" w:hAnsi="仿宋_GB2312" w:cs="仿宋_GB2312" w:eastAsia="仿宋_GB2312"/>
              </w:rPr>
              <w:t>符合采购文件中有关“响应文件格式”及签署、盖章要求 （注：不得因文件排序、页码、名称统一等非实质性的格式、形式问题及个别遗漏或瑕疵的签署或盖章问题而限制和影响供应商响应）</w:t>
            </w:r>
          </w:p>
        </w:tc>
        <w:tc>
          <w:tcPr>
            <w:tcW w:type="dxa" w:w="1661"/>
          </w:tcPr>
          <w:p>
            <w:pPr>
              <w:pStyle w:val="null3"/>
            </w:pPr>
            <w:r>
              <w:rPr>
                <w:rFonts w:ascii="仿宋_GB2312" w:hAnsi="仿宋_GB2312" w:cs="仿宋_GB2312" w:eastAsia="仿宋_GB2312"/>
              </w:rPr>
              <w:t>响应文件封面 资格证明文件 中小企业声明函 残疾人福利性单位声明函 商务、技术文件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资格证明文件 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对采购文件的响应程度</w:t>
            </w:r>
          </w:p>
        </w:tc>
        <w:tc>
          <w:tcPr>
            <w:tcW w:type="dxa" w:w="3322"/>
          </w:tcPr>
          <w:p>
            <w:pPr>
              <w:pStyle w:val="null3"/>
            </w:pPr>
            <w:r>
              <w:rPr>
                <w:rFonts w:ascii="仿宋_GB2312" w:hAnsi="仿宋_GB2312" w:cs="仿宋_GB2312" w:eastAsia="仿宋_GB2312"/>
              </w:rPr>
              <w:t>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标的数量及主要要求</w:t>
            </w:r>
          </w:p>
        </w:tc>
        <w:tc>
          <w:tcPr>
            <w:tcW w:type="dxa" w:w="3322"/>
          </w:tcPr>
          <w:p>
            <w:pPr>
              <w:pStyle w:val="null3"/>
            </w:pPr>
            <w:r>
              <w:rPr>
                <w:rFonts w:ascii="仿宋_GB2312" w:hAnsi="仿宋_GB2312" w:cs="仿宋_GB2312" w:eastAsia="仿宋_GB2312"/>
              </w:rPr>
              <w:t>满足采购文件中规定数量及主要要求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强制采购节能产品</w:t>
            </w:r>
          </w:p>
        </w:tc>
        <w:tc>
          <w:tcPr>
            <w:tcW w:type="dxa" w:w="3322"/>
          </w:tcPr>
          <w:p>
            <w:pPr>
              <w:pStyle w:val="null3"/>
            </w:pPr>
            <w:r>
              <w:rPr>
                <w:rFonts w:ascii="仿宋_GB2312" w:hAnsi="仿宋_GB2312" w:cs="仿宋_GB2312" w:eastAsia="仿宋_GB2312"/>
              </w:rPr>
              <w:t>应提供强制采购节能产品目录中的产品</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符合拟签订采购合同文本中相关条款约定</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商务、技术文件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供应商所提供货物全部由小微企业制造时，用扣除后的价格参加评审。即：评审价=最后报价*（1-10%）; 注：监狱企业与残疾人福利性单位视同小型、微型企业，享受同等价格扣除，当企业属性重复时，不重复价格扣除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按供应商最终报价从低到高进行排序，最终报价相同的，按供应商提供的优先采购产品认证证书数量由多到少顺序排列；最终报价且提供的优先采购产品认证证书数量相同的并列。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