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SXZCZB2025-ZCCS-0523</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5B6DD2B1">
      <w:pPr>
        <w:jc w:val="center"/>
        <w:rPr>
          <w:rFonts w:hint="eastAsia" w:hAnsi="宋体" w:eastAsia="宋体" w:cs="宋体"/>
          <w:b/>
          <w:color w:val="auto"/>
          <w:sz w:val="96"/>
          <w:szCs w:val="96"/>
          <w:highlight w:val="none"/>
          <w:lang w:eastAsia="zh-CN"/>
        </w:rPr>
      </w:pPr>
      <w:r>
        <w:rPr>
          <w:rFonts w:hint="eastAsia" w:hAnsi="宋体" w:cs="宋体"/>
          <w:b/>
          <w:color w:val="auto"/>
          <w:sz w:val="96"/>
          <w:szCs w:val="96"/>
          <w:highlight w:val="none"/>
          <w:lang w:eastAsia="zh-CN"/>
        </w:rPr>
        <w:t>对外培训项目</w:t>
      </w:r>
    </w:p>
    <w:p w14:paraId="5986DFBD">
      <w:pPr>
        <w:jc w:val="center"/>
        <w:rPr>
          <w:rFonts w:hAnsi="宋体" w:cs="宋体"/>
          <w:b/>
          <w:color w:val="auto"/>
          <w:sz w:val="36"/>
          <w:szCs w:val="36"/>
          <w:highlight w:val="none"/>
        </w:rPr>
      </w:pPr>
    </w:p>
    <w:p w14:paraId="73C6EA5F">
      <w:pPr>
        <w:spacing w:line="780" w:lineRule="auto"/>
        <w:jc w:val="center"/>
        <w:rPr>
          <w:rFonts w:hAnsi="宋体" w:cs="宋体"/>
          <w:b/>
          <w:color w:val="auto"/>
          <w:sz w:val="72"/>
          <w:szCs w:val="72"/>
          <w:highlight w:val="none"/>
        </w:rPr>
      </w:pPr>
    </w:p>
    <w:p w14:paraId="621FA0C5">
      <w:pPr>
        <w:spacing w:line="780" w:lineRule="auto"/>
        <w:jc w:val="center"/>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11"/>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3"/>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五</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4699D3A8">
      <w:pPr>
        <w:jc w:val="center"/>
        <w:rPr>
          <w:color w:val="auto"/>
          <w:highlight w:val="none"/>
        </w:rPr>
      </w:pPr>
      <w:bookmarkStart w:id="1" w:name="_Toc389582033"/>
      <w:bookmarkStart w:id="2" w:name="_Toc20858"/>
      <w:bookmarkStart w:id="3" w:name="_Toc5293"/>
      <w:bookmarkStart w:id="4" w:name="_Toc19886"/>
      <w:bookmarkStart w:id="5" w:name="_Toc16218"/>
      <w:bookmarkStart w:id="6" w:name="_Toc21518"/>
      <w:bookmarkStart w:id="7" w:name="_Toc20652"/>
      <w:bookmarkStart w:id="8" w:name="_Toc27420"/>
      <w:bookmarkStart w:id="9" w:name="_Toc403077638"/>
      <w:bookmarkStart w:id="10" w:name="_Toc363474016"/>
      <w:bookmarkStart w:id="11" w:name="_Toc363473971"/>
    </w:p>
    <w:p w14:paraId="72101B57">
      <w:pPr>
        <w:pStyle w:val="18"/>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8"/>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8"/>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cs="宋体"/>
          <w:sz w:val="28"/>
          <w:szCs w:val="21"/>
          <w:highlight w:val="none"/>
          <w:lang w:val="en-US" w:eastAsia="zh-CN"/>
        </w:rPr>
        <w:t xml:space="preserve">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8"/>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30</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8"/>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36</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8"/>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38</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8"/>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20178623">
      <w:pPr>
        <w:pStyle w:val="4"/>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4"/>
        <w:keepNext w:val="0"/>
        <w:keepLines/>
        <w:pageBreakBefore/>
        <w:spacing w:beforeLines="50" w:afterLines="50" w:line="360" w:lineRule="auto"/>
        <w:jc w:val="center"/>
        <w:rPr>
          <w:rFonts w:ascii="宋体" w:eastAsia="宋体" w:cs="宋体"/>
          <w:bCs/>
          <w:color w:val="auto"/>
          <w:sz w:val="36"/>
          <w:szCs w:val="36"/>
          <w:highlight w:val="none"/>
        </w:rPr>
      </w:pPr>
      <w:bookmarkStart w:id="12" w:name="_Toc423973071"/>
      <w:bookmarkStart w:id="13" w:name="_Toc19312"/>
      <w:bookmarkStart w:id="14" w:name="_Toc25782"/>
      <w:bookmarkStart w:id="15" w:name="_Toc2705"/>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13E2A7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val="0"/>
          <w:bCs w:val="0"/>
          <w:sz w:val="24"/>
          <w:szCs w:val="24"/>
        </w:rPr>
      </w:pPr>
      <w:bookmarkStart w:id="16" w:name="_Toc389582035"/>
      <w:bookmarkStart w:id="17" w:name="_Toc2929"/>
      <w:bookmarkStart w:id="18" w:name="_Toc29249"/>
      <w:bookmarkStart w:id="19" w:name="_Toc423973072"/>
      <w:r>
        <w:rPr>
          <w:rStyle w:val="26"/>
          <w:rFonts w:hint="eastAsia" w:ascii="宋体" w:hAnsi="宋体" w:eastAsia="宋体" w:cs="宋体"/>
          <w:b/>
          <w:bCs/>
          <w:i w:val="0"/>
          <w:iCs w:val="0"/>
          <w:caps w:val="0"/>
          <w:color w:val="333333"/>
          <w:spacing w:val="0"/>
          <w:sz w:val="24"/>
          <w:szCs w:val="24"/>
          <w:shd w:val="clear" w:fill="FFFFFF"/>
        </w:rPr>
        <w:t>项目概况</w:t>
      </w:r>
    </w:p>
    <w:p w14:paraId="425B2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对外培训项目采购项目的潜在供应商应在陕西省西安市经济技术开发区未央路171-1号银池道拉斯财富中心21楼03室获取采购文件，并于2025年05月2</w:t>
      </w:r>
      <w:r>
        <w:rPr>
          <w:rFonts w:hint="eastAsia" w:ascii="宋体" w:hAnsi="宋体" w:cs="宋体"/>
          <w:i w:val="0"/>
          <w:iCs w:val="0"/>
          <w:caps w:val="0"/>
          <w:color w:val="333333"/>
          <w:spacing w:val="0"/>
          <w:sz w:val="24"/>
          <w:szCs w:val="24"/>
          <w:shd w:val="clear" w:fill="FFFFFF"/>
          <w:lang w:val="en-US" w:eastAsia="zh-CN" w:bidi="ar-SA"/>
        </w:rPr>
        <w:t>7</w:t>
      </w:r>
      <w:r>
        <w:rPr>
          <w:rFonts w:hint="eastAsia" w:ascii="宋体" w:hAnsi="宋体" w:eastAsia="宋体" w:cs="宋体"/>
          <w:i w:val="0"/>
          <w:iCs w:val="0"/>
          <w:caps w:val="0"/>
          <w:color w:val="333333"/>
          <w:spacing w:val="0"/>
          <w:sz w:val="24"/>
          <w:szCs w:val="24"/>
          <w:shd w:val="clear" w:fill="FFFFFF"/>
          <w:lang w:val="en-US" w:eastAsia="zh-CN" w:bidi="ar-SA"/>
        </w:rPr>
        <w:t>日</w:t>
      </w:r>
      <w:r>
        <w:rPr>
          <w:rFonts w:hint="eastAsia" w:hAnsi="宋体" w:cs="宋体"/>
          <w:i w:val="0"/>
          <w:iCs w:val="0"/>
          <w:caps w:val="0"/>
          <w:color w:val="333333"/>
          <w:spacing w:val="0"/>
          <w:sz w:val="24"/>
          <w:szCs w:val="24"/>
          <w:shd w:val="clear" w:fill="FFFFFF"/>
          <w:lang w:val="en-US" w:eastAsia="zh-CN" w:bidi="ar-SA"/>
        </w:rPr>
        <w:t>09</w:t>
      </w:r>
      <w:r>
        <w:rPr>
          <w:rFonts w:hint="eastAsia" w:ascii="宋体" w:hAnsi="宋体" w:eastAsia="宋体" w:cs="宋体"/>
          <w:i w:val="0"/>
          <w:iCs w:val="0"/>
          <w:caps w:val="0"/>
          <w:color w:val="333333"/>
          <w:spacing w:val="0"/>
          <w:sz w:val="24"/>
          <w:szCs w:val="24"/>
          <w:shd w:val="clear" w:fill="FFFFFF"/>
          <w:lang w:val="en-US" w:eastAsia="zh-CN" w:bidi="ar-SA"/>
        </w:rPr>
        <w:t>时00分（北京时间）前提交响应文件。</w:t>
      </w:r>
    </w:p>
    <w:p w14:paraId="2D96E4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lang w:val="en-US" w:eastAsia="zh-CN"/>
        </w:rPr>
      </w:pPr>
      <w:r>
        <w:rPr>
          <w:rStyle w:val="26"/>
          <w:rFonts w:hint="eastAsia" w:ascii="宋体" w:hAnsi="宋体" w:eastAsia="宋体" w:cs="宋体"/>
          <w:b/>
          <w:bCs/>
          <w:i w:val="0"/>
          <w:iCs w:val="0"/>
          <w:caps w:val="0"/>
          <w:color w:val="333333"/>
          <w:spacing w:val="0"/>
          <w:sz w:val="24"/>
          <w:szCs w:val="24"/>
          <w:shd w:val="clear" w:fill="FFFFFF"/>
          <w:lang w:val="en-US" w:eastAsia="zh-CN"/>
        </w:rPr>
        <w:t>一、项目基本情况</w:t>
      </w:r>
    </w:p>
    <w:p w14:paraId="7ABCA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项目编号：SXZCZB2025-ZCCS-0523</w:t>
      </w:r>
    </w:p>
    <w:p w14:paraId="52AD27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项目名称：对外培训项目</w:t>
      </w:r>
    </w:p>
    <w:p w14:paraId="176326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采购方式：竞争性磋商</w:t>
      </w:r>
    </w:p>
    <w:p w14:paraId="641CF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预算金额：</w:t>
      </w:r>
      <w:r>
        <w:rPr>
          <w:rFonts w:hint="eastAsia" w:hAnsi="宋体" w:cs="宋体"/>
          <w:i w:val="0"/>
          <w:iCs w:val="0"/>
          <w:caps w:val="0"/>
          <w:color w:val="333333"/>
          <w:spacing w:val="0"/>
          <w:sz w:val="24"/>
          <w:szCs w:val="24"/>
          <w:shd w:val="clear" w:fill="FFFFFF"/>
          <w:lang w:val="en-US" w:eastAsia="zh-CN" w:bidi="ar-SA"/>
        </w:rPr>
        <w:t>220,000.00</w:t>
      </w:r>
      <w:r>
        <w:rPr>
          <w:rFonts w:hint="eastAsia" w:ascii="宋体" w:hAnsi="宋体" w:eastAsia="宋体" w:cs="宋体"/>
          <w:i w:val="0"/>
          <w:iCs w:val="0"/>
          <w:caps w:val="0"/>
          <w:color w:val="333333"/>
          <w:spacing w:val="0"/>
          <w:sz w:val="24"/>
          <w:szCs w:val="24"/>
          <w:shd w:val="clear" w:fill="FFFFFF"/>
          <w:lang w:val="en-US" w:eastAsia="zh-CN" w:bidi="ar-SA"/>
        </w:rPr>
        <w:t>元</w:t>
      </w:r>
    </w:p>
    <w:p w14:paraId="52B542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采购需求：</w:t>
      </w:r>
    </w:p>
    <w:p w14:paraId="2984AA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合同包1(对外培训项目):</w:t>
      </w:r>
    </w:p>
    <w:p w14:paraId="50E479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合同包预算金额：</w:t>
      </w:r>
      <w:r>
        <w:rPr>
          <w:rFonts w:hint="eastAsia" w:hAnsi="宋体" w:cs="宋体"/>
          <w:i w:val="0"/>
          <w:iCs w:val="0"/>
          <w:caps w:val="0"/>
          <w:color w:val="333333"/>
          <w:spacing w:val="0"/>
          <w:sz w:val="24"/>
          <w:szCs w:val="24"/>
          <w:shd w:val="clear" w:fill="FFFFFF"/>
          <w:lang w:val="en-US" w:eastAsia="zh-CN" w:bidi="ar-SA"/>
        </w:rPr>
        <w:t>220,000.00</w:t>
      </w:r>
      <w:r>
        <w:rPr>
          <w:rFonts w:hint="eastAsia" w:ascii="宋体" w:hAnsi="宋体" w:eastAsia="宋体" w:cs="宋体"/>
          <w:i w:val="0"/>
          <w:iCs w:val="0"/>
          <w:caps w:val="0"/>
          <w:color w:val="333333"/>
          <w:spacing w:val="0"/>
          <w:sz w:val="24"/>
          <w:szCs w:val="24"/>
          <w:shd w:val="clear" w:fill="FFFFFF"/>
          <w:lang w:val="en-US" w:eastAsia="zh-CN" w:bidi="ar-SA"/>
        </w:rPr>
        <w:t>元</w:t>
      </w:r>
    </w:p>
    <w:p w14:paraId="3B7E8A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合同包最高限价：</w:t>
      </w:r>
      <w:r>
        <w:rPr>
          <w:rFonts w:hint="eastAsia" w:hAnsi="宋体" w:cs="宋体"/>
          <w:i w:val="0"/>
          <w:iCs w:val="0"/>
          <w:caps w:val="0"/>
          <w:color w:val="333333"/>
          <w:spacing w:val="0"/>
          <w:sz w:val="24"/>
          <w:szCs w:val="24"/>
          <w:shd w:val="clear" w:fill="FFFFFF"/>
          <w:lang w:val="en-US" w:eastAsia="zh-CN" w:bidi="ar-SA"/>
        </w:rPr>
        <w:t>220,000.00</w:t>
      </w:r>
      <w:r>
        <w:rPr>
          <w:rFonts w:hint="eastAsia" w:ascii="宋体" w:hAnsi="宋体" w:eastAsia="宋体" w:cs="宋体"/>
          <w:i w:val="0"/>
          <w:iCs w:val="0"/>
          <w:caps w:val="0"/>
          <w:color w:val="333333"/>
          <w:spacing w:val="0"/>
          <w:sz w:val="24"/>
          <w:szCs w:val="24"/>
          <w:shd w:val="clear" w:fill="FFFFFF"/>
          <w:lang w:val="en-US" w:eastAsia="zh-CN" w:bidi="ar-SA"/>
        </w:rPr>
        <w:t>元</w:t>
      </w:r>
    </w:p>
    <w:tbl>
      <w:tblPr>
        <w:tblStyle w:val="23"/>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886"/>
        <w:gridCol w:w="2478"/>
        <w:gridCol w:w="722"/>
        <w:gridCol w:w="1087"/>
        <w:gridCol w:w="1440"/>
        <w:gridCol w:w="1440"/>
      </w:tblGrid>
      <w:tr w14:paraId="464620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5D289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D00452">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C5309F">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41237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5F5B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EFB52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F13E92">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3F4018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CD598F">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591624">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其他会议、展览、住宿和餐饮服务</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408111">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培训项目食宿</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7DB08A">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8DD49">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E845E8">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lang w:eastAsia="zh-CN"/>
              </w:rPr>
            </w:pPr>
            <w:r>
              <w:rPr>
                <w:rFonts w:hint="eastAsia" w:hAnsi="宋体" w:cs="宋体"/>
                <w:sz w:val="24"/>
                <w:szCs w:val="24"/>
                <w:lang w:eastAsia="zh-CN"/>
              </w:rPr>
              <w:t>220,000.00</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09B5FC">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lang w:eastAsia="zh-CN"/>
              </w:rPr>
            </w:pPr>
            <w:r>
              <w:rPr>
                <w:rFonts w:hint="eastAsia" w:hAnsi="宋体" w:cs="宋体"/>
                <w:sz w:val="24"/>
                <w:szCs w:val="24"/>
                <w:lang w:eastAsia="zh-CN"/>
              </w:rPr>
              <w:t>220,000.00</w:t>
            </w:r>
          </w:p>
        </w:tc>
      </w:tr>
    </w:tbl>
    <w:p w14:paraId="5AA74A3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77A7A9F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合同履行期限：详见磋商文件</w:t>
      </w:r>
    </w:p>
    <w:p w14:paraId="3DCBD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lang w:val="en-US" w:eastAsia="zh-CN"/>
        </w:rPr>
      </w:pPr>
      <w:r>
        <w:rPr>
          <w:rStyle w:val="26"/>
          <w:rFonts w:hint="eastAsia" w:ascii="宋体" w:hAnsi="宋体" w:eastAsia="宋体" w:cs="宋体"/>
          <w:b/>
          <w:bCs/>
          <w:i w:val="0"/>
          <w:iCs w:val="0"/>
          <w:caps w:val="0"/>
          <w:color w:val="333333"/>
          <w:spacing w:val="0"/>
          <w:sz w:val="24"/>
          <w:szCs w:val="24"/>
          <w:shd w:val="clear" w:fill="FFFFFF"/>
          <w:lang w:val="en-US" w:eastAsia="zh-CN"/>
        </w:rPr>
        <w:t>二、申请人的资格要求：</w:t>
      </w:r>
    </w:p>
    <w:p w14:paraId="288F945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2F3C4A1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5E49878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ascii="宋体" w:hAnsi="宋体" w:eastAsia="宋体" w:cs="宋体"/>
          <w:i w:val="0"/>
          <w:iCs w:val="0"/>
          <w:caps w:val="0"/>
          <w:color w:val="333333"/>
          <w:spacing w:val="0"/>
          <w:sz w:val="24"/>
          <w:szCs w:val="24"/>
          <w:shd w:val="clear" w:fill="FFFFFF"/>
          <w:lang w:eastAsia="zh-CN"/>
        </w:rPr>
        <w:t>对外培训项目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66CE797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（1）《政府采购促进中小企业发展管理办法》（财库〔2020〕46号）；</w:t>
      </w:r>
    </w:p>
    <w:p w14:paraId="545CD7C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p>
    <w:p w14:paraId="1D4AFA6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（3）《关于促进残疾人就业政府采购政策的通知》（财库〔2017〕141号）；</w:t>
      </w:r>
    </w:p>
    <w:p w14:paraId="4B92E13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（4）《节能产品政府采购实施意见》（财库〔2004〕185号）；</w:t>
      </w:r>
    </w:p>
    <w:p w14:paraId="17AD617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（5）《环境标志产品政府采购实施的意见》（财库〔2006〕90号）；</w:t>
      </w:r>
    </w:p>
    <w:p w14:paraId="174BFD8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（6）《国务院办公厅关于建立政府强制采购节能产品制度的通知》（国办发〔2007〕51号）；</w:t>
      </w:r>
    </w:p>
    <w:p w14:paraId="33B77FC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（7）财政部发展改革委生态环境部市场监管总局关于调整优化节能产品、环境标志产品政府采购执行机制的通知（财库〔2019〕9号）；</w:t>
      </w:r>
    </w:p>
    <w:p w14:paraId="3D263FC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（8）《关于印发环境标志产品政府采购品目清单的通知》--（财库〔2019〕18号）；</w:t>
      </w:r>
    </w:p>
    <w:p w14:paraId="034C3CD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（9）《关于印发节能产品政府采购品目清单的通知》--（财库〔2019〕19号）；</w:t>
      </w:r>
    </w:p>
    <w:p w14:paraId="3653C4B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（10）《关于发布参与实施政府采购节能产品、环境标志产品认证机构名录的公告》—2019年第16号；</w:t>
      </w:r>
    </w:p>
    <w:p w14:paraId="23D63B8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（11）《关于运用政府采购政策支持乡村产业振兴的通知》（财库〔2021〕19号）；</w:t>
      </w:r>
    </w:p>
    <w:p w14:paraId="356E8CF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（12）陕西省财政厅关于印发《陕西省中小企业政府采购信用融资办法》（陕财办采〔2018〕23号），相关政策、业务流程、办理平台（详见http://www.ccgp-shaanxi.gov.cn/zcdservice/zcd/shanxi/）；</w:t>
      </w:r>
    </w:p>
    <w:p w14:paraId="494EEC4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（13）《陕西省财政厅关于加快推进我省中小企业政府采购信用融资工作的通知》（陕财办采〔2020〕15号）；</w:t>
      </w:r>
    </w:p>
    <w:p w14:paraId="6598CB4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（14）《关于进一步加强政府绿色采购有关问题的通知》（陕财办采〔2021〕29号）；</w:t>
      </w:r>
    </w:p>
    <w:p w14:paraId="4FA899F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（15）《陕西省财政厅陕西省工业和信息化厅关于运用政府采购政策支持首台（套）及创新产品有关事项的通知》（陕财办采〔2021〕17号）；</w:t>
      </w:r>
    </w:p>
    <w:p w14:paraId="3D70116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（16）《关于进一步加大政府采购支持中小企业力度的通知》（财库〔2022〕19号）、《关于落实政府采购支持中小企业政策有关事项的通知》（陕财办采函〔2022〕10号）；</w:t>
      </w:r>
    </w:p>
    <w:p w14:paraId="7B00C35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（17）其他需要落实的政府采购政策。</w:t>
      </w:r>
    </w:p>
    <w:p w14:paraId="76E168E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3.本项目的特定资格要求：</w:t>
      </w:r>
    </w:p>
    <w:p w14:paraId="4BE3EAB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合同包1(对外培训项目)特定资格要求如下:</w:t>
      </w:r>
    </w:p>
    <w:p w14:paraId="34C84BC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（1）提供合格有效的法人或者其他组织的营业执照等证明文件，自然人的身份证明；</w:t>
      </w:r>
    </w:p>
    <w:p w14:paraId="583E78F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（2）提供法定代表人授权书（附法定代表人、被授权人身份证复印件），法定代表人直接参加的，须提供法定代表人身份证明及身份证复印件；</w:t>
      </w:r>
    </w:p>
    <w:p w14:paraId="112887D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7693607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（4）税收缴纳证明：提供磋商截止日前任意1个月的纳税证明或完税证明（任意税种），依法免税的单位应提供相关证明材料；</w:t>
      </w:r>
    </w:p>
    <w:p w14:paraId="383CA6E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（5）社会保障资金缴纳证明：提供磋商截止日前任意1个月的社会保障资金缴存单据或社保机构开具的社会保险参保缴费情况证明，依法不需要缴纳社会保障资金的单位应提供相关证明材料；</w:t>
      </w:r>
    </w:p>
    <w:p w14:paraId="3C21450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（6）供应商通过“信用中国”网站(www.creditchina.gov.cn)、中国政府采购网(www.ccgp.gov.cn)等查询相关主体信用记录，提供“信用中国”网站下载的《信用信息报告》；</w:t>
      </w:r>
    </w:p>
    <w:p w14:paraId="0850FE6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（7）参加政府采购活动前3年内，在经营活动中没有重大违法记录的书面声明；</w:t>
      </w:r>
    </w:p>
    <w:p w14:paraId="5C3FA82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（8）提供具有履行合同所必需的设备和专业技术能力的书面承诺；</w:t>
      </w:r>
    </w:p>
    <w:p w14:paraId="78B5FFE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（9）供应商须提供中小企业声明函；</w:t>
      </w:r>
    </w:p>
    <w:p w14:paraId="0BC52E5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（10）本项目不接受联合体磋商（提供承诺书）。</w:t>
      </w:r>
    </w:p>
    <w:p w14:paraId="778F50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lang w:val="en-US" w:eastAsia="zh-CN"/>
        </w:rPr>
      </w:pPr>
      <w:r>
        <w:rPr>
          <w:rStyle w:val="26"/>
          <w:rFonts w:hint="eastAsia" w:ascii="宋体" w:hAnsi="宋体" w:eastAsia="宋体" w:cs="宋体"/>
          <w:b/>
          <w:bCs/>
          <w:i w:val="0"/>
          <w:iCs w:val="0"/>
          <w:caps w:val="0"/>
          <w:color w:val="333333"/>
          <w:spacing w:val="0"/>
          <w:sz w:val="24"/>
          <w:szCs w:val="24"/>
          <w:shd w:val="clear" w:fill="FFFFFF"/>
          <w:lang w:val="en-US" w:eastAsia="zh-CN"/>
        </w:rPr>
        <w:t>三、获取采购文件</w:t>
      </w:r>
    </w:p>
    <w:p w14:paraId="5083A0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时间：2025年05月16日至2025年05月22日，每天上午09:00:00至12:00:00，下午14:00:00至17:00:00（北京时间）</w:t>
      </w:r>
    </w:p>
    <w:p w14:paraId="5239A7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途径：陕西省西安市经济技术开发区未央路171-1号银池道拉斯财富中心21楼03室</w:t>
      </w:r>
    </w:p>
    <w:p w14:paraId="1FEB8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方式：现场获取</w:t>
      </w:r>
    </w:p>
    <w:p w14:paraId="39098C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售价：0元</w:t>
      </w:r>
    </w:p>
    <w:p w14:paraId="28FEE7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四、响应文件提交</w:t>
      </w:r>
    </w:p>
    <w:p w14:paraId="64848C7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截止时间：2025年05月2</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日</w:t>
      </w:r>
      <w:r>
        <w:rPr>
          <w:rFonts w:hint="eastAsia" w:cs="宋体"/>
          <w:i w:val="0"/>
          <w:iCs w:val="0"/>
          <w:caps w:val="0"/>
          <w:color w:val="333333"/>
          <w:spacing w:val="0"/>
          <w:sz w:val="24"/>
          <w:szCs w:val="24"/>
          <w:shd w:val="clear" w:fill="FFFFFF"/>
          <w:lang w:val="en-US" w:eastAsia="zh-CN"/>
        </w:rPr>
        <w:t>09</w:t>
      </w:r>
      <w:r>
        <w:rPr>
          <w:rFonts w:hint="eastAsia" w:ascii="宋体" w:hAnsi="宋体" w:eastAsia="宋体" w:cs="宋体"/>
          <w:i w:val="0"/>
          <w:iCs w:val="0"/>
          <w:caps w:val="0"/>
          <w:color w:val="333333"/>
          <w:spacing w:val="0"/>
          <w:sz w:val="24"/>
          <w:szCs w:val="24"/>
          <w:shd w:val="clear" w:fill="FFFFFF"/>
        </w:rPr>
        <w:t>时00分00秒（北京时间）</w:t>
      </w:r>
    </w:p>
    <w:p w14:paraId="74376F6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地点：陕西省西安市碑林区南二环西段21号华融国际商务大厦A座22楼E区</w:t>
      </w:r>
    </w:p>
    <w:p w14:paraId="270B54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五、开启</w:t>
      </w:r>
    </w:p>
    <w:p w14:paraId="56138C5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时间：2025年05月2</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日</w:t>
      </w:r>
      <w:r>
        <w:rPr>
          <w:rFonts w:hint="eastAsia" w:cs="宋体"/>
          <w:i w:val="0"/>
          <w:iCs w:val="0"/>
          <w:caps w:val="0"/>
          <w:color w:val="333333"/>
          <w:spacing w:val="0"/>
          <w:sz w:val="24"/>
          <w:szCs w:val="24"/>
          <w:shd w:val="clear" w:fill="FFFFFF"/>
          <w:lang w:val="en-US" w:eastAsia="zh-CN"/>
        </w:rPr>
        <w:t>09</w:t>
      </w:r>
      <w:r>
        <w:rPr>
          <w:rFonts w:hint="eastAsia" w:ascii="宋体" w:hAnsi="宋体" w:eastAsia="宋体" w:cs="宋体"/>
          <w:i w:val="0"/>
          <w:iCs w:val="0"/>
          <w:caps w:val="0"/>
          <w:color w:val="333333"/>
          <w:spacing w:val="0"/>
          <w:sz w:val="24"/>
          <w:szCs w:val="24"/>
          <w:shd w:val="clear" w:fill="FFFFFF"/>
        </w:rPr>
        <w:t>时00分00秒（北京时间）</w:t>
      </w:r>
    </w:p>
    <w:p w14:paraId="3D054CC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地点：陕西省西安市碑林区南二环西段21号华融国际商务大厦A座22楼E区</w:t>
      </w:r>
    </w:p>
    <w:p w14:paraId="6FF015B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六、公告期限</w:t>
      </w:r>
    </w:p>
    <w:p w14:paraId="0043F25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自本公告发布之日起3个工作日。</w:t>
      </w:r>
    </w:p>
    <w:p w14:paraId="258B6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七、其他补充事宜</w:t>
      </w:r>
    </w:p>
    <w:p w14:paraId="72DA233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（1）供应商领取采购文件时，请携带单位介绍信及经办人身份证原件及复印件加盖公章；</w:t>
      </w:r>
    </w:p>
    <w:p w14:paraId="5E7E7D6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14:paraId="2083B8F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（3）本项目专门面向中小企业采购。</w:t>
      </w:r>
    </w:p>
    <w:p w14:paraId="490483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201B9A1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1.采购人信息</w:t>
      </w:r>
    </w:p>
    <w:p w14:paraId="7CFF8BA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西安开放大学</w:t>
      </w:r>
    </w:p>
    <w:p w14:paraId="70E284A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地址：西安市碑林区五味什字48号</w:t>
      </w:r>
    </w:p>
    <w:p w14:paraId="0A27780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029-87610025</w:t>
      </w:r>
    </w:p>
    <w:p w14:paraId="492AFDB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2.采购代理机构信息</w:t>
      </w:r>
    </w:p>
    <w:p w14:paraId="71D4E9D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07EFE1A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0FC0243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联系方式：029-88219779</w:t>
      </w:r>
    </w:p>
    <w:p w14:paraId="7728C94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3.项目联系方式</w:t>
      </w:r>
    </w:p>
    <w:p w14:paraId="2FC5C4C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项目联系人：康乐、孙洋、常瑛</w:t>
      </w:r>
    </w:p>
    <w:p w14:paraId="747BF83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电话：029-88219779</w:t>
      </w:r>
    </w:p>
    <w:p w14:paraId="6C9F7DC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p>
    <w:p w14:paraId="39B9A251">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5F0A378">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466F65AB">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2025年05月15日</w:t>
      </w: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5958"/>
      <w:bookmarkStart w:id="21" w:name="_Toc3334"/>
      <w:bookmarkStart w:id="22" w:name="_Toc14793"/>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4724"/>
      <w:bookmarkStart w:id="25" w:name="_Toc18299"/>
      <w:bookmarkStart w:id="26" w:name="_Toc16830"/>
      <w:bookmarkStart w:id="27" w:name="_Toc8846"/>
      <w:bookmarkStart w:id="28" w:name="_Toc23180"/>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w:t>
            </w:r>
            <w:r>
              <w:rPr>
                <w:rFonts w:hint="eastAsia" w:hAnsi="宋体" w:cs="宋体"/>
                <w:color w:val="auto"/>
                <w:szCs w:val="24"/>
                <w:highlight w:val="none"/>
                <w:lang w:val="en-US" w:eastAsia="zh-CN"/>
              </w:rPr>
              <w:t>固定单价结算，</w:t>
            </w:r>
            <w:r>
              <w:rPr>
                <w:rFonts w:hint="eastAsia" w:hAnsi="宋体" w:cs="宋体"/>
                <w:color w:val="auto"/>
                <w:szCs w:val="24"/>
                <w:highlight w:val="none"/>
              </w:rPr>
              <w:t>餐费按实际用餐人数和用餐次数据实结算。住宿、会场按照实际使用情况据实结算。</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0468749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14:paraId="6F3EA1B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（2）提供法定代表人授权书（附法定代表人、被授权人身份证复印件），法定代表人直接参加的，须提供法定代表人身份证明及身份证复印件；</w:t>
            </w:r>
          </w:p>
          <w:p w14:paraId="3ECB87A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390C6DA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（4）税收缴纳证明：提供磋商截止日前</w:t>
            </w:r>
            <w:r>
              <w:rPr>
                <w:rFonts w:hint="eastAsia" w:cs="宋体"/>
                <w:szCs w:val="24"/>
                <w:highlight w:val="none"/>
                <w:lang w:val="en-US" w:eastAsia="zh-CN"/>
              </w:rPr>
              <w:t>任意1</w:t>
            </w:r>
            <w:r>
              <w:rPr>
                <w:rFonts w:hint="eastAsia" w:hAnsi="宋体" w:cs="宋体"/>
                <w:szCs w:val="24"/>
                <w:highlight w:val="none"/>
                <w:lang w:val="en-US" w:eastAsia="zh-CN"/>
              </w:rPr>
              <w:t>个月的纳税证明或完税证明（任意税种），依法免税的单位应提供相关证明材料；</w:t>
            </w:r>
          </w:p>
          <w:p w14:paraId="7F5FF3D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w:t>
            </w:r>
            <w:r>
              <w:rPr>
                <w:rFonts w:hint="eastAsia" w:cs="宋体"/>
                <w:szCs w:val="24"/>
                <w:highlight w:val="none"/>
                <w:lang w:val="en-US" w:eastAsia="zh-CN"/>
              </w:rPr>
              <w:t>任意1</w:t>
            </w:r>
            <w:r>
              <w:rPr>
                <w:rFonts w:hint="eastAsia" w:hAnsi="宋体" w:cs="宋体"/>
                <w:szCs w:val="24"/>
                <w:highlight w:val="none"/>
                <w:lang w:val="en-US" w:eastAsia="zh-CN"/>
              </w:rPr>
              <w:t>个月的社会保障资金缴存单据或社保机构开具的社会保险参保缴费情况证明，依法不需要缴纳社会保障资金的单位应提供相关证明材料；</w:t>
            </w:r>
          </w:p>
          <w:p w14:paraId="2C1A66B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（6）供应商通过“信用中国”网站(www.creditchina.gov.cn)、中国政府采购网(www.ccgp.gov.cn)等查询相关主体信用记录，提供“信用中国”网站下载的《信用信息报告》；</w:t>
            </w:r>
          </w:p>
          <w:p w14:paraId="2E04C3A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（7）参加政府采购活动前3年内，在经营活动中没有重大违法记录的书面声明；</w:t>
            </w:r>
          </w:p>
          <w:p w14:paraId="5998EBC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（8）提供具有履行合同所必需的设备和专业技术能力的书面承诺；</w:t>
            </w:r>
          </w:p>
          <w:p w14:paraId="7BD7C59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（9）供应商须提供中小企业声明函；</w:t>
            </w:r>
          </w:p>
          <w:p w14:paraId="717FF59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（10）本项目不接受联合体磋商（提供承诺书）。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1-10项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6A630669">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21D0EE60">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2E095799">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427BE1FD">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21F3416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磋商响应文件递交地址：陕西省西安市碑林区南二环西段21号华融国际商务大厦A座22楼E区</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磋商地点：陕西省西安市碑林区南二环西段21号华融国际商务大厦A座22楼E区</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1DCD1D22">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按照《国家发展改革委关于进一步放开建设项目专业服务价格的通知》（发改价格〔2015〕299号）文件的要求，结合市场行情执行。由成交供应商在领取成交通知书前，向采购代理机构一次性支付招标代理服务费，招标代理费不足4000元按4000元收取。</w:t>
            </w:r>
          </w:p>
          <w:p w14:paraId="73C78E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int="default"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租赁和商务服务业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spacing w:line="500" w:lineRule="exact"/>
              <w:ind w:firstLine="480" w:firstLineChars="200"/>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r>
              <w:rPr>
                <w:rFonts w:hint="eastAsia" w:hAnsi="宋体" w:cs="宋体"/>
                <w:color w:val="auto"/>
                <w:szCs w:val="32"/>
                <w:highlight w:val="none"/>
                <w:lang w:val="en-US" w:eastAsia="zh-CN"/>
              </w:rPr>
              <w:t>本项目为专门面向中小企业采购，不再进行价格得分的扣减。</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363473972"/>
      <w:bookmarkStart w:id="30" w:name="_Toc363474017"/>
      <w:bookmarkStart w:id="31" w:name="_Toc403077639"/>
      <w:r>
        <w:rPr>
          <w:rFonts w:hint="eastAsia" w:hAnsi="宋体" w:cs="宋体"/>
          <w:b/>
          <w:color w:val="auto"/>
          <w:sz w:val="32"/>
          <w:szCs w:val="32"/>
          <w:highlight w:val="none"/>
        </w:rPr>
        <w:br w:type="page"/>
      </w:r>
      <w:bookmarkStart w:id="32" w:name="_Toc3623"/>
      <w:bookmarkStart w:id="33" w:name="_Toc30660"/>
      <w:bookmarkStart w:id="34" w:name="_Toc27537"/>
      <w:bookmarkStart w:id="35" w:name="_Toc4670"/>
      <w:bookmarkStart w:id="36" w:name="_Toc22284"/>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F211C92">
      <w:pPr>
        <w:numPr>
          <w:ilvl w:val="0"/>
          <w:numId w:val="1"/>
        </w:numPr>
        <w:spacing w:line="500" w:lineRule="exact"/>
        <w:rPr>
          <w:rFonts w:hAnsi="宋体" w:cs="宋体"/>
          <w:b/>
          <w:color w:val="auto"/>
          <w:szCs w:val="24"/>
          <w:highlight w:val="none"/>
        </w:rPr>
      </w:pPr>
      <w:bookmarkStart w:id="37" w:name="_Toc363473973"/>
      <w:bookmarkStart w:id="38" w:name="_Toc403077640"/>
      <w:bookmarkStart w:id="39" w:name="_Toc363474018"/>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w:t>
      </w:r>
      <w:r>
        <w:rPr>
          <w:rFonts w:hint="eastAsia" w:hAnsi="宋体" w:cs="宋体"/>
          <w:color w:val="auto"/>
          <w:szCs w:val="22"/>
          <w:highlight w:val="none"/>
          <w:lang w:eastAsia="zh-CN"/>
        </w:rPr>
        <w:t>西安开放大学</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27903"/>
      <w:bookmarkStart w:id="41" w:name="_Toc30698"/>
      <w:bookmarkStart w:id="42" w:name="_Toc12362"/>
      <w:bookmarkStart w:id="43" w:name="_Toc31742"/>
      <w:bookmarkStart w:id="44" w:name="_Toc15249"/>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第一章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第三章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第四章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第六章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403077641"/>
      <w:bookmarkStart w:id="46" w:name="_Toc4913"/>
      <w:bookmarkStart w:id="47" w:name="_Toc28227"/>
      <w:bookmarkStart w:id="48" w:name="_Toc13771"/>
      <w:bookmarkStart w:id="49" w:name="_Toc26653"/>
      <w:bookmarkStart w:id="50" w:name="_Toc9512"/>
      <w:bookmarkStart w:id="51" w:name="_Toc363474019"/>
      <w:bookmarkStart w:id="52" w:name="_Toc363473974"/>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12266"/>
      <w:bookmarkStart w:id="55" w:name="_Toc18686"/>
      <w:bookmarkStart w:id="56" w:name="_Toc28120"/>
      <w:bookmarkStart w:id="57" w:name="_Toc20799"/>
      <w:bookmarkStart w:id="58" w:name="_Toc13194"/>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22043"/>
      <w:bookmarkStart w:id="60" w:name="_Toc363473976"/>
      <w:bookmarkStart w:id="61" w:name="_Toc25852"/>
      <w:bookmarkStart w:id="62" w:name="_Toc363474021"/>
      <w:bookmarkStart w:id="63" w:name="_Toc15436"/>
      <w:bookmarkStart w:id="64" w:name="_Toc13669"/>
      <w:bookmarkStart w:id="65" w:name="_Toc403077643"/>
      <w:bookmarkStart w:id="66" w:name="_Toc30850"/>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21"/>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21"/>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29694"/>
      <w:bookmarkStart w:id="68" w:name="_Toc15100"/>
      <w:bookmarkStart w:id="69" w:name="_Toc24420"/>
      <w:bookmarkStart w:id="70" w:name="_Toc7759"/>
      <w:bookmarkStart w:id="71" w:name="_Toc29146"/>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0D42FF0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按照《国家发展改革委关于进一步放开建设项目专业服务价格的通知》（发改价格〔2015〕299号）文件的要求，结合市场行情执行。由成交供应商在领取成交通知书前，向采购代理机构一次性支付招标代理服务费，招标代理费不足4000元按4000元收取。</w:t>
      </w:r>
    </w:p>
    <w:p w14:paraId="5556B53F">
      <w:pPr>
        <w:spacing w:line="360" w:lineRule="auto"/>
        <w:ind w:firstLine="480" w:firstLineChars="200"/>
        <w:rPr>
          <w:rFonts w:hAnsi="宋体" w:cs="宋体"/>
          <w:color w:val="auto"/>
          <w:szCs w:val="24"/>
          <w:highlight w:val="none"/>
        </w:rPr>
      </w:pPr>
      <w:bookmarkStart w:id="229" w:name="_GoBack"/>
      <w:bookmarkEnd w:id="229"/>
      <w:r>
        <w:rPr>
          <w:rFonts w:hint="eastAsia" w:hAnsi="宋体" w:cs="宋体"/>
          <w:color w:val="auto"/>
          <w:szCs w:val="24"/>
          <w:highlight w:val="none"/>
        </w:rPr>
        <w:t>29.2本项目代理服务费由中标单位支付，中标单位应依据成交金额向招标代理机构交纳招标代理服务费。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6"/>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6"/>
          <w:rFonts w:hAnsi="宋体" w:cs="宋体"/>
          <w:b w:val="0"/>
          <w:color w:val="auto"/>
          <w:szCs w:val="24"/>
          <w:highlight w:val="none"/>
          <w:shd w:val="clear" w:color="auto" w:fill="FFFFFF"/>
        </w:rPr>
      </w:pPr>
      <w:r>
        <w:rPr>
          <w:rStyle w:val="26"/>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6"/>
          <w:rFonts w:hAnsi="宋体" w:cs="宋体"/>
          <w:b w:val="0"/>
          <w:color w:val="auto"/>
          <w:szCs w:val="24"/>
          <w:highlight w:val="none"/>
          <w:shd w:val="clear" w:color="auto" w:fill="FFFFFF"/>
        </w:rPr>
      </w:pPr>
      <w:r>
        <w:rPr>
          <w:rStyle w:val="26"/>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6"/>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4"/>
        <w:numPr>
          <w:ilvl w:val="0"/>
          <w:numId w:val="0"/>
        </w:numPr>
        <w:jc w:val="center"/>
        <w:rPr>
          <w:rFonts w:ascii="宋体" w:eastAsia="宋体" w:cs="宋体"/>
          <w:color w:val="auto"/>
          <w:highlight w:val="none"/>
        </w:rPr>
      </w:pPr>
      <w:bookmarkStart w:id="73" w:name="_Toc403077645"/>
      <w:bookmarkStart w:id="74" w:name="_Toc25783"/>
      <w:bookmarkStart w:id="75" w:name="_Toc423973074"/>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11536"/>
      <w:bookmarkStart w:id="78" w:name="_Toc9687"/>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26649"/>
      <w:bookmarkStart w:id="80" w:name="_Toc32051"/>
      <w:bookmarkStart w:id="81" w:name="_Toc7988"/>
      <w:bookmarkStart w:id="82" w:name="_Toc28665"/>
      <w:bookmarkStart w:id="83" w:name="_Toc23722"/>
      <w:bookmarkStart w:id="84" w:name="_Toc23762"/>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7029"/>
      <w:bookmarkStart w:id="86" w:name="_Toc20625"/>
      <w:bookmarkStart w:id="87" w:name="_Toc27615"/>
      <w:bookmarkStart w:id="88" w:name="_Toc23145"/>
      <w:bookmarkStart w:id="89" w:name="_Toc2374"/>
      <w:bookmarkStart w:id="90" w:name="_Toc20714"/>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3"/>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7905"/>
      <w:bookmarkStart w:id="92" w:name="_Toc4428"/>
      <w:bookmarkStart w:id="93" w:name="_Toc24776"/>
      <w:bookmarkStart w:id="94" w:name="_Toc17111"/>
      <w:bookmarkStart w:id="95" w:name="_Toc30804"/>
      <w:bookmarkStart w:id="96" w:name="_Toc19221"/>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30EB5EF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2.1.2在磋商最终报价的基础上，注册资金在十五万元以上的微型企业或注册资金在十五万元以上达到微型企业划分标准的监狱企业（或残疾人福利性单位），按“磋商最终报价×10%”进行扣减；</w:t>
      </w:r>
    </w:p>
    <w:p w14:paraId="2A8EC0F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13330"/>
      <w:bookmarkStart w:id="98" w:name="_Toc23630"/>
      <w:bookmarkStart w:id="99" w:name="_Toc25458"/>
      <w:bookmarkStart w:id="100" w:name="_Toc14745"/>
      <w:bookmarkStart w:id="101" w:name="_Toc28532"/>
      <w:bookmarkStart w:id="102" w:name="_Toc4223"/>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评价和比较以磋商响应文件为依据，从“价格评审”、“</w:t>
      </w:r>
      <w:r>
        <w:rPr>
          <w:rFonts w:hint="eastAsia" w:hAnsi="宋体" w:cs="宋体"/>
          <w:color w:val="auto"/>
          <w:szCs w:val="24"/>
          <w:highlight w:val="none"/>
          <w:lang w:val="en-US" w:eastAsia="zh-CN"/>
        </w:rPr>
        <w:t>技术方案</w:t>
      </w:r>
      <w:r>
        <w:rPr>
          <w:rFonts w:hint="eastAsia" w:hAnsi="宋体" w:cs="宋体"/>
          <w:color w:val="auto"/>
          <w:szCs w:val="24"/>
          <w:highlight w:val="none"/>
        </w:rPr>
        <w:t>”、“</w:t>
      </w:r>
      <w:r>
        <w:rPr>
          <w:rFonts w:hint="eastAsia" w:hAnsi="宋体" w:cs="宋体"/>
          <w:color w:val="auto"/>
          <w:szCs w:val="24"/>
          <w:highlight w:val="none"/>
          <w:lang w:val="en-US" w:eastAsia="zh-CN"/>
        </w:rPr>
        <w:t>履约能力</w:t>
      </w:r>
      <w:r>
        <w:rPr>
          <w:rFonts w:hint="eastAsia" w:hAnsi="宋体" w:cs="宋体"/>
          <w:color w:val="auto"/>
          <w:szCs w:val="24"/>
          <w:highlight w:val="none"/>
        </w:rPr>
        <w:t>”等方面进行评审并按照百分制进行赋分。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966"/>
        <w:gridCol w:w="6570"/>
        <w:gridCol w:w="826"/>
      </w:tblGrid>
      <w:tr w14:paraId="1158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57" w:type="dxa"/>
            <w:gridSpan w:val="2"/>
            <w:noWrap w:val="0"/>
            <w:vAlign w:val="center"/>
          </w:tcPr>
          <w:p w14:paraId="650E9A63">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570" w:type="dxa"/>
            <w:noWrap w:val="0"/>
            <w:vAlign w:val="center"/>
          </w:tcPr>
          <w:p w14:paraId="3A651216">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26" w:type="dxa"/>
            <w:noWrap w:val="0"/>
            <w:vAlign w:val="center"/>
          </w:tcPr>
          <w:p w14:paraId="2A5E265D">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3FBE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057" w:type="dxa"/>
            <w:gridSpan w:val="2"/>
            <w:noWrap w:val="0"/>
            <w:vAlign w:val="center"/>
          </w:tcPr>
          <w:p w14:paraId="758B5EFD">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675EA4F0">
            <w:pPr>
              <w:ind w:firstLine="480" w:firstLineChars="200"/>
              <w:rPr>
                <w:rFonts w:hint="eastAsia" w:hAnsi="宋体" w:cs="宋体"/>
                <w:color w:val="auto"/>
                <w:szCs w:val="24"/>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20</w:t>
            </w:r>
            <w:r>
              <w:rPr>
                <w:rFonts w:hint="eastAsia" w:hAnsi="宋体" w:cs="宋体"/>
                <w:color w:val="auto"/>
                <w:szCs w:val="22"/>
                <w:highlight w:val="none"/>
              </w:rPr>
              <w:t>分）</w:t>
            </w:r>
          </w:p>
        </w:tc>
        <w:tc>
          <w:tcPr>
            <w:tcW w:w="6570" w:type="dxa"/>
            <w:noWrap w:val="0"/>
            <w:vAlign w:val="center"/>
          </w:tcPr>
          <w:p w14:paraId="3E8417B5">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14:paraId="7AA96188">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26" w:type="dxa"/>
            <w:noWrap w:val="0"/>
            <w:vAlign w:val="center"/>
          </w:tcPr>
          <w:p w14:paraId="3DD7F124">
            <w:pPr>
              <w:spacing w:line="360" w:lineRule="auto"/>
              <w:jc w:val="both"/>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20分</w:t>
            </w:r>
          </w:p>
        </w:tc>
      </w:tr>
      <w:tr w14:paraId="2405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091" w:type="dxa"/>
            <w:vMerge w:val="restart"/>
            <w:noWrap w:val="0"/>
            <w:vAlign w:val="center"/>
          </w:tcPr>
          <w:p w14:paraId="6B0F8847">
            <w:pPr>
              <w:spacing w:line="360" w:lineRule="auto"/>
              <w:jc w:val="center"/>
              <w:rPr>
                <w:rFonts w:hint="eastAsia"/>
                <w:highlight w:val="none"/>
                <w:lang w:val="en-US" w:eastAsia="zh-CN"/>
              </w:rPr>
            </w:pPr>
            <w:r>
              <w:rPr>
                <w:rFonts w:hint="eastAsia"/>
                <w:highlight w:val="none"/>
                <w:lang w:val="en-US" w:eastAsia="zh-CN"/>
              </w:rPr>
              <w:t>技术</w:t>
            </w:r>
          </w:p>
          <w:p w14:paraId="54B935D9">
            <w:pPr>
              <w:spacing w:line="360" w:lineRule="auto"/>
              <w:jc w:val="center"/>
              <w:rPr>
                <w:rFonts w:hint="eastAsia"/>
                <w:highlight w:val="none"/>
                <w:lang w:val="en-US" w:eastAsia="zh-CN"/>
              </w:rPr>
            </w:pPr>
            <w:r>
              <w:rPr>
                <w:rFonts w:hint="eastAsia"/>
                <w:highlight w:val="none"/>
                <w:lang w:val="en-US" w:eastAsia="zh-CN"/>
              </w:rPr>
              <w:t>方案</w:t>
            </w:r>
          </w:p>
          <w:p w14:paraId="68132369">
            <w:pPr>
              <w:pStyle w:val="3"/>
              <w:ind w:left="0" w:leftChars="0" w:firstLine="0" w:firstLineChars="0"/>
              <w:jc w:val="center"/>
              <w:rPr>
                <w:rFonts w:hint="eastAsia"/>
                <w:highlight w:val="none"/>
                <w:lang w:val="en-US" w:eastAsia="zh-CN"/>
              </w:rPr>
            </w:pPr>
            <w:r>
              <w:rPr>
                <w:rFonts w:hint="eastAsia" w:ascii="宋体" w:hAnsi="Times New Roman" w:eastAsia="宋体" w:cs="Times New Roman"/>
                <w:kern w:val="0"/>
                <w:sz w:val="24"/>
                <w:szCs w:val="22"/>
                <w:highlight w:val="none"/>
                <w:lang w:val="en-US" w:eastAsia="zh-CN" w:bidi="ar-SA"/>
              </w:rPr>
              <w:t>（</w:t>
            </w:r>
            <w:r>
              <w:rPr>
                <w:rFonts w:hint="eastAsia" w:hAnsi="Times New Roman" w:cs="Times New Roman"/>
                <w:kern w:val="0"/>
                <w:sz w:val="24"/>
                <w:szCs w:val="22"/>
                <w:highlight w:val="none"/>
                <w:lang w:val="en-US" w:eastAsia="zh-CN" w:bidi="ar-SA"/>
              </w:rPr>
              <w:t>90</w:t>
            </w:r>
            <w:r>
              <w:rPr>
                <w:rFonts w:hint="eastAsia" w:ascii="宋体" w:hAnsi="Times New Roman" w:eastAsia="宋体" w:cs="Times New Roman"/>
                <w:kern w:val="0"/>
                <w:sz w:val="24"/>
                <w:szCs w:val="22"/>
                <w:highlight w:val="none"/>
                <w:lang w:val="en-US" w:eastAsia="zh-CN" w:bidi="ar-SA"/>
              </w:rPr>
              <w:t>分）</w:t>
            </w:r>
          </w:p>
        </w:tc>
        <w:tc>
          <w:tcPr>
            <w:tcW w:w="966" w:type="dxa"/>
            <w:noWrap w:val="0"/>
            <w:vAlign w:val="center"/>
          </w:tcPr>
          <w:p w14:paraId="7CE614EF">
            <w:pPr>
              <w:pStyle w:val="34"/>
              <w:jc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服务</w:t>
            </w:r>
          </w:p>
          <w:p w14:paraId="5A090E14">
            <w:pPr>
              <w:pStyle w:val="34"/>
              <w:jc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方案</w:t>
            </w:r>
          </w:p>
        </w:tc>
        <w:tc>
          <w:tcPr>
            <w:tcW w:w="6570" w:type="dxa"/>
            <w:noWrap w:val="0"/>
            <w:vAlign w:val="center"/>
          </w:tcPr>
          <w:p w14:paraId="55411B31">
            <w:pPr>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供应商针对本项目具有服务内容分析、服务目标；并提供服务方案；方案内容分析完整、全面、合理，服务目标明确，完全满足采购人需求计[</w:t>
            </w:r>
            <w:r>
              <w:rPr>
                <w:rFonts w:hint="eastAsia" w:hAnsi="宋体" w:cs="宋体"/>
                <w:color w:val="auto"/>
                <w:highlight w:val="none"/>
                <w:lang w:val="en-US" w:eastAsia="zh-CN"/>
              </w:rPr>
              <w:t>8</w:t>
            </w:r>
            <w:r>
              <w:rPr>
                <w:rFonts w:hint="default" w:ascii="宋体" w:hAnsi="宋体" w:eastAsia="宋体" w:cs="宋体"/>
                <w:color w:val="auto"/>
                <w:highlight w:val="none"/>
                <w:lang w:val="en-US" w:eastAsia="zh-CN"/>
              </w:rPr>
              <w:t>-</w:t>
            </w:r>
            <w:r>
              <w:rPr>
                <w:rFonts w:hint="eastAsia" w:hAnsi="宋体" w:cs="宋体"/>
                <w:color w:val="auto"/>
                <w:highlight w:val="none"/>
                <w:lang w:val="en-US" w:eastAsia="zh-CN"/>
              </w:rPr>
              <w:t>15</w:t>
            </w:r>
            <w:r>
              <w:rPr>
                <w:rFonts w:hint="default" w:ascii="宋体" w:hAnsi="宋体" w:eastAsia="宋体" w:cs="宋体"/>
                <w:color w:val="auto"/>
                <w:highlight w:val="none"/>
                <w:lang w:val="en-US" w:eastAsia="zh-CN"/>
              </w:rPr>
              <w:t>)分； 方案简单，内容空泛，不利于项目实施的计[1-</w:t>
            </w:r>
            <w:r>
              <w:rPr>
                <w:rFonts w:hint="eastAsia" w:hAnsi="宋体" w:cs="宋体"/>
                <w:color w:val="auto"/>
                <w:highlight w:val="none"/>
                <w:lang w:val="en-US" w:eastAsia="zh-CN"/>
              </w:rPr>
              <w:t>8</w:t>
            </w:r>
            <w:r>
              <w:rPr>
                <w:rFonts w:hint="default" w:ascii="宋体" w:hAnsi="宋体" w:eastAsia="宋体" w:cs="宋体"/>
                <w:color w:val="auto"/>
                <w:highlight w:val="none"/>
                <w:lang w:val="en-US" w:eastAsia="zh-CN"/>
              </w:rPr>
              <w:t>)分；未提供不计分。</w:t>
            </w:r>
          </w:p>
        </w:tc>
        <w:tc>
          <w:tcPr>
            <w:tcW w:w="826" w:type="dxa"/>
            <w:noWrap w:val="0"/>
            <w:vAlign w:val="center"/>
          </w:tcPr>
          <w:p w14:paraId="7D896463">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15分</w:t>
            </w:r>
          </w:p>
        </w:tc>
      </w:tr>
      <w:tr w14:paraId="0A61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091" w:type="dxa"/>
            <w:vMerge w:val="continue"/>
            <w:noWrap w:val="0"/>
            <w:vAlign w:val="center"/>
          </w:tcPr>
          <w:p w14:paraId="69989E6B">
            <w:pPr>
              <w:spacing w:line="360" w:lineRule="auto"/>
              <w:ind w:firstLine="480" w:firstLineChars="200"/>
              <w:jc w:val="center"/>
              <w:rPr>
                <w:rFonts w:hint="eastAsia" w:hAnsi="宋体" w:cs="宋体"/>
                <w:color w:val="auto"/>
                <w:szCs w:val="24"/>
                <w:highlight w:val="none"/>
              </w:rPr>
            </w:pPr>
          </w:p>
        </w:tc>
        <w:tc>
          <w:tcPr>
            <w:tcW w:w="966" w:type="dxa"/>
            <w:noWrap w:val="0"/>
            <w:vAlign w:val="center"/>
          </w:tcPr>
          <w:p w14:paraId="321BA2F9">
            <w:pPr>
              <w:jc w:val="center"/>
              <w:rPr>
                <w:rFonts w:hint="default" w:hAnsi="宋体" w:eastAsia="宋体" w:cs="宋体"/>
                <w:color w:val="auto"/>
                <w:szCs w:val="24"/>
                <w:highlight w:val="none"/>
                <w:lang w:val="en-US" w:eastAsia="zh-CN"/>
              </w:rPr>
            </w:pPr>
            <w:r>
              <w:rPr>
                <w:rFonts w:hint="default" w:hAnsi="宋体" w:eastAsia="宋体" w:cs="宋体"/>
                <w:color w:val="auto"/>
                <w:szCs w:val="24"/>
                <w:highlight w:val="none"/>
                <w:lang w:val="en-US" w:eastAsia="zh-CN"/>
              </w:rPr>
              <w:t>工作流程管理制度</w:t>
            </w:r>
          </w:p>
        </w:tc>
        <w:tc>
          <w:tcPr>
            <w:tcW w:w="6570" w:type="dxa"/>
            <w:noWrap w:val="0"/>
            <w:vAlign w:val="center"/>
          </w:tcPr>
          <w:p w14:paraId="5A9DA5DC">
            <w:pPr>
              <w:jc w:val="left"/>
              <w:rPr>
                <w:rFonts w:hint="eastAsia" w:eastAsia="宋体"/>
                <w:color w:val="auto"/>
                <w:highlight w:val="none"/>
                <w:lang w:eastAsia="zh-CN"/>
              </w:rPr>
            </w:pPr>
            <w:r>
              <w:rPr>
                <w:rFonts w:hint="eastAsia" w:eastAsia="宋体"/>
                <w:color w:val="auto"/>
                <w:highlight w:val="none"/>
                <w:lang w:eastAsia="zh-CN"/>
              </w:rPr>
              <w:t>具有健全的工作流程管理制度，并能针对本项目制定实施计划。 管理制度健全、规范，实施计划详细、可行性强，得[6-1</w:t>
            </w:r>
            <w:r>
              <w:rPr>
                <w:rFonts w:hint="eastAsia"/>
                <w:color w:val="auto"/>
                <w:highlight w:val="none"/>
                <w:lang w:val="en-US" w:eastAsia="zh-CN"/>
              </w:rPr>
              <w:t>5</w:t>
            </w:r>
            <w:r>
              <w:rPr>
                <w:rFonts w:hint="eastAsia" w:eastAsia="宋体"/>
                <w:color w:val="auto"/>
                <w:highlight w:val="none"/>
                <w:lang w:eastAsia="zh-CN"/>
              </w:rPr>
              <w:t>)分； 管理制度简单，实施计划基本可行，得[1-6)分； 无明确管理制度，实施计划简单，不得分。</w:t>
            </w:r>
          </w:p>
        </w:tc>
        <w:tc>
          <w:tcPr>
            <w:tcW w:w="826" w:type="dxa"/>
            <w:noWrap w:val="0"/>
            <w:vAlign w:val="center"/>
          </w:tcPr>
          <w:p w14:paraId="4E2339EA">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15</w:t>
            </w:r>
            <w:r>
              <w:rPr>
                <w:rFonts w:hint="eastAsia" w:hAnsi="宋体" w:cs="宋体"/>
                <w:color w:val="auto"/>
                <w:szCs w:val="24"/>
                <w:highlight w:val="none"/>
              </w:rPr>
              <w:t>分</w:t>
            </w:r>
          </w:p>
        </w:tc>
      </w:tr>
      <w:tr w14:paraId="6717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091" w:type="dxa"/>
            <w:vMerge w:val="continue"/>
            <w:noWrap w:val="0"/>
            <w:vAlign w:val="center"/>
          </w:tcPr>
          <w:p w14:paraId="000EDCB9">
            <w:pPr>
              <w:spacing w:line="360" w:lineRule="auto"/>
              <w:ind w:firstLine="480" w:firstLineChars="200"/>
              <w:jc w:val="center"/>
              <w:rPr>
                <w:rFonts w:hint="eastAsia" w:hAnsi="宋体" w:cs="宋体"/>
                <w:color w:val="auto"/>
                <w:szCs w:val="24"/>
                <w:highlight w:val="none"/>
              </w:rPr>
            </w:pPr>
          </w:p>
        </w:tc>
        <w:tc>
          <w:tcPr>
            <w:tcW w:w="966" w:type="dxa"/>
            <w:noWrap w:val="0"/>
            <w:vAlign w:val="center"/>
          </w:tcPr>
          <w:p w14:paraId="2B8FADF8">
            <w:pPr>
              <w:jc w:val="center"/>
              <w:rPr>
                <w:rFonts w:hint="default" w:hAnsi="宋体" w:cs="宋体"/>
                <w:color w:val="auto"/>
                <w:szCs w:val="24"/>
                <w:highlight w:val="none"/>
                <w:lang w:val="en-US" w:eastAsia="zh-CN"/>
              </w:rPr>
            </w:pPr>
            <w:r>
              <w:rPr>
                <w:rFonts w:hint="default" w:hAnsi="宋体" w:cs="宋体"/>
                <w:color w:val="auto"/>
                <w:szCs w:val="24"/>
                <w:highlight w:val="none"/>
                <w:lang w:val="en-US" w:eastAsia="zh-CN"/>
              </w:rPr>
              <w:t>供餐</w:t>
            </w:r>
          </w:p>
          <w:p w14:paraId="74458FAB">
            <w:pPr>
              <w:jc w:val="center"/>
              <w:rPr>
                <w:rFonts w:hint="default" w:hAnsi="宋体" w:cs="宋体"/>
                <w:color w:val="auto"/>
                <w:szCs w:val="24"/>
                <w:highlight w:val="none"/>
                <w:lang w:val="en-US" w:eastAsia="zh-CN"/>
              </w:rPr>
            </w:pPr>
            <w:r>
              <w:rPr>
                <w:rFonts w:hint="default" w:hAnsi="宋体" w:cs="宋体"/>
                <w:color w:val="auto"/>
                <w:szCs w:val="24"/>
                <w:highlight w:val="none"/>
                <w:lang w:val="en-US" w:eastAsia="zh-CN"/>
              </w:rPr>
              <w:t>方案</w:t>
            </w:r>
          </w:p>
        </w:tc>
        <w:tc>
          <w:tcPr>
            <w:tcW w:w="6570" w:type="dxa"/>
            <w:noWrap w:val="0"/>
            <w:vAlign w:val="center"/>
          </w:tcPr>
          <w:p w14:paraId="6AB32700">
            <w:pPr>
              <w:jc w:val="left"/>
              <w:rPr>
                <w:rFonts w:hint="eastAsia"/>
                <w:color w:val="auto"/>
                <w:highlight w:val="none"/>
              </w:rPr>
            </w:pPr>
            <w:r>
              <w:rPr>
                <w:rFonts w:hint="eastAsia"/>
                <w:color w:val="auto"/>
                <w:highlight w:val="none"/>
              </w:rPr>
              <w:t>评审小组根据供应商针对本项目的供餐方案的合理性、可行性以及菜品的种类、颜色搭配、营养搭配等进行综合比较，合理、突出、详细得[5-10)分；较合理得[2-5)分；不详细，对响应本项目有潜在风险得[1-2)分。</w:t>
            </w:r>
          </w:p>
        </w:tc>
        <w:tc>
          <w:tcPr>
            <w:tcW w:w="826" w:type="dxa"/>
            <w:noWrap w:val="0"/>
            <w:vAlign w:val="center"/>
          </w:tcPr>
          <w:p w14:paraId="5CC31037">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3041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1091" w:type="dxa"/>
            <w:vMerge w:val="continue"/>
            <w:noWrap w:val="0"/>
            <w:vAlign w:val="center"/>
          </w:tcPr>
          <w:p w14:paraId="2A9A6129">
            <w:pPr>
              <w:spacing w:line="360" w:lineRule="auto"/>
              <w:ind w:firstLine="480" w:firstLineChars="200"/>
              <w:jc w:val="center"/>
              <w:rPr>
                <w:rFonts w:hint="eastAsia" w:hAnsi="宋体" w:cs="宋体"/>
                <w:color w:val="auto"/>
                <w:szCs w:val="24"/>
                <w:highlight w:val="none"/>
              </w:rPr>
            </w:pPr>
          </w:p>
        </w:tc>
        <w:tc>
          <w:tcPr>
            <w:tcW w:w="966" w:type="dxa"/>
            <w:noWrap w:val="0"/>
            <w:vAlign w:val="center"/>
          </w:tcPr>
          <w:p w14:paraId="71F0533B">
            <w:pPr>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环境卫生管理方案</w:t>
            </w:r>
          </w:p>
        </w:tc>
        <w:tc>
          <w:tcPr>
            <w:tcW w:w="6570" w:type="dxa"/>
            <w:noWrap w:val="0"/>
            <w:vAlign w:val="center"/>
          </w:tcPr>
          <w:p w14:paraId="2970EA55">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评审小组根据供应商针对本项目所提供的</w:t>
            </w:r>
            <w:r>
              <w:rPr>
                <w:rFonts w:hint="eastAsia" w:cs="Times New Roman"/>
                <w:color w:val="auto"/>
                <w:highlight w:val="none"/>
                <w:lang w:val="en-US" w:eastAsia="zh-CN"/>
              </w:rPr>
              <w:t>住宿环境、</w:t>
            </w:r>
            <w:r>
              <w:rPr>
                <w:rFonts w:hint="eastAsia" w:hAnsi="Times New Roman" w:cs="Times New Roman"/>
                <w:color w:val="auto"/>
                <w:highlight w:val="none"/>
                <w:lang w:val="en-US" w:eastAsia="zh-CN"/>
              </w:rPr>
              <w:t>餐厅环境卫生、食品卫生及服务人员个人卫生等方面提供的管理方案及相关内容进行综合赋分，科学、合理的完全满足本项目要求的得[5-10)分；管理方案和内容基本合理，满足本项目要求的得[1-5)分。</w:t>
            </w:r>
          </w:p>
        </w:tc>
        <w:tc>
          <w:tcPr>
            <w:tcW w:w="826" w:type="dxa"/>
            <w:noWrap w:val="0"/>
            <w:vAlign w:val="center"/>
          </w:tcPr>
          <w:p w14:paraId="5EFF8449">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7BA7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091" w:type="dxa"/>
            <w:vMerge w:val="continue"/>
            <w:noWrap w:val="0"/>
            <w:vAlign w:val="center"/>
          </w:tcPr>
          <w:p w14:paraId="34AC9786">
            <w:pPr>
              <w:spacing w:line="360" w:lineRule="auto"/>
              <w:ind w:firstLine="480" w:firstLineChars="200"/>
              <w:jc w:val="center"/>
              <w:rPr>
                <w:rFonts w:hint="eastAsia" w:hAnsi="宋体" w:cs="宋体"/>
                <w:color w:val="auto"/>
                <w:szCs w:val="24"/>
                <w:highlight w:val="none"/>
              </w:rPr>
            </w:pPr>
          </w:p>
        </w:tc>
        <w:tc>
          <w:tcPr>
            <w:tcW w:w="966" w:type="dxa"/>
            <w:noWrap w:val="0"/>
            <w:vAlign w:val="center"/>
          </w:tcPr>
          <w:p w14:paraId="1EEA0F32">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人员</w:t>
            </w:r>
          </w:p>
          <w:p w14:paraId="6CA2EF08">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配备</w:t>
            </w:r>
          </w:p>
        </w:tc>
        <w:tc>
          <w:tcPr>
            <w:tcW w:w="6570" w:type="dxa"/>
            <w:noWrap w:val="0"/>
            <w:vAlign w:val="center"/>
          </w:tcPr>
          <w:p w14:paraId="1FEE6610">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针对本项目服务人员的配备方案与管理方案，所配人员满足要求，人员配置科学合理。人员储备和库存丰富，能及时选调符合要求的工作人员，充实到工作岗位，开展工作。 方案满足项目需求，得[5-10)分； 基本满足项目需求，得[1-5)分； 不满足项目需求，不得分。</w:t>
            </w:r>
          </w:p>
        </w:tc>
        <w:tc>
          <w:tcPr>
            <w:tcW w:w="826" w:type="dxa"/>
            <w:noWrap w:val="0"/>
            <w:vAlign w:val="center"/>
          </w:tcPr>
          <w:p w14:paraId="042B48A4">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5CB7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091" w:type="dxa"/>
            <w:vMerge w:val="continue"/>
            <w:noWrap w:val="0"/>
            <w:vAlign w:val="center"/>
          </w:tcPr>
          <w:p w14:paraId="6EF63B25">
            <w:pPr>
              <w:spacing w:line="360" w:lineRule="auto"/>
              <w:ind w:firstLine="480" w:firstLineChars="200"/>
              <w:jc w:val="center"/>
              <w:rPr>
                <w:rFonts w:hint="eastAsia" w:hAnsi="宋体" w:cs="宋体"/>
                <w:color w:val="auto"/>
                <w:szCs w:val="24"/>
                <w:highlight w:val="none"/>
              </w:rPr>
            </w:pPr>
          </w:p>
        </w:tc>
        <w:tc>
          <w:tcPr>
            <w:tcW w:w="966" w:type="dxa"/>
            <w:noWrap w:val="0"/>
            <w:vAlign w:val="center"/>
          </w:tcPr>
          <w:p w14:paraId="76905BD1">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应急</w:t>
            </w:r>
          </w:p>
          <w:p w14:paraId="1BA78286">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预案</w:t>
            </w:r>
          </w:p>
        </w:tc>
        <w:tc>
          <w:tcPr>
            <w:tcW w:w="6570" w:type="dxa"/>
            <w:noWrap w:val="0"/>
            <w:vAlign w:val="center"/>
          </w:tcPr>
          <w:p w14:paraId="167F4D29">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针对本项目制定完整详细的应急预案体系，根据业务管理服务规律和可能发生的紧急事件。 应急能力强，预案详细完整，切实可行，得[3-5)分； 应急能力一般、预案全面，得[1-2)分； 未提供应急预案得0分。</w:t>
            </w:r>
          </w:p>
        </w:tc>
        <w:tc>
          <w:tcPr>
            <w:tcW w:w="826" w:type="dxa"/>
            <w:noWrap w:val="0"/>
            <w:vAlign w:val="center"/>
          </w:tcPr>
          <w:p w14:paraId="3EC1B4E4">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w:t>
            </w:r>
            <w:r>
              <w:rPr>
                <w:rFonts w:hint="eastAsia" w:hAnsi="宋体" w:cs="宋体"/>
                <w:color w:val="auto"/>
                <w:szCs w:val="24"/>
                <w:highlight w:val="none"/>
              </w:rPr>
              <w:t>分</w:t>
            </w:r>
          </w:p>
        </w:tc>
      </w:tr>
      <w:tr w14:paraId="3ECF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091" w:type="dxa"/>
            <w:vMerge w:val="continue"/>
            <w:noWrap w:val="0"/>
            <w:vAlign w:val="center"/>
          </w:tcPr>
          <w:p w14:paraId="00CFCCD0">
            <w:pPr>
              <w:spacing w:line="360" w:lineRule="auto"/>
              <w:ind w:firstLine="480" w:firstLineChars="200"/>
              <w:jc w:val="center"/>
              <w:rPr>
                <w:rFonts w:hint="eastAsia" w:hAnsi="宋体" w:cs="宋体"/>
                <w:color w:val="auto"/>
                <w:szCs w:val="24"/>
                <w:highlight w:val="none"/>
              </w:rPr>
            </w:pPr>
          </w:p>
        </w:tc>
        <w:tc>
          <w:tcPr>
            <w:tcW w:w="966" w:type="dxa"/>
            <w:noWrap w:val="0"/>
            <w:vAlign w:val="center"/>
          </w:tcPr>
          <w:p w14:paraId="3ADCD333">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合理化建议</w:t>
            </w:r>
          </w:p>
        </w:tc>
        <w:tc>
          <w:tcPr>
            <w:tcW w:w="6570" w:type="dxa"/>
            <w:noWrap w:val="0"/>
            <w:vAlign w:val="center"/>
          </w:tcPr>
          <w:p w14:paraId="7CFC7B07">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供应商针对本项目提出合理化建议，根据建议的可执行性合评审计[1-5)分。</w:t>
            </w:r>
          </w:p>
        </w:tc>
        <w:tc>
          <w:tcPr>
            <w:tcW w:w="826" w:type="dxa"/>
            <w:noWrap w:val="0"/>
            <w:vAlign w:val="center"/>
          </w:tcPr>
          <w:p w14:paraId="2A43D12E">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w:t>
            </w:r>
            <w:r>
              <w:rPr>
                <w:rFonts w:hint="eastAsia" w:hAnsi="宋体" w:cs="宋体"/>
                <w:color w:val="auto"/>
                <w:szCs w:val="24"/>
                <w:highlight w:val="none"/>
              </w:rPr>
              <w:t>分</w:t>
            </w:r>
          </w:p>
        </w:tc>
      </w:tr>
      <w:tr w14:paraId="27B8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091" w:type="dxa"/>
            <w:noWrap w:val="0"/>
            <w:vAlign w:val="center"/>
          </w:tcPr>
          <w:p w14:paraId="69B2B645">
            <w:pPr>
              <w:spacing w:line="360" w:lineRule="auto"/>
              <w:jc w:val="center"/>
              <w:rPr>
                <w:rFonts w:hint="eastAsia" w:hAnsi="宋体" w:cs="宋体"/>
                <w:color w:val="auto"/>
                <w:szCs w:val="24"/>
                <w:highlight w:val="none"/>
                <w:lang w:val="en-US" w:eastAsia="zh-CN"/>
              </w:rPr>
            </w:pPr>
            <w:r>
              <w:rPr>
                <w:rFonts w:hint="eastAsia" w:hAnsi="宋体" w:cs="宋体"/>
                <w:color w:val="auto"/>
                <w:szCs w:val="24"/>
                <w:highlight w:val="none"/>
                <w:lang w:val="en-US" w:eastAsia="zh-CN"/>
              </w:rPr>
              <w:t>履约</w:t>
            </w:r>
          </w:p>
          <w:p w14:paraId="23F95F1D">
            <w:pPr>
              <w:spacing w:line="360" w:lineRule="auto"/>
              <w:jc w:val="center"/>
              <w:rPr>
                <w:rFonts w:hint="eastAsia" w:hAnsi="宋体" w:cs="宋体"/>
                <w:color w:val="auto"/>
                <w:szCs w:val="24"/>
                <w:highlight w:val="none"/>
                <w:lang w:val="en-US" w:eastAsia="zh-CN"/>
              </w:rPr>
            </w:pPr>
            <w:r>
              <w:rPr>
                <w:rFonts w:hint="eastAsia" w:hAnsi="宋体" w:cs="宋体"/>
                <w:color w:val="auto"/>
                <w:szCs w:val="24"/>
                <w:highlight w:val="none"/>
                <w:lang w:val="en-US" w:eastAsia="zh-CN"/>
              </w:rPr>
              <w:t>能力</w:t>
            </w:r>
          </w:p>
          <w:p w14:paraId="6A2C0E53">
            <w:pPr>
              <w:spacing w:line="360" w:lineRule="auto"/>
              <w:jc w:val="center"/>
              <w:rPr>
                <w:rFonts w:hint="eastAsia"/>
                <w:lang w:val="en-US" w:eastAsia="zh-CN"/>
              </w:rPr>
            </w:pPr>
            <w:r>
              <w:rPr>
                <w:rFonts w:hint="eastAsia" w:ascii="宋体" w:hAnsi="宋体" w:eastAsia="宋体" w:cs="宋体"/>
                <w:color w:val="auto"/>
                <w:szCs w:val="24"/>
                <w:highlight w:val="none"/>
                <w:lang w:val="en-US" w:eastAsia="zh-CN"/>
              </w:rPr>
              <w:t>（10分）</w:t>
            </w:r>
          </w:p>
        </w:tc>
        <w:tc>
          <w:tcPr>
            <w:tcW w:w="966" w:type="dxa"/>
            <w:noWrap w:val="0"/>
            <w:vAlign w:val="center"/>
          </w:tcPr>
          <w:p w14:paraId="1E21EB07">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570" w:type="dxa"/>
            <w:noWrap w:val="0"/>
            <w:vAlign w:val="center"/>
          </w:tcPr>
          <w:p w14:paraId="58A9E5CF">
            <w:pPr>
              <w:pStyle w:val="34"/>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2022年1月以后</w:t>
            </w:r>
            <w:r>
              <w:rPr>
                <w:rFonts w:hint="eastAsia" w:ascii="宋体" w:hAnsi="宋体"/>
                <w:color w:val="auto"/>
                <w:szCs w:val="22"/>
                <w:highlight w:val="none"/>
                <w:lang w:eastAsia="zh-CN"/>
              </w:rPr>
              <w:t>类似</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2</w:t>
            </w:r>
            <w:r>
              <w:rPr>
                <w:rFonts w:hint="eastAsia" w:ascii="宋体" w:hAnsi="宋体"/>
                <w:color w:val="auto"/>
                <w:szCs w:val="22"/>
                <w:highlight w:val="none"/>
              </w:rPr>
              <w:t>分，满分</w:t>
            </w:r>
            <w:r>
              <w:rPr>
                <w:rFonts w:hint="eastAsia" w:ascii="宋体" w:hAnsi="宋体"/>
                <w:color w:val="auto"/>
                <w:szCs w:val="22"/>
                <w:highlight w:val="none"/>
                <w:lang w:val="en-US" w:eastAsia="zh-CN"/>
              </w:rPr>
              <w:t>10</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826" w:type="dxa"/>
            <w:noWrap w:val="0"/>
            <w:vAlign w:val="center"/>
          </w:tcPr>
          <w:p w14:paraId="0D7BA94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bl>
    <w:p w14:paraId="4DD9CF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9"/>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4"/>
        <w:jc w:val="center"/>
        <w:rPr>
          <w:rFonts w:ascii="宋体" w:eastAsia="宋体" w:cs="宋体"/>
          <w:bCs/>
          <w:color w:val="auto"/>
          <w:sz w:val="36"/>
          <w:szCs w:val="36"/>
          <w:highlight w:val="none"/>
        </w:rPr>
      </w:pPr>
      <w:bookmarkStart w:id="103" w:name="_Toc2724"/>
      <w:bookmarkStart w:id="104" w:name="_Toc10029"/>
      <w:bookmarkStart w:id="105" w:name="_Toc8788"/>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34FA0C1">
      <w:pPr>
        <w:tabs>
          <w:tab w:val="left" w:pos="210"/>
          <w:tab w:val="left" w:pos="525"/>
        </w:tabs>
        <w:spacing w:line="360" w:lineRule="auto"/>
        <w:jc w:val="center"/>
        <w:outlineLvl w:val="1"/>
        <w:rPr>
          <w:rFonts w:hAnsi="宋体" w:cs="宋体"/>
          <w:color w:val="auto"/>
          <w:sz w:val="32"/>
          <w:szCs w:val="32"/>
          <w:highlight w:val="none"/>
        </w:rPr>
      </w:pPr>
      <w:bookmarkStart w:id="106" w:name="_Toc3424"/>
      <w:bookmarkStart w:id="107" w:name="_Toc20005"/>
      <w:bookmarkStart w:id="108" w:name="_Toc32476"/>
      <w:bookmarkStart w:id="109" w:name="_Toc24218"/>
      <w:bookmarkStart w:id="110" w:name="_Toc26300"/>
      <w:bookmarkStart w:id="111" w:name="_Toc23705"/>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545D4F3B">
      <w:pPr>
        <w:rPr>
          <w:rFonts w:hAnsi="宋体" w:cs="宋体"/>
          <w:color w:val="auto"/>
          <w:highlight w:val="none"/>
        </w:rPr>
      </w:pPr>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8440"/>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65D53542">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条款号</w:t>
            </w:r>
          </w:p>
        </w:tc>
        <w:tc>
          <w:tcPr>
            <w:tcW w:w="8440" w:type="dxa"/>
            <w:vAlign w:val="center"/>
          </w:tcPr>
          <w:p w14:paraId="230CB97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DAA6E8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1</w:t>
            </w:r>
          </w:p>
        </w:tc>
        <w:tc>
          <w:tcPr>
            <w:tcW w:w="8440" w:type="dxa"/>
            <w:vAlign w:val="center"/>
          </w:tcPr>
          <w:p w14:paraId="7425C9C2">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采购人名称：</w:t>
            </w:r>
            <w:r>
              <w:rPr>
                <w:rFonts w:hint="eastAsia" w:hAnsi="宋体" w:cs="宋体"/>
                <w:color w:val="auto"/>
                <w:sz w:val="22"/>
                <w:szCs w:val="22"/>
                <w:highlight w:val="none"/>
                <w:lang w:eastAsia="zh-CN"/>
              </w:rPr>
              <w:t>西安开放大学</w:t>
            </w:r>
          </w:p>
          <w:p w14:paraId="3CBA9BD3">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地      址：</w:t>
            </w:r>
            <w:r>
              <w:rPr>
                <w:rFonts w:hint="eastAsia" w:hAnsi="宋体" w:cs="宋体"/>
                <w:color w:val="auto"/>
                <w:sz w:val="22"/>
                <w:szCs w:val="22"/>
                <w:highlight w:val="none"/>
                <w:lang w:eastAsia="zh-CN"/>
              </w:rPr>
              <w:t>西安市碑林区五味什字48号</w:t>
            </w:r>
          </w:p>
          <w:p w14:paraId="2D253657">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项目名称：</w:t>
            </w:r>
            <w:r>
              <w:rPr>
                <w:rFonts w:hint="eastAsia" w:hAnsi="宋体" w:cs="宋体"/>
                <w:color w:val="auto"/>
                <w:sz w:val="22"/>
                <w:szCs w:val="22"/>
                <w:highlight w:val="none"/>
                <w:lang w:eastAsia="zh-CN"/>
              </w:rPr>
              <w:t>对外培训项目</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448F80C">
            <w:pPr>
              <w:spacing w:line="360" w:lineRule="auto"/>
              <w:jc w:val="center"/>
              <w:rPr>
                <w:rFonts w:hAnsi="宋体" w:cs="宋体"/>
                <w:color w:val="auto"/>
                <w:sz w:val="22"/>
                <w:szCs w:val="22"/>
                <w:highlight w:val="none"/>
              </w:rPr>
            </w:pPr>
            <w:r>
              <w:rPr>
                <w:rFonts w:hint="eastAsia" w:hAnsi="宋体" w:cs="宋体"/>
                <w:color w:val="auto"/>
                <w:sz w:val="22"/>
                <w:szCs w:val="22"/>
                <w:highlight w:val="none"/>
              </w:rPr>
              <w:t>2</w:t>
            </w:r>
          </w:p>
        </w:tc>
        <w:tc>
          <w:tcPr>
            <w:tcW w:w="8440" w:type="dxa"/>
            <w:vAlign w:val="center"/>
          </w:tcPr>
          <w:p w14:paraId="4604D0A2">
            <w:pPr>
              <w:spacing w:line="360" w:lineRule="auto"/>
              <w:rPr>
                <w:rFonts w:hint="default" w:hAnsi="宋体" w:eastAsia="宋体" w:cs="宋体"/>
                <w:color w:val="auto"/>
                <w:sz w:val="22"/>
                <w:szCs w:val="22"/>
                <w:highlight w:val="none"/>
                <w:lang w:val="en-US" w:eastAsia="zh-CN"/>
              </w:rPr>
            </w:pPr>
            <w:r>
              <w:rPr>
                <w:rFonts w:hint="eastAsia" w:hAnsi="宋体" w:cs="宋体"/>
                <w:color w:val="auto"/>
                <w:sz w:val="22"/>
                <w:szCs w:val="22"/>
                <w:highlight w:val="none"/>
              </w:rPr>
              <w:t>项目实施地点：</w:t>
            </w:r>
            <w:r>
              <w:rPr>
                <w:rFonts w:hint="eastAsia" w:hAnsi="宋体" w:cs="宋体"/>
                <w:color w:val="auto"/>
                <w:sz w:val="22"/>
                <w:szCs w:val="22"/>
                <w:highlight w:val="none"/>
                <w:lang w:val="en-US" w:eastAsia="zh-CN"/>
              </w:rPr>
              <w:t>采购人指定地点</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17C5F4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3</w:t>
            </w:r>
          </w:p>
        </w:tc>
        <w:tc>
          <w:tcPr>
            <w:tcW w:w="8440" w:type="dxa"/>
            <w:vAlign w:val="center"/>
          </w:tcPr>
          <w:p w14:paraId="35848137">
            <w:pPr>
              <w:pStyle w:val="9"/>
              <w:ind w:firstLine="0" w:firstLineChars="0"/>
              <w:rPr>
                <w:rFonts w:hAnsi="宋体" w:cs="宋体"/>
                <w:color w:val="auto"/>
                <w:sz w:val="20"/>
                <w:szCs w:val="22"/>
                <w:highlight w:val="none"/>
              </w:rPr>
            </w:pPr>
            <w:r>
              <w:rPr>
                <w:rFonts w:hint="eastAsia" w:ascii="宋体" w:hAnsi="宋体" w:cs="宋体"/>
                <w:color w:val="auto"/>
                <w:sz w:val="22"/>
                <w:szCs w:val="22"/>
                <w:highlight w:val="none"/>
              </w:rPr>
              <w:t>服务期限：2025年6月4日-2025年6月6日</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5F5D66E7">
            <w:pPr>
              <w:spacing w:line="360" w:lineRule="auto"/>
              <w:jc w:val="center"/>
              <w:rPr>
                <w:rFonts w:hAnsi="宋体" w:cs="宋体"/>
                <w:color w:val="auto"/>
                <w:sz w:val="22"/>
                <w:szCs w:val="22"/>
                <w:highlight w:val="none"/>
              </w:rPr>
            </w:pPr>
            <w:r>
              <w:rPr>
                <w:rFonts w:hint="eastAsia" w:hAnsi="宋体" w:cs="宋体"/>
                <w:color w:val="auto"/>
                <w:sz w:val="22"/>
                <w:szCs w:val="22"/>
                <w:highlight w:val="none"/>
              </w:rPr>
              <w:t>4</w:t>
            </w:r>
          </w:p>
        </w:tc>
        <w:tc>
          <w:tcPr>
            <w:tcW w:w="8440" w:type="dxa"/>
            <w:vAlign w:val="center"/>
          </w:tcPr>
          <w:p w14:paraId="6A9CC273">
            <w:pPr>
              <w:spacing w:line="360" w:lineRule="auto"/>
              <w:rPr>
                <w:rFonts w:hAnsi="宋体" w:cs="宋体"/>
                <w:b/>
                <w:color w:val="auto"/>
                <w:sz w:val="22"/>
                <w:szCs w:val="22"/>
                <w:highlight w:val="none"/>
              </w:rPr>
            </w:pPr>
            <w:r>
              <w:rPr>
                <w:rFonts w:hint="eastAsia" w:hAnsi="宋体" w:cs="宋体"/>
                <w:b/>
                <w:color w:val="auto"/>
                <w:sz w:val="22"/>
                <w:szCs w:val="22"/>
                <w:highlight w:val="none"/>
              </w:rPr>
              <w:t>付款：</w:t>
            </w:r>
          </w:p>
          <w:p w14:paraId="0247E17D">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1.餐费按实际用餐人数和用餐次数据实结算。住宿、会场按照实际使用情况据实结算。</w:t>
            </w:r>
          </w:p>
          <w:p w14:paraId="0B171F78">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2.付款方式和程序：</w:t>
            </w:r>
          </w:p>
          <w:p w14:paraId="746F0C34">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2.1由采购人负责结算，在付款前，供应商必须开具发票给采购人（附详细清单）。</w:t>
            </w:r>
          </w:p>
          <w:p w14:paraId="1D7F835B">
            <w:pPr>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2.2付款方式：</w:t>
            </w:r>
          </w:p>
          <w:p w14:paraId="3627868C">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培训结束后根据当期培训实际发生金额一次性结算（具体以签订合同为准）。</w:t>
            </w:r>
          </w:p>
          <w:p w14:paraId="11EE0127">
            <w:pPr>
              <w:spacing w:line="360" w:lineRule="auto"/>
              <w:ind w:firstLine="442" w:firstLineChars="200"/>
              <w:rPr>
                <w:rFonts w:hAnsi="宋体" w:cs="宋体"/>
                <w:color w:val="auto"/>
                <w:sz w:val="22"/>
                <w:szCs w:val="22"/>
                <w:highlight w:val="none"/>
              </w:rPr>
            </w:pPr>
            <w:r>
              <w:rPr>
                <w:rFonts w:hint="eastAsia" w:hAnsi="宋体" w:cs="宋体"/>
                <w:b/>
                <w:color w:val="auto"/>
                <w:sz w:val="22"/>
                <w:szCs w:val="22"/>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07D15F05">
            <w:pPr>
              <w:spacing w:line="360" w:lineRule="auto"/>
              <w:jc w:val="center"/>
              <w:rPr>
                <w:rFonts w:hAnsi="宋体" w:cs="宋体"/>
                <w:color w:val="auto"/>
                <w:sz w:val="22"/>
                <w:szCs w:val="22"/>
                <w:highlight w:val="none"/>
              </w:rPr>
            </w:pPr>
            <w:r>
              <w:rPr>
                <w:rFonts w:hint="eastAsia" w:hAnsi="宋体" w:cs="宋体"/>
                <w:color w:val="auto"/>
                <w:sz w:val="22"/>
                <w:szCs w:val="22"/>
                <w:highlight w:val="none"/>
              </w:rPr>
              <w:t>5</w:t>
            </w:r>
          </w:p>
        </w:tc>
        <w:tc>
          <w:tcPr>
            <w:tcW w:w="8440" w:type="dxa"/>
            <w:vAlign w:val="center"/>
          </w:tcPr>
          <w:p w14:paraId="7FC41AE5">
            <w:pPr>
              <w:spacing w:line="360" w:lineRule="auto"/>
              <w:rPr>
                <w:rFonts w:hAnsi="宋体" w:cs="宋体"/>
                <w:b/>
                <w:color w:val="auto"/>
                <w:sz w:val="22"/>
                <w:szCs w:val="22"/>
                <w:highlight w:val="none"/>
              </w:rPr>
            </w:pPr>
            <w:r>
              <w:rPr>
                <w:rFonts w:hint="eastAsia" w:hAnsi="宋体" w:cs="宋体"/>
                <w:b/>
                <w:color w:val="auto"/>
                <w:sz w:val="22"/>
                <w:szCs w:val="22"/>
                <w:highlight w:val="none"/>
              </w:rPr>
              <w:t>服务支持：</w:t>
            </w:r>
          </w:p>
          <w:p w14:paraId="49B1D659">
            <w:pPr>
              <w:spacing w:line="360" w:lineRule="auto"/>
              <w:ind w:firstLine="440" w:firstLineChars="200"/>
              <w:jc w:val="left"/>
              <w:rPr>
                <w:rFonts w:hAnsi="宋体" w:cs="宋体"/>
                <w:color w:val="auto"/>
                <w:sz w:val="22"/>
                <w:szCs w:val="22"/>
                <w:highlight w:val="none"/>
              </w:rPr>
            </w:pPr>
            <w:r>
              <w:rPr>
                <w:rFonts w:hint="eastAsia" w:hAnsi="宋体" w:cs="宋体"/>
                <w:bCs/>
                <w:color w:val="auto"/>
                <w:sz w:val="22"/>
                <w:szCs w:val="22"/>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CAB2C9F">
            <w:pPr>
              <w:spacing w:line="360" w:lineRule="auto"/>
              <w:jc w:val="center"/>
              <w:rPr>
                <w:rFonts w:hAnsi="宋体" w:cs="宋体"/>
                <w:color w:val="auto"/>
                <w:sz w:val="22"/>
                <w:szCs w:val="22"/>
                <w:highlight w:val="none"/>
              </w:rPr>
            </w:pPr>
            <w:r>
              <w:rPr>
                <w:rFonts w:hint="eastAsia" w:hAnsi="宋体" w:cs="宋体"/>
                <w:color w:val="auto"/>
                <w:sz w:val="22"/>
                <w:szCs w:val="22"/>
                <w:highlight w:val="none"/>
              </w:rPr>
              <w:t>6</w:t>
            </w:r>
          </w:p>
        </w:tc>
        <w:tc>
          <w:tcPr>
            <w:tcW w:w="8440" w:type="dxa"/>
            <w:vAlign w:val="center"/>
          </w:tcPr>
          <w:p w14:paraId="53C90ADF">
            <w:pPr>
              <w:spacing w:line="360" w:lineRule="auto"/>
              <w:rPr>
                <w:rFonts w:hAnsi="宋体" w:cs="宋体"/>
                <w:b/>
                <w:color w:val="auto"/>
                <w:sz w:val="22"/>
                <w:szCs w:val="22"/>
                <w:highlight w:val="none"/>
              </w:rPr>
            </w:pPr>
            <w:r>
              <w:rPr>
                <w:rFonts w:hint="eastAsia" w:hAnsi="宋体" w:cs="宋体"/>
                <w:b/>
                <w:color w:val="auto"/>
                <w:sz w:val="22"/>
                <w:szCs w:val="22"/>
                <w:highlight w:val="none"/>
              </w:rPr>
              <w:t>知识产权、专利权：</w:t>
            </w:r>
          </w:p>
          <w:p w14:paraId="011EEA6E">
            <w:pPr>
              <w:tabs>
                <w:tab w:val="left" w:pos="498"/>
              </w:tabs>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0" w:hRule="atLeast"/>
        </w:trPr>
        <w:tc>
          <w:tcPr>
            <w:tcW w:w="912" w:type="dxa"/>
            <w:vAlign w:val="center"/>
          </w:tcPr>
          <w:p w14:paraId="51DED298">
            <w:pPr>
              <w:spacing w:line="360" w:lineRule="auto"/>
              <w:jc w:val="center"/>
              <w:rPr>
                <w:rFonts w:hAnsi="宋体" w:cs="宋体"/>
                <w:color w:val="auto"/>
                <w:sz w:val="22"/>
                <w:szCs w:val="22"/>
                <w:highlight w:val="none"/>
              </w:rPr>
            </w:pPr>
            <w:r>
              <w:rPr>
                <w:rFonts w:hint="eastAsia" w:hAnsi="宋体" w:cs="宋体"/>
                <w:color w:val="auto"/>
                <w:sz w:val="22"/>
                <w:szCs w:val="22"/>
                <w:highlight w:val="none"/>
              </w:rPr>
              <w:t>7</w:t>
            </w:r>
          </w:p>
        </w:tc>
        <w:tc>
          <w:tcPr>
            <w:tcW w:w="8440" w:type="dxa"/>
            <w:vAlign w:val="center"/>
          </w:tcPr>
          <w:p w14:paraId="417F6DB1">
            <w:pPr>
              <w:spacing w:line="360" w:lineRule="auto"/>
              <w:rPr>
                <w:rFonts w:hAnsi="宋体" w:cs="宋体"/>
                <w:b/>
                <w:color w:val="auto"/>
                <w:sz w:val="22"/>
                <w:szCs w:val="22"/>
                <w:highlight w:val="none"/>
              </w:rPr>
            </w:pPr>
            <w:r>
              <w:rPr>
                <w:rFonts w:hint="eastAsia" w:hAnsi="宋体" w:cs="宋体"/>
                <w:b/>
                <w:color w:val="auto"/>
                <w:sz w:val="22"/>
                <w:szCs w:val="22"/>
                <w:highlight w:val="none"/>
              </w:rPr>
              <w:t>违约责任：</w:t>
            </w:r>
          </w:p>
          <w:p w14:paraId="11A3C416">
            <w:pPr>
              <w:tabs>
                <w:tab w:val="left" w:pos="152"/>
              </w:tabs>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1、按《中华人民共和国民法典》中的相关条款执行。</w:t>
            </w:r>
          </w:p>
          <w:p w14:paraId="363EEA23">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hAnsi="宋体" w:cs="宋体"/>
                <w:color w:val="auto"/>
                <w:sz w:val="22"/>
                <w:szCs w:val="22"/>
                <w:highlight w:val="none"/>
                <w:lang w:val="en-US" w:eastAsia="zh-CN"/>
              </w:rPr>
              <w:t>中华人民共和国</w:t>
            </w:r>
            <w:r>
              <w:rPr>
                <w:rFonts w:hint="eastAsia" w:hAnsi="宋体" w:cs="宋体"/>
                <w:color w:val="auto"/>
                <w:sz w:val="22"/>
                <w:szCs w:val="22"/>
                <w:highlight w:val="none"/>
              </w:rPr>
              <w:t>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218D71C">
            <w:pPr>
              <w:spacing w:line="360" w:lineRule="auto"/>
              <w:jc w:val="center"/>
              <w:rPr>
                <w:rFonts w:hAnsi="宋体" w:cs="宋体"/>
                <w:color w:val="auto"/>
                <w:sz w:val="22"/>
                <w:szCs w:val="22"/>
                <w:highlight w:val="none"/>
              </w:rPr>
            </w:pPr>
            <w:r>
              <w:rPr>
                <w:rFonts w:hint="eastAsia" w:hAnsi="宋体" w:cs="宋体"/>
                <w:color w:val="auto"/>
                <w:sz w:val="22"/>
                <w:szCs w:val="22"/>
                <w:highlight w:val="none"/>
              </w:rPr>
              <w:t>8</w:t>
            </w:r>
          </w:p>
        </w:tc>
        <w:tc>
          <w:tcPr>
            <w:tcW w:w="8440" w:type="dxa"/>
            <w:vAlign w:val="center"/>
          </w:tcPr>
          <w:p w14:paraId="4EA77D40">
            <w:pPr>
              <w:spacing w:line="360" w:lineRule="auto"/>
              <w:rPr>
                <w:rFonts w:hAnsi="宋体" w:cs="宋体"/>
                <w:b/>
                <w:color w:val="auto"/>
                <w:sz w:val="22"/>
                <w:szCs w:val="22"/>
                <w:highlight w:val="none"/>
              </w:rPr>
            </w:pPr>
            <w:r>
              <w:rPr>
                <w:rFonts w:hint="eastAsia" w:hAnsi="宋体" w:cs="宋体"/>
                <w:b/>
                <w:color w:val="auto"/>
                <w:sz w:val="22"/>
                <w:szCs w:val="22"/>
                <w:highlight w:val="none"/>
              </w:rPr>
              <w:t>政府采购合同：</w:t>
            </w:r>
          </w:p>
          <w:p w14:paraId="580B0E61">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政府采购合同适用中华人民共和国民法典。采购人和供应商之间的权利和义务，应当按照平等、自愿的原则以合同方式约定。</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采购人与中标、成交供应商应当在中标、成交通知书发出之日起二十五日内，按照采购文件确定的事项签订政府采购合同。</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4"/>
              <w:spacing w:line="360" w:lineRule="auto"/>
              <w:ind w:firstLine="440" w:firstLineChars="200"/>
              <w:rPr>
                <w:rFonts w:hAnsi="宋体" w:cs="宋体"/>
                <w:color w:val="auto"/>
                <w:kern w:val="0"/>
                <w:sz w:val="22"/>
                <w:szCs w:val="22"/>
                <w:highlight w:val="none"/>
              </w:rPr>
            </w:pPr>
            <w:r>
              <w:rPr>
                <w:rFonts w:hint="eastAsia" w:hAnsi="宋体" w:cs="宋体"/>
                <w:color w:val="auto"/>
                <w:sz w:val="22"/>
                <w:szCs w:val="22"/>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政府采购合同的双方当事人不得擅自变更、中止或者终止合同。</w:t>
            </w:r>
            <w:r>
              <w:rPr>
                <w:rFonts w:hint="eastAsia" w:hAnsi="宋体" w:cs="宋体"/>
                <w:color w:val="auto"/>
                <w:sz w:val="22"/>
                <w:szCs w:val="22"/>
                <w:highlight w:val="none"/>
              </w:rPr>
              <w:br w:type="textWrapping"/>
            </w:r>
            <w:r>
              <w:rPr>
                <w:rFonts w:hint="eastAsia" w:hAnsi="宋体" w:cs="宋体"/>
                <w:color w:val="auto"/>
                <w:sz w:val="22"/>
                <w:szCs w:val="22"/>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29888"/>
      <w:bookmarkStart w:id="113" w:name="_Toc19199"/>
      <w:bookmarkStart w:id="114" w:name="_Toc31520"/>
      <w:bookmarkStart w:id="115" w:name="_Toc423973075"/>
      <w:bookmarkStart w:id="116" w:name="_Toc26595"/>
      <w:bookmarkStart w:id="117" w:name="_Toc8333"/>
      <w:bookmarkStart w:id="118" w:name="_Toc4679"/>
      <w:bookmarkStart w:id="119" w:name="_Toc389582037"/>
      <w:bookmarkStart w:id="120" w:name="_Toc19246"/>
      <w:r>
        <w:rPr>
          <w:rFonts w:hint="eastAsia" w:hAnsi="宋体" w:cs="宋体"/>
          <w:b/>
          <w:bCs/>
          <w:color w:val="auto"/>
          <w:sz w:val="48"/>
          <w:szCs w:val="48"/>
          <w:highlight w:val="none"/>
        </w:rPr>
        <w:br w:type="page"/>
      </w:r>
    </w:p>
    <w:tbl>
      <w:tblPr>
        <w:tblStyle w:val="23"/>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5216"/>
      <w:bookmarkStart w:id="122" w:name="_Toc7874"/>
      <w:bookmarkStart w:id="123" w:name="_Toc24004"/>
      <w:bookmarkStart w:id="124" w:name="_Toc22328"/>
      <w:bookmarkStart w:id="125" w:name="_Toc1362"/>
      <w:bookmarkStart w:id="126" w:name="_Toc18120"/>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bidi w:val="0"/>
      </w:pPr>
      <w:r>
        <w:rPr>
          <w:rFonts w:hint="eastAsia"/>
        </w:rPr>
        <w:br w:type="page"/>
      </w:r>
    </w:p>
    <w:p w14:paraId="1E3CF80A">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z w:val="28"/>
          <w:szCs w:val="28"/>
          <w:shd w:val="clear" w:color="auto" w:fill="FFFFFF"/>
        </w:rPr>
      </w:pPr>
      <w:r>
        <w:rPr>
          <w:rFonts w:hint="default" w:ascii="Times New Roman" w:hAnsi="Times New Roman" w:eastAsia="宋体" w:cs="Times New Roman"/>
          <w:b/>
          <w:bCs/>
          <w:sz w:val="28"/>
          <w:szCs w:val="28"/>
          <w:shd w:val="clear" w:color="auto" w:fill="FFFFFF"/>
        </w:rPr>
        <w:t>本合同仅为参考格式,签订合同时甲方有权对具体合同条款做出修改。</w:t>
      </w:r>
    </w:p>
    <w:p w14:paraId="6D2E93F1">
      <w:pPr>
        <w:keepNext w:val="0"/>
        <w:keepLines w:val="0"/>
        <w:pageBreakBefore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服务合同</w:t>
      </w:r>
    </w:p>
    <w:p w14:paraId="0A0D1C8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  方：</w:t>
      </w:r>
      <w:r>
        <w:rPr>
          <w:rFonts w:hint="default" w:ascii="Times New Roman" w:hAnsi="Times New Roman" w:eastAsia="宋体" w:cs="Times New Roman"/>
          <w:sz w:val="28"/>
          <w:szCs w:val="28"/>
          <w:shd w:val="clear" w:color="auto" w:fill="FFFFFF"/>
        </w:rPr>
        <w:t>西安</w:t>
      </w:r>
      <w:r>
        <w:rPr>
          <w:rFonts w:hint="default" w:ascii="Times New Roman" w:hAnsi="Times New Roman" w:eastAsia="宋体" w:cs="Times New Roman"/>
          <w:sz w:val="28"/>
          <w:szCs w:val="28"/>
          <w:shd w:val="clear" w:color="auto" w:fill="FFFFFF"/>
          <w:lang w:val="en-US" w:eastAsia="zh-CN"/>
        </w:rPr>
        <w:t>开放</w:t>
      </w:r>
      <w:r>
        <w:rPr>
          <w:rFonts w:hint="default" w:ascii="Times New Roman" w:hAnsi="Times New Roman" w:eastAsia="宋体" w:cs="Times New Roman"/>
          <w:sz w:val="28"/>
          <w:szCs w:val="28"/>
          <w:shd w:val="clear" w:color="auto" w:fill="FFFFFF"/>
        </w:rPr>
        <w:t>大学</w:t>
      </w:r>
    </w:p>
    <w:p w14:paraId="1DAC599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乙</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 xml:space="preserve">方（中标人）：               </w:t>
      </w:r>
    </w:p>
    <w:p w14:paraId="6FB7BDF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项目名称</w:t>
      </w:r>
      <w:r>
        <w:rPr>
          <w:rFonts w:hint="default" w:ascii="Times New Roman" w:hAnsi="Times New Roman" w:eastAsia="宋体" w:cs="Times New Roman"/>
          <w:sz w:val="28"/>
          <w:szCs w:val="28"/>
          <w:u w:val="single"/>
        </w:rPr>
        <w:t xml:space="preserve">   </w:t>
      </w:r>
      <w:r>
        <w:rPr>
          <w:rFonts w:hint="eastAsia" w:ascii="Times New Roman" w:hAnsi="Times New Roman" w:cs="Times New Roman"/>
          <w:sz w:val="28"/>
          <w:szCs w:val="28"/>
          <w:u w:val="single"/>
          <w:lang w:val="en-US" w:eastAsia="zh-CN"/>
        </w:rPr>
        <w:t xml:space="preserve">           </w:t>
      </w:r>
      <w:r>
        <w:rPr>
          <w:rFonts w:hint="default" w:ascii="Times New Roman" w:hAnsi="Times New Roman" w:eastAsia="宋体" w:cs="Times New Roman"/>
          <w:sz w:val="28"/>
          <w:szCs w:val="28"/>
        </w:rPr>
        <w:t>(项目编号：</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)依据《中华人民共和国民法典》《中华人民共和国政府采购法》，经双方协商按下述条款和条件签署本合同。</w:t>
      </w:r>
    </w:p>
    <w:p w14:paraId="2A7CB128">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一、合同价款</w:t>
      </w:r>
    </w:p>
    <w:p w14:paraId="369C596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eastAsia" w:ascii="Times New Roman" w:hAnsi="Times New Roman" w:cs="Times New Roman"/>
          <w:sz w:val="28"/>
          <w:szCs w:val="28"/>
          <w:lang w:val="en-US" w:eastAsia="zh-CN"/>
        </w:rPr>
        <w:t>1、</w:t>
      </w:r>
      <w:r>
        <w:rPr>
          <w:rFonts w:hint="default" w:ascii="Times New Roman" w:hAnsi="Times New Roman" w:eastAsia="宋体" w:cs="Times New Roman"/>
          <w:sz w:val="28"/>
          <w:szCs w:val="28"/>
        </w:rPr>
        <w:t>合同总价款为人民币（大写）</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w:t>
      </w:r>
    </w:p>
    <w:p w14:paraId="06B4C1B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eastAsia" w:ascii="Times New Roman" w:hAnsi="Times New Roman" w:cs="Times New Roman"/>
          <w:sz w:val="28"/>
          <w:szCs w:val="28"/>
          <w:lang w:val="en-US" w:eastAsia="zh-CN"/>
        </w:rPr>
        <w:t>2、</w:t>
      </w:r>
      <w:r>
        <w:rPr>
          <w:rFonts w:hint="default" w:ascii="Times New Roman" w:hAnsi="Times New Roman" w:eastAsia="宋体" w:cs="Times New Roman"/>
          <w:sz w:val="28"/>
          <w:szCs w:val="28"/>
        </w:rPr>
        <w:t>合同总价</w:t>
      </w:r>
      <w:r>
        <w:rPr>
          <w:rFonts w:hint="eastAsia" w:ascii="Times New Roman" w:hAnsi="Times New Roman" w:cs="Times New Roman"/>
          <w:sz w:val="28"/>
          <w:szCs w:val="28"/>
          <w:lang w:val="en-US" w:eastAsia="zh-CN"/>
        </w:rPr>
        <w:t>为成交限价</w:t>
      </w:r>
      <w:r>
        <w:rPr>
          <w:rFonts w:hint="default" w:ascii="Times New Roman" w:hAnsi="Times New Roman" w:eastAsia="宋体" w:cs="Times New Roman"/>
          <w:sz w:val="28"/>
          <w:szCs w:val="28"/>
        </w:rPr>
        <w:t>，</w:t>
      </w:r>
      <w:r>
        <w:rPr>
          <w:rFonts w:hint="default" w:ascii="Times New Roman" w:hAnsi="Times New Roman" w:cs="Times New Roman"/>
          <w:sz w:val="28"/>
          <w:szCs w:val="28"/>
          <w:lang w:val="en-US" w:eastAsia="zh-CN"/>
        </w:rPr>
        <w:t>乙方</w:t>
      </w:r>
      <w:r>
        <w:rPr>
          <w:rFonts w:hint="default" w:ascii="Times New Roman" w:hAnsi="Times New Roman" w:eastAsia="宋体" w:cs="Times New Roman"/>
          <w:sz w:val="28"/>
          <w:szCs w:val="28"/>
        </w:rPr>
        <w:t>提供</w:t>
      </w:r>
      <w:r>
        <w:rPr>
          <w:rFonts w:hint="eastAsia" w:ascii="Times New Roman" w:hAnsi="Times New Roman" w:cs="Times New Roman"/>
          <w:sz w:val="28"/>
          <w:szCs w:val="28"/>
          <w:lang w:val="en-US" w:eastAsia="zh-CN"/>
        </w:rPr>
        <w:t>服务</w:t>
      </w:r>
      <w:r>
        <w:rPr>
          <w:rFonts w:hint="default" w:ascii="Times New Roman" w:hAnsi="Times New Roman" w:eastAsia="宋体" w:cs="Times New Roman"/>
          <w:sz w:val="28"/>
          <w:szCs w:val="28"/>
        </w:rPr>
        <w:t>所发生的一切费用（包括增值税等相关税费）等都已包含于合同价款中</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具体金额以双方结算为准</w:t>
      </w:r>
      <w:r>
        <w:rPr>
          <w:rFonts w:hint="default" w:ascii="Times New Roman" w:hAnsi="Times New Roman" w:eastAsia="宋体" w:cs="Times New Roman"/>
          <w:sz w:val="28"/>
          <w:szCs w:val="28"/>
        </w:rPr>
        <w:t>。</w:t>
      </w:r>
    </w:p>
    <w:p w14:paraId="1A0F1BE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3、</w:t>
      </w:r>
      <w:r>
        <w:rPr>
          <w:rFonts w:hint="default" w:ascii="Times New Roman" w:hAnsi="Times New Roman" w:eastAsia="宋体" w:cs="Times New Roman"/>
          <w:sz w:val="28"/>
          <w:szCs w:val="28"/>
        </w:rPr>
        <w:t>合同</w:t>
      </w:r>
      <w:r>
        <w:rPr>
          <w:rFonts w:hint="eastAsia" w:ascii="Times New Roman" w:hAnsi="Times New Roman" w:cs="Times New Roman"/>
          <w:sz w:val="28"/>
          <w:szCs w:val="28"/>
          <w:lang w:val="en-US" w:eastAsia="zh-CN"/>
        </w:rPr>
        <w:t>单价</w:t>
      </w:r>
      <w:r>
        <w:rPr>
          <w:rFonts w:hint="default" w:ascii="Times New Roman" w:hAnsi="Times New Roman" w:eastAsia="宋体" w:cs="Times New Roman"/>
          <w:sz w:val="28"/>
          <w:szCs w:val="28"/>
        </w:rPr>
        <w:t>不受市场价格变化因素的影响。</w:t>
      </w:r>
    </w:p>
    <w:p w14:paraId="2CB4657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二、款项结算</w:t>
      </w:r>
    </w:p>
    <w:p w14:paraId="1545983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eastAsia" w:ascii="Times New Roman" w:hAnsi="Times New Roman" w:cs="Times New Roman"/>
          <w:sz w:val="28"/>
          <w:szCs w:val="28"/>
          <w:lang w:val="en-US" w:eastAsia="zh-CN"/>
        </w:rPr>
        <w:t>1、</w:t>
      </w:r>
      <w:r>
        <w:rPr>
          <w:rFonts w:hint="default" w:ascii="Times New Roman" w:hAnsi="Times New Roman" w:eastAsia="宋体" w:cs="Times New Roman"/>
          <w:sz w:val="28"/>
          <w:szCs w:val="28"/>
        </w:rPr>
        <w:t>结算方式：乙方持成交通知书、合同、发票、验收单，到甲方办理资金结算。</w:t>
      </w:r>
    </w:p>
    <w:p w14:paraId="04783D7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甲方付款前，乙方应先向甲方提供等额有效发票，否则甲方有权拒绝付款，并不构成违约。</w:t>
      </w:r>
    </w:p>
    <w:p w14:paraId="613E1B4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三</w:t>
      </w:r>
      <w:r>
        <w:rPr>
          <w:rFonts w:hint="default" w:ascii="Times New Roman" w:hAnsi="Times New Roman" w:eastAsia="宋体" w:cs="Times New Roman"/>
          <w:sz w:val="28"/>
          <w:szCs w:val="28"/>
        </w:rPr>
        <w:t>、实施要求</w:t>
      </w:r>
    </w:p>
    <w:p w14:paraId="25E2F2F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1、服务</w:t>
      </w:r>
      <w:r>
        <w:rPr>
          <w:rFonts w:hint="default" w:ascii="Times New Roman" w:hAnsi="Times New Roman" w:eastAsia="宋体" w:cs="Times New Roman"/>
          <w:sz w:val="28"/>
          <w:szCs w:val="28"/>
          <w:lang w:val="en-US" w:eastAsia="zh-CN"/>
        </w:rPr>
        <w:t>期限</w:t>
      </w:r>
      <w:r>
        <w:rPr>
          <w:rFonts w:hint="default" w:ascii="Times New Roman" w:hAnsi="Times New Roman" w:eastAsia="宋体" w:cs="Times New Roman"/>
          <w:sz w:val="28"/>
          <w:szCs w:val="28"/>
        </w:rPr>
        <w:t>：</w:t>
      </w:r>
      <w:r>
        <w:rPr>
          <w:rFonts w:hint="eastAsia" w:ascii="Times New Roman" w:hAnsi="Times New Roman" w:cs="Times New Roman"/>
          <w:sz w:val="28"/>
          <w:szCs w:val="28"/>
          <w:u w:val="single"/>
          <w:lang w:val="en-US" w:eastAsia="zh-CN"/>
        </w:rPr>
        <w:t xml:space="preserve">            </w:t>
      </w:r>
      <w:r>
        <w:rPr>
          <w:rFonts w:hint="default" w:ascii="Times New Roman" w:hAnsi="Times New Roman" w:eastAsia="宋体" w:cs="Times New Roman"/>
          <w:sz w:val="28"/>
          <w:szCs w:val="28"/>
        </w:rPr>
        <w:t>。</w:t>
      </w:r>
    </w:p>
    <w:p w14:paraId="3D333C3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2、服务地点：甲方指定地点。</w:t>
      </w:r>
    </w:p>
    <w:p w14:paraId="7ED2C71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3、服务要求：</w:t>
      </w:r>
    </w:p>
    <w:p w14:paraId="730C8F9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sz w:val="28"/>
          <w:szCs w:val="28"/>
          <w:lang w:val="en-US" w:eastAsia="zh-CN"/>
        </w:rPr>
      </w:pPr>
      <w:r>
        <w:rPr>
          <w:rFonts w:hint="eastAsia" w:cs="Times New Roman"/>
          <w:sz w:val="28"/>
          <w:szCs w:val="28"/>
          <w:lang w:val="en-US" w:eastAsia="zh-CN"/>
        </w:rPr>
        <w:t>（1）</w:t>
      </w:r>
      <w:r>
        <w:rPr>
          <w:rFonts w:hint="eastAsia" w:ascii="Times New Roman" w:hAnsi="Times New Roman" w:cs="Times New Roman"/>
          <w:sz w:val="28"/>
          <w:szCs w:val="28"/>
          <w:lang w:val="en-US" w:eastAsia="zh-CN"/>
        </w:rPr>
        <w:t>就餐期内，乙方应做好餐厅环境卫生工作，餐厅内外保持卫生整洁。</w:t>
      </w:r>
    </w:p>
    <w:p w14:paraId="0FD032B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sz w:val="28"/>
          <w:szCs w:val="28"/>
          <w:lang w:val="en-US" w:eastAsia="zh-CN"/>
        </w:rPr>
      </w:pPr>
      <w:r>
        <w:rPr>
          <w:rFonts w:hint="eastAsia" w:cs="Times New Roman"/>
          <w:sz w:val="28"/>
          <w:szCs w:val="28"/>
          <w:lang w:val="en-US" w:eastAsia="zh-CN"/>
        </w:rPr>
        <w:t>（2）</w:t>
      </w:r>
      <w:r>
        <w:rPr>
          <w:rFonts w:hint="eastAsia" w:ascii="Times New Roman" w:hAnsi="Times New Roman" w:cs="Times New Roman"/>
          <w:sz w:val="28"/>
          <w:szCs w:val="28"/>
          <w:lang w:val="en-US" w:eastAsia="zh-CN"/>
        </w:rPr>
        <w:t>餐厅用品用具严格实行一洗二过三消毒的过程</w:t>
      </w:r>
      <w:r>
        <w:rPr>
          <w:rFonts w:hint="eastAsia" w:cs="Times New Roman"/>
          <w:sz w:val="28"/>
          <w:szCs w:val="28"/>
          <w:lang w:val="en-US" w:eastAsia="zh-CN"/>
        </w:rPr>
        <w:t>，</w:t>
      </w:r>
      <w:r>
        <w:rPr>
          <w:rFonts w:hint="eastAsia" w:ascii="Times New Roman" w:hAnsi="Times New Roman" w:cs="Times New Roman"/>
          <w:sz w:val="28"/>
          <w:szCs w:val="28"/>
          <w:lang w:val="en-US" w:eastAsia="zh-CN"/>
        </w:rPr>
        <w:t>不得出现任何变质或受污染的食物。</w:t>
      </w:r>
    </w:p>
    <w:p w14:paraId="5878D20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sz w:val="28"/>
          <w:szCs w:val="28"/>
          <w:lang w:val="en-US" w:eastAsia="zh-CN"/>
        </w:rPr>
      </w:pPr>
      <w:r>
        <w:rPr>
          <w:rFonts w:hint="eastAsia" w:cs="Times New Roman"/>
          <w:sz w:val="28"/>
          <w:szCs w:val="28"/>
          <w:lang w:val="en-US" w:eastAsia="zh-CN"/>
        </w:rPr>
        <w:t>（3）</w:t>
      </w:r>
      <w:r>
        <w:rPr>
          <w:rFonts w:hint="eastAsia" w:ascii="Times New Roman" w:hAnsi="Times New Roman" w:cs="Times New Roman"/>
          <w:sz w:val="28"/>
          <w:szCs w:val="28"/>
          <w:lang w:val="en-US" w:eastAsia="zh-CN"/>
        </w:rPr>
        <w:t>乙方必须保证食品安全，其提供的各项食品均应符合安全卫生标准。如果在用餐后出现与食物有关的中毒症状，经医院确认是由食物引起的中毒症状，责任由乙方全权负责，不得推诿。乙方应赔偿给甲方造成的全部损失，包括但不限于给甲方人员造成的侵权赔偿（医疗费、误工费、护理费、营养费等）及甲方为解决此类纠纷产生的诉讼费/仲裁费、律师费及差旅费等。</w:t>
      </w:r>
    </w:p>
    <w:p w14:paraId="39BBBF9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sz w:val="28"/>
          <w:szCs w:val="28"/>
          <w:lang w:val="en-US" w:eastAsia="zh-CN"/>
        </w:rPr>
      </w:pPr>
      <w:r>
        <w:rPr>
          <w:rFonts w:hint="eastAsia" w:cs="Times New Roman"/>
          <w:sz w:val="28"/>
          <w:szCs w:val="28"/>
          <w:lang w:val="en-US" w:eastAsia="zh-CN"/>
        </w:rPr>
        <w:t>（4）</w:t>
      </w:r>
      <w:r>
        <w:rPr>
          <w:rFonts w:hint="eastAsia" w:ascii="Times New Roman" w:hAnsi="Times New Roman" w:cs="Times New Roman"/>
          <w:sz w:val="28"/>
          <w:szCs w:val="28"/>
          <w:lang w:val="en-US" w:eastAsia="zh-CN"/>
        </w:rPr>
        <w:t>乙方应在</w:t>
      </w:r>
      <w:r>
        <w:rPr>
          <w:rFonts w:hint="eastAsia" w:cs="Times New Roman"/>
          <w:sz w:val="28"/>
          <w:szCs w:val="28"/>
          <w:lang w:val="en-US" w:eastAsia="zh-CN"/>
        </w:rPr>
        <w:t>租赁会场</w:t>
      </w:r>
      <w:r>
        <w:rPr>
          <w:rFonts w:hint="eastAsia" w:ascii="Times New Roman" w:hAnsi="Times New Roman" w:cs="Times New Roman"/>
          <w:sz w:val="28"/>
          <w:szCs w:val="28"/>
          <w:lang w:val="en-US" w:eastAsia="zh-CN"/>
        </w:rPr>
        <w:t>内提供能够满足</w:t>
      </w:r>
      <w:r>
        <w:rPr>
          <w:rFonts w:hint="eastAsia" w:cs="Times New Roman"/>
          <w:sz w:val="28"/>
          <w:szCs w:val="28"/>
          <w:lang w:val="en-US" w:eastAsia="zh-CN"/>
        </w:rPr>
        <w:t>甲方</w:t>
      </w:r>
      <w:r>
        <w:rPr>
          <w:rFonts w:hint="eastAsia" w:ascii="Times New Roman" w:hAnsi="Times New Roman" w:cs="Times New Roman"/>
          <w:sz w:val="28"/>
          <w:szCs w:val="28"/>
          <w:lang w:val="en-US" w:eastAsia="zh-CN"/>
        </w:rPr>
        <w:t>需求的相关设施设备。</w:t>
      </w:r>
    </w:p>
    <w:p w14:paraId="4FC7A39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sz w:val="28"/>
          <w:szCs w:val="28"/>
          <w:lang w:val="en-US" w:eastAsia="zh-CN"/>
        </w:rPr>
      </w:pPr>
      <w:r>
        <w:rPr>
          <w:rFonts w:hint="eastAsia" w:cs="Times New Roman"/>
          <w:sz w:val="28"/>
          <w:szCs w:val="28"/>
          <w:lang w:val="en-US" w:eastAsia="zh-CN"/>
        </w:rPr>
        <w:t>（5）乙方</w:t>
      </w:r>
      <w:r>
        <w:rPr>
          <w:rFonts w:hint="eastAsia" w:ascii="Times New Roman" w:hAnsi="Times New Roman" w:cs="Times New Roman"/>
          <w:sz w:val="28"/>
          <w:szCs w:val="28"/>
          <w:lang w:val="en-US" w:eastAsia="zh-CN"/>
        </w:rPr>
        <w:t>确保租赁</w:t>
      </w:r>
      <w:r>
        <w:rPr>
          <w:rFonts w:hint="eastAsia" w:cs="Times New Roman"/>
          <w:sz w:val="28"/>
          <w:szCs w:val="28"/>
          <w:lang w:val="en-US" w:eastAsia="zh-CN"/>
        </w:rPr>
        <w:t>会场</w:t>
      </w:r>
      <w:r>
        <w:rPr>
          <w:rFonts w:hint="eastAsia" w:ascii="Times New Roman" w:hAnsi="Times New Roman" w:cs="Times New Roman"/>
          <w:sz w:val="28"/>
          <w:szCs w:val="28"/>
          <w:lang w:val="en-US" w:eastAsia="zh-CN"/>
        </w:rPr>
        <w:t>的防火、防盗、房屋及其附属设施齐全并处于正常可使用和安全的状态。若出现损坏或故障，乙方应及时进行维修，以保障甲方</w:t>
      </w:r>
      <w:r>
        <w:rPr>
          <w:rFonts w:hint="eastAsia" w:cs="Times New Roman"/>
          <w:sz w:val="28"/>
          <w:szCs w:val="28"/>
          <w:lang w:val="en-US" w:eastAsia="zh-CN"/>
        </w:rPr>
        <w:t>相关</w:t>
      </w:r>
      <w:r>
        <w:rPr>
          <w:rFonts w:hint="eastAsia" w:ascii="Times New Roman" w:hAnsi="Times New Roman" w:cs="Times New Roman"/>
          <w:sz w:val="28"/>
          <w:szCs w:val="28"/>
          <w:lang w:val="en-US" w:eastAsia="zh-CN"/>
        </w:rPr>
        <w:t>活动的正常进行。</w:t>
      </w:r>
    </w:p>
    <w:p w14:paraId="22B2409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四、甲方的权利与义务</w:t>
      </w:r>
    </w:p>
    <w:p w14:paraId="5AA58F8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1、甲方有权对合同规定范围内乙方的服务行为进行监督和检查，拥有监管权。</w:t>
      </w:r>
    </w:p>
    <w:p w14:paraId="7F514FD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eastAsia" w:cs="Times New Roman"/>
          <w:sz w:val="28"/>
          <w:szCs w:val="28"/>
          <w:lang w:val="en-US" w:eastAsia="zh-CN"/>
        </w:rPr>
        <w:t>2</w:t>
      </w:r>
      <w:r>
        <w:rPr>
          <w:rFonts w:hint="default" w:ascii="Times New Roman" w:hAnsi="Times New Roman" w:cs="Times New Roman"/>
          <w:sz w:val="28"/>
          <w:szCs w:val="28"/>
          <w:lang w:val="en-US" w:eastAsia="zh-CN"/>
        </w:rPr>
        <w:t>、根据本合同规定，按时向乙方支付应付服务费用。</w:t>
      </w:r>
    </w:p>
    <w:p w14:paraId="50C89AB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eastAsia" w:cs="Times New Roman"/>
          <w:sz w:val="28"/>
          <w:szCs w:val="28"/>
          <w:lang w:val="en-US" w:eastAsia="zh-CN"/>
        </w:rPr>
        <w:t>3</w:t>
      </w:r>
      <w:r>
        <w:rPr>
          <w:rFonts w:hint="default" w:ascii="Times New Roman" w:hAnsi="Times New Roman" w:cs="Times New Roman"/>
          <w:sz w:val="28"/>
          <w:szCs w:val="28"/>
          <w:lang w:val="en-US" w:eastAsia="zh-CN"/>
        </w:rPr>
        <w:t>、国家法律、法规所规定由甲方承担的其它责任。</w:t>
      </w:r>
    </w:p>
    <w:p w14:paraId="51FAEFA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五、乙方的权利和义务</w:t>
      </w:r>
    </w:p>
    <w:p w14:paraId="7849DB7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1、对本合同规定的委托服务范围内的项目享有管理权及服务义务。</w:t>
      </w:r>
    </w:p>
    <w:p w14:paraId="3AF7F67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2、根据本合同的规定向甲方收取相关服务费用，并有权在本项目管理范围内管理及合理使用。</w:t>
      </w:r>
    </w:p>
    <w:p w14:paraId="1085791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3、及时向甲方通告本项目服务范围内有关服务的重大事项，及时配合处理投诉。</w:t>
      </w:r>
    </w:p>
    <w:p w14:paraId="2019AB8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4、接受项目行业管理部门及政府有关部门的指导，接受甲方的监督。</w:t>
      </w:r>
    </w:p>
    <w:p w14:paraId="1E96D59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5、国家法律、法规所规定由乙方承担的其它责任。</w:t>
      </w:r>
    </w:p>
    <w:p w14:paraId="0C9F20C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七、违约责任</w:t>
      </w:r>
    </w:p>
    <w:p w14:paraId="29D628B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1、按《民法典》中的相关条款执行。</w:t>
      </w:r>
    </w:p>
    <w:p w14:paraId="3DDF2BD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2、除本合同约定，合同一经签订，不得擅自变更、中止或者终止合同。对确需变更、调整或者中止、终止合同的，应按规定履行相应的手续。</w:t>
      </w:r>
    </w:p>
    <w:p w14:paraId="11ED9CC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3、任何一方因不可抗力原因不能履行协议时，应尽快通知对方，双方均设法补偿。如仍无法履约协议，可协商延缓或撤销协议，双方责任免除。</w:t>
      </w:r>
    </w:p>
    <w:p w14:paraId="4D57062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4、</w:t>
      </w:r>
      <w:r>
        <w:rPr>
          <w:rFonts w:hint="eastAsia" w:ascii="Times New Roman" w:hAnsi="Times New Roman" w:cs="Times New Roman"/>
          <w:sz w:val="28"/>
          <w:szCs w:val="28"/>
          <w:lang w:val="en-US" w:eastAsia="zh-CN"/>
        </w:rPr>
        <w:t>乙方在提供服务期间，若造成甲方人员财产损失或人身损害，乙方负责赔偿（包括但不限于甲方为解决此类纠纷产生的诉讼费、律师费及差旅费等）。</w:t>
      </w:r>
    </w:p>
    <w:p w14:paraId="102012F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eastAsia" w:cs="Times New Roman"/>
          <w:sz w:val="28"/>
          <w:szCs w:val="28"/>
          <w:lang w:val="en-US" w:eastAsia="zh-CN"/>
        </w:rPr>
        <w:t>5、乙方未能按时向甲方提供服务的，若甲方选择第三方提供服务，乙方应承担甲方向第三方支出的费用。</w:t>
      </w:r>
    </w:p>
    <w:p w14:paraId="2B8BA43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八、合同争议解决的方式</w:t>
      </w:r>
    </w:p>
    <w:p w14:paraId="60362B1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本合同在履行过程中发生的争议，由甲、乙双方当事人协商解决，协商不成的按下列第2种方式解决：</w:t>
      </w:r>
    </w:p>
    <w:p w14:paraId="56B3964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1、提交当地仲裁委员会仲裁；</w:t>
      </w:r>
    </w:p>
    <w:p w14:paraId="2519540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2、依法向甲方所在地人民法院起诉。</w:t>
      </w:r>
    </w:p>
    <w:p w14:paraId="1251C02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九、合同生效</w:t>
      </w:r>
    </w:p>
    <w:p w14:paraId="2546FA8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1、本合同须经甲、乙双方的法定代表人（授权代理人）在合同书上签字或盖章，并加盖本单位公章后正式生效。</w:t>
      </w:r>
    </w:p>
    <w:p w14:paraId="0EEE7F7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2、合同生效后，甲、乙双方须严格执行本合同条款的规定，全面履行合同，违者按《中华人民共和国民法典》及本合同的有关规定承担相应责任。</w:t>
      </w:r>
    </w:p>
    <w:p w14:paraId="157FB63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3、本合同一式柒份，甲方执肆份，乙方执贰份，送采购代理机构备案留存壹份，具有同等法律效力。</w:t>
      </w:r>
    </w:p>
    <w:p w14:paraId="45D5BD6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4、本合同如有未尽事宜，甲、乙双方协商解决。</w:t>
      </w:r>
    </w:p>
    <w:p w14:paraId="657D4C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十、其他事项</w:t>
      </w:r>
    </w:p>
    <w:p w14:paraId="483B90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（一）磋商文件、响应文件、澄清表（函）、成交通知书、合同附件均成为合同不可分割的部分。</w:t>
      </w:r>
    </w:p>
    <w:p w14:paraId="0D805C7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（二）合同未尽事宜，由甲、乙双方协商，可签订补充协议作为合同补充，与原合同具有同等法律效力。</w:t>
      </w:r>
    </w:p>
    <w:p w14:paraId="1471121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（三）合同一经签订，不得擅自变更、中止或终止合同。对确需变更、调整或中止、终止合同的，应按规定履行相应的手续。</w:t>
      </w:r>
    </w:p>
    <w:p w14:paraId="349827E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（四）本合同按照中华人民共和国的现行法律进行解释。</w:t>
      </w:r>
    </w:p>
    <w:p w14:paraId="18DE77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p>
    <w:p w14:paraId="7A0385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甲    方                         乙    方（加盖单位公章）</w:t>
      </w:r>
    </w:p>
    <w:p w14:paraId="289A005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单位名称：         </w:t>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 xml:space="preserve"> 单位名称： </w:t>
      </w:r>
    </w:p>
    <w:p w14:paraId="13270B1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地   址：  </w:t>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 xml:space="preserve"> 地    址：</w:t>
      </w:r>
    </w:p>
    <w:p w14:paraId="43DEA65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法人代表：                       法人代表：（签字或盖章）</w:t>
      </w:r>
    </w:p>
    <w:p w14:paraId="5068402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联系电话：               </w:t>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 xml:space="preserve"> 联系电话：（手机号）</w:t>
      </w:r>
    </w:p>
    <w:p w14:paraId="6C5CE9F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开 户 行：         </w:t>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 xml:space="preserve"> 开 户 行： </w:t>
      </w:r>
    </w:p>
    <w:p w14:paraId="779BB86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账    号：             </w:t>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 xml:space="preserve"> 账    号：</w:t>
      </w:r>
    </w:p>
    <w:p w14:paraId="2D0CEBA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签订时间：  年   月   日        签订时间： </w:t>
      </w:r>
      <w:bookmarkStart w:id="127" w:name="_Hlk85071433"/>
      <w:r>
        <w:rPr>
          <w:rFonts w:hint="default" w:ascii="Times New Roman" w:hAnsi="Times New Roman" w:cs="Times New Roman"/>
          <w:sz w:val="28"/>
          <w:szCs w:val="28"/>
          <w:lang w:val="en-US" w:eastAsia="zh-CN"/>
        </w:rPr>
        <w:t xml:space="preserve">  年   月   日</w:t>
      </w:r>
      <w:bookmarkEnd w:id="127"/>
    </w:p>
    <w:p w14:paraId="6CA9265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lang w:val="en-US" w:eastAsia="zh-Hans"/>
        </w:rPr>
      </w:pPr>
    </w:p>
    <w:p w14:paraId="6D02A846">
      <w:pPr>
        <w:rPr>
          <w:color w:val="auto"/>
          <w:highlight w:val="none"/>
        </w:rPr>
      </w:pPr>
    </w:p>
    <w:p w14:paraId="2FA9752C">
      <w:pPr>
        <w:pStyle w:val="4"/>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28" w:name="_Toc1119"/>
      <w:bookmarkStart w:id="129" w:name="_Toc8072"/>
      <w:bookmarkStart w:id="130" w:name="_Toc4254"/>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28"/>
      <w:bookmarkEnd w:id="129"/>
      <w:bookmarkEnd w:id="130"/>
    </w:p>
    <w:bookmarkEnd w:id="72"/>
    <w:p w14:paraId="46D178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仿宋" w:hAnsi="仿宋" w:eastAsia="仿宋" w:cs="仿宋"/>
          <w:b/>
          <w:bCs/>
          <w:spacing w:val="6"/>
          <w:sz w:val="28"/>
          <w:szCs w:val="28"/>
        </w:rPr>
      </w:pPr>
      <w:bookmarkStart w:id="131" w:name="_Toc5084"/>
      <w:bookmarkStart w:id="132" w:name="_Toc6373"/>
      <w:bookmarkStart w:id="133" w:name="_Toc363474025"/>
      <w:bookmarkStart w:id="134" w:name="_Toc403077646"/>
      <w:bookmarkStart w:id="135" w:name="_Toc423973079"/>
      <w:r>
        <w:rPr>
          <w:rFonts w:ascii="仿宋" w:hAnsi="仿宋" w:eastAsia="仿宋" w:cs="仿宋"/>
          <w:b/>
          <w:bCs/>
          <w:spacing w:val="6"/>
          <w:sz w:val="28"/>
          <w:szCs w:val="28"/>
        </w:rPr>
        <w:t>一、项目概况</w:t>
      </w:r>
    </w:p>
    <w:p w14:paraId="02FC8B6E">
      <w:pPr>
        <w:pStyle w:val="4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12" w:firstLineChars="200"/>
        <w:textAlignment w:val="baseline"/>
        <w:rPr>
          <w:rFonts w:hint="eastAsia" w:ascii="仿宋" w:hAnsi="仿宋" w:eastAsia="仿宋" w:cs="仿宋"/>
          <w:spacing w:val="13"/>
          <w:sz w:val="28"/>
          <w:szCs w:val="28"/>
        </w:rPr>
      </w:pPr>
      <w:r>
        <w:rPr>
          <w:rFonts w:hint="eastAsia" w:ascii="仿宋" w:hAnsi="仿宋" w:eastAsia="仿宋" w:cs="仿宋"/>
          <w:spacing w:val="13"/>
          <w:sz w:val="28"/>
          <w:szCs w:val="28"/>
        </w:rPr>
        <w:t>为保障西安开放大学对外培训工作顺利开展，依据培训协议预算项目，进行本次采购需求申请。</w:t>
      </w:r>
    </w:p>
    <w:p w14:paraId="11FE51DC">
      <w:pPr>
        <w:pStyle w:val="4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仿宋" w:hAnsi="仿宋" w:eastAsia="仿宋" w:cs="仿宋"/>
          <w:spacing w:val="13"/>
          <w:sz w:val="28"/>
          <w:szCs w:val="28"/>
        </w:rPr>
      </w:pPr>
      <w:r>
        <w:rPr>
          <w:rFonts w:hint="eastAsia" w:ascii="仿宋" w:hAnsi="仿宋" w:eastAsia="仿宋" w:cs="仿宋"/>
          <w:b/>
          <w:bCs/>
          <w:spacing w:val="21"/>
          <w:sz w:val="28"/>
          <w:szCs w:val="28"/>
          <w:lang w:val="en-US" w:eastAsia="zh-CN"/>
        </w:rPr>
        <w:t>二、</w:t>
      </w:r>
      <w:r>
        <w:rPr>
          <w:rFonts w:ascii="仿宋" w:hAnsi="仿宋" w:eastAsia="仿宋" w:cs="仿宋"/>
          <w:b/>
          <w:bCs/>
          <w:spacing w:val="21"/>
          <w:sz w:val="28"/>
          <w:szCs w:val="28"/>
        </w:rPr>
        <w:t>服务内容(包括工作区域、工作内容等)</w:t>
      </w:r>
    </w:p>
    <w:p w14:paraId="6480C373">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hint="eastAsia" w:ascii="仿宋" w:hAnsi="仿宋" w:eastAsia="仿宋" w:cs="仿宋"/>
          <w:spacing w:val="13"/>
          <w:sz w:val="28"/>
          <w:szCs w:val="28"/>
        </w:rPr>
      </w:pPr>
      <w:r>
        <w:rPr>
          <w:rFonts w:hint="eastAsia" w:ascii="仿宋" w:hAnsi="仿宋" w:eastAsia="仿宋" w:cs="仿宋"/>
          <w:spacing w:val="13"/>
          <w:sz w:val="28"/>
          <w:szCs w:val="28"/>
          <w:lang w:val="en-US" w:eastAsia="zh-CN"/>
        </w:rPr>
        <w:t>1.</w:t>
      </w:r>
      <w:r>
        <w:rPr>
          <w:rFonts w:hint="eastAsia" w:ascii="仿宋" w:hAnsi="仿宋" w:eastAsia="仿宋" w:cs="仿宋"/>
          <w:spacing w:val="13"/>
          <w:sz w:val="28"/>
          <w:szCs w:val="28"/>
        </w:rPr>
        <w:t>培训场地</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lang w:val="en-US" w:eastAsia="zh-CN"/>
        </w:rPr>
        <w:t>在</w:t>
      </w:r>
      <w:r>
        <w:rPr>
          <w:rFonts w:hint="eastAsia" w:ascii="仿宋" w:hAnsi="仿宋" w:eastAsia="仿宋" w:cs="仿宋"/>
          <w:spacing w:val="13"/>
          <w:sz w:val="28"/>
          <w:szCs w:val="28"/>
        </w:rPr>
        <w:t>2024-2025年度党政机关会议定点服务框架协议入围供应商中筛选且符合培训要求</w:t>
      </w:r>
      <w:r>
        <w:rPr>
          <w:rFonts w:hint="eastAsia" w:ascii="仿宋" w:hAnsi="仿宋" w:eastAsia="仿宋" w:cs="仿宋"/>
          <w:spacing w:val="13"/>
          <w:sz w:val="28"/>
          <w:szCs w:val="28"/>
          <w:lang w:val="en-US" w:eastAsia="zh-CN"/>
        </w:rPr>
        <w:t>的酒店</w:t>
      </w:r>
      <w:r>
        <w:rPr>
          <w:rFonts w:hint="eastAsia" w:ascii="仿宋" w:hAnsi="仿宋" w:eastAsia="仿宋" w:cs="仿宋"/>
          <w:spacing w:val="13"/>
          <w:sz w:val="28"/>
          <w:szCs w:val="28"/>
        </w:rPr>
        <w:t>。</w:t>
      </w:r>
    </w:p>
    <w:p w14:paraId="3917443D">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rPr>
      </w:pPr>
      <w:r>
        <w:rPr>
          <w:rFonts w:hint="eastAsia" w:ascii="仿宋" w:hAnsi="仿宋" w:eastAsia="仿宋" w:cs="仿宋"/>
          <w:spacing w:val="13"/>
          <w:sz w:val="28"/>
          <w:szCs w:val="28"/>
          <w:lang w:val="en-US" w:eastAsia="zh-CN"/>
        </w:rPr>
        <w:t>2.</w:t>
      </w:r>
      <w:r>
        <w:rPr>
          <w:rFonts w:hint="eastAsia" w:ascii="仿宋" w:hAnsi="仿宋" w:eastAsia="仿宋" w:cs="仿宋"/>
          <w:spacing w:val="13"/>
          <w:sz w:val="28"/>
          <w:szCs w:val="28"/>
        </w:rPr>
        <w:t>住宿</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以经济实用为原则，为参训及工作人员提供标准间</w:t>
      </w:r>
      <w:r>
        <w:rPr>
          <w:rFonts w:hint="eastAsia" w:ascii="仿宋" w:hAnsi="仿宋" w:eastAsia="仿宋" w:cs="仿宋"/>
          <w:spacing w:val="13"/>
          <w:sz w:val="28"/>
          <w:szCs w:val="28"/>
          <w:lang w:val="en-US" w:eastAsia="zh-CN"/>
        </w:rPr>
        <w:t>130</w:t>
      </w:r>
      <w:r>
        <w:rPr>
          <w:rFonts w:hint="eastAsia" w:ascii="仿宋" w:hAnsi="仿宋" w:eastAsia="仿宋" w:cs="仿宋"/>
          <w:spacing w:val="13"/>
          <w:sz w:val="28"/>
          <w:szCs w:val="28"/>
        </w:rPr>
        <w:t>间以上。</w:t>
      </w:r>
    </w:p>
    <w:p w14:paraId="3E20B40D">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hint="eastAsia" w:ascii="仿宋" w:hAnsi="仿宋" w:eastAsia="仿宋" w:cs="仿宋"/>
          <w:spacing w:val="13"/>
          <w:sz w:val="28"/>
          <w:szCs w:val="28"/>
          <w:lang w:eastAsia="zh-CN"/>
        </w:rPr>
      </w:pPr>
      <w:r>
        <w:rPr>
          <w:rFonts w:hint="eastAsia" w:ascii="仿宋" w:hAnsi="仿宋" w:eastAsia="仿宋" w:cs="仿宋"/>
          <w:spacing w:val="13"/>
          <w:sz w:val="28"/>
          <w:szCs w:val="28"/>
          <w:lang w:val="en-US" w:eastAsia="zh-CN"/>
        </w:rPr>
        <w:t>3.</w:t>
      </w:r>
      <w:r>
        <w:rPr>
          <w:rFonts w:hint="eastAsia" w:ascii="仿宋" w:hAnsi="仿宋" w:eastAsia="仿宋" w:cs="仿宋"/>
          <w:spacing w:val="13"/>
          <w:sz w:val="28"/>
          <w:szCs w:val="28"/>
        </w:rPr>
        <w:t>用餐</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自助餐形式</w:t>
      </w:r>
      <w:r>
        <w:rPr>
          <w:rFonts w:hint="eastAsia" w:ascii="仿宋" w:hAnsi="仿宋" w:eastAsia="仿宋" w:cs="仿宋"/>
          <w:spacing w:val="13"/>
          <w:sz w:val="28"/>
          <w:szCs w:val="28"/>
          <w:lang w:eastAsia="zh-CN"/>
        </w:rPr>
        <w:t>。</w:t>
      </w:r>
    </w:p>
    <w:p w14:paraId="6A2039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仿宋" w:hAnsi="仿宋" w:eastAsia="仿宋" w:cs="仿宋"/>
          <w:spacing w:val="13"/>
          <w:sz w:val="28"/>
          <w:szCs w:val="28"/>
        </w:rPr>
      </w:pPr>
      <w:r>
        <w:rPr>
          <w:rFonts w:hint="eastAsia" w:ascii="仿宋" w:hAnsi="仿宋" w:eastAsia="仿宋" w:cs="仿宋"/>
          <w:b/>
          <w:bCs/>
          <w:spacing w:val="-5"/>
          <w:sz w:val="28"/>
          <w:szCs w:val="28"/>
        </w:rPr>
        <w:t>三</w:t>
      </w:r>
      <w:r>
        <w:rPr>
          <w:rFonts w:ascii="仿宋" w:hAnsi="仿宋" w:eastAsia="仿宋" w:cs="仿宋"/>
          <w:b/>
          <w:bCs/>
          <w:spacing w:val="-5"/>
          <w:sz w:val="28"/>
          <w:szCs w:val="28"/>
        </w:rPr>
        <w:t>、服务要求(如对人员配置、专业设备、服</w:t>
      </w:r>
      <w:r>
        <w:rPr>
          <w:rFonts w:ascii="仿宋" w:hAnsi="仿宋" w:eastAsia="仿宋" w:cs="仿宋"/>
          <w:b/>
          <w:bCs/>
          <w:spacing w:val="-6"/>
          <w:sz w:val="28"/>
          <w:szCs w:val="28"/>
        </w:rPr>
        <w:t>务标准等)</w:t>
      </w:r>
    </w:p>
    <w:p w14:paraId="745274CB">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rPr>
      </w:pPr>
      <w:r>
        <w:rPr>
          <w:rFonts w:hint="eastAsia" w:ascii="仿宋" w:hAnsi="仿宋" w:eastAsia="仿宋" w:cs="仿宋"/>
          <w:spacing w:val="13"/>
          <w:sz w:val="28"/>
          <w:szCs w:val="28"/>
        </w:rPr>
        <w:t>1</w:t>
      </w:r>
      <w:r>
        <w:rPr>
          <w:rFonts w:ascii="仿宋" w:hAnsi="仿宋" w:eastAsia="仿宋" w:cs="仿宋"/>
          <w:spacing w:val="13"/>
          <w:sz w:val="28"/>
          <w:szCs w:val="28"/>
        </w:rPr>
        <w:t>.</w:t>
      </w:r>
      <w:r>
        <w:rPr>
          <w:rFonts w:hint="eastAsia" w:ascii="仿宋" w:hAnsi="仿宋" w:eastAsia="仿宋" w:cs="仿宋"/>
          <w:spacing w:val="13"/>
          <w:sz w:val="28"/>
          <w:szCs w:val="28"/>
        </w:rPr>
        <w:t>基本要求</w:t>
      </w:r>
    </w:p>
    <w:p w14:paraId="07A87857">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rPr>
      </w:pPr>
      <w:r>
        <w:rPr>
          <w:rFonts w:hint="eastAsia" w:ascii="仿宋" w:hAnsi="仿宋" w:eastAsia="仿宋" w:cs="仿宋"/>
          <w:spacing w:val="13"/>
          <w:sz w:val="28"/>
          <w:szCs w:val="28"/>
        </w:rPr>
        <w:t>（1）酒店位置：三环周边，交通便利。</w:t>
      </w:r>
    </w:p>
    <w:p w14:paraId="2C4A2774">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rPr>
      </w:pPr>
      <w:r>
        <w:rPr>
          <w:rFonts w:hint="eastAsia" w:ascii="仿宋" w:hAnsi="仿宋" w:eastAsia="仿宋" w:cs="仿宋"/>
          <w:spacing w:val="13"/>
          <w:sz w:val="28"/>
          <w:szCs w:val="28"/>
        </w:rPr>
        <w:t>（2）酒店等级：三星级以上（含三星级）宾馆标准。</w:t>
      </w:r>
    </w:p>
    <w:p w14:paraId="3DC45FF9">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highlight w:val="none"/>
        </w:rPr>
      </w:pPr>
      <w:r>
        <w:rPr>
          <w:rFonts w:hint="eastAsia" w:ascii="仿宋" w:hAnsi="仿宋" w:eastAsia="仿宋" w:cs="仿宋"/>
          <w:spacing w:val="13"/>
          <w:sz w:val="28"/>
          <w:szCs w:val="28"/>
          <w:highlight w:val="none"/>
        </w:rPr>
        <w:t>（3）酒店房间：标准间（双人房间含双早餐）不少于</w:t>
      </w:r>
      <w:r>
        <w:rPr>
          <w:rFonts w:hint="eastAsia" w:ascii="仿宋" w:hAnsi="仿宋" w:eastAsia="仿宋" w:cs="仿宋"/>
          <w:spacing w:val="13"/>
          <w:sz w:val="28"/>
          <w:szCs w:val="28"/>
          <w:highlight w:val="none"/>
          <w:lang w:val="en-US" w:eastAsia="zh-CN"/>
        </w:rPr>
        <w:t>130</w:t>
      </w:r>
      <w:r>
        <w:rPr>
          <w:rFonts w:hint="eastAsia" w:ascii="仿宋" w:hAnsi="仿宋" w:eastAsia="仿宋" w:cs="仿宋"/>
          <w:spacing w:val="13"/>
          <w:sz w:val="28"/>
          <w:szCs w:val="28"/>
          <w:highlight w:val="none"/>
        </w:rPr>
        <w:t>间。</w:t>
      </w:r>
    </w:p>
    <w:p w14:paraId="51878060">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hint="default" w:ascii="仿宋" w:hAnsi="仿宋" w:eastAsia="仿宋" w:cs="仿宋"/>
          <w:spacing w:val="13"/>
          <w:sz w:val="28"/>
          <w:szCs w:val="28"/>
          <w:highlight w:val="none"/>
          <w:lang w:val="en-US" w:eastAsia="zh-CN"/>
        </w:rPr>
      </w:pPr>
      <w:r>
        <w:rPr>
          <w:rFonts w:hint="eastAsia" w:ascii="仿宋" w:hAnsi="仿宋" w:eastAsia="仿宋" w:cs="仿宋"/>
          <w:spacing w:val="13"/>
          <w:sz w:val="28"/>
          <w:szCs w:val="28"/>
          <w:highlight w:val="none"/>
        </w:rPr>
        <w:t>（4）会场规模：必须具有至少可容纳</w:t>
      </w:r>
      <w:r>
        <w:rPr>
          <w:rFonts w:hint="eastAsia" w:ascii="仿宋" w:hAnsi="仿宋" w:eastAsia="仿宋" w:cs="仿宋"/>
          <w:spacing w:val="13"/>
          <w:sz w:val="28"/>
          <w:szCs w:val="28"/>
          <w:highlight w:val="none"/>
          <w:lang w:val="en-US" w:eastAsia="zh-CN"/>
        </w:rPr>
        <w:t>300</w:t>
      </w:r>
      <w:r>
        <w:rPr>
          <w:rFonts w:hint="eastAsia" w:ascii="仿宋" w:hAnsi="仿宋" w:eastAsia="仿宋" w:cs="仿宋"/>
          <w:spacing w:val="13"/>
          <w:sz w:val="28"/>
          <w:szCs w:val="28"/>
          <w:highlight w:val="none"/>
        </w:rPr>
        <w:t>人以上</w:t>
      </w:r>
      <w:r>
        <w:rPr>
          <w:rFonts w:hint="eastAsia" w:ascii="仿宋" w:hAnsi="仿宋" w:eastAsia="仿宋" w:cs="仿宋"/>
          <w:spacing w:val="13"/>
          <w:sz w:val="28"/>
          <w:szCs w:val="28"/>
          <w:highlight w:val="none"/>
          <w:lang w:val="en-US" w:eastAsia="zh-CN"/>
        </w:rPr>
        <w:t>大型会议室</w:t>
      </w:r>
      <w:r>
        <w:rPr>
          <w:rFonts w:hint="eastAsia" w:ascii="仿宋" w:hAnsi="仿宋" w:eastAsia="仿宋" w:cs="仿宋"/>
          <w:spacing w:val="13"/>
          <w:sz w:val="28"/>
          <w:szCs w:val="28"/>
          <w:highlight w:val="none"/>
        </w:rPr>
        <w:t>1个</w:t>
      </w:r>
      <w:r>
        <w:rPr>
          <w:rFonts w:hint="eastAsia" w:ascii="仿宋" w:hAnsi="仿宋" w:eastAsia="仿宋" w:cs="仿宋"/>
          <w:spacing w:val="13"/>
          <w:sz w:val="28"/>
          <w:szCs w:val="28"/>
          <w:highlight w:val="none"/>
          <w:lang w:eastAsia="zh-CN"/>
        </w:rPr>
        <w:t>；</w:t>
      </w:r>
      <w:r>
        <w:rPr>
          <w:rFonts w:hint="eastAsia" w:ascii="仿宋" w:hAnsi="仿宋" w:eastAsia="仿宋" w:cs="仿宋"/>
          <w:spacing w:val="13"/>
          <w:sz w:val="28"/>
          <w:szCs w:val="28"/>
          <w:highlight w:val="none"/>
          <w:lang w:val="en-US" w:eastAsia="zh-CN"/>
        </w:rPr>
        <w:t>190人以上中型会议室2个；60人以上小型会议室5个。</w:t>
      </w:r>
    </w:p>
    <w:p w14:paraId="6912E2C7">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hint="eastAsia" w:ascii="仿宋" w:hAnsi="仿宋" w:eastAsia="仿宋" w:cs="仿宋"/>
          <w:spacing w:val="13"/>
          <w:sz w:val="28"/>
          <w:szCs w:val="28"/>
          <w:highlight w:val="none"/>
        </w:rPr>
      </w:pPr>
      <w:r>
        <w:rPr>
          <w:rFonts w:hint="eastAsia" w:ascii="仿宋" w:hAnsi="仿宋" w:eastAsia="仿宋" w:cs="仿宋"/>
          <w:spacing w:val="13"/>
          <w:sz w:val="28"/>
          <w:szCs w:val="28"/>
          <w:highlight w:val="none"/>
        </w:rPr>
        <w:t>（5）要求有自有的、独立的经营场地，培训会场在酒店内部，不与住宿用餐分离。</w:t>
      </w:r>
    </w:p>
    <w:p w14:paraId="5DCB4070">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highlight w:val="none"/>
        </w:rPr>
      </w:pPr>
      <w:r>
        <w:rPr>
          <w:rFonts w:hint="eastAsia" w:ascii="仿宋" w:hAnsi="仿宋" w:eastAsia="仿宋" w:cs="仿宋"/>
          <w:spacing w:val="13"/>
          <w:sz w:val="28"/>
          <w:szCs w:val="28"/>
          <w:highlight w:val="none"/>
        </w:rPr>
        <w:t>2</w:t>
      </w:r>
      <w:r>
        <w:rPr>
          <w:rFonts w:ascii="仿宋" w:hAnsi="仿宋" w:eastAsia="仿宋" w:cs="仿宋"/>
          <w:spacing w:val="13"/>
          <w:sz w:val="28"/>
          <w:szCs w:val="28"/>
          <w:highlight w:val="none"/>
        </w:rPr>
        <w:t>.</w:t>
      </w:r>
      <w:r>
        <w:rPr>
          <w:rFonts w:hint="eastAsia" w:ascii="仿宋" w:hAnsi="仿宋" w:eastAsia="仿宋" w:cs="仿宋"/>
          <w:spacing w:val="13"/>
          <w:sz w:val="28"/>
          <w:szCs w:val="28"/>
          <w:highlight w:val="none"/>
          <w:lang w:val="en-US" w:eastAsia="zh-CN"/>
        </w:rPr>
        <w:t>服务</w:t>
      </w:r>
      <w:r>
        <w:rPr>
          <w:rFonts w:hint="eastAsia" w:ascii="仿宋" w:hAnsi="仿宋" w:eastAsia="仿宋" w:cs="仿宋"/>
          <w:spacing w:val="13"/>
          <w:sz w:val="28"/>
          <w:szCs w:val="28"/>
          <w:highlight w:val="none"/>
        </w:rPr>
        <w:t>要求</w:t>
      </w:r>
    </w:p>
    <w:p w14:paraId="24ACD5B3">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highlight w:val="none"/>
        </w:rPr>
      </w:pPr>
      <w:r>
        <w:rPr>
          <w:rFonts w:hint="eastAsia" w:ascii="仿宋" w:hAnsi="仿宋" w:eastAsia="仿宋" w:cs="仿宋"/>
          <w:spacing w:val="13"/>
          <w:sz w:val="28"/>
          <w:szCs w:val="28"/>
          <w:highlight w:val="none"/>
        </w:rPr>
        <w:t>（1）所有房间免收押金，先保障培训住宿，后支付住宿费。</w:t>
      </w:r>
    </w:p>
    <w:p w14:paraId="1E607885">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highlight w:val="none"/>
        </w:rPr>
      </w:pPr>
      <w:r>
        <w:rPr>
          <w:rFonts w:hint="eastAsia" w:ascii="仿宋" w:hAnsi="仿宋" w:eastAsia="仿宋" w:cs="仿宋"/>
          <w:spacing w:val="13"/>
          <w:sz w:val="28"/>
          <w:szCs w:val="28"/>
          <w:highlight w:val="none"/>
        </w:rPr>
        <w:t>（2）酒店须提供早中晚自助餐，其中</w:t>
      </w:r>
      <w:r>
        <w:rPr>
          <w:rFonts w:hint="eastAsia" w:ascii="仿宋" w:hAnsi="仿宋" w:eastAsia="仿宋" w:cs="仿宋"/>
          <w:spacing w:val="13"/>
          <w:sz w:val="28"/>
          <w:szCs w:val="28"/>
          <w:highlight w:val="none"/>
          <w:lang w:val="en-US" w:eastAsia="zh-CN"/>
        </w:rPr>
        <w:t>早餐、</w:t>
      </w:r>
      <w:r>
        <w:rPr>
          <w:rFonts w:hint="eastAsia" w:ascii="仿宋" w:hAnsi="仿宋" w:eastAsia="仿宋" w:cs="仿宋"/>
          <w:spacing w:val="13"/>
          <w:sz w:val="28"/>
          <w:szCs w:val="28"/>
          <w:highlight w:val="none"/>
        </w:rPr>
        <w:t>中餐</w:t>
      </w:r>
      <w:r>
        <w:rPr>
          <w:rFonts w:hint="eastAsia" w:ascii="仿宋" w:hAnsi="仿宋" w:eastAsia="仿宋" w:cs="仿宋"/>
          <w:spacing w:val="13"/>
          <w:sz w:val="28"/>
          <w:szCs w:val="28"/>
          <w:highlight w:val="none"/>
          <w:lang w:eastAsia="zh-CN"/>
        </w:rPr>
        <w:t>、</w:t>
      </w:r>
      <w:r>
        <w:rPr>
          <w:rFonts w:hint="eastAsia" w:ascii="仿宋" w:hAnsi="仿宋" w:eastAsia="仿宋" w:cs="仿宋"/>
          <w:spacing w:val="13"/>
          <w:sz w:val="28"/>
          <w:szCs w:val="28"/>
          <w:highlight w:val="none"/>
        </w:rPr>
        <w:t>晚餐每人每天最高限价为</w:t>
      </w:r>
      <w:r>
        <w:rPr>
          <w:rFonts w:ascii="仿宋" w:hAnsi="仿宋" w:eastAsia="仿宋" w:cs="仿宋"/>
          <w:spacing w:val="13"/>
          <w:sz w:val="28"/>
          <w:szCs w:val="28"/>
          <w:highlight w:val="none"/>
        </w:rPr>
        <w:t>1</w:t>
      </w:r>
      <w:r>
        <w:rPr>
          <w:rFonts w:hint="eastAsia" w:ascii="仿宋" w:hAnsi="仿宋" w:eastAsia="仿宋" w:cs="仿宋"/>
          <w:spacing w:val="13"/>
          <w:sz w:val="28"/>
          <w:szCs w:val="28"/>
          <w:highlight w:val="none"/>
          <w:lang w:val="en-US" w:eastAsia="zh-CN"/>
        </w:rPr>
        <w:t>3</w:t>
      </w:r>
      <w:r>
        <w:rPr>
          <w:rFonts w:ascii="仿宋" w:hAnsi="仿宋" w:eastAsia="仿宋" w:cs="仿宋"/>
          <w:spacing w:val="13"/>
          <w:sz w:val="28"/>
          <w:szCs w:val="28"/>
          <w:highlight w:val="none"/>
        </w:rPr>
        <w:t>0</w:t>
      </w:r>
      <w:r>
        <w:rPr>
          <w:rFonts w:hint="eastAsia" w:ascii="仿宋" w:hAnsi="仿宋" w:eastAsia="仿宋" w:cs="仿宋"/>
          <w:spacing w:val="13"/>
          <w:sz w:val="28"/>
          <w:szCs w:val="28"/>
          <w:highlight w:val="none"/>
        </w:rPr>
        <w:t>元，按实际用餐人数和用餐次数结算。</w:t>
      </w:r>
    </w:p>
    <w:p w14:paraId="2C5F9353">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highlight w:val="none"/>
        </w:rPr>
      </w:pPr>
      <w:r>
        <w:rPr>
          <w:rFonts w:hint="eastAsia" w:ascii="仿宋" w:hAnsi="仿宋" w:eastAsia="仿宋" w:cs="仿宋"/>
          <w:spacing w:val="13"/>
          <w:sz w:val="28"/>
          <w:szCs w:val="28"/>
          <w:highlight w:val="none"/>
        </w:rPr>
        <w:t>（3）酒店标准间最高限价为</w:t>
      </w:r>
      <w:r>
        <w:rPr>
          <w:rFonts w:hint="eastAsia" w:ascii="仿宋" w:hAnsi="仿宋" w:eastAsia="仿宋" w:cs="仿宋"/>
          <w:spacing w:val="13"/>
          <w:sz w:val="28"/>
          <w:szCs w:val="28"/>
          <w:highlight w:val="none"/>
          <w:lang w:val="en-US" w:eastAsia="zh-CN"/>
        </w:rPr>
        <w:t>290</w:t>
      </w:r>
      <w:r>
        <w:rPr>
          <w:rFonts w:hint="eastAsia" w:ascii="仿宋" w:hAnsi="仿宋" w:eastAsia="仿宋" w:cs="仿宋"/>
          <w:spacing w:val="13"/>
          <w:sz w:val="28"/>
          <w:szCs w:val="28"/>
          <w:highlight w:val="none"/>
        </w:rPr>
        <w:t>元/天。</w:t>
      </w:r>
    </w:p>
    <w:p w14:paraId="30CCF0D8">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hint="default" w:ascii="仿宋" w:hAnsi="仿宋" w:eastAsia="仿宋" w:cs="仿宋"/>
          <w:spacing w:val="13"/>
          <w:sz w:val="28"/>
          <w:szCs w:val="28"/>
          <w:highlight w:val="none"/>
          <w:lang w:val="en-US" w:eastAsia="zh-CN"/>
        </w:rPr>
      </w:pPr>
      <w:r>
        <w:rPr>
          <w:rFonts w:hint="eastAsia" w:ascii="仿宋" w:hAnsi="仿宋" w:eastAsia="仿宋" w:cs="仿宋"/>
          <w:spacing w:val="13"/>
          <w:sz w:val="28"/>
          <w:szCs w:val="28"/>
          <w:highlight w:val="none"/>
        </w:rPr>
        <w:t>（4）</w:t>
      </w:r>
      <w:r>
        <w:rPr>
          <w:rFonts w:hint="eastAsia" w:ascii="仿宋" w:hAnsi="仿宋" w:eastAsia="仿宋" w:cs="仿宋"/>
          <w:spacing w:val="13"/>
          <w:sz w:val="28"/>
          <w:szCs w:val="28"/>
          <w:highlight w:val="none"/>
          <w:lang w:val="en-US" w:eastAsia="zh-CN"/>
        </w:rPr>
        <w:t>300</w:t>
      </w:r>
      <w:r>
        <w:rPr>
          <w:rFonts w:hint="eastAsia" w:ascii="仿宋" w:hAnsi="仿宋" w:eastAsia="仿宋" w:cs="仿宋"/>
          <w:spacing w:val="13"/>
          <w:sz w:val="28"/>
          <w:szCs w:val="28"/>
          <w:highlight w:val="none"/>
        </w:rPr>
        <w:t>人大型会议室最高限价为</w:t>
      </w:r>
      <w:r>
        <w:rPr>
          <w:rFonts w:hint="eastAsia" w:ascii="仿宋" w:hAnsi="仿宋" w:eastAsia="仿宋" w:cs="仿宋"/>
          <w:spacing w:val="13"/>
          <w:sz w:val="28"/>
          <w:szCs w:val="28"/>
          <w:highlight w:val="none"/>
          <w:lang w:val="en-US" w:eastAsia="zh-CN"/>
        </w:rPr>
        <w:t>5750</w:t>
      </w:r>
      <w:r>
        <w:rPr>
          <w:rFonts w:hint="eastAsia" w:ascii="仿宋" w:hAnsi="仿宋" w:eastAsia="仿宋" w:cs="仿宋"/>
          <w:spacing w:val="13"/>
          <w:sz w:val="28"/>
          <w:szCs w:val="28"/>
          <w:highlight w:val="none"/>
        </w:rPr>
        <w:t>元/</w:t>
      </w:r>
      <w:r>
        <w:rPr>
          <w:rFonts w:hint="eastAsia" w:ascii="仿宋" w:hAnsi="仿宋" w:eastAsia="仿宋" w:cs="仿宋"/>
          <w:spacing w:val="13"/>
          <w:sz w:val="28"/>
          <w:szCs w:val="28"/>
          <w:highlight w:val="none"/>
          <w:lang w:val="en-US" w:eastAsia="zh-CN"/>
        </w:rPr>
        <w:t>半</w:t>
      </w:r>
      <w:r>
        <w:rPr>
          <w:rFonts w:hint="eastAsia" w:ascii="仿宋" w:hAnsi="仿宋" w:eastAsia="仿宋" w:cs="仿宋"/>
          <w:spacing w:val="13"/>
          <w:sz w:val="28"/>
          <w:szCs w:val="28"/>
          <w:highlight w:val="none"/>
        </w:rPr>
        <w:t>天</w:t>
      </w:r>
      <w:r>
        <w:rPr>
          <w:rFonts w:hint="eastAsia" w:ascii="仿宋" w:hAnsi="仿宋" w:eastAsia="仿宋" w:cs="仿宋"/>
          <w:spacing w:val="13"/>
          <w:sz w:val="28"/>
          <w:szCs w:val="28"/>
          <w:highlight w:val="none"/>
          <w:lang w:eastAsia="zh-CN"/>
        </w:rPr>
        <w:t>；</w:t>
      </w:r>
      <w:r>
        <w:rPr>
          <w:rFonts w:hint="eastAsia" w:ascii="仿宋" w:hAnsi="仿宋" w:eastAsia="仿宋" w:cs="仿宋"/>
          <w:spacing w:val="13"/>
          <w:sz w:val="28"/>
          <w:szCs w:val="28"/>
          <w:highlight w:val="none"/>
          <w:lang w:val="en-US" w:eastAsia="zh-CN"/>
        </w:rPr>
        <w:t>190人中型会议室最高限价3850元/半天；60人小型会议室最高限价1500元/半天。</w:t>
      </w:r>
    </w:p>
    <w:p w14:paraId="60649C92">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rPr>
      </w:pPr>
      <w:r>
        <w:rPr>
          <w:rFonts w:hint="eastAsia" w:ascii="仿宋" w:hAnsi="仿宋" w:eastAsia="仿宋" w:cs="仿宋"/>
          <w:spacing w:val="13"/>
          <w:sz w:val="28"/>
          <w:szCs w:val="28"/>
        </w:rPr>
        <w:t>（5）提供住宿房间必须整洁卫生、有窗户、应配备灭火器应急安全设备，做好住宿消杀和防护。</w:t>
      </w:r>
    </w:p>
    <w:p w14:paraId="28110673">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rPr>
      </w:pPr>
      <w:r>
        <w:rPr>
          <w:rFonts w:hint="eastAsia" w:ascii="仿宋" w:hAnsi="仿宋" w:eastAsia="仿宋" w:cs="仿宋"/>
          <w:spacing w:val="13"/>
          <w:sz w:val="28"/>
          <w:szCs w:val="28"/>
        </w:rPr>
        <w:t>（6）培训期间提供车辆免费停放。</w:t>
      </w:r>
    </w:p>
    <w:p w14:paraId="06DCF71F">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Fonts w:ascii="仿宋" w:hAnsi="仿宋" w:eastAsia="仿宋" w:cs="仿宋"/>
          <w:spacing w:val="13"/>
          <w:sz w:val="28"/>
          <w:szCs w:val="28"/>
        </w:rPr>
      </w:pPr>
      <w:r>
        <w:rPr>
          <w:rFonts w:hint="eastAsia" w:ascii="仿宋" w:hAnsi="仿宋" w:eastAsia="仿宋" w:cs="仿宋"/>
          <w:spacing w:val="13"/>
          <w:sz w:val="28"/>
          <w:szCs w:val="28"/>
        </w:rPr>
        <w:t>（7）培训期间提供服务员全程跟会及技术人员全程支持服务。</w:t>
      </w:r>
    </w:p>
    <w:p w14:paraId="3DD07DC1">
      <w:pPr>
        <w:keepNext w:val="0"/>
        <w:keepLines w:val="0"/>
        <w:pageBreakBefore w:val="0"/>
        <w:widowControl/>
        <w:kinsoku w:val="0"/>
        <w:wordWrap/>
        <w:overflowPunct/>
        <w:topLinePunct w:val="0"/>
        <w:autoSpaceDE w:val="0"/>
        <w:autoSpaceDN w:val="0"/>
        <w:bidi w:val="0"/>
        <w:adjustRightInd w:val="0"/>
        <w:snapToGrid w:val="0"/>
        <w:spacing w:line="360" w:lineRule="auto"/>
        <w:ind w:firstLine="612" w:firstLineChars="200"/>
        <w:textAlignment w:val="baseline"/>
        <w:rPr>
          <w:rStyle w:val="30"/>
          <w:rFonts w:hint="eastAsia" w:ascii="宋体" w:eastAsia="宋体" w:cs="宋体"/>
          <w:color w:val="auto"/>
          <w:sz w:val="36"/>
          <w:szCs w:val="21"/>
          <w:highlight w:val="none"/>
        </w:rPr>
      </w:pPr>
      <w:r>
        <w:rPr>
          <w:rFonts w:hint="eastAsia" w:ascii="仿宋" w:hAnsi="仿宋" w:eastAsia="仿宋" w:cs="仿宋"/>
          <w:spacing w:val="13"/>
          <w:sz w:val="28"/>
          <w:szCs w:val="28"/>
        </w:rPr>
        <w:t>（8</w:t>
      </w:r>
      <w:r>
        <w:rPr>
          <w:rFonts w:ascii="仿宋" w:hAnsi="仿宋" w:eastAsia="仿宋" w:cs="仿宋"/>
          <w:spacing w:val="13"/>
          <w:sz w:val="28"/>
          <w:szCs w:val="28"/>
        </w:rPr>
        <w:t>）</w:t>
      </w:r>
      <w:r>
        <w:rPr>
          <w:rFonts w:hint="eastAsia" w:ascii="仿宋" w:hAnsi="仿宋" w:eastAsia="仿宋" w:cs="仿宋"/>
          <w:spacing w:val="13"/>
          <w:sz w:val="28"/>
          <w:szCs w:val="28"/>
        </w:rPr>
        <w:t>餐费按实际用餐人数和用餐次数</w:t>
      </w:r>
      <w:r>
        <w:rPr>
          <w:rFonts w:hint="eastAsia" w:ascii="仿宋" w:hAnsi="仿宋" w:eastAsia="仿宋" w:cs="仿宋"/>
          <w:spacing w:val="13"/>
          <w:sz w:val="28"/>
          <w:szCs w:val="28"/>
          <w:lang w:val="en-US" w:eastAsia="zh-CN"/>
        </w:rPr>
        <w:t>据实</w:t>
      </w:r>
      <w:r>
        <w:rPr>
          <w:rFonts w:hint="eastAsia" w:ascii="仿宋" w:hAnsi="仿宋" w:eastAsia="仿宋" w:cs="仿宋"/>
          <w:spacing w:val="13"/>
          <w:sz w:val="28"/>
          <w:szCs w:val="28"/>
        </w:rPr>
        <w:t>结算。住宿、会场按照实际使用情况据实结算。</w:t>
      </w:r>
    </w:p>
    <w:p w14:paraId="731EA5DB">
      <w:pPr>
        <w:jc w:val="center"/>
        <w:rPr>
          <w:rStyle w:val="30"/>
          <w:rFonts w:hint="eastAsia" w:ascii="宋体" w:eastAsia="宋体" w:cs="宋体"/>
          <w:color w:val="auto"/>
          <w:sz w:val="36"/>
          <w:szCs w:val="21"/>
          <w:highlight w:val="none"/>
        </w:rPr>
      </w:pPr>
      <w:r>
        <w:rPr>
          <w:rStyle w:val="30"/>
          <w:rFonts w:hint="eastAsia" w:ascii="宋体" w:eastAsia="宋体" w:cs="宋体"/>
          <w:color w:val="auto"/>
          <w:sz w:val="36"/>
          <w:szCs w:val="21"/>
          <w:highlight w:val="none"/>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136" w:name="_Toc16389"/>
      <w:r>
        <w:rPr>
          <w:rStyle w:val="30"/>
          <w:rFonts w:hint="eastAsia" w:ascii="宋体" w:eastAsia="宋体" w:cs="宋体"/>
          <w:color w:val="auto"/>
          <w:sz w:val="36"/>
          <w:szCs w:val="21"/>
          <w:highlight w:val="none"/>
        </w:rPr>
        <w:t>第六章  竞争性磋商响应文件格式</w:t>
      </w:r>
      <w:bookmarkEnd w:id="131"/>
      <w:bookmarkEnd w:id="132"/>
      <w:bookmarkEnd w:id="133"/>
      <w:bookmarkEnd w:id="134"/>
      <w:bookmarkEnd w:id="135"/>
      <w:bookmarkEnd w:id="136"/>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val="en-US" w:eastAsia="zh-CN"/>
        </w:rPr>
        <w:t>SXZCZB2025-ZCCS-0523</w:t>
      </w:r>
    </w:p>
    <w:p w14:paraId="3AEE0798">
      <w:pPr>
        <w:ind w:firstLine="4343" w:firstLineChars="1352"/>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3"/>
        <w:rPr>
          <w:color w:val="auto"/>
          <w:highlight w:val="none"/>
        </w:rPr>
      </w:pPr>
    </w:p>
    <w:p w14:paraId="604D6DCE">
      <w:pPr>
        <w:jc w:val="center"/>
        <w:rPr>
          <w:rFonts w:hint="eastAsia" w:hAnsi="宋体" w:cs="宋体"/>
          <w:b/>
          <w:color w:val="auto"/>
          <w:sz w:val="56"/>
          <w:szCs w:val="56"/>
          <w:highlight w:val="none"/>
          <w:lang w:eastAsia="zh-CN"/>
        </w:rPr>
      </w:pPr>
      <w:r>
        <w:rPr>
          <w:rFonts w:hint="eastAsia" w:hAnsi="宋体" w:cs="宋体"/>
          <w:b/>
          <w:color w:val="auto"/>
          <w:sz w:val="56"/>
          <w:szCs w:val="56"/>
          <w:highlight w:val="none"/>
          <w:lang w:eastAsia="zh-CN"/>
        </w:rPr>
        <w:t>对外培训项目</w:t>
      </w:r>
    </w:p>
    <w:p w14:paraId="0C44DB0E">
      <w:pPr>
        <w:pStyle w:val="3"/>
        <w:rPr>
          <w:color w:val="auto"/>
          <w:highlight w:val="none"/>
        </w:rPr>
      </w:pPr>
    </w:p>
    <w:p w14:paraId="1B454BC0">
      <w:pPr>
        <w:rPr>
          <w:rFonts w:hAnsi="宋体" w:cs="宋体"/>
          <w:color w:val="auto"/>
          <w:highlight w:val="none"/>
        </w:rPr>
      </w:pPr>
    </w:p>
    <w:p w14:paraId="2DF1B197">
      <w:pPr>
        <w:rPr>
          <w:rFonts w:hAnsi="宋体" w:cs="宋体"/>
          <w:color w:val="auto"/>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3"/>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37"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3"/>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9"/>
        <w:spacing w:line="360" w:lineRule="auto"/>
        <w:rPr>
          <w:rFonts w:ascii="宋体" w:hAnsi="宋体" w:cs="宋体"/>
          <w:color w:val="auto"/>
          <w:highlight w:val="none"/>
        </w:rPr>
      </w:pPr>
    </w:p>
    <w:p w14:paraId="598F2FF4">
      <w:pPr>
        <w:pStyle w:val="9"/>
        <w:spacing w:line="360" w:lineRule="auto"/>
        <w:rPr>
          <w:rFonts w:ascii="宋体" w:hAnsi="宋体" w:cs="宋体"/>
          <w:color w:val="auto"/>
          <w:highlight w:val="none"/>
        </w:rPr>
      </w:pPr>
    </w:p>
    <w:p w14:paraId="633FAF57">
      <w:pPr>
        <w:pStyle w:val="9"/>
        <w:ind w:firstLine="880"/>
        <w:rPr>
          <w:rFonts w:ascii="宋体" w:hAnsi="宋体" w:cs="宋体"/>
          <w:bCs/>
          <w:color w:val="auto"/>
          <w:sz w:val="44"/>
          <w:highlight w:val="none"/>
        </w:rPr>
      </w:pPr>
    </w:p>
    <w:p w14:paraId="527405D6">
      <w:pPr>
        <w:pStyle w:val="9"/>
        <w:ind w:firstLine="880"/>
        <w:rPr>
          <w:rFonts w:ascii="宋体" w:hAnsi="宋体" w:cs="宋体"/>
          <w:bCs/>
          <w:color w:val="auto"/>
          <w:sz w:val="44"/>
          <w:highlight w:val="none"/>
        </w:rPr>
      </w:pPr>
    </w:p>
    <w:bookmarkEnd w:id="137"/>
    <w:p w14:paraId="57D57A6A">
      <w:pPr>
        <w:pStyle w:val="3"/>
        <w:rPr>
          <w:color w:val="auto"/>
          <w:highlight w:val="none"/>
        </w:rPr>
      </w:pPr>
      <w:bookmarkStart w:id="138" w:name="_Toc403077648"/>
      <w:bookmarkStart w:id="139" w:name="_Toc363474027"/>
      <w:bookmarkStart w:id="140" w:name="_Toc204524343"/>
    </w:p>
    <w:p w14:paraId="2F8C6C7F">
      <w:pPr>
        <w:pStyle w:val="3"/>
        <w:rPr>
          <w:color w:val="auto"/>
          <w:highlight w:val="none"/>
        </w:rPr>
      </w:pPr>
    </w:p>
    <w:p w14:paraId="72048236">
      <w:pPr>
        <w:pStyle w:val="3"/>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41" w:name="_Toc16320"/>
      <w:bookmarkStart w:id="142" w:name="_Toc4367"/>
      <w:bookmarkStart w:id="143" w:name="_Toc32002"/>
      <w:bookmarkStart w:id="144" w:name="_Toc28508"/>
      <w:bookmarkStart w:id="145" w:name="_Toc6128"/>
      <w:bookmarkStart w:id="146" w:name="_Toc15762"/>
      <w:r>
        <w:rPr>
          <w:rFonts w:hint="eastAsia" w:hAnsi="宋体" w:cs="宋体"/>
          <w:b/>
          <w:color w:val="auto"/>
          <w:sz w:val="32"/>
          <w:szCs w:val="32"/>
          <w:highlight w:val="none"/>
        </w:rPr>
        <w:t>一、磋商</w:t>
      </w:r>
      <w:bookmarkEnd w:id="138"/>
      <w:bookmarkEnd w:id="139"/>
      <w:r>
        <w:rPr>
          <w:rFonts w:hint="eastAsia" w:hAnsi="宋体" w:cs="宋体"/>
          <w:b/>
          <w:color w:val="auto"/>
          <w:sz w:val="32"/>
          <w:szCs w:val="32"/>
          <w:highlight w:val="none"/>
        </w:rPr>
        <w:t>响应函</w:t>
      </w:r>
      <w:bookmarkEnd w:id="141"/>
      <w:bookmarkEnd w:id="142"/>
      <w:bookmarkEnd w:id="143"/>
      <w:bookmarkEnd w:id="144"/>
      <w:bookmarkEnd w:id="145"/>
      <w:bookmarkEnd w:id="146"/>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4"/>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磋商报价（各</w:t>
      </w:r>
      <w:r>
        <w:rPr>
          <w:rFonts w:hint="eastAsia" w:hAnsi="宋体" w:cs="宋体"/>
          <w:color w:val="auto"/>
          <w:spacing w:val="4"/>
          <w:szCs w:val="24"/>
          <w:highlight w:val="none"/>
          <w:lang w:val="en-US" w:eastAsia="zh-CN"/>
        </w:rPr>
        <w:t>服务内容</w:t>
      </w:r>
      <w:r>
        <w:rPr>
          <w:rFonts w:hint="eastAsia" w:hAnsi="宋体" w:cs="宋体"/>
          <w:color w:val="auto"/>
          <w:spacing w:val="4"/>
          <w:szCs w:val="24"/>
          <w:highlight w:val="none"/>
        </w:rPr>
        <w:t>单价总和）</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4"/>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5"/>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147" w:name="_Toc9730"/>
      <w:bookmarkStart w:id="148" w:name="_Toc28910"/>
      <w:bookmarkStart w:id="149" w:name="_Toc27989"/>
      <w:bookmarkStart w:id="150" w:name="_Toc17800"/>
      <w:bookmarkStart w:id="151" w:name="_Toc403077651"/>
      <w:bookmarkStart w:id="152" w:name="_Toc732"/>
      <w:bookmarkStart w:id="153" w:name="_Toc13482"/>
      <w:bookmarkStart w:id="154" w:name="_Toc363474030"/>
      <w:r>
        <w:rPr>
          <w:rFonts w:hint="eastAsia" w:ascii="宋体" w:hAnsi="宋体" w:cs="宋体"/>
          <w:bCs w:val="0"/>
          <w:color w:val="auto"/>
          <w:sz w:val="32"/>
          <w:highlight w:val="none"/>
        </w:rPr>
        <w:t>二、磋商报价表</w:t>
      </w:r>
      <w:bookmarkEnd w:id="147"/>
      <w:bookmarkEnd w:id="148"/>
      <w:bookmarkEnd w:id="149"/>
      <w:bookmarkEnd w:id="150"/>
      <w:bookmarkEnd w:id="151"/>
      <w:bookmarkEnd w:id="152"/>
      <w:bookmarkEnd w:id="153"/>
      <w:bookmarkEnd w:id="154"/>
    </w:p>
    <w:p w14:paraId="22052E7E">
      <w:pPr>
        <w:spacing w:line="360" w:lineRule="auto"/>
        <w:jc w:val="center"/>
        <w:outlineLvl w:val="1"/>
        <w:rPr>
          <w:rFonts w:hAnsi="宋体" w:cs="宋体"/>
          <w:color w:val="auto"/>
          <w:szCs w:val="24"/>
          <w:highlight w:val="none"/>
        </w:rPr>
      </w:pPr>
      <w:bookmarkStart w:id="155" w:name="_Toc32277"/>
      <w:bookmarkStart w:id="156" w:name="_Toc12732"/>
      <w:bookmarkStart w:id="157" w:name="_Toc7982"/>
      <w:bookmarkStart w:id="158" w:name="_Toc11518"/>
      <w:bookmarkStart w:id="159" w:name="_Toc1405"/>
      <w:bookmarkStart w:id="160" w:name="_Toc29008"/>
      <w:r>
        <w:rPr>
          <w:rFonts w:hint="eastAsia" w:hAnsi="宋体" w:cs="宋体"/>
          <w:color w:val="auto"/>
          <w:szCs w:val="24"/>
          <w:highlight w:val="none"/>
        </w:rPr>
        <w:t>2.1报价一览表</w:t>
      </w:r>
      <w:bookmarkEnd w:id="155"/>
      <w:bookmarkEnd w:id="156"/>
      <w:bookmarkEnd w:id="157"/>
      <w:bookmarkEnd w:id="158"/>
      <w:bookmarkEnd w:id="159"/>
      <w:bookmarkEnd w:id="160"/>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7"/>
        <w:gridCol w:w="4005"/>
        <w:gridCol w:w="1851"/>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919" w:type="pct"/>
            <w:vAlign w:val="center"/>
          </w:tcPr>
          <w:p w14:paraId="1B28BBDA">
            <w:pPr>
              <w:jc w:val="center"/>
              <w:rPr>
                <w:rFonts w:hint="eastAsia" w:hAnsi="宋体" w:cs="宋体"/>
                <w:color w:val="auto"/>
                <w:szCs w:val="24"/>
                <w:highlight w:val="none"/>
              </w:rPr>
            </w:pPr>
            <w:r>
              <w:rPr>
                <w:rFonts w:hint="eastAsia" w:hAnsi="宋体" w:cs="宋体"/>
                <w:color w:val="auto"/>
                <w:szCs w:val="24"/>
                <w:highlight w:val="none"/>
              </w:rPr>
              <w:t>磋商总报价（元）</w:t>
            </w:r>
          </w:p>
          <w:p w14:paraId="2104935E">
            <w:pPr>
              <w:jc w:val="center"/>
              <w:rPr>
                <w:rFonts w:hAnsi="宋体" w:cs="宋体"/>
                <w:color w:val="auto"/>
                <w:szCs w:val="24"/>
                <w:highlight w:val="none"/>
              </w:rPr>
            </w:pPr>
            <w:r>
              <w:rPr>
                <w:rFonts w:hint="eastAsia" w:hAnsi="宋体" w:cs="宋体"/>
                <w:color w:val="auto"/>
                <w:spacing w:val="4"/>
                <w:szCs w:val="24"/>
                <w:highlight w:val="none"/>
              </w:rPr>
              <w:t>（各</w:t>
            </w:r>
            <w:r>
              <w:rPr>
                <w:rFonts w:hint="eastAsia" w:hAnsi="宋体" w:cs="宋体"/>
                <w:color w:val="auto"/>
                <w:spacing w:val="4"/>
                <w:szCs w:val="24"/>
                <w:highlight w:val="none"/>
                <w:lang w:val="en-US" w:eastAsia="zh-CN"/>
              </w:rPr>
              <w:t>服务内容</w:t>
            </w:r>
            <w:r>
              <w:rPr>
                <w:rFonts w:hint="eastAsia" w:hAnsi="宋体" w:cs="宋体"/>
                <w:color w:val="auto"/>
                <w:spacing w:val="4"/>
                <w:szCs w:val="24"/>
                <w:highlight w:val="none"/>
              </w:rPr>
              <w:t>单价总和）</w:t>
            </w:r>
          </w:p>
        </w:tc>
        <w:tc>
          <w:tcPr>
            <w:tcW w:w="210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rPr>
              <w:t>服务期限</w:t>
            </w:r>
          </w:p>
        </w:tc>
        <w:tc>
          <w:tcPr>
            <w:tcW w:w="97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919" w:type="pct"/>
            <w:vAlign w:val="center"/>
          </w:tcPr>
          <w:p w14:paraId="46BC479A">
            <w:pPr>
              <w:jc w:val="center"/>
              <w:rPr>
                <w:rFonts w:hAnsi="宋体" w:cs="宋体"/>
                <w:color w:val="auto"/>
                <w:szCs w:val="24"/>
                <w:highlight w:val="none"/>
              </w:rPr>
            </w:pPr>
          </w:p>
        </w:tc>
        <w:tc>
          <w:tcPr>
            <w:tcW w:w="2107" w:type="pct"/>
            <w:vAlign w:val="center"/>
          </w:tcPr>
          <w:p w14:paraId="2618C123">
            <w:pPr>
              <w:jc w:val="center"/>
              <w:rPr>
                <w:rFonts w:hAnsi="宋体" w:cs="宋体"/>
                <w:color w:val="auto"/>
                <w:szCs w:val="24"/>
                <w:highlight w:val="none"/>
              </w:rPr>
            </w:pPr>
          </w:p>
        </w:tc>
        <w:tc>
          <w:tcPr>
            <w:tcW w:w="97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3"/>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3"/>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0BB5970E">
      <w:pPr>
        <w:rPr>
          <w:rFonts w:hint="eastAsia" w:hAnsi="宋体" w:cs="宋体"/>
          <w:b/>
          <w:color w:val="auto"/>
          <w:sz w:val="30"/>
          <w:szCs w:val="30"/>
          <w:highlight w:val="none"/>
        </w:rPr>
      </w:pPr>
      <w:r>
        <w:rPr>
          <w:rFonts w:hint="eastAsia" w:hAnsi="宋体" w:cs="宋体"/>
          <w:b/>
          <w:color w:val="auto"/>
          <w:sz w:val="30"/>
          <w:szCs w:val="30"/>
          <w:highlight w:val="none"/>
        </w:rPr>
        <w:br w:type="page"/>
      </w:r>
      <w:bookmarkEnd w:id="140"/>
      <w:bookmarkStart w:id="161" w:name="_Toc24059"/>
      <w:bookmarkStart w:id="162" w:name="_Toc24936"/>
      <w:bookmarkStart w:id="163" w:name="_Toc5944"/>
      <w:bookmarkStart w:id="164" w:name="_Toc3628"/>
      <w:bookmarkStart w:id="165" w:name="_Toc32126"/>
      <w:bookmarkStart w:id="166" w:name="_Toc32541"/>
      <w:bookmarkStart w:id="167" w:name="_Toc344572163"/>
    </w:p>
    <w:p w14:paraId="515CC231">
      <w:pPr>
        <w:jc w:val="center"/>
        <w:rPr>
          <w:b/>
          <w:color w:val="auto"/>
          <w:sz w:val="30"/>
          <w:szCs w:val="30"/>
          <w:highlight w:val="none"/>
        </w:rPr>
      </w:pPr>
      <w:r>
        <w:rPr>
          <w:rFonts w:hint="eastAsia"/>
          <w:b/>
          <w:color w:val="auto"/>
          <w:sz w:val="30"/>
          <w:szCs w:val="30"/>
          <w:highlight w:val="none"/>
        </w:rPr>
        <w:t>2</w:t>
      </w:r>
      <w:r>
        <w:rPr>
          <w:b/>
          <w:color w:val="auto"/>
          <w:sz w:val="30"/>
          <w:szCs w:val="30"/>
          <w:highlight w:val="none"/>
        </w:rPr>
        <w:t>.2</w:t>
      </w:r>
      <w:r>
        <w:rPr>
          <w:rFonts w:hint="eastAsia"/>
          <w:b/>
          <w:color w:val="auto"/>
          <w:sz w:val="30"/>
          <w:szCs w:val="30"/>
          <w:highlight w:val="none"/>
        </w:rPr>
        <w:t>磋商报价明细表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205"/>
        <w:gridCol w:w="2055"/>
        <w:gridCol w:w="2100"/>
        <w:gridCol w:w="2334"/>
      </w:tblGrid>
      <w:tr w14:paraId="26F1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1EB7ECA3">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2205" w:type="dxa"/>
            <w:vAlign w:val="center"/>
          </w:tcPr>
          <w:p w14:paraId="5C3493B0">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类别</w:t>
            </w:r>
          </w:p>
        </w:tc>
        <w:tc>
          <w:tcPr>
            <w:tcW w:w="2055" w:type="dxa"/>
            <w:vAlign w:val="center"/>
          </w:tcPr>
          <w:p w14:paraId="1D6E549D">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限价（元）</w:t>
            </w:r>
          </w:p>
        </w:tc>
        <w:tc>
          <w:tcPr>
            <w:tcW w:w="2100" w:type="dxa"/>
            <w:vAlign w:val="center"/>
          </w:tcPr>
          <w:p w14:paraId="7AC928C9">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磋商单价（元）</w:t>
            </w:r>
          </w:p>
        </w:tc>
        <w:tc>
          <w:tcPr>
            <w:tcW w:w="2334" w:type="dxa"/>
            <w:vAlign w:val="center"/>
          </w:tcPr>
          <w:p w14:paraId="3047E5A0">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备注</w:t>
            </w:r>
          </w:p>
        </w:tc>
      </w:tr>
      <w:tr w14:paraId="5B69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4FBEF5D9">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2205" w:type="dxa"/>
            <w:vAlign w:val="center"/>
          </w:tcPr>
          <w:p w14:paraId="4E4A73CB">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餐饮费</w:t>
            </w:r>
          </w:p>
        </w:tc>
        <w:tc>
          <w:tcPr>
            <w:tcW w:w="2055" w:type="dxa"/>
            <w:vAlign w:val="center"/>
          </w:tcPr>
          <w:p w14:paraId="7D7CD853">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130.00/人</w:t>
            </w:r>
          </w:p>
        </w:tc>
        <w:tc>
          <w:tcPr>
            <w:tcW w:w="2100" w:type="dxa"/>
            <w:vAlign w:val="center"/>
          </w:tcPr>
          <w:p w14:paraId="5834E7DA">
            <w:pPr>
              <w:jc w:val="center"/>
              <w:rPr>
                <w:rFonts w:hint="eastAsia" w:ascii="宋体" w:hAnsi="宋体" w:eastAsia="宋体" w:cs="宋体"/>
                <w:b w:val="0"/>
                <w:bCs/>
                <w:color w:val="auto"/>
                <w:sz w:val="24"/>
                <w:szCs w:val="24"/>
                <w:highlight w:val="none"/>
                <w:vertAlign w:val="baseline"/>
              </w:rPr>
            </w:pPr>
          </w:p>
        </w:tc>
        <w:tc>
          <w:tcPr>
            <w:tcW w:w="2334" w:type="dxa"/>
            <w:vAlign w:val="center"/>
          </w:tcPr>
          <w:p w14:paraId="32AB7612">
            <w:pPr>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提供早中晚自助餐</w:t>
            </w:r>
          </w:p>
        </w:tc>
      </w:tr>
      <w:tr w14:paraId="607A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2C8B989A">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2205" w:type="dxa"/>
            <w:vAlign w:val="center"/>
          </w:tcPr>
          <w:p w14:paraId="017F0C91">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双人</w:t>
            </w:r>
            <w:r>
              <w:rPr>
                <w:rFonts w:hint="eastAsia" w:ascii="宋体" w:hAnsi="宋体" w:eastAsia="宋体" w:cs="宋体"/>
                <w:b w:val="0"/>
                <w:bCs/>
                <w:color w:val="auto"/>
                <w:sz w:val="24"/>
                <w:szCs w:val="24"/>
                <w:highlight w:val="none"/>
                <w:vertAlign w:val="baseline"/>
              </w:rPr>
              <w:t>标准间</w:t>
            </w:r>
          </w:p>
        </w:tc>
        <w:tc>
          <w:tcPr>
            <w:tcW w:w="2055" w:type="dxa"/>
            <w:vAlign w:val="center"/>
          </w:tcPr>
          <w:p w14:paraId="1157B1E9">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290.00/天</w:t>
            </w:r>
          </w:p>
        </w:tc>
        <w:tc>
          <w:tcPr>
            <w:tcW w:w="2100" w:type="dxa"/>
            <w:vAlign w:val="center"/>
          </w:tcPr>
          <w:p w14:paraId="44EAEAA1">
            <w:pPr>
              <w:jc w:val="center"/>
              <w:rPr>
                <w:rFonts w:hint="eastAsia" w:ascii="宋体" w:hAnsi="宋体" w:eastAsia="宋体" w:cs="宋体"/>
                <w:b w:val="0"/>
                <w:bCs/>
                <w:color w:val="auto"/>
                <w:sz w:val="24"/>
                <w:szCs w:val="24"/>
                <w:highlight w:val="none"/>
                <w:vertAlign w:val="baseline"/>
              </w:rPr>
            </w:pPr>
          </w:p>
        </w:tc>
        <w:tc>
          <w:tcPr>
            <w:tcW w:w="2334" w:type="dxa"/>
            <w:vAlign w:val="center"/>
          </w:tcPr>
          <w:p w14:paraId="7B4EF2BF">
            <w:pPr>
              <w:jc w:val="center"/>
              <w:rPr>
                <w:rFonts w:hint="eastAsia" w:ascii="宋体" w:hAnsi="宋体" w:eastAsia="宋体" w:cs="宋体"/>
                <w:b w:val="0"/>
                <w:bCs/>
                <w:color w:val="auto"/>
                <w:sz w:val="24"/>
                <w:szCs w:val="24"/>
                <w:highlight w:val="none"/>
                <w:vertAlign w:val="baseline"/>
              </w:rPr>
            </w:pPr>
          </w:p>
        </w:tc>
      </w:tr>
      <w:tr w14:paraId="3775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25775A5F">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w:t>
            </w:r>
          </w:p>
        </w:tc>
        <w:tc>
          <w:tcPr>
            <w:tcW w:w="2205" w:type="dxa"/>
            <w:vAlign w:val="center"/>
          </w:tcPr>
          <w:p w14:paraId="094123BA">
            <w:pPr>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300人大型会议室</w:t>
            </w:r>
          </w:p>
        </w:tc>
        <w:tc>
          <w:tcPr>
            <w:tcW w:w="2055" w:type="dxa"/>
            <w:vAlign w:val="center"/>
          </w:tcPr>
          <w:p w14:paraId="7A2E833A">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5750.00/半天</w:t>
            </w:r>
          </w:p>
        </w:tc>
        <w:tc>
          <w:tcPr>
            <w:tcW w:w="2100" w:type="dxa"/>
            <w:vAlign w:val="center"/>
          </w:tcPr>
          <w:p w14:paraId="3D1F3F65">
            <w:pPr>
              <w:jc w:val="center"/>
              <w:rPr>
                <w:rFonts w:hint="eastAsia" w:ascii="宋体" w:hAnsi="宋体" w:eastAsia="宋体" w:cs="宋体"/>
                <w:b w:val="0"/>
                <w:bCs/>
                <w:color w:val="auto"/>
                <w:sz w:val="24"/>
                <w:szCs w:val="24"/>
                <w:highlight w:val="none"/>
                <w:vertAlign w:val="baseline"/>
              </w:rPr>
            </w:pPr>
          </w:p>
        </w:tc>
        <w:tc>
          <w:tcPr>
            <w:tcW w:w="2334" w:type="dxa"/>
            <w:vAlign w:val="center"/>
          </w:tcPr>
          <w:p w14:paraId="6D7FA299">
            <w:pPr>
              <w:jc w:val="center"/>
              <w:rPr>
                <w:rFonts w:hint="eastAsia" w:ascii="宋体" w:hAnsi="宋体" w:eastAsia="宋体" w:cs="宋体"/>
                <w:b w:val="0"/>
                <w:bCs/>
                <w:color w:val="auto"/>
                <w:sz w:val="24"/>
                <w:szCs w:val="24"/>
                <w:highlight w:val="none"/>
                <w:vertAlign w:val="baseline"/>
              </w:rPr>
            </w:pPr>
          </w:p>
        </w:tc>
      </w:tr>
      <w:tr w14:paraId="3D4D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642C2D50">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4</w:t>
            </w:r>
          </w:p>
        </w:tc>
        <w:tc>
          <w:tcPr>
            <w:tcW w:w="2205" w:type="dxa"/>
            <w:vAlign w:val="center"/>
          </w:tcPr>
          <w:p w14:paraId="4E28EA7E">
            <w:pPr>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190人中型会议室</w:t>
            </w:r>
          </w:p>
        </w:tc>
        <w:tc>
          <w:tcPr>
            <w:tcW w:w="2055" w:type="dxa"/>
            <w:vAlign w:val="center"/>
          </w:tcPr>
          <w:p w14:paraId="2D19D13F">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3850.00/半天</w:t>
            </w:r>
          </w:p>
        </w:tc>
        <w:tc>
          <w:tcPr>
            <w:tcW w:w="2100" w:type="dxa"/>
            <w:vAlign w:val="center"/>
          </w:tcPr>
          <w:p w14:paraId="5A1FE258">
            <w:pPr>
              <w:jc w:val="center"/>
              <w:rPr>
                <w:rFonts w:hint="eastAsia" w:ascii="宋体" w:hAnsi="宋体" w:eastAsia="宋体" w:cs="宋体"/>
                <w:b w:val="0"/>
                <w:bCs/>
                <w:color w:val="auto"/>
                <w:sz w:val="24"/>
                <w:szCs w:val="24"/>
                <w:highlight w:val="none"/>
                <w:vertAlign w:val="baseline"/>
              </w:rPr>
            </w:pPr>
          </w:p>
        </w:tc>
        <w:tc>
          <w:tcPr>
            <w:tcW w:w="2334" w:type="dxa"/>
            <w:vAlign w:val="center"/>
          </w:tcPr>
          <w:p w14:paraId="4F152870">
            <w:pPr>
              <w:jc w:val="center"/>
              <w:rPr>
                <w:rFonts w:hint="eastAsia" w:ascii="宋体" w:hAnsi="宋体" w:eastAsia="宋体" w:cs="宋体"/>
                <w:b w:val="0"/>
                <w:bCs/>
                <w:color w:val="auto"/>
                <w:sz w:val="24"/>
                <w:szCs w:val="24"/>
                <w:highlight w:val="none"/>
                <w:vertAlign w:val="baseline"/>
              </w:rPr>
            </w:pPr>
          </w:p>
        </w:tc>
      </w:tr>
      <w:tr w14:paraId="4790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1D981999">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5</w:t>
            </w:r>
          </w:p>
        </w:tc>
        <w:tc>
          <w:tcPr>
            <w:tcW w:w="2205" w:type="dxa"/>
            <w:vAlign w:val="center"/>
          </w:tcPr>
          <w:p w14:paraId="3E98AC5C">
            <w:pPr>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60人小型会议室</w:t>
            </w:r>
          </w:p>
        </w:tc>
        <w:tc>
          <w:tcPr>
            <w:tcW w:w="2055" w:type="dxa"/>
            <w:vAlign w:val="center"/>
          </w:tcPr>
          <w:p w14:paraId="2234A409">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1500.00/半天</w:t>
            </w:r>
          </w:p>
        </w:tc>
        <w:tc>
          <w:tcPr>
            <w:tcW w:w="2100" w:type="dxa"/>
            <w:vAlign w:val="center"/>
          </w:tcPr>
          <w:p w14:paraId="219180AA">
            <w:pPr>
              <w:jc w:val="center"/>
              <w:rPr>
                <w:rFonts w:hint="eastAsia" w:ascii="宋体" w:hAnsi="宋体" w:eastAsia="宋体" w:cs="宋体"/>
                <w:b w:val="0"/>
                <w:bCs/>
                <w:color w:val="auto"/>
                <w:sz w:val="24"/>
                <w:szCs w:val="24"/>
                <w:highlight w:val="none"/>
                <w:vertAlign w:val="baseline"/>
              </w:rPr>
            </w:pPr>
          </w:p>
        </w:tc>
        <w:tc>
          <w:tcPr>
            <w:tcW w:w="2334" w:type="dxa"/>
            <w:vAlign w:val="center"/>
          </w:tcPr>
          <w:p w14:paraId="5E4F4568">
            <w:pPr>
              <w:jc w:val="center"/>
              <w:rPr>
                <w:rFonts w:hint="eastAsia" w:ascii="宋体" w:hAnsi="宋体" w:eastAsia="宋体" w:cs="宋体"/>
                <w:b w:val="0"/>
                <w:bCs/>
                <w:color w:val="auto"/>
                <w:sz w:val="24"/>
                <w:szCs w:val="24"/>
                <w:highlight w:val="none"/>
                <w:vertAlign w:val="baseline"/>
              </w:rPr>
            </w:pPr>
          </w:p>
        </w:tc>
      </w:tr>
      <w:tr w14:paraId="4A1B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4" w:type="dxa"/>
            <w:gridSpan w:val="5"/>
            <w:vAlign w:val="center"/>
          </w:tcPr>
          <w:p w14:paraId="3A19F11D">
            <w:p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合计（元）：</w:t>
            </w:r>
          </w:p>
        </w:tc>
      </w:tr>
      <w:tr w14:paraId="1D51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514" w:type="dxa"/>
            <w:gridSpan w:val="5"/>
            <w:vAlign w:val="center"/>
          </w:tcPr>
          <w:p w14:paraId="7111B5BF">
            <w:pPr>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备注：</w:t>
            </w:r>
          </w:p>
          <w:p w14:paraId="34B3FBDE">
            <w:pPr>
              <w:jc w:val="both"/>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1.报价内容以元为单位，保留小数点后（两位）。</w:t>
            </w:r>
          </w:p>
          <w:p w14:paraId="41C756CD">
            <w:pPr>
              <w:pStyle w:val="9"/>
              <w:ind w:left="0" w:leftChars="0" w:firstLine="0" w:firstLineChars="0"/>
              <w:rPr>
                <w:rFonts w:hint="default" w:ascii="宋体" w:hAnsi="宋体" w:eastAsia="宋体" w:cs="宋体"/>
                <w:sz w:val="24"/>
                <w:szCs w:val="24"/>
                <w:lang w:val="en-US" w:eastAsia="zh-CN"/>
              </w:rPr>
            </w:pPr>
            <w:r>
              <w:rPr>
                <w:rFonts w:hint="eastAsia" w:ascii="宋体" w:hAnsi="宋体" w:eastAsia="宋体" w:cs="宋体"/>
                <w:b/>
                <w:bCs w:val="0"/>
                <w:sz w:val="24"/>
                <w:szCs w:val="24"/>
                <w:lang w:val="en-US" w:eastAsia="zh-CN"/>
              </w:rPr>
              <w:t>2.磋商单价超出限价按无效投标处理。</w:t>
            </w:r>
          </w:p>
        </w:tc>
      </w:tr>
    </w:tbl>
    <w:p w14:paraId="08852BA2">
      <w:pPr>
        <w:rPr>
          <w:rFonts w:hAnsi="宋体" w:cs="宋体"/>
          <w:color w:val="auto"/>
          <w:szCs w:val="24"/>
          <w:highlight w:val="none"/>
        </w:rPr>
      </w:pPr>
    </w:p>
    <w:p w14:paraId="3A6307F3">
      <w:pPr>
        <w:rPr>
          <w:rFonts w:hAnsi="宋体" w:cs="宋体"/>
          <w:color w:val="auto"/>
          <w:szCs w:val="24"/>
          <w:highlight w:val="none"/>
        </w:rPr>
      </w:pPr>
    </w:p>
    <w:p w14:paraId="6CE19EAE">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2B0F06BB">
      <w:pPr>
        <w:spacing w:line="280" w:lineRule="exact"/>
        <w:ind w:right="617" w:rightChars="257"/>
        <w:jc w:val="left"/>
        <w:rPr>
          <w:rFonts w:hAnsi="宋体" w:cs="宋体"/>
          <w:color w:val="auto"/>
          <w:szCs w:val="24"/>
          <w:highlight w:val="none"/>
        </w:rPr>
      </w:pPr>
    </w:p>
    <w:p w14:paraId="0CE119FF">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68D46D26">
      <w:pPr>
        <w:spacing w:line="280" w:lineRule="exact"/>
        <w:ind w:right="617" w:rightChars="257"/>
        <w:jc w:val="left"/>
        <w:rPr>
          <w:rFonts w:hAnsi="宋体" w:cs="宋体"/>
          <w:color w:val="auto"/>
          <w:szCs w:val="24"/>
          <w:highlight w:val="none"/>
        </w:rPr>
      </w:pPr>
    </w:p>
    <w:p w14:paraId="60D7EB22">
      <w:pPr>
        <w:spacing w:line="280" w:lineRule="exact"/>
        <w:ind w:right="617" w:rightChars="257"/>
        <w:rPr>
          <w:rFonts w:hint="eastAsia" w:hAnsi="宋体" w:cs="宋体"/>
          <w:b/>
          <w:color w:val="auto"/>
          <w:sz w:val="30"/>
          <w:szCs w:val="30"/>
          <w:highlight w:val="none"/>
        </w:rPr>
      </w:pPr>
      <w:r>
        <w:rPr>
          <w:rFonts w:hint="eastAsia" w:hAnsi="宋体" w:cs="宋体"/>
          <w:color w:val="auto"/>
          <w:szCs w:val="24"/>
          <w:highlight w:val="none"/>
        </w:rPr>
        <w:t>日    期：</w:t>
      </w:r>
    </w:p>
    <w:p w14:paraId="23ADC9D0">
      <w:pPr>
        <w:rPr>
          <w:rFonts w:hint="eastAsia" w:hAnsi="宋体" w:cs="宋体"/>
          <w:b/>
          <w:color w:val="auto"/>
          <w:sz w:val="30"/>
          <w:szCs w:val="30"/>
          <w:highlight w:val="none"/>
        </w:rPr>
      </w:pPr>
      <w:r>
        <w:rPr>
          <w:rFonts w:hint="eastAsia" w:hAnsi="宋体" w:cs="宋体"/>
          <w:b/>
          <w:color w:val="auto"/>
          <w:sz w:val="30"/>
          <w:szCs w:val="30"/>
          <w:highlight w:val="none"/>
        </w:rPr>
        <w:br w:type="page"/>
      </w:r>
    </w:p>
    <w:p w14:paraId="2000A8C6">
      <w:pPr>
        <w:jc w:val="center"/>
        <w:outlineLvl w:val="1"/>
        <w:rPr>
          <w:rFonts w:hAnsi="宋体" w:cs="宋体"/>
          <w:color w:val="auto"/>
          <w:sz w:val="32"/>
          <w:szCs w:val="32"/>
          <w:highlight w:val="none"/>
        </w:rPr>
      </w:pPr>
      <w:r>
        <w:rPr>
          <w:rFonts w:hint="eastAsia" w:hAnsi="宋体" w:cs="宋体"/>
          <w:b/>
          <w:bCs/>
          <w:color w:val="auto"/>
          <w:sz w:val="32"/>
          <w:szCs w:val="32"/>
          <w:highlight w:val="none"/>
        </w:rPr>
        <w:t>三、磋商方案说明书</w:t>
      </w:r>
      <w:bookmarkEnd w:id="161"/>
      <w:bookmarkEnd w:id="162"/>
      <w:bookmarkEnd w:id="163"/>
      <w:bookmarkEnd w:id="164"/>
      <w:bookmarkEnd w:id="165"/>
      <w:bookmarkEnd w:id="166"/>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3"/>
        <w:rPr>
          <w:color w:val="auto"/>
          <w:highlight w:val="none"/>
        </w:rPr>
      </w:pPr>
    </w:p>
    <w:p w14:paraId="30601DCC">
      <w:pPr>
        <w:pStyle w:val="3"/>
        <w:rPr>
          <w:color w:val="auto"/>
          <w:highlight w:val="none"/>
        </w:rPr>
      </w:pPr>
    </w:p>
    <w:p w14:paraId="45C2FAC7">
      <w:pPr>
        <w:rPr>
          <w:rFonts w:hAnsi="宋体" w:cs="宋体"/>
          <w:color w:val="auto"/>
          <w:highlight w:val="none"/>
        </w:rPr>
      </w:pPr>
    </w:p>
    <w:p w14:paraId="545438FB">
      <w:pPr>
        <w:pStyle w:val="3"/>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168" w:name="_Toc9218"/>
      <w:bookmarkStart w:id="169" w:name="_Toc1379"/>
      <w:bookmarkStart w:id="170" w:name="_Toc2621"/>
      <w:bookmarkStart w:id="171" w:name="_Toc21284"/>
      <w:bookmarkStart w:id="172" w:name="_Toc23455"/>
      <w:bookmarkStart w:id="173" w:name="_Toc8845"/>
      <w:bookmarkStart w:id="174" w:name="_Toc5662"/>
      <w:bookmarkStart w:id="175" w:name="_Toc15265"/>
    </w:p>
    <w:p w14:paraId="70D1C1A2">
      <w:pPr>
        <w:spacing w:line="360" w:lineRule="auto"/>
        <w:rPr>
          <w:rFonts w:hAnsi="宋体" w:cs="宋体"/>
          <w:b/>
          <w:bCs/>
          <w:color w:val="auto"/>
          <w:sz w:val="30"/>
          <w:szCs w:val="30"/>
          <w:highlight w:val="none"/>
        </w:rPr>
      </w:pPr>
      <w:bookmarkStart w:id="176" w:name="_Toc31151"/>
      <w:bookmarkStart w:id="177" w:name="_Toc3626"/>
      <w:bookmarkStart w:id="178" w:name="_Toc4503"/>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3"/>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5"/>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5"/>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5"/>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5"/>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5"/>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5"/>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5"/>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5"/>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5"/>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5"/>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5"/>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5"/>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5"/>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5"/>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5"/>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5"/>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5"/>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5"/>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5"/>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5"/>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168"/>
      <w:bookmarkEnd w:id="169"/>
      <w:bookmarkEnd w:id="170"/>
      <w:bookmarkEnd w:id="171"/>
      <w:bookmarkEnd w:id="172"/>
      <w:r>
        <w:rPr>
          <w:rFonts w:hint="eastAsia" w:hAnsi="宋体" w:cs="宋体"/>
          <w:b/>
          <w:bCs/>
          <w:color w:val="auto"/>
          <w:sz w:val="32"/>
          <w:szCs w:val="32"/>
          <w:highlight w:val="none"/>
        </w:rPr>
        <w:t>商务条款偏离表</w:t>
      </w:r>
      <w:bookmarkEnd w:id="173"/>
      <w:bookmarkEnd w:id="174"/>
      <w:bookmarkEnd w:id="175"/>
      <w:bookmarkEnd w:id="176"/>
      <w:bookmarkEnd w:id="177"/>
      <w:bookmarkEnd w:id="178"/>
    </w:p>
    <w:p w14:paraId="20385B01">
      <w:pPr>
        <w:pStyle w:val="21"/>
        <w:widowControl w:val="0"/>
        <w:spacing w:before="0" w:beforeAutospacing="0" w:after="0" w:afterAutospacing="0"/>
        <w:jc w:val="both"/>
        <w:rPr>
          <w:rFonts w:cs="宋体"/>
          <w:color w:val="auto"/>
          <w:highlight w:val="none"/>
        </w:rPr>
      </w:pPr>
    </w:p>
    <w:p w14:paraId="51C350C8">
      <w:pPr>
        <w:pStyle w:val="21"/>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21"/>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21"/>
        <w:widowControl w:val="0"/>
        <w:spacing w:before="0" w:beforeAutospacing="0" w:after="0" w:afterAutospacing="0"/>
        <w:ind w:firstLine="480" w:firstLineChars="200"/>
        <w:jc w:val="center"/>
        <w:rPr>
          <w:rFonts w:cs="宋体"/>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21"/>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21"/>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21"/>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21"/>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21"/>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21"/>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21"/>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21"/>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21"/>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21"/>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21"/>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21"/>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21"/>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21"/>
              <w:widowControl w:val="0"/>
              <w:spacing w:before="0" w:beforeAutospacing="0" w:after="0" w:afterAutospacing="0"/>
              <w:ind w:firstLine="480" w:firstLineChars="200"/>
              <w:jc w:val="center"/>
              <w:rPr>
                <w:rFonts w:cs="宋体"/>
                <w:color w:val="auto"/>
                <w:highlight w:val="none"/>
              </w:rPr>
            </w:pPr>
          </w:p>
        </w:tc>
      </w:tr>
      <w:tr w14:paraId="4F790B9D">
        <w:tblPrEx>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21"/>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21"/>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21"/>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21"/>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21"/>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21"/>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21"/>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21"/>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21"/>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21"/>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21"/>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21"/>
              <w:widowControl w:val="0"/>
              <w:spacing w:before="0" w:beforeAutospacing="0" w:after="0" w:afterAutospacing="0"/>
              <w:ind w:firstLine="480" w:firstLineChars="200"/>
              <w:jc w:val="center"/>
              <w:rPr>
                <w:rFonts w:cs="宋体"/>
                <w:color w:val="auto"/>
                <w:highlight w:val="none"/>
              </w:rPr>
            </w:pPr>
          </w:p>
        </w:tc>
      </w:tr>
    </w:tbl>
    <w:p w14:paraId="0719B666">
      <w:pPr>
        <w:pStyle w:val="21"/>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21"/>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21"/>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21"/>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2.供应商必须据实填写，不得虚假响应，否则将取消其磋商或成交资格，并按有关规定进行处罚。</w:t>
      </w:r>
    </w:p>
    <w:p w14:paraId="68E23BE7">
      <w:pPr>
        <w:pStyle w:val="21"/>
        <w:widowControl w:val="0"/>
        <w:spacing w:before="0" w:beforeAutospacing="0" w:after="0" w:afterAutospacing="0"/>
        <w:ind w:firstLine="480" w:firstLineChars="200"/>
        <w:jc w:val="center"/>
        <w:rPr>
          <w:rFonts w:cs="宋体"/>
          <w:color w:val="auto"/>
          <w:highlight w:val="none"/>
        </w:rPr>
      </w:pPr>
    </w:p>
    <w:p w14:paraId="2E9A1915">
      <w:pPr>
        <w:pStyle w:val="21"/>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21"/>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167"/>
    <w:p w14:paraId="1A318D22">
      <w:pPr>
        <w:spacing w:line="360" w:lineRule="auto"/>
        <w:jc w:val="center"/>
        <w:outlineLvl w:val="1"/>
        <w:rPr>
          <w:rFonts w:hAnsi="宋体" w:cs="宋体"/>
          <w:b/>
          <w:bCs/>
          <w:color w:val="auto"/>
          <w:sz w:val="30"/>
          <w:szCs w:val="30"/>
          <w:highlight w:val="none"/>
        </w:rPr>
      </w:pPr>
      <w:bookmarkStart w:id="179" w:name="_Toc403077656"/>
      <w:bookmarkStart w:id="180" w:name="_Toc363474033"/>
      <w:r>
        <w:rPr>
          <w:rFonts w:hint="eastAsia" w:hAnsi="宋体" w:cs="宋体"/>
          <w:b/>
          <w:bCs/>
          <w:color w:val="auto"/>
          <w:sz w:val="30"/>
          <w:szCs w:val="30"/>
          <w:highlight w:val="none"/>
        </w:rPr>
        <w:br w:type="page"/>
      </w:r>
      <w:bookmarkStart w:id="181" w:name="_Toc3386"/>
      <w:bookmarkStart w:id="182" w:name="_Toc3253"/>
      <w:bookmarkStart w:id="183" w:name="_Toc11212"/>
      <w:bookmarkStart w:id="184" w:name="_Toc27470"/>
      <w:bookmarkStart w:id="185" w:name="_Toc1542"/>
      <w:bookmarkStart w:id="186" w:name="_Toc7544"/>
      <w:r>
        <w:rPr>
          <w:rFonts w:hint="eastAsia" w:hAnsi="宋体" w:cs="宋体"/>
          <w:b/>
          <w:bCs/>
          <w:color w:val="auto"/>
          <w:sz w:val="30"/>
          <w:szCs w:val="30"/>
          <w:highlight w:val="none"/>
        </w:rPr>
        <w:t>五、陕西省政府采购供应商拒绝政府采购领域商业贿赂承诺书</w:t>
      </w:r>
      <w:bookmarkEnd w:id="179"/>
      <w:bookmarkEnd w:id="180"/>
      <w:bookmarkEnd w:id="181"/>
      <w:bookmarkEnd w:id="182"/>
      <w:bookmarkEnd w:id="183"/>
      <w:bookmarkEnd w:id="184"/>
      <w:bookmarkEnd w:id="185"/>
      <w:bookmarkEnd w:id="186"/>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187" w:name="_Toc403077657"/>
      <w:bookmarkStart w:id="188" w:name="_Toc363474034"/>
      <w:r>
        <w:rPr>
          <w:rFonts w:hint="eastAsia" w:hAnsi="宋体" w:cs="宋体"/>
          <w:b/>
          <w:bCs/>
          <w:color w:val="auto"/>
          <w:sz w:val="30"/>
          <w:szCs w:val="30"/>
          <w:highlight w:val="none"/>
        </w:rPr>
        <w:br w:type="page"/>
      </w:r>
      <w:bookmarkStart w:id="189" w:name="_Toc7842"/>
      <w:bookmarkStart w:id="190" w:name="_Toc29285"/>
      <w:bookmarkStart w:id="191" w:name="_Toc6077"/>
      <w:bookmarkStart w:id="192" w:name="_Toc13983"/>
      <w:bookmarkStart w:id="193" w:name="_Toc32016"/>
      <w:bookmarkStart w:id="194" w:name="_Toc6273"/>
      <w:r>
        <w:rPr>
          <w:rFonts w:hint="eastAsia" w:hAnsi="宋体" w:cs="宋体"/>
          <w:b/>
          <w:bCs/>
          <w:color w:val="auto"/>
          <w:sz w:val="30"/>
          <w:szCs w:val="30"/>
          <w:highlight w:val="none"/>
        </w:rPr>
        <w:t>六、特定资格证明文件</w:t>
      </w:r>
      <w:bookmarkEnd w:id="187"/>
      <w:bookmarkEnd w:id="188"/>
      <w:bookmarkEnd w:id="189"/>
      <w:bookmarkEnd w:id="190"/>
      <w:bookmarkEnd w:id="191"/>
      <w:bookmarkEnd w:id="192"/>
      <w:bookmarkEnd w:id="193"/>
      <w:bookmarkEnd w:id="194"/>
    </w:p>
    <w:p w14:paraId="143D694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14:paraId="525A67D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（2）提供法定代表人授权书（附法定代表人、被授权人身份证复印件），法定代表人直接参加的，须提供法定代表人身份证明及身份证复印件；</w:t>
      </w:r>
    </w:p>
    <w:p w14:paraId="7C81953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05312D1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（4）税收缴纳证明：提供磋商截止日前任意1个月的纳税证明或完税证明（任意税种），依法免税的单位应提供相关证明材料；</w:t>
      </w:r>
    </w:p>
    <w:p w14:paraId="76E75CA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（5）社会保障资金缴纳证明：提供磋商截止日前任意1个月的社会保障资金缴存单据或社保机构开具的社会保险参保缴费情况证明，依法不需要缴纳社会保障资金的单位应提供相关证明材料；</w:t>
      </w:r>
    </w:p>
    <w:p w14:paraId="3869FE7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（6）供应商通过“信用中国”网站(www.creditchina.gov.cn)、中国政府采购网(www.ccgp.gov.cn)等查询相关主体信用记录，提供“信用中国”网站下载的《信用信息报告》；</w:t>
      </w:r>
    </w:p>
    <w:p w14:paraId="15083BF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（7）参加政府采购活动前3年内，在经营活动中没有重大违法记录的书面声明；</w:t>
      </w:r>
    </w:p>
    <w:p w14:paraId="34FD7C0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（8）提供具有履行合同所必需的设备和专业技术能力的书面承诺；</w:t>
      </w:r>
    </w:p>
    <w:p w14:paraId="0B63E71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（9）供应商须提供中小企业声明函；</w:t>
      </w:r>
    </w:p>
    <w:p w14:paraId="79F92C7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b w:val="0"/>
          <w:bCs w:val="0"/>
          <w:color w:val="auto"/>
          <w:sz w:val="28"/>
          <w:szCs w:val="28"/>
          <w:highlight w:val="none"/>
        </w:rPr>
      </w:pPr>
      <w:r>
        <w:rPr>
          <w:rFonts w:hint="eastAsia" w:hAnsi="宋体" w:cs="宋体"/>
          <w:szCs w:val="24"/>
          <w:highlight w:val="none"/>
          <w:lang w:val="en-US" w:eastAsia="zh-CN"/>
        </w:rPr>
        <w:t>（10）本项目不接受联合体磋商（提供承诺书）。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195" w:name="_Toc6853"/>
      <w:bookmarkStart w:id="196" w:name="_Toc23859"/>
      <w:bookmarkStart w:id="197" w:name="_Toc12717"/>
      <w:bookmarkStart w:id="198" w:name="_Toc19114"/>
      <w:bookmarkStart w:id="199" w:name="_Toc22315"/>
      <w:bookmarkStart w:id="200" w:name="_Toc24739"/>
      <w:r>
        <w:rPr>
          <w:rFonts w:hint="eastAsia" w:hAnsi="宋体" w:cs="宋体"/>
          <w:b/>
          <w:bCs/>
          <w:color w:val="auto"/>
          <w:sz w:val="30"/>
          <w:szCs w:val="30"/>
          <w:highlight w:val="none"/>
        </w:rPr>
        <w:t>七、其它</w:t>
      </w:r>
      <w:bookmarkEnd w:id="195"/>
      <w:bookmarkEnd w:id="196"/>
      <w:bookmarkEnd w:id="197"/>
      <w:bookmarkEnd w:id="198"/>
      <w:bookmarkEnd w:id="199"/>
      <w:bookmarkEnd w:id="200"/>
    </w:p>
    <w:p w14:paraId="6C2BBA37">
      <w:pPr>
        <w:pStyle w:val="3"/>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3"/>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01" w:name="_Toc6055"/>
      <w:bookmarkStart w:id="202" w:name="_Toc29387"/>
      <w:bookmarkStart w:id="203" w:name="_Toc25119"/>
      <w:bookmarkStart w:id="204" w:name="_Toc17513"/>
      <w:bookmarkStart w:id="205" w:name="_Toc13906"/>
      <w:r>
        <w:rPr>
          <w:rFonts w:hint="eastAsia" w:hAnsi="宋体" w:cs="宋体"/>
          <w:b/>
          <w:color w:val="auto"/>
          <w:sz w:val="28"/>
          <w:szCs w:val="28"/>
          <w:highlight w:val="none"/>
        </w:rPr>
        <w:t>附件1：法定代表人身份证明/法定代表人授权书</w:t>
      </w:r>
      <w:bookmarkEnd w:id="201"/>
      <w:bookmarkEnd w:id="202"/>
      <w:bookmarkEnd w:id="203"/>
      <w:bookmarkEnd w:id="204"/>
      <w:bookmarkEnd w:id="205"/>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3"/>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3"/>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3"/>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3"/>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06" w:name="_Toc11767"/>
      <w:bookmarkStart w:id="207" w:name="_Toc17295"/>
    </w:p>
    <w:p w14:paraId="0D3C5164">
      <w:pPr>
        <w:widowControl/>
        <w:spacing w:line="360" w:lineRule="auto"/>
        <w:ind w:left="1" w:firstLine="281" w:firstLineChars="100"/>
        <w:rPr>
          <w:rFonts w:hAnsi="宋体" w:cs="宋体"/>
          <w:b/>
          <w:color w:val="auto"/>
          <w:sz w:val="28"/>
          <w:szCs w:val="28"/>
          <w:highlight w:val="none"/>
        </w:rPr>
      </w:pPr>
    </w:p>
    <w:p w14:paraId="11869530">
      <w:pPr>
        <w:pStyle w:val="11"/>
        <w:rPr>
          <w:color w:val="auto"/>
          <w:highlight w:val="none"/>
        </w:rPr>
      </w:pPr>
    </w:p>
    <w:p w14:paraId="1CD09044">
      <w:pPr>
        <w:widowControl/>
        <w:spacing w:line="360" w:lineRule="auto"/>
        <w:ind w:left="1" w:firstLine="281" w:firstLineChars="100"/>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21"/>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21"/>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21"/>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21"/>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 xml:space="preserve">如有不实，我方将无条件地退出本项目的采购活动，并遵照《政府采购法》有关“提供虚假材料的规定”接受处罚。 </w:t>
      </w:r>
    </w:p>
    <w:p w14:paraId="4F9A3619">
      <w:pPr>
        <w:pStyle w:val="21"/>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21"/>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7"/>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4"/>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4"/>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4"/>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4"/>
        <w:adjustRightInd w:val="0"/>
        <w:snapToGrid w:val="0"/>
        <w:spacing w:line="720" w:lineRule="exact"/>
        <w:rPr>
          <w:rFonts w:hAnsi="宋体" w:cs="宋体"/>
          <w:color w:val="auto"/>
          <w:spacing w:val="4"/>
          <w:sz w:val="24"/>
          <w:szCs w:val="24"/>
          <w:highlight w:val="none"/>
        </w:rPr>
      </w:pPr>
    </w:p>
    <w:p w14:paraId="02500415">
      <w:pPr>
        <w:pStyle w:val="14"/>
        <w:adjustRightInd w:val="0"/>
        <w:snapToGrid w:val="0"/>
        <w:spacing w:line="720" w:lineRule="exact"/>
        <w:rPr>
          <w:rFonts w:hAnsi="宋体" w:cs="宋体"/>
          <w:color w:val="auto"/>
          <w:spacing w:val="4"/>
          <w:sz w:val="24"/>
          <w:szCs w:val="24"/>
          <w:highlight w:val="none"/>
        </w:rPr>
      </w:pPr>
    </w:p>
    <w:p w14:paraId="3E47B083">
      <w:pPr>
        <w:pStyle w:val="14"/>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7"/>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252BF36">
      <w:pPr>
        <w:spacing w:before="100" w:beforeAutospacing="1" w:afterLines="50" w:line="360" w:lineRule="auto"/>
        <w:jc w:val="left"/>
        <w:outlineLvl w:val="2"/>
        <w:rPr>
          <w:rFonts w:hint="eastAsia" w:hAnsi="宋体" w:eastAsia="宋体" w:cs="宋体"/>
          <w:b/>
          <w:color w:val="auto"/>
          <w:sz w:val="28"/>
          <w:szCs w:val="28"/>
          <w:highlight w:val="none"/>
          <w:lang w:eastAsia="zh-CN"/>
        </w:rPr>
      </w:pPr>
      <w:bookmarkStart w:id="208" w:name="_Toc29482"/>
      <w:bookmarkStart w:id="209" w:name="_Toc32573"/>
      <w:bookmarkStart w:id="210" w:name="_Toc2812"/>
      <w:r>
        <w:rPr>
          <w:rFonts w:hint="eastAsia" w:hAnsi="宋体" w:cs="宋体"/>
          <w:b/>
          <w:color w:val="auto"/>
          <w:sz w:val="28"/>
          <w:szCs w:val="28"/>
          <w:highlight w:val="none"/>
        </w:rPr>
        <w:t>附件2：中小企业声明函</w:t>
      </w:r>
      <w:bookmarkEnd w:id="206"/>
      <w:bookmarkEnd w:id="207"/>
      <w:bookmarkEnd w:id="208"/>
      <w:bookmarkEnd w:id="209"/>
      <w:bookmarkEnd w:id="210"/>
    </w:p>
    <w:p w14:paraId="70E8A17E">
      <w:pPr>
        <w:spacing w:beforeLines="50" w:afterLines="50" w:line="360" w:lineRule="auto"/>
        <w:jc w:val="center"/>
        <w:rPr>
          <w:rFonts w:hAnsi="宋体" w:cs="宋体"/>
          <w:b/>
          <w:color w:val="auto"/>
          <w:sz w:val="28"/>
          <w:szCs w:val="28"/>
          <w:highlight w:val="none"/>
        </w:rPr>
      </w:pPr>
      <w:bookmarkStart w:id="211"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7F6D4D06">
      <w:pPr>
        <w:spacing w:beforeLines="100" w:afterLines="50"/>
        <w:outlineLvl w:val="2"/>
        <w:rPr>
          <w:rFonts w:hAnsi="宋体" w:cs="宋体"/>
          <w:b/>
          <w:color w:val="auto"/>
          <w:sz w:val="28"/>
          <w:szCs w:val="28"/>
          <w:highlight w:val="none"/>
        </w:rPr>
      </w:pPr>
      <w:bookmarkStart w:id="212" w:name="_Toc5964"/>
      <w:bookmarkStart w:id="213" w:name="_Toc13530"/>
      <w:bookmarkStart w:id="214" w:name="_Toc12704"/>
      <w:bookmarkStart w:id="215" w:name="_Toc10758"/>
      <w:bookmarkStart w:id="216" w:name="_Toc8863"/>
      <w:r>
        <w:rPr>
          <w:rFonts w:hint="eastAsia" w:hAnsi="宋体" w:cs="宋体"/>
          <w:b/>
          <w:color w:val="auto"/>
          <w:sz w:val="28"/>
          <w:szCs w:val="28"/>
          <w:highlight w:val="none"/>
        </w:rPr>
        <w:t>附件3：磋商产品属节能、环境标志产品列表（如有）</w:t>
      </w:r>
      <w:bookmarkEnd w:id="212"/>
      <w:bookmarkEnd w:id="213"/>
      <w:bookmarkEnd w:id="214"/>
      <w:bookmarkEnd w:id="215"/>
      <w:bookmarkEnd w:id="216"/>
    </w:p>
    <w:p w14:paraId="6260569F">
      <w:pPr>
        <w:spacing w:beforeLines="100"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bookmarkEnd w:id="211"/>
    </w:p>
    <w:p w14:paraId="7105BCE5">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4D2D4241">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3"/>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27ED406A">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4A85622">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55E1EF47">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7630768B">
            <w:pPr>
              <w:spacing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52BDF663">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61D29164">
            <w:pPr>
              <w:spacing w:after="120"/>
              <w:jc w:val="center"/>
              <w:rPr>
                <w:rFonts w:hAnsi="宋体" w:cs="宋体"/>
                <w:color w:val="auto"/>
                <w:highlight w:val="none"/>
              </w:rPr>
            </w:pPr>
            <w:r>
              <w:rPr>
                <w:rFonts w:hint="eastAsia" w:hAnsi="宋体" w:cs="宋体"/>
                <w:color w:val="auto"/>
                <w:highlight w:val="none"/>
              </w:rPr>
              <w:t>单价</w:t>
            </w:r>
          </w:p>
          <w:p w14:paraId="04596401">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796FDEE5">
            <w:pPr>
              <w:spacing w:after="120"/>
              <w:jc w:val="center"/>
              <w:rPr>
                <w:rFonts w:hAnsi="宋体" w:cs="宋体"/>
                <w:bCs/>
                <w:color w:val="auto"/>
                <w:highlight w:val="none"/>
              </w:rPr>
            </w:pPr>
            <w:r>
              <w:rPr>
                <w:rFonts w:hint="eastAsia" w:hAnsi="宋体" w:cs="宋体"/>
                <w:bCs/>
                <w:color w:val="auto"/>
                <w:highlight w:val="none"/>
              </w:rPr>
              <w:t>总价</w:t>
            </w:r>
          </w:p>
          <w:p w14:paraId="05BE4AD3">
            <w:pPr>
              <w:spacing w:after="120"/>
              <w:jc w:val="center"/>
              <w:rPr>
                <w:rFonts w:hAnsi="宋体" w:cs="宋体"/>
                <w:bCs/>
                <w:color w:val="auto"/>
                <w:highlight w:val="none"/>
              </w:rPr>
            </w:pPr>
            <w:r>
              <w:rPr>
                <w:rFonts w:hint="eastAsia" w:hAnsi="宋体" w:cs="宋体"/>
                <w:bCs/>
                <w:color w:val="auto"/>
                <w:highlight w:val="none"/>
              </w:rPr>
              <w:t>（元）</w:t>
            </w:r>
          </w:p>
        </w:tc>
      </w:tr>
      <w:tr w14:paraId="51F2EEEE">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58CE9AF">
            <w:pPr>
              <w:spacing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22AAC0AC">
            <w:pPr>
              <w:spacing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69B675A6">
            <w:pPr>
              <w:spacing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A20AAAC">
            <w:pPr>
              <w:spacing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73FB42EE">
            <w:pPr>
              <w:spacing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3772044B">
            <w:pPr>
              <w:spacing w:beforeLines="50"/>
              <w:jc w:val="center"/>
              <w:rPr>
                <w:rFonts w:hAnsi="宋体" w:cs="宋体"/>
                <w:color w:val="auto"/>
                <w:highlight w:val="none"/>
              </w:rPr>
            </w:pPr>
          </w:p>
        </w:tc>
      </w:tr>
      <w:tr w14:paraId="46860D9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979F409">
            <w:pPr>
              <w:spacing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8CB11E8">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E61446A">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4E3A36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64A32E6">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88A315B">
            <w:pPr>
              <w:spacing w:beforeLines="50"/>
              <w:jc w:val="center"/>
              <w:rPr>
                <w:rFonts w:hAnsi="宋体" w:cs="宋体"/>
                <w:color w:val="auto"/>
                <w:highlight w:val="none"/>
              </w:rPr>
            </w:pPr>
          </w:p>
        </w:tc>
      </w:tr>
      <w:tr w14:paraId="7DBE65C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F54ADF2">
            <w:pPr>
              <w:spacing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1B58DE6">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72DA734E">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D0DFF9B">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F66DD57">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FBC5B1">
            <w:pPr>
              <w:spacing w:beforeLines="50"/>
              <w:jc w:val="center"/>
              <w:rPr>
                <w:rFonts w:hAnsi="宋体" w:cs="宋体"/>
                <w:color w:val="auto"/>
                <w:highlight w:val="none"/>
              </w:rPr>
            </w:pPr>
          </w:p>
        </w:tc>
      </w:tr>
      <w:tr w14:paraId="0C40AC5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22398CF">
            <w:pPr>
              <w:spacing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8AD0212">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E3B65AD">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D9BCF41">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6A7EA54">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2410FC9">
            <w:pPr>
              <w:spacing w:beforeLines="50"/>
              <w:jc w:val="center"/>
              <w:rPr>
                <w:rFonts w:hAnsi="宋体" w:cs="宋体"/>
                <w:color w:val="auto"/>
                <w:highlight w:val="none"/>
              </w:rPr>
            </w:pPr>
          </w:p>
        </w:tc>
      </w:tr>
      <w:tr w14:paraId="6D35F9C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D45638D">
            <w:pPr>
              <w:spacing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7E870C20">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A218E0C">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E7CF69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964F8FC">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7A776F9">
            <w:pPr>
              <w:spacing w:beforeLines="50"/>
              <w:jc w:val="center"/>
              <w:rPr>
                <w:rFonts w:hAnsi="宋体" w:cs="宋体"/>
                <w:color w:val="auto"/>
                <w:highlight w:val="none"/>
              </w:rPr>
            </w:pPr>
          </w:p>
        </w:tc>
      </w:tr>
      <w:tr w14:paraId="1FD0E07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18F04DC">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C007AC6">
            <w:pPr>
              <w:spacing w:beforeLines="50"/>
              <w:jc w:val="left"/>
              <w:rPr>
                <w:rFonts w:hAnsi="宋体" w:cs="宋体"/>
                <w:color w:val="auto"/>
                <w:highlight w:val="none"/>
              </w:rPr>
            </w:pPr>
            <w:r>
              <w:rPr>
                <w:rFonts w:hint="eastAsia" w:hAnsi="宋体" w:cs="宋体"/>
                <w:color w:val="auto"/>
                <w:highlight w:val="none"/>
              </w:rPr>
              <w:t>大写：                                小写：</w:t>
            </w:r>
          </w:p>
        </w:tc>
      </w:tr>
      <w:tr w14:paraId="143DA51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24E16F2C">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0B1C49B">
            <w:pPr>
              <w:spacing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0E801050">
      <w:pPr>
        <w:adjustRightInd w:val="0"/>
        <w:snapToGrid w:val="0"/>
        <w:spacing w:line="360" w:lineRule="auto"/>
        <w:rPr>
          <w:rFonts w:hAnsi="宋体" w:cs="宋体"/>
          <w:color w:val="auto"/>
          <w:szCs w:val="21"/>
          <w:highlight w:val="none"/>
        </w:rPr>
      </w:pPr>
    </w:p>
    <w:p w14:paraId="5F7DAAD8">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4A0D45B">
      <w:pPr>
        <w:pStyle w:val="36"/>
        <w:spacing w:line="400" w:lineRule="exact"/>
        <w:ind w:left="480" w:leftChars="200" w:firstLine="240" w:firstLineChars="100"/>
        <w:rPr>
          <w:rFonts w:hAnsi="宋体" w:cs="宋体"/>
          <w:color w:val="auto"/>
          <w:sz w:val="28"/>
          <w:szCs w:val="28"/>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033C5B99">
      <w:pPr>
        <w:spacing w:before="100" w:beforeAutospacing="1" w:afterLines="50" w:line="360" w:lineRule="auto"/>
        <w:outlineLvl w:val="2"/>
        <w:rPr>
          <w:rFonts w:hAnsi="宋体" w:cs="宋体"/>
          <w:b/>
          <w:bCs/>
          <w:color w:val="auto"/>
          <w:spacing w:val="6"/>
          <w:sz w:val="30"/>
          <w:szCs w:val="30"/>
          <w:highlight w:val="none"/>
        </w:rPr>
      </w:pPr>
      <w:r>
        <w:rPr>
          <w:rFonts w:hint="eastAsia" w:hAnsi="宋体" w:cs="宋体"/>
          <w:color w:val="auto"/>
          <w:szCs w:val="24"/>
          <w:highlight w:val="none"/>
        </w:rPr>
        <w:br w:type="page"/>
      </w:r>
      <w:bookmarkStart w:id="217" w:name="_Toc29025"/>
      <w:bookmarkStart w:id="218" w:name="_Toc11235"/>
      <w:bookmarkStart w:id="219" w:name="_Toc22425"/>
      <w:bookmarkStart w:id="220" w:name="_Toc11066"/>
      <w:bookmarkStart w:id="221" w:name="_Toc27124"/>
      <w:r>
        <w:rPr>
          <w:rFonts w:hint="eastAsia" w:hAnsi="宋体" w:cs="宋体"/>
          <w:b/>
          <w:bCs/>
          <w:color w:val="auto"/>
          <w:spacing w:val="6"/>
          <w:sz w:val="30"/>
          <w:szCs w:val="30"/>
          <w:highlight w:val="none"/>
        </w:rPr>
        <w:t>附件4：残疾人福利性单位声明函（如有）</w:t>
      </w:r>
      <w:bookmarkEnd w:id="217"/>
      <w:bookmarkEnd w:id="218"/>
      <w:bookmarkEnd w:id="219"/>
      <w:bookmarkEnd w:id="220"/>
      <w:bookmarkEnd w:id="221"/>
    </w:p>
    <w:p w14:paraId="334000A8">
      <w:pPr>
        <w:spacing w:line="588" w:lineRule="exact"/>
        <w:jc w:val="center"/>
        <w:rPr>
          <w:rFonts w:hAnsi="宋体" w:cs="宋体"/>
          <w:b/>
          <w:color w:val="auto"/>
          <w:spacing w:val="6"/>
          <w:sz w:val="32"/>
          <w:szCs w:val="32"/>
          <w:highlight w:val="none"/>
        </w:rPr>
      </w:pPr>
      <w:bookmarkStart w:id="222" w:name="OLE_LINK14"/>
      <w:bookmarkStart w:id="223" w:name="OLE_LINK13"/>
      <w:r>
        <w:rPr>
          <w:rFonts w:hint="eastAsia" w:hAnsi="宋体" w:cs="宋体"/>
          <w:b/>
          <w:color w:val="auto"/>
          <w:spacing w:val="6"/>
          <w:sz w:val="32"/>
          <w:szCs w:val="32"/>
          <w:highlight w:val="none"/>
        </w:rPr>
        <w:t>残疾人福利性单位声明函</w:t>
      </w:r>
    </w:p>
    <w:bookmarkEnd w:id="222"/>
    <w:bookmarkEnd w:id="223"/>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24" w:name="_Toc23160"/>
      <w:bookmarkStart w:id="225" w:name="_Toc2119"/>
      <w:bookmarkStart w:id="226" w:name="_Toc29109"/>
      <w:bookmarkStart w:id="227" w:name="_Toc2139"/>
      <w:bookmarkStart w:id="228" w:name="_Toc19526"/>
      <w:r>
        <w:rPr>
          <w:rFonts w:hint="eastAsia" w:hAnsi="宋体" w:cs="宋体"/>
          <w:b/>
          <w:color w:val="auto"/>
          <w:sz w:val="28"/>
          <w:szCs w:val="28"/>
          <w:highlight w:val="none"/>
        </w:rPr>
        <w:t>附件5：质疑函范本</w:t>
      </w:r>
      <w:bookmarkEnd w:id="224"/>
      <w:bookmarkEnd w:id="225"/>
      <w:bookmarkEnd w:id="226"/>
      <w:bookmarkEnd w:id="227"/>
      <w:bookmarkEnd w:id="228"/>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7C74A499">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6"/>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6"/>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6"/>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6"/>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6"/>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对外培训项目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F42018"/>
    <w:rsid w:val="01491172"/>
    <w:rsid w:val="026512DC"/>
    <w:rsid w:val="02B84C3A"/>
    <w:rsid w:val="02EA0A37"/>
    <w:rsid w:val="03542EE5"/>
    <w:rsid w:val="038A4972"/>
    <w:rsid w:val="051E0804"/>
    <w:rsid w:val="054F4610"/>
    <w:rsid w:val="05B80C59"/>
    <w:rsid w:val="05DA68EB"/>
    <w:rsid w:val="064767BD"/>
    <w:rsid w:val="06E72E78"/>
    <w:rsid w:val="0714287C"/>
    <w:rsid w:val="07EC2E3C"/>
    <w:rsid w:val="099E253A"/>
    <w:rsid w:val="09D21BBD"/>
    <w:rsid w:val="0A52691C"/>
    <w:rsid w:val="0A7B73F3"/>
    <w:rsid w:val="0AE0655C"/>
    <w:rsid w:val="0B2608DC"/>
    <w:rsid w:val="0B75056B"/>
    <w:rsid w:val="0BE31B98"/>
    <w:rsid w:val="0C4F1BEB"/>
    <w:rsid w:val="0C580AA0"/>
    <w:rsid w:val="0DCD7E5B"/>
    <w:rsid w:val="0EC42C1D"/>
    <w:rsid w:val="0FB71F81"/>
    <w:rsid w:val="0FCB77DB"/>
    <w:rsid w:val="0FD83CA6"/>
    <w:rsid w:val="108274B3"/>
    <w:rsid w:val="10BD35C7"/>
    <w:rsid w:val="10C03B1A"/>
    <w:rsid w:val="110A4333"/>
    <w:rsid w:val="11933EF1"/>
    <w:rsid w:val="124E6541"/>
    <w:rsid w:val="13055EFC"/>
    <w:rsid w:val="1408016B"/>
    <w:rsid w:val="14FF19C2"/>
    <w:rsid w:val="16510946"/>
    <w:rsid w:val="16D004E2"/>
    <w:rsid w:val="16D34E48"/>
    <w:rsid w:val="17381DE3"/>
    <w:rsid w:val="175400B6"/>
    <w:rsid w:val="17E77172"/>
    <w:rsid w:val="18243F2C"/>
    <w:rsid w:val="18624A54"/>
    <w:rsid w:val="194E06A2"/>
    <w:rsid w:val="196234FC"/>
    <w:rsid w:val="19F1107F"/>
    <w:rsid w:val="1A6A586E"/>
    <w:rsid w:val="1A7840BB"/>
    <w:rsid w:val="1A7F74B5"/>
    <w:rsid w:val="1AB77E2C"/>
    <w:rsid w:val="1B917B2A"/>
    <w:rsid w:val="1BAE4D2B"/>
    <w:rsid w:val="1BF20D44"/>
    <w:rsid w:val="1BF70EFF"/>
    <w:rsid w:val="1D6C4D32"/>
    <w:rsid w:val="1D8C396C"/>
    <w:rsid w:val="1E47352A"/>
    <w:rsid w:val="1E474499"/>
    <w:rsid w:val="1E616F4E"/>
    <w:rsid w:val="1E7D10B6"/>
    <w:rsid w:val="1E9329DA"/>
    <w:rsid w:val="1F126C7C"/>
    <w:rsid w:val="1FB72D74"/>
    <w:rsid w:val="1FEB742A"/>
    <w:rsid w:val="20530343"/>
    <w:rsid w:val="20531852"/>
    <w:rsid w:val="209348EA"/>
    <w:rsid w:val="21210A4D"/>
    <w:rsid w:val="23605E63"/>
    <w:rsid w:val="237F1D35"/>
    <w:rsid w:val="23AC19CC"/>
    <w:rsid w:val="23B4085A"/>
    <w:rsid w:val="245416F5"/>
    <w:rsid w:val="24D93136"/>
    <w:rsid w:val="255B2E26"/>
    <w:rsid w:val="258C4C14"/>
    <w:rsid w:val="25E76599"/>
    <w:rsid w:val="25F413E1"/>
    <w:rsid w:val="26450D58"/>
    <w:rsid w:val="2683064A"/>
    <w:rsid w:val="272C1927"/>
    <w:rsid w:val="281E2746"/>
    <w:rsid w:val="28834FFE"/>
    <w:rsid w:val="289A5B44"/>
    <w:rsid w:val="28C0686E"/>
    <w:rsid w:val="29E01C20"/>
    <w:rsid w:val="29E55A22"/>
    <w:rsid w:val="2AF552B4"/>
    <w:rsid w:val="2B372839"/>
    <w:rsid w:val="2BB60EE7"/>
    <w:rsid w:val="2BCA6741"/>
    <w:rsid w:val="2BE608F9"/>
    <w:rsid w:val="2BF043F9"/>
    <w:rsid w:val="2C0E0D23"/>
    <w:rsid w:val="2CE837DD"/>
    <w:rsid w:val="2CFC5020"/>
    <w:rsid w:val="2DA83DCF"/>
    <w:rsid w:val="2EBB4D79"/>
    <w:rsid w:val="2EE8585B"/>
    <w:rsid w:val="2F02634B"/>
    <w:rsid w:val="2F0B779C"/>
    <w:rsid w:val="2FA84FEB"/>
    <w:rsid w:val="2FFD0E93"/>
    <w:rsid w:val="301001E1"/>
    <w:rsid w:val="3045283A"/>
    <w:rsid w:val="305F38FB"/>
    <w:rsid w:val="307A65D3"/>
    <w:rsid w:val="30B3406E"/>
    <w:rsid w:val="30BD4AC6"/>
    <w:rsid w:val="30E43FCF"/>
    <w:rsid w:val="31C81974"/>
    <w:rsid w:val="31CF685F"/>
    <w:rsid w:val="3231334B"/>
    <w:rsid w:val="331040BE"/>
    <w:rsid w:val="333E1EEE"/>
    <w:rsid w:val="355C5974"/>
    <w:rsid w:val="358723B5"/>
    <w:rsid w:val="359C6A8A"/>
    <w:rsid w:val="361433DA"/>
    <w:rsid w:val="36745C27"/>
    <w:rsid w:val="37662F7D"/>
    <w:rsid w:val="38325D99"/>
    <w:rsid w:val="39D553AA"/>
    <w:rsid w:val="3A064C79"/>
    <w:rsid w:val="3A8C2B51"/>
    <w:rsid w:val="3AD061AD"/>
    <w:rsid w:val="3AF06488"/>
    <w:rsid w:val="3B4F0A10"/>
    <w:rsid w:val="3B50782C"/>
    <w:rsid w:val="3B663A4F"/>
    <w:rsid w:val="3BB014AF"/>
    <w:rsid w:val="3BE21884"/>
    <w:rsid w:val="3C7B1945"/>
    <w:rsid w:val="3C7D53DE"/>
    <w:rsid w:val="3D4E699A"/>
    <w:rsid w:val="3DBB5CCD"/>
    <w:rsid w:val="3DBC7D3F"/>
    <w:rsid w:val="3E4F1453"/>
    <w:rsid w:val="3E7C700F"/>
    <w:rsid w:val="3F790A1F"/>
    <w:rsid w:val="42377DAE"/>
    <w:rsid w:val="429D651C"/>
    <w:rsid w:val="42B37C55"/>
    <w:rsid w:val="42F00D2B"/>
    <w:rsid w:val="430B7CC0"/>
    <w:rsid w:val="43305EF3"/>
    <w:rsid w:val="453C5014"/>
    <w:rsid w:val="45A81449"/>
    <w:rsid w:val="45D148E1"/>
    <w:rsid w:val="477E6905"/>
    <w:rsid w:val="47BA5602"/>
    <w:rsid w:val="47CB7BCD"/>
    <w:rsid w:val="48723E9C"/>
    <w:rsid w:val="48A948A9"/>
    <w:rsid w:val="48F344FE"/>
    <w:rsid w:val="496B79EC"/>
    <w:rsid w:val="49BD79B3"/>
    <w:rsid w:val="49C82C57"/>
    <w:rsid w:val="4A02381D"/>
    <w:rsid w:val="4A1C0EB1"/>
    <w:rsid w:val="4A5E47CC"/>
    <w:rsid w:val="4AAC2C6F"/>
    <w:rsid w:val="4B9C1A50"/>
    <w:rsid w:val="4BAD77B9"/>
    <w:rsid w:val="4C966BC0"/>
    <w:rsid w:val="4D1E03A6"/>
    <w:rsid w:val="4D3038E5"/>
    <w:rsid w:val="4D477799"/>
    <w:rsid w:val="4D596375"/>
    <w:rsid w:val="4DEB6377"/>
    <w:rsid w:val="4DED6593"/>
    <w:rsid w:val="4E7E7EDA"/>
    <w:rsid w:val="4EA053B3"/>
    <w:rsid w:val="4F0B353D"/>
    <w:rsid w:val="4F0D5377"/>
    <w:rsid w:val="50121437"/>
    <w:rsid w:val="50132763"/>
    <w:rsid w:val="509203B3"/>
    <w:rsid w:val="50DF5A3C"/>
    <w:rsid w:val="521F0CE5"/>
    <w:rsid w:val="522D23CF"/>
    <w:rsid w:val="52326C6A"/>
    <w:rsid w:val="526037D7"/>
    <w:rsid w:val="528D20F2"/>
    <w:rsid w:val="52927B75"/>
    <w:rsid w:val="52A6120D"/>
    <w:rsid w:val="52C11C7B"/>
    <w:rsid w:val="535661BA"/>
    <w:rsid w:val="5391176E"/>
    <w:rsid w:val="54201323"/>
    <w:rsid w:val="54414F42"/>
    <w:rsid w:val="5498635F"/>
    <w:rsid w:val="5527328A"/>
    <w:rsid w:val="5562118F"/>
    <w:rsid w:val="55801A9A"/>
    <w:rsid w:val="56E23696"/>
    <w:rsid w:val="572052E3"/>
    <w:rsid w:val="582F6BEF"/>
    <w:rsid w:val="58415BC6"/>
    <w:rsid w:val="585F62DF"/>
    <w:rsid w:val="590A2C81"/>
    <w:rsid w:val="59361347"/>
    <w:rsid w:val="593908DE"/>
    <w:rsid w:val="595C281E"/>
    <w:rsid w:val="59875AED"/>
    <w:rsid w:val="598A113A"/>
    <w:rsid w:val="59A66EED"/>
    <w:rsid w:val="5A4E220C"/>
    <w:rsid w:val="5AF150AF"/>
    <w:rsid w:val="5C06474A"/>
    <w:rsid w:val="5D500F29"/>
    <w:rsid w:val="5D5905FD"/>
    <w:rsid w:val="5D822C5A"/>
    <w:rsid w:val="5D93740B"/>
    <w:rsid w:val="5DD46E27"/>
    <w:rsid w:val="5E421FD0"/>
    <w:rsid w:val="5E7A79CF"/>
    <w:rsid w:val="5EAA2796"/>
    <w:rsid w:val="5ED0632D"/>
    <w:rsid w:val="5ED51AA0"/>
    <w:rsid w:val="5F1C7961"/>
    <w:rsid w:val="5F864151"/>
    <w:rsid w:val="60032A91"/>
    <w:rsid w:val="60637039"/>
    <w:rsid w:val="60C74A21"/>
    <w:rsid w:val="61195669"/>
    <w:rsid w:val="61397DAE"/>
    <w:rsid w:val="61B50D1E"/>
    <w:rsid w:val="62AE5E99"/>
    <w:rsid w:val="633F11E7"/>
    <w:rsid w:val="638A1AF5"/>
    <w:rsid w:val="64A936CA"/>
    <w:rsid w:val="64CA4AE0"/>
    <w:rsid w:val="665B3698"/>
    <w:rsid w:val="665D1ED0"/>
    <w:rsid w:val="66DC6D4D"/>
    <w:rsid w:val="679B47E6"/>
    <w:rsid w:val="67B04461"/>
    <w:rsid w:val="682C6065"/>
    <w:rsid w:val="68776D2D"/>
    <w:rsid w:val="68A6624A"/>
    <w:rsid w:val="68E646F7"/>
    <w:rsid w:val="690D798C"/>
    <w:rsid w:val="697F1411"/>
    <w:rsid w:val="69D4240D"/>
    <w:rsid w:val="69DE533E"/>
    <w:rsid w:val="69E9326E"/>
    <w:rsid w:val="6AB730CC"/>
    <w:rsid w:val="6AC02E25"/>
    <w:rsid w:val="6AEA6BBE"/>
    <w:rsid w:val="6B005D17"/>
    <w:rsid w:val="6B7F174D"/>
    <w:rsid w:val="6C9F6852"/>
    <w:rsid w:val="6CCF5389"/>
    <w:rsid w:val="6CD52274"/>
    <w:rsid w:val="6E237E7E"/>
    <w:rsid w:val="6E353402"/>
    <w:rsid w:val="6E960558"/>
    <w:rsid w:val="6F386134"/>
    <w:rsid w:val="6F944668"/>
    <w:rsid w:val="6F995F63"/>
    <w:rsid w:val="70406237"/>
    <w:rsid w:val="70C5413D"/>
    <w:rsid w:val="70FE3161"/>
    <w:rsid w:val="71BC1928"/>
    <w:rsid w:val="723E1DBC"/>
    <w:rsid w:val="73C72DDD"/>
    <w:rsid w:val="7436299A"/>
    <w:rsid w:val="74393A30"/>
    <w:rsid w:val="74C552BF"/>
    <w:rsid w:val="74F97939"/>
    <w:rsid w:val="75102D70"/>
    <w:rsid w:val="76047015"/>
    <w:rsid w:val="76214E9E"/>
    <w:rsid w:val="76E06023"/>
    <w:rsid w:val="7728242E"/>
    <w:rsid w:val="773B2F52"/>
    <w:rsid w:val="77D649A3"/>
    <w:rsid w:val="784B5870"/>
    <w:rsid w:val="790068CB"/>
    <w:rsid w:val="790A0471"/>
    <w:rsid w:val="79B7342D"/>
    <w:rsid w:val="79E26DE7"/>
    <w:rsid w:val="7A5B0EAD"/>
    <w:rsid w:val="7B5D576D"/>
    <w:rsid w:val="7C08295D"/>
    <w:rsid w:val="7C853459"/>
    <w:rsid w:val="7CDC740A"/>
    <w:rsid w:val="7D7F7E70"/>
    <w:rsid w:val="7DE537E2"/>
    <w:rsid w:val="7E0724A9"/>
    <w:rsid w:val="7E2D16FC"/>
    <w:rsid w:val="7EF02F3D"/>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link w:val="30"/>
    <w:qFormat/>
    <w:uiPriority w:val="0"/>
    <w:pPr>
      <w:keepNext/>
      <w:outlineLvl w:val="0"/>
    </w:pPr>
    <w:rPr>
      <w:rFonts w:ascii="仿宋_GB2312" w:hAnsi="宋体" w:eastAsia="仿宋_GB2312"/>
      <w:b/>
      <w:kern w:val="2"/>
      <w:sz w:val="32"/>
    </w:rPr>
  </w:style>
  <w:style w:type="paragraph" w:styleId="5">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6">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7">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8">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autoRedefine/>
    <w:qFormat/>
    <w:uiPriority w:val="0"/>
    <w:pPr>
      <w:spacing w:line="520" w:lineRule="exact"/>
      <w:ind w:firstLine="480" w:firstLineChars="200"/>
    </w:pPr>
    <w:rPr>
      <w:rFonts w:hAnsi="宋体" w:cs="宋体"/>
      <w:kern w:val="2"/>
      <w:szCs w:val="24"/>
    </w:rPr>
  </w:style>
  <w:style w:type="paragraph" w:styleId="9">
    <w:name w:val="Normal Indent"/>
    <w:basedOn w:val="1"/>
    <w:next w:val="10"/>
    <w:autoRedefine/>
    <w:qFormat/>
    <w:uiPriority w:val="0"/>
    <w:pPr>
      <w:spacing w:line="300" w:lineRule="auto"/>
      <w:ind w:firstLine="420" w:firstLineChars="200"/>
    </w:pPr>
    <w:rPr>
      <w:rFonts w:ascii="Calibri"/>
      <w:kern w:val="2"/>
      <w:sz w:val="21"/>
      <w:szCs w:val="24"/>
    </w:rPr>
  </w:style>
  <w:style w:type="paragraph" w:styleId="10">
    <w:name w:val="toc 4"/>
    <w:basedOn w:val="1"/>
    <w:next w:val="1"/>
    <w:unhideWhenUsed/>
    <w:qFormat/>
    <w:uiPriority w:val="39"/>
    <w:pPr>
      <w:spacing w:line="240" w:lineRule="auto"/>
      <w:ind w:left="1260" w:leftChars="600"/>
    </w:pPr>
  </w:style>
  <w:style w:type="paragraph" w:styleId="11">
    <w:name w:val="Body Text 3"/>
    <w:basedOn w:val="1"/>
    <w:autoRedefine/>
    <w:qFormat/>
    <w:uiPriority w:val="0"/>
    <w:pPr>
      <w:jc w:val="center"/>
    </w:pPr>
    <w:rPr>
      <w:rFonts w:ascii="Times New Roman"/>
      <w:b/>
      <w:spacing w:val="-20"/>
      <w:w w:val="110"/>
      <w:kern w:val="2"/>
      <w:sz w:val="52"/>
    </w:rPr>
  </w:style>
  <w:style w:type="paragraph" w:styleId="12">
    <w:name w:val="Body Text Indent"/>
    <w:basedOn w:val="1"/>
    <w:next w:val="3"/>
    <w:autoRedefine/>
    <w:qFormat/>
    <w:uiPriority w:val="99"/>
    <w:pPr>
      <w:spacing w:afterLines="50" w:line="360" w:lineRule="exact"/>
      <w:ind w:firstLine="480" w:firstLineChars="200"/>
    </w:pPr>
    <w:rPr>
      <w:rFonts w:hAnsi="宋体"/>
      <w:szCs w:val="24"/>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hAnsi="Courier New"/>
      <w:kern w:val="2"/>
      <w:sz w:val="21"/>
    </w:rPr>
  </w:style>
  <w:style w:type="paragraph" w:styleId="15">
    <w:name w:val="Balloon Text"/>
    <w:basedOn w:val="1"/>
    <w:link w:val="40"/>
    <w:qFormat/>
    <w:uiPriority w:val="0"/>
    <w:rPr>
      <w:sz w:val="18"/>
      <w:szCs w:val="18"/>
    </w:rPr>
  </w:style>
  <w:style w:type="paragraph" w:styleId="16">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8">
    <w:name w:val="toc 1"/>
    <w:basedOn w:val="1"/>
    <w:next w:val="1"/>
    <w:autoRedefine/>
    <w:unhideWhenUsed/>
    <w:qFormat/>
    <w:uiPriority w:val="39"/>
  </w:style>
  <w:style w:type="paragraph" w:styleId="19">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0">
    <w:name w:val="toc 2"/>
    <w:basedOn w:val="1"/>
    <w:next w:val="1"/>
    <w:autoRedefine/>
    <w:unhideWhenUsed/>
    <w:qFormat/>
    <w:uiPriority w:val="39"/>
    <w:pPr>
      <w:ind w:left="420" w:leftChars="200"/>
    </w:pPr>
  </w:style>
  <w:style w:type="paragraph" w:styleId="21">
    <w:name w:val="Normal (Web)"/>
    <w:basedOn w:val="1"/>
    <w:autoRedefine/>
    <w:qFormat/>
    <w:uiPriority w:val="0"/>
    <w:pPr>
      <w:widowControl/>
      <w:spacing w:before="100" w:beforeAutospacing="1" w:after="100" w:afterAutospacing="1"/>
      <w:jc w:val="left"/>
    </w:pPr>
    <w:rPr>
      <w:rFonts w:hAnsi="宋体"/>
      <w:szCs w:val="24"/>
    </w:rPr>
  </w:style>
  <w:style w:type="paragraph" w:styleId="22">
    <w:name w:val="Body Text First Indent 2"/>
    <w:basedOn w:val="12"/>
    <w:next w:val="1"/>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Hyperlink"/>
    <w:basedOn w:val="25"/>
    <w:autoRedefine/>
    <w:qFormat/>
    <w:uiPriority w:val="0"/>
    <w:rPr>
      <w:color w:val="0000FF"/>
      <w:u w:val="single"/>
    </w:rPr>
  </w:style>
  <w:style w:type="paragraph" w:customStyle="1" w:styleId="28">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30">
    <w:name w:val="标题 1 Char"/>
    <w:link w:val="4"/>
    <w:autoRedefine/>
    <w:qFormat/>
    <w:uiPriority w:val="0"/>
    <w:rPr>
      <w:rFonts w:ascii="仿宋_GB2312" w:hAnsi="宋体" w:eastAsia="仿宋_GB2312"/>
      <w:b/>
      <w:kern w:val="2"/>
      <w:sz w:val="32"/>
    </w:rPr>
  </w:style>
  <w:style w:type="paragraph" w:customStyle="1" w:styleId="31">
    <w:name w:val="MessageHeader"/>
    <w:basedOn w:val="1"/>
    <w:next w:val="32"/>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2">
    <w:name w:val="BodyText"/>
    <w:basedOn w:val="1"/>
    <w:next w:val="1"/>
    <w:autoRedefine/>
    <w:qFormat/>
    <w:uiPriority w:val="0"/>
    <w:pPr>
      <w:jc w:val="center"/>
      <w:textAlignment w:val="baseline"/>
    </w:pPr>
  </w:style>
  <w:style w:type="paragraph" w:customStyle="1" w:styleId="33">
    <w:name w:val="列出段落1"/>
    <w:basedOn w:val="1"/>
    <w:autoRedefine/>
    <w:qFormat/>
    <w:uiPriority w:val="34"/>
    <w:pPr>
      <w:ind w:firstLine="420" w:firstLineChars="200"/>
    </w:pPr>
  </w:style>
  <w:style w:type="paragraph" w:customStyle="1" w:styleId="34">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5">
    <w:name w:val="表格文字中"/>
    <w:basedOn w:val="1"/>
    <w:autoRedefine/>
    <w:qFormat/>
    <w:uiPriority w:val="0"/>
    <w:pPr>
      <w:adjustRightInd w:val="0"/>
      <w:snapToGrid w:val="0"/>
      <w:ind w:left="22" w:leftChars="8"/>
      <w:jc w:val="center"/>
    </w:pPr>
    <w:rPr>
      <w:szCs w:val="24"/>
    </w:rPr>
  </w:style>
  <w:style w:type="paragraph" w:customStyle="1" w:styleId="36">
    <w:name w:val="Char1"/>
    <w:basedOn w:val="1"/>
    <w:autoRedefine/>
    <w:qFormat/>
    <w:uiPriority w:val="0"/>
    <w:pPr>
      <w:tabs>
        <w:tab w:val="left" w:pos="360"/>
      </w:tabs>
      <w:ind w:left="360" w:hanging="360" w:hangingChars="200"/>
    </w:pPr>
    <w:rPr>
      <w:szCs w:val="24"/>
    </w:rPr>
  </w:style>
  <w:style w:type="paragraph" w:customStyle="1" w:styleId="37">
    <w:name w:val="列出段落11"/>
    <w:basedOn w:val="1"/>
    <w:autoRedefine/>
    <w:qFormat/>
    <w:uiPriority w:val="34"/>
    <w:pPr>
      <w:ind w:firstLine="420" w:firstLineChars="200"/>
    </w:pPr>
    <w:rPr>
      <w:rFonts w:ascii="Calibri" w:hAnsi="Calibri"/>
      <w:szCs w:val="22"/>
    </w:rPr>
  </w:style>
  <w:style w:type="paragraph" w:customStyle="1" w:styleId="38">
    <w:name w:val="列表段落1"/>
    <w:basedOn w:val="1"/>
    <w:autoRedefine/>
    <w:qFormat/>
    <w:uiPriority w:val="99"/>
    <w:pPr>
      <w:ind w:firstLine="420" w:firstLineChars="200"/>
    </w:pPr>
  </w:style>
  <w:style w:type="paragraph" w:customStyle="1" w:styleId="39">
    <w:name w:val="Table Paragraph"/>
    <w:basedOn w:val="1"/>
    <w:autoRedefine/>
    <w:qFormat/>
    <w:uiPriority w:val="1"/>
    <w:pPr>
      <w:autoSpaceDE w:val="0"/>
      <w:autoSpaceDN w:val="0"/>
      <w:jc w:val="left"/>
    </w:pPr>
    <w:rPr>
      <w:rFonts w:hAnsi="宋体" w:cs="宋体"/>
      <w:sz w:val="22"/>
      <w:szCs w:val="22"/>
      <w:lang w:val="zh-CN"/>
    </w:rPr>
  </w:style>
  <w:style w:type="character" w:customStyle="1" w:styleId="40">
    <w:name w:val="批注框文本 Char"/>
    <w:basedOn w:val="25"/>
    <w:link w:val="15"/>
    <w:qFormat/>
    <w:uiPriority w:val="0"/>
    <w:rPr>
      <w:rFonts w:ascii="宋体"/>
      <w:sz w:val="18"/>
      <w:szCs w:val="18"/>
    </w:rPr>
  </w:style>
  <w:style w:type="paragraph" w:customStyle="1" w:styleId="41">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2">
    <w:name w:val="表"/>
    <w:basedOn w:val="1"/>
    <w:next w:val="1"/>
    <w:qFormat/>
    <w:uiPriority w:val="0"/>
    <w:pPr>
      <w:spacing w:line="240" w:lineRule="auto"/>
      <w:ind w:firstLine="0" w:firstLineChars="0"/>
      <w:jc w:val="center"/>
    </w:pPr>
    <w:rPr>
      <w:rFonts w:ascii="Times New Roman" w:hAnsi="Times New Roman"/>
      <w:b/>
      <w:sz w:val="24"/>
    </w:r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24349</Words>
  <Characters>26110</Characters>
  <Lines>245</Lines>
  <Paragraphs>69</Paragraphs>
  <TotalTime>0</TotalTime>
  <ScaleCrop>false</ScaleCrop>
  <LinksUpToDate>false</LinksUpToDate>
  <CharactersWithSpaces>27095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都市阳光～王馨悦</cp:lastModifiedBy>
  <dcterms:modified xsi:type="dcterms:W3CDTF">2025-05-22T08:29:41Z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12D31501B1064D93852A700EDCD94387_13</vt:lpwstr>
  </property>
  <property fmtid="{D5CDD505-2E9C-101B-9397-08002B2CF9AE}" pid="4" name="KSOTemplateDocerSaveRecord">
    <vt:lpwstr>eyJoZGlkIjoiMDc2YjExZDk4YmRkMTFlODc4NDZiMTVkOTg4ODNhMmEiLCJ1c2VySWQiOiI1OTI1NjQzNTQifQ==</vt:lpwstr>
  </property>
</Properties>
</file>