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34948">
      <w:pPr>
        <w:adjustRightInd w:val="0"/>
        <w:snapToGrid w:val="0"/>
        <w:spacing w:line="360" w:lineRule="auto"/>
        <w:jc w:val="right"/>
        <w:rPr>
          <w:rFonts w:ascii="宋体" w:cs="Times New Roman"/>
          <w:b/>
          <w:bCs/>
          <w:color w:val="auto"/>
          <w:sz w:val="30"/>
          <w:szCs w:val="30"/>
        </w:rPr>
      </w:pPr>
      <w:bookmarkStart w:id="0" w:name="OLE_LINK9"/>
      <w:bookmarkStart w:id="205" w:name="_GoBack"/>
      <w:bookmarkEnd w:id="205"/>
      <w:r>
        <w:rPr>
          <w:rFonts w:hint="eastAsia" w:ascii="宋体" w:hAnsi="宋体" w:cs="宋体"/>
          <w:b/>
          <w:bCs/>
          <w:color w:val="auto"/>
          <w:sz w:val="30"/>
          <w:szCs w:val="30"/>
        </w:rPr>
        <w:t>政府采购项目</w:t>
      </w:r>
    </w:p>
    <w:p w14:paraId="38D95E52">
      <w:pPr>
        <w:tabs>
          <w:tab w:val="left" w:pos="7400"/>
        </w:tabs>
        <w:adjustRightInd w:val="0"/>
        <w:snapToGrid w:val="0"/>
        <w:spacing w:line="360" w:lineRule="auto"/>
        <w:rPr>
          <w:rFonts w:ascii="宋体" w:cs="Times New Roman"/>
          <w:b/>
          <w:bCs/>
          <w:color w:val="auto"/>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AKSH2025-ZCS-044-2</w:t>
      </w:r>
      <w:r>
        <w:rPr>
          <w:rFonts w:hint="eastAsia" w:ascii="宋体" w:cs="Times New Roman"/>
          <w:b/>
          <w:bCs/>
          <w:color w:val="auto"/>
          <w:sz w:val="44"/>
          <w:szCs w:val="44"/>
        </w:rPr>
        <w:tab/>
      </w:r>
    </w:p>
    <w:p w14:paraId="7EDF1703">
      <w:pPr>
        <w:tabs>
          <w:tab w:val="left" w:pos="7400"/>
        </w:tabs>
        <w:adjustRightInd w:val="0"/>
        <w:snapToGrid w:val="0"/>
        <w:spacing w:line="360" w:lineRule="auto"/>
        <w:rPr>
          <w:rFonts w:ascii="宋体" w:cs="Times New Roman"/>
          <w:b/>
          <w:bCs/>
          <w:color w:val="auto"/>
          <w:sz w:val="36"/>
          <w:szCs w:val="36"/>
        </w:rPr>
      </w:pPr>
    </w:p>
    <w:p w14:paraId="79738ED2">
      <w:pPr>
        <w:pStyle w:val="14"/>
        <w:rPr>
          <w:color w:val="auto"/>
        </w:rPr>
      </w:pPr>
    </w:p>
    <w:p w14:paraId="4BBE0F36">
      <w:pPr>
        <w:jc w:val="center"/>
        <w:rPr>
          <w:rFonts w:hint="eastAsia" w:ascii="宋体" w:hAnsi="宋体" w:eastAsia="宋体"/>
          <w:b/>
          <w:color w:val="auto"/>
          <w:sz w:val="48"/>
          <w:szCs w:val="48"/>
          <w:lang w:eastAsia="zh-CN"/>
        </w:rPr>
      </w:pPr>
      <w:r>
        <w:rPr>
          <w:rFonts w:hint="eastAsia" w:ascii="宋体" w:hAnsi="宋体"/>
          <w:b/>
          <w:color w:val="auto"/>
          <w:sz w:val="56"/>
          <w:szCs w:val="56"/>
          <w:lang w:eastAsia="zh-CN"/>
        </w:rPr>
        <w:t>安康市中医医院高新分院夏季空调维保服务采购项目（二次）</w:t>
      </w:r>
    </w:p>
    <w:p w14:paraId="65D8599D">
      <w:pPr>
        <w:pStyle w:val="23"/>
        <w:rPr>
          <w:color w:val="auto"/>
        </w:rPr>
      </w:pPr>
    </w:p>
    <w:p w14:paraId="7C3C5B29">
      <w:pPr>
        <w:pStyle w:val="23"/>
        <w:rPr>
          <w:color w:val="auto"/>
        </w:rPr>
      </w:pPr>
    </w:p>
    <w:p w14:paraId="70F6A762">
      <w:pPr>
        <w:pStyle w:val="23"/>
        <w:rPr>
          <w:color w:val="auto"/>
        </w:rPr>
      </w:pPr>
    </w:p>
    <w:p w14:paraId="7319B557">
      <w:pPr>
        <w:pStyle w:val="23"/>
        <w:rPr>
          <w:color w:val="auto"/>
        </w:rPr>
      </w:pPr>
    </w:p>
    <w:p w14:paraId="53C53C4A">
      <w:pPr>
        <w:pStyle w:val="23"/>
        <w:rPr>
          <w:color w:val="auto"/>
        </w:rPr>
      </w:pPr>
    </w:p>
    <w:p w14:paraId="3D1D8710">
      <w:pPr>
        <w:pStyle w:val="23"/>
        <w:rPr>
          <w:color w:val="auto"/>
        </w:rPr>
      </w:pPr>
    </w:p>
    <w:p w14:paraId="19541153">
      <w:pPr>
        <w:pStyle w:val="23"/>
        <w:rPr>
          <w:color w:val="auto"/>
        </w:rPr>
      </w:pPr>
    </w:p>
    <w:p w14:paraId="2DAF8C77">
      <w:pPr>
        <w:pStyle w:val="23"/>
        <w:rPr>
          <w:color w:val="auto"/>
        </w:rPr>
      </w:pPr>
    </w:p>
    <w:p w14:paraId="3D9171EA">
      <w:pPr>
        <w:adjustRightInd w:val="0"/>
        <w:snapToGrid w:val="0"/>
        <w:spacing w:line="360" w:lineRule="auto"/>
        <w:jc w:val="left"/>
        <w:rPr>
          <w:rFonts w:ascii="宋体" w:cs="Times New Roman"/>
          <w:b/>
          <w:bCs/>
          <w:color w:val="auto"/>
          <w:sz w:val="52"/>
          <w:szCs w:val="52"/>
        </w:rPr>
      </w:pPr>
      <w:r>
        <w:rPr>
          <w:rFonts w:hint="eastAsia"/>
          <w:color w:val="auto"/>
        </w:rPr>
        <w:drawing>
          <wp:anchor distT="0" distB="0" distL="114300" distR="114300" simplePos="0" relativeHeight="251660288"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6"/>
                    <a:stretch>
                      <a:fillRect/>
                    </a:stretch>
                  </pic:blipFill>
                  <pic:spPr>
                    <a:xfrm>
                      <a:off x="0" y="0"/>
                      <a:ext cx="1599474" cy="1157901"/>
                    </a:xfrm>
                    <a:prstGeom prst="rect">
                      <a:avLst/>
                    </a:prstGeom>
                  </pic:spPr>
                </pic:pic>
              </a:graphicData>
            </a:graphic>
          </wp:anchor>
        </w:drawing>
      </w:r>
      <w:r>
        <w:rPr>
          <w:rFonts w:hint="eastAsia" w:ascii="宋体" w:cs="Times New Roman"/>
          <w:b/>
          <w:bCs/>
          <w:color w:val="auto"/>
          <w:sz w:val="52"/>
          <w:szCs w:val="52"/>
        </w:rPr>
        <w:t xml:space="preserve"> </w:t>
      </w:r>
    </w:p>
    <w:p w14:paraId="2557C5ED">
      <w:pPr>
        <w:adjustRightInd w:val="0"/>
        <w:snapToGrid w:val="0"/>
        <w:spacing w:line="360" w:lineRule="auto"/>
        <w:jc w:val="left"/>
        <w:rPr>
          <w:rFonts w:ascii="宋体" w:cs="Times New Roman"/>
          <w:b/>
          <w:bCs/>
          <w:color w:val="auto"/>
          <w:sz w:val="52"/>
          <w:szCs w:val="52"/>
        </w:rPr>
      </w:pPr>
      <w:r>
        <w:rPr>
          <w:rFonts w:hint="eastAsia" w:ascii="宋体" w:cs="Times New Roman"/>
          <w:b/>
          <w:bCs/>
          <w:color w:val="auto"/>
          <w:sz w:val="52"/>
          <w:szCs w:val="52"/>
        </w:rPr>
        <w:t xml:space="preserve">          </w:t>
      </w:r>
    </w:p>
    <w:p w14:paraId="05F46B71">
      <w:pPr>
        <w:pStyle w:val="14"/>
        <w:rPr>
          <w:color w:val="auto"/>
        </w:rPr>
      </w:pPr>
    </w:p>
    <w:p w14:paraId="365A2F98">
      <w:pPr>
        <w:tabs>
          <w:tab w:val="left" w:pos="0"/>
        </w:tabs>
        <w:adjustRightInd w:val="0"/>
        <w:snapToGrid w:val="0"/>
        <w:spacing w:line="360" w:lineRule="auto"/>
        <w:ind w:firstLine="2811" w:firstLineChars="500"/>
        <w:rPr>
          <w:rFonts w:ascii="宋体" w:hAnsi="宋体" w:cs="宋体"/>
          <w:b/>
          <w:bCs/>
          <w:color w:val="auto"/>
          <w:sz w:val="56"/>
          <w:szCs w:val="56"/>
        </w:rPr>
      </w:pPr>
      <w:r>
        <w:rPr>
          <w:rFonts w:hint="eastAsia" w:ascii="宋体" w:hAnsi="宋体" w:cs="宋体"/>
          <w:b/>
          <w:bCs/>
          <w:color w:val="auto"/>
          <w:sz w:val="56"/>
          <w:szCs w:val="56"/>
        </w:rPr>
        <w:t>竞争性磋商文件</w:t>
      </w:r>
    </w:p>
    <w:p w14:paraId="64AE20DA">
      <w:pPr>
        <w:rPr>
          <w:color w:val="auto"/>
        </w:rPr>
      </w:pPr>
    </w:p>
    <w:p w14:paraId="0DC2664A">
      <w:pPr>
        <w:pStyle w:val="23"/>
        <w:rPr>
          <w:color w:val="auto"/>
        </w:rPr>
      </w:pPr>
    </w:p>
    <w:p w14:paraId="5AACF131">
      <w:pPr>
        <w:pStyle w:val="23"/>
        <w:rPr>
          <w:color w:val="auto"/>
        </w:rPr>
      </w:pPr>
    </w:p>
    <w:p w14:paraId="28729689">
      <w:pPr>
        <w:pStyle w:val="23"/>
        <w:rPr>
          <w:color w:val="auto"/>
        </w:rPr>
      </w:pPr>
    </w:p>
    <w:p w14:paraId="4AD3068D">
      <w:pPr>
        <w:pStyle w:val="23"/>
        <w:rPr>
          <w:color w:val="auto"/>
        </w:rPr>
      </w:pPr>
    </w:p>
    <w:p w14:paraId="1F9B6AE0">
      <w:pPr>
        <w:adjustRightInd w:val="0"/>
        <w:snapToGrid w:val="0"/>
        <w:spacing w:line="840" w:lineRule="auto"/>
        <w:ind w:firstLine="2108" w:firstLineChars="700"/>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采 购 人：</w:t>
      </w:r>
      <w:r>
        <w:rPr>
          <w:rFonts w:hint="eastAsia" w:ascii="宋体" w:hAnsi="宋体" w:cs="宋体"/>
          <w:b/>
          <w:bCs/>
          <w:color w:val="auto"/>
          <w:sz w:val="30"/>
          <w:szCs w:val="30"/>
          <w:lang w:eastAsia="zh-CN"/>
        </w:rPr>
        <w:t>安康市中医医院</w:t>
      </w:r>
    </w:p>
    <w:p w14:paraId="1AAE9B99">
      <w:pPr>
        <w:adjustRightInd w:val="0"/>
        <w:snapToGrid w:val="0"/>
        <w:spacing w:line="840" w:lineRule="auto"/>
        <w:jc w:val="center"/>
        <w:rPr>
          <w:rFonts w:ascii="宋体" w:hAnsi="宋体" w:cs="宋体"/>
          <w:b/>
          <w:bCs/>
          <w:color w:val="auto"/>
          <w:sz w:val="30"/>
          <w:szCs w:val="30"/>
        </w:rPr>
      </w:pPr>
      <w:r>
        <w:rPr>
          <w:rFonts w:hint="eastAsia" w:ascii="宋体" w:hAnsi="宋体" w:cs="宋体"/>
          <w:b/>
          <w:bCs/>
          <w:color w:val="auto"/>
          <w:sz w:val="30"/>
          <w:szCs w:val="30"/>
        </w:rPr>
        <w:t xml:space="preserve"> 代理机构：安康尚昊招标代理有限公司</w:t>
      </w:r>
    </w:p>
    <w:p w14:paraId="38BC934B">
      <w:pPr>
        <w:adjustRightInd w:val="0"/>
        <w:snapToGrid w:val="0"/>
        <w:spacing w:line="840" w:lineRule="auto"/>
        <w:ind w:firstLine="2108" w:firstLineChars="700"/>
        <w:rPr>
          <w:rFonts w:ascii="宋体" w:cs="Times New Roman"/>
          <w:b/>
          <w:bCs/>
          <w:color w:val="auto"/>
          <w:sz w:val="30"/>
          <w:szCs w:val="30"/>
        </w:rPr>
        <w:sectPr>
          <w:headerReference r:id="rId4" w:type="first"/>
          <w:headerReference r:id="rId3" w:type="default"/>
          <w:footerReference r:id="rId5" w:type="default"/>
          <w:pgSz w:w="11906" w:h="16838"/>
          <w:pgMar w:top="1417" w:right="1417" w:bottom="1417" w:left="1417" w:header="850" w:footer="992" w:gutter="0"/>
          <w:cols w:space="0" w:num="1"/>
          <w:titlePg/>
          <w:docGrid w:type="lines" w:linePitch="326" w:charSpace="0"/>
        </w:sectPr>
      </w:pPr>
      <w:r>
        <w:rPr>
          <w:rFonts w:hint="eastAsia" w:ascii="宋体" w:hAnsi="宋体" w:cs="宋体"/>
          <w:b/>
          <w:bCs/>
          <w:color w:val="auto"/>
          <w:sz w:val="30"/>
          <w:szCs w:val="30"/>
        </w:rPr>
        <w:t>时    间：二</w:t>
      </w:r>
      <w:r>
        <w:rPr>
          <w:rFonts w:hint="eastAsia" w:ascii="宋体" w:hAnsi="宋体" w:cs="宋体"/>
          <w:b/>
          <w:bCs/>
          <w:color w:val="auto"/>
          <w:sz w:val="30"/>
          <w:szCs w:val="30"/>
          <w:lang w:val="en-US" w:eastAsia="zh-CN"/>
        </w:rPr>
        <w:t>〇</w:t>
      </w:r>
      <w:r>
        <w:rPr>
          <w:rFonts w:ascii="宋体" w:hAnsi="宋体" w:cs="宋体"/>
          <w:b/>
          <w:bCs/>
          <w:color w:val="auto"/>
          <w:sz w:val="30"/>
          <w:szCs w:val="30"/>
        </w:rPr>
        <w:t>二</w:t>
      </w:r>
      <w:r>
        <w:rPr>
          <w:rFonts w:hint="eastAsia" w:ascii="宋体" w:hAnsi="宋体" w:cs="宋体"/>
          <w:b/>
          <w:bCs/>
          <w:color w:val="auto"/>
          <w:sz w:val="30"/>
          <w:szCs w:val="30"/>
          <w:lang w:val="en-US" w:eastAsia="zh-CN"/>
        </w:rPr>
        <w:t>五</w:t>
      </w:r>
      <w:r>
        <w:rPr>
          <w:rFonts w:hint="eastAsia" w:ascii="宋体" w:hAnsi="宋体" w:cs="宋体"/>
          <w:b/>
          <w:bCs/>
          <w:color w:val="auto"/>
          <w:sz w:val="30"/>
          <w:szCs w:val="30"/>
        </w:rPr>
        <w:t>年</w:t>
      </w:r>
      <w:r>
        <w:rPr>
          <w:rFonts w:hint="eastAsia" w:ascii="宋体" w:hAnsi="宋体" w:cs="宋体"/>
          <w:b/>
          <w:bCs/>
          <w:color w:val="auto"/>
          <w:sz w:val="30"/>
          <w:szCs w:val="30"/>
          <w:lang w:val="en-US" w:eastAsia="zh-CN"/>
        </w:rPr>
        <w:t>五</w:t>
      </w:r>
      <w:r>
        <w:rPr>
          <w:rFonts w:hint="eastAsia" w:ascii="宋体" w:hAnsi="宋体" w:cs="宋体"/>
          <w:b/>
          <w:bCs/>
          <w:color w:val="auto"/>
          <w:sz w:val="30"/>
          <w:szCs w:val="30"/>
        </w:rPr>
        <w:t>月</w:t>
      </w:r>
    </w:p>
    <w:p w14:paraId="467B2201">
      <w:pPr>
        <w:pStyle w:val="25"/>
        <w:tabs>
          <w:tab w:val="center" w:pos="4819"/>
          <w:tab w:val="left" w:pos="6069"/>
          <w:tab w:val="right" w:leader="dot" w:pos="8306"/>
        </w:tabs>
        <w:spacing w:before="0" w:after="0" w:line="480" w:lineRule="exact"/>
        <w:rPr>
          <w:rFonts w:ascii="宋体" w:hAnsi="宋体" w:cs="宋体"/>
          <w:b w:val="0"/>
          <w:bCs w:val="0"/>
          <w:color w:val="auto"/>
          <w:sz w:val="48"/>
          <w:szCs w:val="52"/>
        </w:rPr>
      </w:pPr>
      <w:r>
        <w:rPr>
          <w:rFonts w:ascii="宋体" w:hAnsi="宋体" w:cs="宋体"/>
          <w:b w:val="0"/>
          <w:bCs w:val="0"/>
          <w:color w:val="auto"/>
          <w:sz w:val="48"/>
          <w:szCs w:val="52"/>
        </w:rPr>
        <w:tab/>
      </w:r>
    </w:p>
    <w:p w14:paraId="5B002BCE">
      <w:pPr>
        <w:rPr>
          <w:color w:val="auto"/>
        </w:rPr>
      </w:pPr>
    </w:p>
    <w:p w14:paraId="3505B514">
      <w:pPr>
        <w:pStyle w:val="25"/>
        <w:tabs>
          <w:tab w:val="center" w:pos="4819"/>
          <w:tab w:val="left" w:pos="6069"/>
          <w:tab w:val="right" w:leader="dot" w:pos="8306"/>
        </w:tabs>
        <w:spacing w:before="0" w:after="0" w:line="480" w:lineRule="exact"/>
        <w:jc w:val="center"/>
        <w:rPr>
          <w:rFonts w:ascii="宋体" w:hAnsi="宋体" w:cs="宋体"/>
          <w:b w:val="0"/>
          <w:bCs w:val="0"/>
          <w:color w:val="auto"/>
          <w:sz w:val="48"/>
          <w:szCs w:val="52"/>
        </w:rPr>
      </w:pPr>
      <w:r>
        <w:rPr>
          <w:rFonts w:hint="eastAsia" w:ascii="宋体" w:hAnsi="宋体" w:cs="宋体"/>
          <w:b w:val="0"/>
          <w:bCs w:val="0"/>
          <w:color w:val="auto"/>
          <w:sz w:val="48"/>
          <w:szCs w:val="52"/>
        </w:rPr>
        <w:t xml:space="preserve">目 </w:t>
      </w:r>
      <w:r>
        <w:rPr>
          <w:rFonts w:ascii="宋体" w:hAnsi="宋体" w:cs="宋体"/>
          <w:b w:val="0"/>
          <w:bCs w:val="0"/>
          <w:color w:val="auto"/>
          <w:sz w:val="48"/>
          <w:szCs w:val="52"/>
        </w:rPr>
        <w:t xml:space="preserve"> </w:t>
      </w:r>
      <w:r>
        <w:rPr>
          <w:rFonts w:hint="eastAsia" w:ascii="宋体" w:hAnsi="宋体" w:cs="宋体"/>
          <w:b w:val="0"/>
          <w:bCs w:val="0"/>
          <w:color w:val="auto"/>
          <w:sz w:val="48"/>
          <w:szCs w:val="52"/>
        </w:rPr>
        <w:t>录</w:t>
      </w:r>
    </w:p>
    <w:p w14:paraId="2A2A77A6">
      <w:pPr>
        <w:rPr>
          <w:color w:val="auto"/>
          <w:sz w:val="20"/>
          <w:szCs w:val="20"/>
        </w:rPr>
      </w:pPr>
    </w:p>
    <w:p w14:paraId="2F377768">
      <w:pPr>
        <w:pStyle w:val="25"/>
        <w:tabs>
          <w:tab w:val="right" w:leader="dot" w:pos="9072"/>
        </w:tabs>
        <w:rPr>
          <w:sz w:val="28"/>
          <w:szCs w:val="28"/>
        </w:rPr>
      </w:pPr>
      <w:bookmarkStart w:id="1" w:name="_Toc536429369"/>
      <w:bookmarkStart w:id="2" w:name="_Toc536202376"/>
      <w:bookmarkStart w:id="3" w:name="_Toc19543333"/>
      <w:bookmarkStart w:id="4" w:name="_Toc536202282"/>
      <w:bookmarkStart w:id="5" w:name="OLE_LINK3"/>
      <w:bookmarkStart w:id="6" w:name="_Toc30089"/>
      <w:bookmarkStart w:id="7" w:name="_Toc438048787"/>
      <w:r>
        <w:rPr>
          <w:rFonts w:hint="eastAsia" w:ascii="宋体" w:hAnsi="宋体" w:cs="宋体"/>
          <w:caps w:val="0"/>
          <w:color w:val="auto"/>
          <w:sz w:val="28"/>
          <w:szCs w:val="28"/>
        </w:rPr>
        <w:fldChar w:fldCharType="begin"/>
      </w:r>
      <w:r>
        <w:rPr>
          <w:rFonts w:hint="eastAsia" w:ascii="宋体" w:hAnsi="宋体" w:cs="宋体"/>
          <w:caps w:val="0"/>
          <w:color w:val="auto"/>
          <w:sz w:val="28"/>
          <w:szCs w:val="28"/>
        </w:rPr>
        <w:instrText xml:space="preserve"> TOC \o "1-1" \h \z \u </w:instrText>
      </w:r>
      <w:r>
        <w:rPr>
          <w:rFonts w:hint="eastAsia" w:ascii="宋体" w:hAnsi="宋体" w:cs="宋体"/>
          <w:caps w:val="0"/>
          <w:color w:val="auto"/>
          <w:sz w:val="28"/>
          <w:szCs w:val="28"/>
        </w:rPr>
        <w:fldChar w:fldCharType="separate"/>
      </w:r>
      <w:r>
        <w:rPr>
          <w:rFonts w:hint="eastAsia" w:ascii="宋体" w:hAnsi="宋体" w:cs="宋体"/>
          <w:caps w:val="0"/>
          <w:color w:val="auto"/>
          <w:sz w:val="28"/>
          <w:szCs w:val="44"/>
        </w:rPr>
        <w:fldChar w:fldCharType="begin"/>
      </w:r>
      <w:r>
        <w:rPr>
          <w:rFonts w:hint="eastAsia" w:ascii="宋体" w:hAnsi="宋体" w:cs="宋体"/>
          <w:caps w:val="0"/>
          <w:sz w:val="28"/>
          <w:szCs w:val="44"/>
        </w:rPr>
        <w:instrText xml:space="preserve"> HYPERLINK \l _Toc8117 </w:instrText>
      </w:r>
      <w:r>
        <w:rPr>
          <w:rFonts w:hint="eastAsia" w:ascii="宋体" w:hAnsi="宋体" w:cs="宋体"/>
          <w:caps w:val="0"/>
          <w:sz w:val="28"/>
          <w:szCs w:val="44"/>
        </w:rPr>
        <w:fldChar w:fldCharType="separate"/>
      </w:r>
      <w:r>
        <w:rPr>
          <w:rFonts w:hint="eastAsia"/>
          <w:sz w:val="28"/>
          <w:szCs w:val="28"/>
        </w:rPr>
        <w:t>第一部分  竞争性</w:t>
      </w:r>
      <w:r>
        <w:rPr>
          <w:sz w:val="28"/>
          <w:szCs w:val="28"/>
        </w:rPr>
        <w:t>磋商公告</w:t>
      </w:r>
      <w:r>
        <w:rPr>
          <w:sz w:val="28"/>
          <w:szCs w:val="28"/>
        </w:rPr>
        <w:tab/>
      </w:r>
      <w:r>
        <w:rPr>
          <w:sz w:val="28"/>
          <w:szCs w:val="28"/>
        </w:rPr>
        <w:fldChar w:fldCharType="begin"/>
      </w:r>
      <w:r>
        <w:rPr>
          <w:sz w:val="28"/>
          <w:szCs w:val="28"/>
        </w:rPr>
        <w:instrText xml:space="preserve"> PAGEREF _Toc8117 \h </w:instrText>
      </w:r>
      <w:r>
        <w:rPr>
          <w:sz w:val="28"/>
          <w:szCs w:val="28"/>
        </w:rPr>
        <w:fldChar w:fldCharType="separate"/>
      </w:r>
      <w:r>
        <w:rPr>
          <w:sz w:val="28"/>
          <w:szCs w:val="28"/>
        </w:rPr>
        <w:t>1</w:t>
      </w:r>
      <w:r>
        <w:rPr>
          <w:sz w:val="28"/>
          <w:szCs w:val="28"/>
        </w:rPr>
        <w:fldChar w:fldCharType="end"/>
      </w:r>
      <w:r>
        <w:rPr>
          <w:rFonts w:hint="eastAsia" w:ascii="宋体" w:hAnsi="宋体" w:cs="宋体"/>
          <w:caps w:val="0"/>
          <w:color w:val="auto"/>
          <w:sz w:val="28"/>
          <w:szCs w:val="44"/>
        </w:rPr>
        <w:fldChar w:fldCharType="end"/>
      </w:r>
    </w:p>
    <w:p w14:paraId="0FD63691">
      <w:pPr>
        <w:pStyle w:val="25"/>
        <w:tabs>
          <w:tab w:val="right" w:leader="dot" w:pos="9072"/>
        </w:tabs>
        <w:rPr>
          <w:sz w:val="28"/>
          <w:szCs w:val="28"/>
        </w:rPr>
      </w:pPr>
      <w:r>
        <w:rPr>
          <w:rFonts w:hint="eastAsia" w:ascii="宋体" w:hAnsi="宋体" w:cs="宋体"/>
          <w:caps/>
          <w:color w:val="auto"/>
          <w:kern w:val="2"/>
          <w:sz w:val="28"/>
          <w:szCs w:val="44"/>
        </w:rPr>
        <w:fldChar w:fldCharType="begin"/>
      </w:r>
      <w:r>
        <w:rPr>
          <w:rFonts w:hint="eastAsia" w:ascii="宋体" w:hAnsi="宋体" w:cs="宋体"/>
          <w:caps/>
          <w:kern w:val="2"/>
          <w:sz w:val="28"/>
          <w:szCs w:val="44"/>
        </w:rPr>
        <w:instrText xml:space="preserve"> HYPERLINK \l _Toc28381 </w:instrText>
      </w:r>
      <w:r>
        <w:rPr>
          <w:rFonts w:hint="eastAsia" w:ascii="宋体" w:hAnsi="宋体" w:cs="宋体"/>
          <w:caps/>
          <w:kern w:val="2"/>
          <w:sz w:val="28"/>
          <w:szCs w:val="44"/>
        </w:rPr>
        <w:fldChar w:fldCharType="separate"/>
      </w:r>
      <w:r>
        <w:rPr>
          <w:rFonts w:hint="eastAsia"/>
          <w:sz w:val="28"/>
          <w:szCs w:val="28"/>
        </w:rPr>
        <w:t>第二部分</w:t>
      </w:r>
      <w:r>
        <w:rPr>
          <w:sz w:val="28"/>
          <w:szCs w:val="28"/>
        </w:rPr>
        <w:t xml:space="preserve">  </w:t>
      </w:r>
      <w:r>
        <w:rPr>
          <w:rFonts w:hint="eastAsia"/>
          <w:sz w:val="28"/>
          <w:szCs w:val="28"/>
        </w:rPr>
        <w:t>供应商须知前附表</w:t>
      </w:r>
      <w:r>
        <w:rPr>
          <w:sz w:val="28"/>
          <w:szCs w:val="28"/>
        </w:rPr>
        <w:tab/>
      </w:r>
      <w:r>
        <w:rPr>
          <w:sz w:val="28"/>
          <w:szCs w:val="28"/>
        </w:rPr>
        <w:fldChar w:fldCharType="begin"/>
      </w:r>
      <w:r>
        <w:rPr>
          <w:sz w:val="28"/>
          <w:szCs w:val="28"/>
        </w:rPr>
        <w:instrText xml:space="preserve"> PAGEREF _Toc28381 \h </w:instrText>
      </w:r>
      <w:r>
        <w:rPr>
          <w:sz w:val="28"/>
          <w:szCs w:val="28"/>
        </w:rPr>
        <w:fldChar w:fldCharType="separate"/>
      </w:r>
      <w:r>
        <w:rPr>
          <w:sz w:val="28"/>
          <w:szCs w:val="28"/>
        </w:rPr>
        <w:t>4</w:t>
      </w:r>
      <w:r>
        <w:rPr>
          <w:sz w:val="28"/>
          <w:szCs w:val="28"/>
        </w:rPr>
        <w:fldChar w:fldCharType="end"/>
      </w:r>
      <w:r>
        <w:rPr>
          <w:rFonts w:hint="eastAsia" w:ascii="宋体" w:hAnsi="宋体" w:cs="宋体"/>
          <w:caps/>
          <w:color w:val="auto"/>
          <w:kern w:val="2"/>
          <w:sz w:val="28"/>
          <w:szCs w:val="44"/>
        </w:rPr>
        <w:fldChar w:fldCharType="end"/>
      </w:r>
    </w:p>
    <w:p w14:paraId="541FD87C">
      <w:pPr>
        <w:pStyle w:val="25"/>
        <w:tabs>
          <w:tab w:val="right" w:leader="dot" w:pos="9072"/>
        </w:tabs>
        <w:rPr>
          <w:sz w:val="28"/>
          <w:szCs w:val="28"/>
        </w:rPr>
      </w:pPr>
      <w:r>
        <w:rPr>
          <w:rFonts w:hint="eastAsia" w:ascii="宋体" w:hAnsi="宋体" w:cs="宋体"/>
          <w:caps/>
          <w:color w:val="auto"/>
          <w:kern w:val="2"/>
          <w:sz w:val="28"/>
          <w:szCs w:val="44"/>
        </w:rPr>
        <w:fldChar w:fldCharType="begin"/>
      </w:r>
      <w:r>
        <w:rPr>
          <w:rFonts w:hint="eastAsia" w:ascii="宋体" w:hAnsi="宋体" w:cs="宋体"/>
          <w:caps/>
          <w:kern w:val="2"/>
          <w:sz w:val="28"/>
          <w:szCs w:val="44"/>
        </w:rPr>
        <w:instrText xml:space="preserve"> HYPERLINK \l _Toc7866 </w:instrText>
      </w:r>
      <w:r>
        <w:rPr>
          <w:rFonts w:hint="eastAsia" w:ascii="宋体" w:hAnsi="宋体" w:cs="宋体"/>
          <w:caps/>
          <w:kern w:val="2"/>
          <w:sz w:val="28"/>
          <w:szCs w:val="44"/>
        </w:rPr>
        <w:fldChar w:fldCharType="separate"/>
      </w:r>
      <w:r>
        <w:rPr>
          <w:rFonts w:hint="eastAsia" w:ascii="宋体" w:hAnsi="宋体" w:cs="宋体"/>
          <w:sz w:val="28"/>
          <w:szCs w:val="28"/>
        </w:rPr>
        <w:t xml:space="preserve">第三部分 </w:t>
      </w:r>
      <w:r>
        <w:rPr>
          <w:rFonts w:ascii="宋体" w:hAnsi="宋体" w:cs="宋体"/>
          <w:sz w:val="28"/>
          <w:szCs w:val="28"/>
        </w:rPr>
        <w:t xml:space="preserve"> </w:t>
      </w:r>
      <w:r>
        <w:rPr>
          <w:rFonts w:hint="eastAsia" w:ascii="宋体" w:hAnsi="宋体" w:cs="宋体"/>
          <w:sz w:val="28"/>
          <w:szCs w:val="28"/>
        </w:rPr>
        <w:t>供应商须知</w:t>
      </w:r>
      <w:r>
        <w:rPr>
          <w:sz w:val="28"/>
          <w:szCs w:val="28"/>
        </w:rPr>
        <w:tab/>
      </w:r>
      <w:r>
        <w:rPr>
          <w:sz w:val="28"/>
          <w:szCs w:val="28"/>
        </w:rPr>
        <w:fldChar w:fldCharType="begin"/>
      </w:r>
      <w:r>
        <w:rPr>
          <w:sz w:val="28"/>
          <w:szCs w:val="28"/>
        </w:rPr>
        <w:instrText xml:space="preserve"> PAGEREF _Toc7866 \h </w:instrText>
      </w:r>
      <w:r>
        <w:rPr>
          <w:sz w:val="28"/>
          <w:szCs w:val="28"/>
        </w:rPr>
        <w:fldChar w:fldCharType="separate"/>
      </w:r>
      <w:r>
        <w:rPr>
          <w:sz w:val="28"/>
          <w:szCs w:val="28"/>
        </w:rPr>
        <w:t>7</w:t>
      </w:r>
      <w:r>
        <w:rPr>
          <w:sz w:val="28"/>
          <w:szCs w:val="28"/>
        </w:rPr>
        <w:fldChar w:fldCharType="end"/>
      </w:r>
      <w:r>
        <w:rPr>
          <w:rFonts w:hint="eastAsia" w:ascii="宋体" w:hAnsi="宋体" w:cs="宋体"/>
          <w:caps/>
          <w:color w:val="auto"/>
          <w:kern w:val="2"/>
          <w:sz w:val="28"/>
          <w:szCs w:val="44"/>
        </w:rPr>
        <w:fldChar w:fldCharType="end"/>
      </w:r>
    </w:p>
    <w:p w14:paraId="42FAFC8B">
      <w:pPr>
        <w:pStyle w:val="25"/>
        <w:tabs>
          <w:tab w:val="right" w:leader="dot" w:pos="9072"/>
        </w:tabs>
        <w:rPr>
          <w:sz w:val="28"/>
          <w:szCs w:val="28"/>
        </w:rPr>
      </w:pPr>
      <w:r>
        <w:rPr>
          <w:rFonts w:hint="eastAsia" w:ascii="宋体" w:hAnsi="宋体" w:cs="宋体"/>
          <w:caps/>
          <w:color w:val="auto"/>
          <w:kern w:val="2"/>
          <w:sz w:val="28"/>
          <w:szCs w:val="44"/>
        </w:rPr>
        <w:fldChar w:fldCharType="begin"/>
      </w:r>
      <w:r>
        <w:rPr>
          <w:rFonts w:hint="eastAsia" w:ascii="宋体" w:hAnsi="宋体" w:cs="宋体"/>
          <w:caps/>
          <w:kern w:val="2"/>
          <w:sz w:val="28"/>
          <w:szCs w:val="44"/>
        </w:rPr>
        <w:instrText xml:space="preserve"> HYPERLINK \l _Toc18523 </w:instrText>
      </w:r>
      <w:r>
        <w:rPr>
          <w:rFonts w:hint="eastAsia" w:ascii="宋体" w:hAnsi="宋体" w:cs="宋体"/>
          <w:caps/>
          <w:kern w:val="2"/>
          <w:sz w:val="28"/>
          <w:szCs w:val="44"/>
        </w:rPr>
        <w:fldChar w:fldCharType="separate"/>
      </w:r>
      <w:r>
        <w:rPr>
          <w:rFonts w:hint="eastAsia"/>
          <w:sz w:val="28"/>
          <w:szCs w:val="28"/>
        </w:rPr>
        <w:t xml:space="preserve">第四部分 </w:t>
      </w:r>
      <w:r>
        <w:rPr>
          <w:rFonts w:hint="eastAsia"/>
          <w:sz w:val="28"/>
          <w:szCs w:val="28"/>
          <w:lang w:val="en-US" w:eastAsia="zh-CN"/>
        </w:rPr>
        <w:t xml:space="preserve"> </w:t>
      </w:r>
      <w:r>
        <w:rPr>
          <w:rFonts w:hint="eastAsia"/>
          <w:sz w:val="28"/>
          <w:szCs w:val="28"/>
        </w:rPr>
        <w:t>评分</w:t>
      </w:r>
      <w:r>
        <w:rPr>
          <w:sz w:val="28"/>
          <w:szCs w:val="28"/>
        </w:rPr>
        <w:t>标准</w:t>
      </w:r>
      <w:r>
        <w:rPr>
          <w:sz w:val="28"/>
          <w:szCs w:val="28"/>
        </w:rPr>
        <w:tab/>
      </w:r>
      <w:r>
        <w:rPr>
          <w:sz w:val="28"/>
          <w:szCs w:val="28"/>
        </w:rPr>
        <w:fldChar w:fldCharType="begin"/>
      </w:r>
      <w:r>
        <w:rPr>
          <w:sz w:val="28"/>
          <w:szCs w:val="28"/>
        </w:rPr>
        <w:instrText xml:space="preserve"> PAGEREF _Toc18523 \h </w:instrText>
      </w:r>
      <w:r>
        <w:rPr>
          <w:sz w:val="28"/>
          <w:szCs w:val="28"/>
        </w:rPr>
        <w:fldChar w:fldCharType="separate"/>
      </w:r>
      <w:r>
        <w:rPr>
          <w:sz w:val="28"/>
          <w:szCs w:val="28"/>
        </w:rPr>
        <w:t>21</w:t>
      </w:r>
      <w:r>
        <w:rPr>
          <w:sz w:val="28"/>
          <w:szCs w:val="28"/>
        </w:rPr>
        <w:fldChar w:fldCharType="end"/>
      </w:r>
      <w:r>
        <w:rPr>
          <w:rFonts w:hint="eastAsia" w:ascii="宋体" w:hAnsi="宋体" w:cs="宋体"/>
          <w:caps/>
          <w:color w:val="auto"/>
          <w:kern w:val="2"/>
          <w:sz w:val="28"/>
          <w:szCs w:val="44"/>
        </w:rPr>
        <w:fldChar w:fldCharType="end"/>
      </w:r>
    </w:p>
    <w:p w14:paraId="6727F05C">
      <w:pPr>
        <w:pStyle w:val="25"/>
        <w:tabs>
          <w:tab w:val="right" w:leader="dot" w:pos="9072"/>
        </w:tabs>
        <w:rPr>
          <w:sz w:val="28"/>
          <w:szCs w:val="28"/>
        </w:rPr>
      </w:pPr>
      <w:r>
        <w:rPr>
          <w:rFonts w:hint="eastAsia" w:ascii="宋体" w:hAnsi="宋体" w:cs="宋体"/>
          <w:caps/>
          <w:color w:val="auto"/>
          <w:kern w:val="2"/>
          <w:sz w:val="28"/>
          <w:szCs w:val="44"/>
        </w:rPr>
        <w:fldChar w:fldCharType="begin"/>
      </w:r>
      <w:r>
        <w:rPr>
          <w:rFonts w:hint="eastAsia" w:ascii="宋体" w:hAnsi="宋体" w:cs="宋体"/>
          <w:caps/>
          <w:kern w:val="2"/>
          <w:sz w:val="28"/>
          <w:szCs w:val="44"/>
        </w:rPr>
        <w:instrText xml:space="preserve"> HYPERLINK \l _Toc11325 </w:instrText>
      </w:r>
      <w:r>
        <w:rPr>
          <w:rFonts w:hint="eastAsia" w:ascii="宋体" w:hAnsi="宋体" w:cs="宋体"/>
          <w:caps/>
          <w:kern w:val="2"/>
          <w:sz w:val="28"/>
          <w:szCs w:val="44"/>
        </w:rPr>
        <w:fldChar w:fldCharType="separate"/>
      </w:r>
      <w:r>
        <w:rPr>
          <w:rFonts w:hint="eastAsia" w:ascii="宋体" w:hAnsi="宋体" w:cs="宋体"/>
          <w:sz w:val="28"/>
          <w:szCs w:val="28"/>
        </w:rPr>
        <w:t xml:space="preserve">第五部分 </w:t>
      </w:r>
      <w:r>
        <w:rPr>
          <w:rFonts w:hint="eastAsia" w:ascii="宋体" w:hAnsi="宋体" w:cs="宋体"/>
          <w:sz w:val="28"/>
          <w:szCs w:val="28"/>
          <w:lang w:val="en-US" w:eastAsia="zh-CN"/>
        </w:rPr>
        <w:t xml:space="preserve"> </w:t>
      </w:r>
      <w:r>
        <w:rPr>
          <w:rFonts w:hint="eastAsia" w:ascii="宋体" w:hAnsi="宋体" w:cs="宋体"/>
          <w:sz w:val="28"/>
          <w:szCs w:val="28"/>
        </w:rPr>
        <w:t>采购内容及要求</w:t>
      </w:r>
      <w:r>
        <w:rPr>
          <w:sz w:val="28"/>
          <w:szCs w:val="28"/>
        </w:rPr>
        <w:tab/>
      </w:r>
      <w:r>
        <w:rPr>
          <w:sz w:val="28"/>
          <w:szCs w:val="28"/>
        </w:rPr>
        <w:fldChar w:fldCharType="begin"/>
      </w:r>
      <w:r>
        <w:rPr>
          <w:sz w:val="28"/>
          <w:szCs w:val="28"/>
        </w:rPr>
        <w:instrText xml:space="preserve"> PAGEREF _Toc11325 \h </w:instrText>
      </w:r>
      <w:r>
        <w:rPr>
          <w:sz w:val="28"/>
          <w:szCs w:val="28"/>
        </w:rPr>
        <w:fldChar w:fldCharType="separate"/>
      </w:r>
      <w:r>
        <w:rPr>
          <w:sz w:val="28"/>
          <w:szCs w:val="28"/>
        </w:rPr>
        <w:t>24</w:t>
      </w:r>
      <w:r>
        <w:rPr>
          <w:sz w:val="28"/>
          <w:szCs w:val="28"/>
        </w:rPr>
        <w:fldChar w:fldCharType="end"/>
      </w:r>
      <w:r>
        <w:rPr>
          <w:rFonts w:hint="eastAsia" w:ascii="宋体" w:hAnsi="宋体" w:cs="宋体"/>
          <w:caps/>
          <w:color w:val="auto"/>
          <w:kern w:val="2"/>
          <w:sz w:val="28"/>
          <w:szCs w:val="44"/>
        </w:rPr>
        <w:fldChar w:fldCharType="end"/>
      </w:r>
    </w:p>
    <w:p w14:paraId="7C0EC921">
      <w:pPr>
        <w:pStyle w:val="25"/>
        <w:tabs>
          <w:tab w:val="right" w:leader="dot" w:pos="9072"/>
        </w:tabs>
        <w:rPr>
          <w:sz w:val="28"/>
          <w:szCs w:val="28"/>
        </w:rPr>
      </w:pPr>
      <w:r>
        <w:rPr>
          <w:rFonts w:hint="eastAsia" w:ascii="宋体" w:hAnsi="宋体" w:cs="宋体"/>
          <w:caps/>
          <w:color w:val="auto"/>
          <w:kern w:val="2"/>
          <w:sz w:val="28"/>
          <w:szCs w:val="44"/>
        </w:rPr>
        <w:fldChar w:fldCharType="begin"/>
      </w:r>
      <w:r>
        <w:rPr>
          <w:rFonts w:hint="eastAsia" w:ascii="宋体" w:hAnsi="宋体" w:cs="宋体"/>
          <w:caps/>
          <w:kern w:val="2"/>
          <w:sz w:val="28"/>
          <w:szCs w:val="44"/>
        </w:rPr>
        <w:instrText xml:space="preserve"> HYPERLINK \l _Toc30964 </w:instrText>
      </w:r>
      <w:r>
        <w:rPr>
          <w:rFonts w:hint="eastAsia" w:ascii="宋体" w:hAnsi="宋体" w:cs="宋体"/>
          <w:caps/>
          <w:kern w:val="2"/>
          <w:sz w:val="28"/>
          <w:szCs w:val="44"/>
        </w:rPr>
        <w:fldChar w:fldCharType="separate"/>
      </w:r>
      <w:r>
        <w:rPr>
          <w:rFonts w:hint="eastAsia" w:ascii="宋体" w:hAnsi="宋体" w:cs="宋体"/>
          <w:sz w:val="28"/>
          <w:szCs w:val="28"/>
        </w:rPr>
        <w:t xml:space="preserve">第六部分 </w:t>
      </w:r>
      <w:r>
        <w:rPr>
          <w:rFonts w:hint="eastAsia" w:ascii="宋体" w:hAnsi="宋体" w:cs="宋体"/>
          <w:sz w:val="28"/>
          <w:szCs w:val="28"/>
          <w:lang w:val="en-US" w:eastAsia="zh-CN"/>
        </w:rPr>
        <w:t xml:space="preserve"> </w:t>
      </w:r>
      <w:r>
        <w:rPr>
          <w:rFonts w:hint="eastAsia" w:ascii="宋体" w:hAnsi="宋体" w:cs="宋体"/>
          <w:sz w:val="28"/>
          <w:szCs w:val="28"/>
        </w:rPr>
        <w:t>商务及合同主要条款</w:t>
      </w:r>
      <w:r>
        <w:rPr>
          <w:sz w:val="28"/>
          <w:szCs w:val="28"/>
        </w:rPr>
        <w:tab/>
      </w:r>
      <w:r>
        <w:rPr>
          <w:sz w:val="28"/>
          <w:szCs w:val="28"/>
        </w:rPr>
        <w:fldChar w:fldCharType="begin"/>
      </w:r>
      <w:r>
        <w:rPr>
          <w:sz w:val="28"/>
          <w:szCs w:val="28"/>
        </w:rPr>
        <w:instrText xml:space="preserve"> PAGEREF _Toc30964 \h </w:instrText>
      </w:r>
      <w:r>
        <w:rPr>
          <w:sz w:val="28"/>
          <w:szCs w:val="28"/>
        </w:rPr>
        <w:fldChar w:fldCharType="separate"/>
      </w:r>
      <w:r>
        <w:rPr>
          <w:sz w:val="28"/>
          <w:szCs w:val="28"/>
        </w:rPr>
        <w:t>28</w:t>
      </w:r>
      <w:r>
        <w:rPr>
          <w:sz w:val="28"/>
          <w:szCs w:val="28"/>
        </w:rPr>
        <w:fldChar w:fldCharType="end"/>
      </w:r>
      <w:r>
        <w:rPr>
          <w:rFonts w:hint="eastAsia" w:ascii="宋体" w:hAnsi="宋体" w:cs="宋体"/>
          <w:caps/>
          <w:color w:val="auto"/>
          <w:kern w:val="2"/>
          <w:sz w:val="28"/>
          <w:szCs w:val="44"/>
        </w:rPr>
        <w:fldChar w:fldCharType="end"/>
      </w:r>
    </w:p>
    <w:p w14:paraId="16E74207">
      <w:pPr>
        <w:pStyle w:val="25"/>
        <w:tabs>
          <w:tab w:val="right" w:leader="dot" w:pos="9072"/>
        </w:tabs>
      </w:pPr>
      <w:r>
        <w:rPr>
          <w:rFonts w:hint="eastAsia" w:ascii="宋体" w:hAnsi="宋体" w:cs="宋体"/>
          <w:caps/>
          <w:color w:val="auto"/>
          <w:kern w:val="2"/>
          <w:sz w:val="28"/>
          <w:szCs w:val="44"/>
        </w:rPr>
        <w:fldChar w:fldCharType="begin"/>
      </w:r>
      <w:r>
        <w:rPr>
          <w:rFonts w:hint="eastAsia" w:ascii="宋体" w:hAnsi="宋体" w:cs="宋体"/>
          <w:caps/>
          <w:kern w:val="2"/>
          <w:sz w:val="28"/>
          <w:szCs w:val="44"/>
        </w:rPr>
        <w:instrText xml:space="preserve"> HYPERLINK \l _Toc6574 </w:instrText>
      </w:r>
      <w:r>
        <w:rPr>
          <w:rFonts w:hint="eastAsia" w:ascii="宋体" w:hAnsi="宋体" w:cs="宋体"/>
          <w:caps/>
          <w:kern w:val="2"/>
          <w:sz w:val="28"/>
          <w:szCs w:val="44"/>
        </w:rPr>
        <w:fldChar w:fldCharType="separate"/>
      </w:r>
      <w:r>
        <w:rPr>
          <w:rFonts w:hint="eastAsia"/>
          <w:bCs/>
          <w:sz w:val="28"/>
          <w:szCs w:val="52"/>
          <w:lang w:val="en-US" w:eastAsia="zh-CN"/>
        </w:rPr>
        <w:t>第七部分  响应文件格式</w:t>
      </w:r>
      <w:r>
        <w:rPr>
          <w:sz w:val="28"/>
          <w:szCs w:val="28"/>
        </w:rPr>
        <w:tab/>
      </w:r>
      <w:r>
        <w:rPr>
          <w:sz w:val="28"/>
          <w:szCs w:val="28"/>
        </w:rPr>
        <w:fldChar w:fldCharType="begin"/>
      </w:r>
      <w:r>
        <w:rPr>
          <w:sz w:val="28"/>
          <w:szCs w:val="28"/>
        </w:rPr>
        <w:instrText xml:space="preserve"> PAGEREF _Toc6574 \h </w:instrText>
      </w:r>
      <w:r>
        <w:rPr>
          <w:sz w:val="28"/>
          <w:szCs w:val="28"/>
        </w:rPr>
        <w:fldChar w:fldCharType="separate"/>
      </w:r>
      <w:r>
        <w:rPr>
          <w:sz w:val="28"/>
          <w:szCs w:val="28"/>
        </w:rPr>
        <w:t>33</w:t>
      </w:r>
      <w:r>
        <w:rPr>
          <w:sz w:val="28"/>
          <w:szCs w:val="28"/>
        </w:rPr>
        <w:fldChar w:fldCharType="end"/>
      </w:r>
      <w:r>
        <w:rPr>
          <w:rFonts w:hint="eastAsia" w:ascii="宋体" w:hAnsi="宋体" w:cs="宋体"/>
          <w:caps/>
          <w:color w:val="auto"/>
          <w:kern w:val="2"/>
          <w:sz w:val="28"/>
          <w:szCs w:val="44"/>
        </w:rPr>
        <w:fldChar w:fldCharType="end"/>
      </w:r>
    </w:p>
    <w:p w14:paraId="3DA09F7E">
      <w:pPr>
        <w:pStyle w:val="4"/>
        <w:tabs>
          <w:tab w:val="left" w:pos="206"/>
        </w:tabs>
        <w:spacing w:line="360" w:lineRule="auto"/>
        <w:jc w:val="left"/>
        <w:rPr>
          <w:color w:val="auto"/>
        </w:rPr>
        <w:sectPr>
          <w:headerReference r:id="rId7" w:type="first"/>
          <w:footerReference r:id="rId9" w:type="first"/>
          <w:headerReference r:id="rId6" w:type="default"/>
          <w:footerReference r:id="rId8" w:type="default"/>
          <w:pgSz w:w="11906" w:h="16838"/>
          <w:pgMar w:top="1417" w:right="1417" w:bottom="1417" w:left="1417" w:header="1134" w:footer="992" w:gutter="0"/>
          <w:pgNumType w:start="1"/>
          <w:cols w:space="0" w:num="1"/>
          <w:titlePg/>
          <w:docGrid w:type="lines" w:linePitch="326" w:charSpace="0"/>
        </w:sectPr>
      </w:pPr>
      <w:r>
        <w:rPr>
          <w:rFonts w:hint="eastAsia" w:ascii="宋体" w:hAnsi="宋体" w:cs="宋体"/>
          <w:caps/>
          <w:color w:val="auto"/>
          <w:kern w:val="2"/>
          <w:szCs w:val="28"/>
        </w:rPr>
        <w:fldChar w:fldCharType="end"/>
      </w:r>
    </w:p>
    <w:p w14:paraId="77860960">
      <w:pPr>
        <w:pStyle w:val="4"/>
        <w:keepNext/>
        <w:keepLines/>
        <w:pageBreakBefore w:val="0"/>
        <w:widowControl w:val="0"/>
        <w:tabs>
          <w:tab w:val="left" w:pos="206"/>
        </w:tabs>
        <w:kinsoku/>
        <w:wordWrap/>
        <w:overflowPunct/>
        <w:topLinePunct w:val="0"/>
        <w:autoSpaceDE/>
        <w:autoSpaceDN/>
        <w:bidi w:val="0"/>
        <w:adjustRightInd/>
        <w:snapToGrid/>
        <w:spacing w:after="262" w:afterLines="80" w:line="360" w:lineRule="auto"/>
        <w:jc w:val="center"/>
        <w:textAlignment w:val="auto"/>
        <w:rPr>
          <w:color w:val="auto"/>
        </w:rPr>
      </w:pPr>
      <w:bookmarkStart w:id="8" w:name="OLE_LINK27"/>
      <w:bookmarkStart w:id="9" w:name="_Toc8117"/>
      <w:r>
        <w:rPr>
          <w:rFonts w:hint="eastAsia"/>
          <w:color w:val="auto"/>
        </w:rPr>
        <w:t xml:space="preserve">第一部分  </w:t>
      </w:r>
      <w:bookmarkStart w:id="10" w:name="OLE_LINK1"/>
      <w:bookmarkStart w:id="11" w:name="OLE_LINK4"/>
      <w:r>
        <w:rPr>
          <w:rFonts w:hint="eastAsia"/>
          <w:color w:val="auto"/>
        </w:rPr>
        <w:t>竞争性</w:t>
      </w:r>
      <w:r>
        <w:rPr>
          <w:color w:val="auto"/>
        </w:rPr>
        <w:t>磋商公告</w:t>
      </w:r>
      <w:bookmarkEnd w:id="1"/>
      <w:bookmarkEnd w:id="2"/>
      <w:bookmarkEnd w:id="3"/>
      <w:bookmarkEnd w:id="4"/>
      <w:bookmarkEnd w:id="8"/>
      <w:bookmarkEnd w:id="9"/>
    </w:p>
    <w:bookmarkEnd w:id="5"/>
    <w:bookmarkEnd w:id="10"/>
    <w:bookmarkEnd w:id="11"/>
    <w:p w14:paraId="48753755">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bookmarkStart w:id="12" w:name="_Toc536429370"/>
      <w:bookmarkStart w:id="13" w:name="_Toc536429317"/>
      <w:bookmarkStart w:id="14" w:name="_Toc536202283"/>
      <w:bookmarkStart w:id="15" w:name="_Toc536202377"/>
      <w:bookmarkStart w:id="16" w:name="_Toc5018"/>
      <w:r>
        <w:rPr>
          <w:rFonts w:hint="eastAsia" w:ascii="宋体" w:hAnsi="宋体" w:cs="宋体"/>
          <w:color w:val="auto"/>
          <w:kern w:val="0"/>
          <w:sz w:val="24"/>
          <w:szCs w:val="24"/>
          <w:lang w:eastAsia="zh-CN"/>
        </w:rPr>
        <w:t>安康市中医医院高新分院夏季空调维保服务采购项目（二次）</w:t>
      </w:r>
      <w:r>
        <w:rPr>
          <w:rFonts w:hint="eastAsia" w:ascii="宋体" w:hAnsi="宋体" w:cs="宋体"/>
          <w:color w:val="auto"/>
          <w:kern w:val="0"/>
          <w:sz w:val="24"/>
          <w:szCs w:val="24"/>
        </w:rPr>
        <w:t>的潜在供应商应在安康市高新区高新观澜8幢2单元801室获取采购文件。并于202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15：00</w:t>
      </w:r>
      <w:r>
        <w:rPr>
          <w:rFonts w:hint="eastAsia" w:ascii="宋体" w:hAnsi="宋体" w:cs="宋体"/>
          <w:color w:val="auto"/>
          <w:kern w:val="0"/>
          <w:sz w:val="24"/>
          <w:szCs w:val="24"/>
        </w:rPr>
        <w:t>时（北京时间）前提交响应文件。</w:t>
      </w:r>
    </w:p>
    <w:p w14:paraId="04DA9C4F">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38D7F93D">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eastAsia="zh-CN"/>
        </w:rPr>
        <w:t>AKSH2025-ZCS-044-2</w:t>
      </w:r>
    </w:p>
    <w:p w14:paraId="0FE1EF2F">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安康市中医医院高新分院夏季空调维保服务采购项目（二次）</w:t>
      </w:r>
    </w:p>
    <w:p w14:paraId="447DF52C">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采购方式：竞争性磋商</w:t>
      </w:r>
    </w:p>
    <w:p w14:paraId="1AD5127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auto"/>
          <w:kern w:val="0"/>
          <w:sz w:val="24"/>
          <w:szCs w:val="24"/>
          <w:lang w:eastAsia="zh-CN"/>
        </w:rPr>
        <w:t>180000.00元</w:t>
      </w:r>
    </w:p>
    <w:p w14:paraId="64B58096">
      <w:pPr>
        <w:keepNext w:val="0"/>
        <w:keepLines w:val="0"/>
        <w:pageBreakBefore w:val="0"/>
        <w:widowControl/>
        <w:kinsoku/>
        <w:wordWrap/>
        <w:overflowPunct/>
        <w:topLinePunct w:val="0"/>
        <w:autoSpaceDE/>
        <w:autoSpaceDN/>
        <w:bidi w:val="0"/>
        <w:adjustRightInd/>
        <w:snapToGrid w:val="0"/>
        <w:spacing w:line="440" w:lineRule="exact"/>
        <w:ind w:firstLine="720" w:firstLineChars="300"/>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最高限价：170000.00元</w:t>
      </w:r>
    </w:p>
    <w:p w14:paraId="2EDE2801">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5.</w:t>
      </w:r>
      <w:r>
        <w:rPr>
          <w:rFonts w:hint="eastAsia" w:ascii="宋体" w:hAnsi="宋体" w:cs="宋体"/>
          <w:color w:val="auto"/>
          <w:kern w:val="0"/>
          <w:sz w:val="24"/>
          <w:szCs w:val="24"/>
        </w:rPr>
        <w:t>采购需求：</w:t>
      </w:r>
      <w:bookmarkStart w:id="17" w:name="OLE_LINK8"/>
      <w:bookmarkStart w:id="18" w:name="OLE_LINK16"/>
      <w:r>
        <w:rPr>
          <w:rFonts w:hint="eastAsia" w:ascii="宋体" w:hAnsi="宋体" w:cs="宋体"/>
          <w:color w:val="auto"/>
          <w:kern w:val="0"/>
          <w:sz w:val="24"/>
          <w:szCs w:val="24"/>
          <w:lang w:eastAsia="zh-CN"/>
        </w:rPr>
        <w:t>安康市中医医院高新分院夏季空调维保服务采购项目（二次）</w:t>
      </w:r>
      <w:r>
        <w:rPr>
          <w:rFonts w:hint="eastAsia" w:ascii="宋体" w:hAnsi="宋体" w:cs="宋体"/>
          <w:color w:val="auto"/>
          <w:kern w:val="0"/>
          <w:sz w:val="24"/>
          <w:szCs w:val="24"/>
        </w:rPr>
        <w:t>，预算</w:t>
      </w:r>
      <w:r>
        <w:rPr>
          <w:rFonts w:hint="eastAsia" w:ascii="宋体" w:hAnsi="宋体" w:cs="宋体"/>
          <w:color w:val="auto"/>
          <w:kern w:val="0"/>
          <w:sz w:val="24"/>
          <w:szCs w:val="24"/>
          <w:lang w:val="en-US" w:eastAsia="zh-CN"/>
        </w:rPr>
        <w:t>180000.00</w:t>
      </w:r>
      <w:r>
        <w:rPr>
          <w:rFonts w:hint="eastAsia" w:ascii="宋体" w:hAnsi="宋体" w:cs="宋体"/>
          <w:color w:val="auto"/>
          <w:kern w:val="0"/>
          <w:sz w:val="24"/>
          <w:szCs w:val="24"/>
          <w:lang w:eastAsia="zh-CN"/>
        </w:rPr>
        <w:t>元，</w:t>
      </w:r>
      <w:bookmarkStart w:id="19" w:name="OLE_LINK11"/>
      <w:r>
        <w:rPr>
          <w:rFonts w:hint="eastAsia" w:ascii="宋体" w:hAnsi="宋体" w:cs="宋体"/>
          <w:color w:val="auto"/>
          <w:kern w:val="0"/>
          <w:sz w:val="24"/>
          <w:szCs w:val="24"/>
          <w:lang w:val="en-US" w:eastAsia="zh-CN"/>
        </w:rPr>
        <w:t>最高限价：170000.00元。</w:t>
      </w:r>
      <w:r>
        <w:rPr>
          <w:rFonts w:hint="eastAsia" w:ascii="宋体" w:hAnsi="宋体" w:eastAsia="宋体" w:cs="宋体"/>
          <w:color w:val="auto"/>
          <w:kern w:val="2"/>
          <w:sz w:val="24"/>
          <w:szCs w:val="22"/>
          <w:lang w:val="en-US" w:eastAsia="zh-CN" w:bidi="ar-SA"/>
        </w:rPr>
        <w:t>项目概况：</w:t>
      </w:r>
      <w:bookmarkEnd w:id="19"/>
      <w:r>
        <w:rPr>
          <w:rFonts w:hint="default" w:ascii="宋体" w:hAnsi="宋体" w:eastAsia="宋体" w:cs="宋体"/>
          <w:color w:val="auto"/>
          <w:kern w:val="0"/>
          <w:sz w:val="24"/>
          <w:szCs w:val="24"/>
          <w:lang w:val="en-US" w:eastAsia="zh-CN" w:bidi="ar"/>
        </w:rPr>
        <w:t>对</w:t>
      </w:r>
      <w:r>
        <w:rPr>
          <w:rFonts w:hint="eastAsia" w:ascii="宋体" w:hAnsi="宋体" w:cs="宋体"/>
          <w:color w:val="auto"/>
          <w:kern w:val="0"/>
          <w:sz w:val="24"/>
          <w:szCs w:val="24"/>
          <w:lang w:eastAsia="zh-CN"/>
        </w:rPr>
        <w:t>安康市中医医院高新分院</w:t>
      </w:r>
      <w:r>
        <w:rPr>
          <w:rFonts w:hint="eastAsia" w:ascii="宋体" w:hAnsi="宋体" w:eastAsia="宋体" w:cs="宋体"/>
          <w:color w:val="auto"/>
          <w:kern w:val="0"/>
          <w:sz w:val="24"/>
          <w:szCs w:val="24"/>
          <w:lang w:val="en-US" w:eastAsia="zh-CN" w:bidi="ar"/>
        </w:rPr>
        <w:t>中央空调系统</w:t>
      </w:r>
      <w:r>
        <w:rPr>
          <w:rFonts w:hint="default" w:ascii="宋体" w:hAnsi="宋体" w:eastAsia="宋体" w:cs="宋体"/>
          <w:color w:val="auto"/>
          <w:kern w:val="0"/>
          <w:sz w:val="24"/>
          <w:szCs w:val="24"/>
          <w:lang w:val="en-US" w:eastAsia="zh-CN" w:bidi="ar"/>
        </w:rPr>
        <w:t>设</w:t>
      </w:r>
      <w:r>
        <w:rPr>
          <w:rFonts w:hint="default" w:ascii="宋体" w:hAnsi="宋体" w:cs="宋体"/>
          <w:color w:val="auto"/>
          <w:kern w:val="0"/>
          <w:sz w:val="24"/>
          <w:szCs w:val="24"/>
          <w:lang w:val="en-US" w:eastAsia="zh-CN" w:bidi="ar"/>
        </w:rPr>
        <w:t>备进行维护保养</w:t>
      </w:r>
      <w:r>
        <w:rPr>
          <w:rFonts w:hint="eastAsia" w:ascii="宋体" w:hAnsi="宋体" w:cs="宋体"/>
          <w:color w:val="auto"/>
          <w:kern w:val="0"/>
          <w:sz w:val="24"/>
          <w:szCs w:val="24"/>
          <w:lang w:val="en-US" w:eastAsia="zh-CN" w:bidi="ar"/>
        </w:rPr>
        <w:t>、</w:t>
      </w:r>
      <w:r>
        <w:rPr>
          <w:rFonts w:hint="default" w:ascii="宋体" w:hAnsi="宋体" w:cs="宋体"/>
          <w:color w:val="auto"/>
          <w:kern w:val="0"/>
          <w:sz w:val="24"/>
          <w:szCs w:val="24"/>
          <w:lang w:val="en-US" w:eastAsia="zh-CN" w:bidi="ar"/>
        </w:rPr>
        <w:t>定期检修</w:t>
      </w:r>
      <w:r>
        <w:rPr>
          <w:rFonts w:hint="eastAsia" w:ascii="宋体" w:hAnsi="宋体" w:cs="宋体"/>
          <w:color w:val="auto"/>
          <w:kern w:val="0"/>
          <w:sz w:val="24"/>
          <w:szCs w:val="24"/>
          <w:lang w:val="en-US" w:eastAsia="zh-CN" w:bidi="ar"/>
        </w:rPr>
        <w:t>、日常巡检</w:t>
      </w:r>
      <w:r>
        <w:rPr>
          <w:rFonts w:hint="eastAsia" w:ascii="宋体" w:hAnsi="宋体" w:cs="宋体"/>
          <w:color w:val="auto"/>
          <w:kern w:val="0"/>
          <w:sz w:val="24"/>
          <w:szCs w:val="24"/>
        </w:rPr>
        <w:t>（采购内容详见第五部分采购内容及要求）</w:t>
      </w:r>
      <w:bookmarkEnd w:id="17"/>
      <w:r>
        <w:rPr>
          <w:rFonts w:hint="eastAsia" w:ascii="宋体" w:hAnsi="宋体" w:cs="宋体"/>
          <w:color w:val="auto"/>
          <w:kern w:val="0"/>
          <w:sz w:val="24"/>
          <w:szCs w:val="24"/>
          <w:lang w:eastAsia="zh-CN"/>
        </w:rPr>
        <w:t>。</w:t>
      </w:r>
    </w:p>
    <w:p w14:paraId="43CADBA6">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default" w:ascii="宋体" w:hAnsi="宋体" w:eastAsia="宋体" w:cs="宋体"/>
          <w:color w:val="FF0000"/>
          <w:kern w:val="0"/>
          <w:sz w:val="24"/>
          <w:szCs w:val="24"/>
          <w:u w:val="none"/>
          <w:lang w:val="en-US" w:eastAsia="zh-CN"/>
        </w:rPr>
      </w:pPr>
      <w:r>
        <w:rPr>
          <w:rFonts w:hint="eastAsia" w:ascii="宋体" w:hAnsi="宋体" w:cs="宋体"/>
          <w:color w:val="FF0000"/>
          <w:kern w:val="0"/>
          <w:sz w:val="24"/>
          <w:szCs w:val="24"/>
        </w:rPr>
        <w:t xml:space="preserve">  </w:t>
      </w:r>
      <w:bookmarkEnd w:id="18"/>
      <w:r>
        <w:rPr>
          <w:rFonts w:hint="eastAsia" w:ascii="宋体" w:hAnsi="宋体" w:cs="宋体"/>
          <w:color w:val="auto"/>
          <w:kern w:val="0"/>
          <w:sz w:val="24"/>
          <w:szCs w:val="24"/>
          <w:lang w:eastAsia="zh-CN"/>
        </w:rPr>
        <w:t>6.</w:t>
      </w:r>
      <w:r>
        <w:rPr>
          <w:rFonts w:hint="eastAsia" w:ascii="宋体" w:hAnsi="宋体" w:cs="宋体"/>
          <w:color w:val="auto"/>
          <w:kern w:val="0"/>
          <w:sz w:val="24"/>
          <w:szCs w:val="24"/>
        </w:rPr>
        <w:t>合同履行期限：</w:t>
      </w:r>
      <w:r>
        <w:rPr>
          <w:rFonts w:hint="eastAsia" w:ascii="宋体" w:hAnsi="宋体" w:cs="宋体"/>
          <w:color w:val="auto"/>
          <w:kern w:val="0"/>
          <w:sz w:val="24"/>
          <w:szCs w:val="24"/>
          <w:lang w:val="en-US" w:eastAsia="zh-CN" w:bidi="ar-SA"/>
        </w:rPr>
        <w:t>服务时间为自合同签订之日起1个制冷季</w:t>
      </w:r>
    </w:p>
    <w:p w14:paraId="04761370">
      <w:pPr>
        <w:pStyle w:val="46"/>
        <w:keepNext w:val="0"/>
        <w:keepLines w:val="0"/>
        <w:pageBreakBefore w:val="0"/>
        <w:kinsoku/>
        <w:wordWrap/>
        <w:overflowPunct/>
        <w:topLinePunct w:val="0"/>
        <w:autoSpaceDE/>
        <w:autoSpaceDN/>
        <w:bidi w:val="0"/>
        <w:adjustRightInd/>
        <w:spacing w:line="440" w:lineRule="exact"/>
        <w:ind w:left="479" w:leftChars="228" w:firstLine="0" w:firstLineChars="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7.</w:t>
      </w:r>
      <w:r>
        <w:rPr>
          <w:rFonts w:hint="eastAsia" w:ascii="宋体" w:hAnsi="宋体" w:cs="宋体"/>
          <w:color w:val="auto"/>
          <w:kern w:val="0"/>
          <w:sz w:val="24"/>
          <w:szCs w:val="24"/>
        </w:rPr>
        <w:t xml:space="preserve">本项目不接受联合体投标 </w:t>
      </w:r>
    </w:p>
    <w:p w14:paraId="3A8A5FE0">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cs="宋体"/>
          <w:b/>
          <w:bCs/>
          <w:color w:val="auto"/>
          <w:kern w:val="0"/>
          <w:sz w:val="24"/>
          <w:szCs w:val="24"/>
        </w:rPr>
        <w:t>投标人的资格要求：</w:t>
      </w:r>
    </w:p>
    <w:p w14:paraId="5454211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（一）</w:t>
      </w:r>
      <w:r>
        <w:rPr>
          <w:rFonts w:hint="eastAsia" w:ascii="宋体" w:hAnsi="宋体" w:cs="宋体"/>
          <w:color w:val="auto"/>
          <w:sz w:val="24"/>
          <w:szCs w:val="24"/>
        </w:rPr>
        <w:t>满足《中华人民共和国政府采购法》第二十二条的规定；</w:t>
      </w:r>
    </w:p>
    <w:p w14:paraId="0C6C2D2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（二）</w:t>
      </w:r>
      <w:r>
        <w:rPr>
          <w:rFonts w:hint="eastAsia" w:ascii="宋体" w:hAnsi="宋体" w:cs="宋体"/>
          <w:color w:val="auto"/>
          <w:sz w:val="24"/>
          <w:szCs w:val="24"/>
        </w:rPr>
        <w:t xml:space="preserve">特定资格条件： </w:t>
      </w:r>
    </w:p>
    <w:p w14:paraId="16281786">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60EBACA9">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rPr>
        <w:t>法定代表人授权书及被授权人身份证（法定代表人直接投标</w:t>
      </w:r>
      <w:r>
        <w:rPr>
          <w:rFonts w:hint="eastAsia" w:ascii="宋体" w:hAnsi="宋体" w:cs="宋体"/>
          <w:color w:val="auto"/>
          <w:kern w:val="0"/>
          <w:sz w:val="24"/>
          <w:szCs w:val="24"/>
          <w:lang w:eastAsia="zh-CN"/>
        </w:rPr>
        <w:t>只需</w:t>
      </w:r>
      <w:r>
        <w:rPr>
          <w:rFonts w:hint="eastAsia" w:ascii="宋体" w:hAnsi="宋体" w:cs="宋体"/>
          <w:color w:val="auto"/>
          <w:kern w:val="0"/>
          <w:sz w:val="24"/>
          <w:szCs w:val="24"/>
        </w:rPr>
        <w:t>提交其身份证原件）</w:t>
      </w:r>
      <w:r>
        <w:rPr>
          <w:rFonts w:hint="eastAsia" w:ascii="宋体" w:hAnsi="宋体" w:cs="宋体"/>
          <w:color w:val="auto"/>
          <w:kern w:val="0"/>
          <w:sz w:val="24"/>
          <w:szCs w:val="24"/>
          <w:lang w:eastAsia="zh-CN"/>
        </w:rPr>
        <w:t>。</w:t>
      </w:r>
    </w:p>
    <w:p w14:paraId="3087BD99">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2DAE608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733E6C6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月至今任意</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16F6CC2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w:t>
      </w:r>
      <w:r>
        <w:rPr>
          <w:rFonts w:hint="eastAsia" w:ascii="宋体" w:hAnsi="宋体" w:cs="宋体"/>
          <w:color w:val="auto"/>
          <w:sz w:val="24"/>
          <w:szCs w:val="24"/>
          <w:lang w:val="en-US" w:eastAsia="zh-CN"/>
        </w:rPr>
        <w:t>或2024年度</w:t>
      </w:r>
      <w:r>
        <w:rPr>
          <w:rFonts w:hint="eastAsia" w:ascii="宋体" w:hAnsi="宋体" w:cs="宋体"/>
          <w:color w:val="auto"/>
          <w:sz w:val="24"/>
          <w:szCs w:val="24"/>
          <w:lang w:eastAsia="zh-CN"/>
        </w:rPr>
        <w:t>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2F62F86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提供2024年5月至今任意一个月社会保障资金缴存单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F1AAD8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6CAC51A1">
      <w:pPr>
        <w:keepNext w:val="0"/>
        <w:keepLines w:val="0"/>
        <w:pageBreakBefore w:val="0"/>
        <w:kinsoku/>
        <w:wordWrap/>
        <w:overflowPunct/>
        <w:topLinePunct w:val="0"/>
        <w:autoSpaceDE/>
        <w:autoSpaceDN/>
        <w:bidi w:val="0"/>
        <w:adjustRightInd/>
        <w:spacing w:line="44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70F2232C">
      <w:pPr>
        <w:keepNext w:val="0"/>
        <w:keepLines w:val="0"/>
        <w:pageBreakBefore w:val="0"/>
        <w:kinsoku/>
        <w:wordWrap/>
        <w:overflowPunct/>
        <w:topLinePunct w:val="0"/>
        <w:autoSpaceDE/>
        <w:autoSpaceDN/>
        <w:bidi w:val="0"/>
        <w:adjustRightInd/>
        <w:spacing w:line="440" w:lineRule="exact"/>
        <w:ind w:firstLine="481"/>
        <w:textAlignment w:val="auto"/>
        <w:rPr>
          <w:rFonts w:ascii="宋体" w:hAnsi="宋体" w:cs="宋体"/>
          <w:color w:val="auto"/>
          <w:sz w:val="24"/>
          <w:szCs w:val="24"/>
        </w:rPr>
      </w:pPr>
      <w:r>
        <w:rPr>
          <w:rFonts w:hint="eastAsia" w:ascii="宋体" w:hAnsi="宋体" w:cs="宋体"/>
          <w:color w:val="auto"/>
          <w:sz w:val="24"/>
          <w:szCs w:val="24"/>
          <w:lang w:eastAsia="zh-CN"/>
        </w:rPr>
        <w:t>（三）</w:t>
      </w:r>
      <w:r>
        <w:rPr>
          <w:rFonts w:hint="eastAsia" w:ascii="宋体" w:hAnsi="宋体" w:cs="宋体"/>
          <w:color w:val="auto"/>
          <w:sz w:val="24"/>
          <w:szCs w:val="24"/>
        </w:rPr>
        <w:t>采购项目需要落实的政府采购政策</w:t>
      </w:r>
    </w:p>
    <w:p w14:paraId="0FD410A4">
      <w:pPr>
        <w:pStyle w:val="32"/>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0C4C9080">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1.《政府采购促进中小企业发展管理办法》（财库〔2020〕46号）；</w:t>
      </w:r>
    </w:p>
    <w:p w14:paraId="208C27C0">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2.《财政部司法部关于政府采购支持监狱企业发展有关问题的通知》（财库〔2014〕68号）；</w:t>
      </w:r>
    </w:p>
    <w:p w14:paraId="6EB2164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3.《财政部发展改革委生态环境部市场监管总局关于调整优化节能产品、环境标志产品政府采购执行机制的通知》（财库〔2019〕9号）；</w:t>
      </w:r>
    </w:p>
    <w:p w14:paraId="72F1C7A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4.《财政部民政部中国残疾人联合会关于促进残疾人就业政府采购政策的通知》（财库〔2017〕141号）；</w:t>
      </w:r>
    </w:p>
    <w:p w14:paraId="1B281DB3">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5.《财政部农业农村部国家乡村振兴局关于运用政府采购政策支持乡村产业振兴的通知》财库〔2021〕19号；</w:t>
      </w:r>
    </w:p>
    <w:p w14:paraId="5E0BBBB1">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6.《陕西省财政厅关于加快推进我省中小企业政府采购信用融资工作的通知》（陕 财办采〔2020〕15 号）、陕西省财政厅关于印发《陕西省中小企业政府采购信用融资办法》（陕财办采〔2018〕23 号）；</w:t>
      </w:r>
    </w:p>
    <w:p w14:paraId="58580B81">
      <w:pPr>
        <w:keepNext w:val="0"/>
        <w:keepLines w:val="0"/>
        <w:pageBreakBefore w:val="0"/>
        <w:kinsoku/>
        <w:wordWrap/>
        <w:overflowPunct/>
        <w:topLinePunct w:val="0"/>
        <w:autoSpaceDE/>
        <w:autoSpaceDN/>
        <w:bidi w:val="0"/>
        <w:adjustRightInd/>
        <w:spacing w:line="440" w:lineRule="exact"/>
        <w:ind w:firstLine="480" w:firstLineChars="200"/>
        <w:textAlignment w:val="auto"/>
        <w:rPr>
          <w:color w:val="auto"/>
          <w:szCs w:val="24"/>
        </w:rPr>
      </w:pPr>
      <w:r>
        <w:rPr>
          <w:rFonts w:hint="eastAsia" w:ascii="宋体" w:hAnsi="宋体" w:cs="宋体"/>
          <w:color w:val="auto"/>
          <w:sz w:val="24"/>
          <w:szCs w:val="24"/>
          <w:lang w:val="en-US" w:eastAsia="zh-CN"/>
        </w:rPr>
        <w:t>7.其他需要落实的政府采购政策。</w:t>
      </w:r>
    </w:p>
    <w:p w14:paraId="7BBFFDBB">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 xml:space="preserve">三、磋商文件获取 </w:t>
      </w:r>
    </w:p>
    <w:p w14:paraId="3327267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20"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14</w:t>
      </w:r>
      <w:r>
        <w:rPr>
          <w:rFonts w:hint="eastAsia" w:ascii="宋体" w:hAnsi="宋体" w:cs="宋体"/>
          <w:color w:val="auto"/>
          <w:kern w:val="0"/>
          <w:sz w:val="24"/>
          <w:szCs w:val="24"/>
        </w:rPr>
        <w:t>日至202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20"/>
      <w:r>
        <w:rPr>
          <w:rFonts w:hint="eastAsia" w:ascii="宋体" w:hAnsi="宋体" w:cs="宋体"/>
          <w:color w:val="auto"/>
          <w:kern w:val="0"/>
          <w:sz w:val="24"/>
          <w:szCs w:val="24"/>
        </w:rPr>
        <w:t xml:space="preserve"> </w:t>
      </w:r>
    </w:p>
    <w:p w14:paraId="1C9E6CF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21"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w:t>
      </w:r>
      <w:bookmarkEnd w:id="21"/>
      <w:r>
        <w:rPr>
          <w:rFonts w:hint="eastAsia" w:ascii="宋体" w:hAnsi="宋体" w:cs="宋体"/>
          <w:color w:val="auto"/>
          <w:kern w:val="0"/>
          <w:sz w:val="24"/>
          <w:szCs w:val="24"/>
        </w:rPr>
        <w:t xml:space="preserve">安康市高新区高新观澜8幢2单元801室 </w:t>
      </w:r>
    </w:p>
    <w:p w14:paraId="39F85EF2">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 xml:space="preserve">获取方式：现场获取 </w:t>
      </w:r>
    </w:p>
    <w:p w14:paraId="661BE3B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22" w:name="_Toc35529355"/>
      <w:bookmarkStart w:id="23" w:name="_Toc35529356"/>
      <w:r>
        <w:rPr>
          <w:rFonts w:hint="eastAsia" w:ascii="宋体" w:hAnsi="宋体" w:cs="宋体"/>
          <w:color w:val="auto"/>
          <w:kern w:val="0"/>
          <w:sz w:val="24"/>
          <w:szCs w:val="24"/>
          <w:lang w:eastAsia="zh-CN"/>
        </w:rPr>
        <w:t>4.</w:t>
      </w:r>
      <w:r>
        <w:rPr>
          <w:rFonts w:hint="eastAsia" w:ascii="宋体" w:hAnsi="宋体" w:cs="宋体"/>
          <w:color w:val="auto"/>
          <w:kern w:val="0"/>
          <w:sz w:val="24"/>
          <w:szCs w:val="24"/>
        </w:rPr>
        <w:t>磋商文件的获取期限：自本公告发布之日起不得少于5个工作日</w:t>
      </w:r>
      <w:bookmarkEnd w:id="22"/>
      <w:r>
        <w:rPr>
          <w:rFonts w:hint="eastAsia" w:ascii="宋体" w:hAnsi="宋体" w:cs="宋体"/>
          <w:color w:val="auto"/>
          <w:kern w:val="0"/>
          <w:sz w:val="24"/>
          <w:szCs w:val="24"/>
        </w:rPr>
        <w:t xml:space="preserve"> </w:t>
      </w:r>
    </w:p>
    <w:bookmarkEnd w:id="23"/>
    <w:p w14:paraId="3A4B182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获取须知</w:t>
      </w:r>
      <w:r>
        <w:rPr>
          <w:rFonts w:hint="eastAsia" w:ascii="宋体" w:hAnsi="宋体" w:cs="宋体"/>
          <w:b/>
          <w:bCs/>
          <w:color w:val="auto"/>
          <w:sz w:val="24"/>
          <w:szCs w:val="24"/>
        </w:rPr>
        <w:t>：</w:t>
      </w:r>
      <w:r>
        <w:rPr>
          <w:rFonts w:hint="eastAsia" w:cs="宋体" w:asciiTheme="minorEastAsia" w:hAnsiTheme="minorEastAsia" w:eastAsiaTheme="minorEastAsia"/>
          <w:b/>
          <w:color w:val="auto"/>
          <w:sz w:val="24"/>
          <w:szCs w:val="24"/>
        </w:rPr>
        <w:t>请在文件获取时间以内携带有效的单位介绍信（备注经办人联系电话及电子邮箱）、</w:t>
      </w:r>
      <w:r>
        <w:rPr>
          <w:rFonts w:hint="eastAsia" w:cs="宋体" w:asciiTheme="minorEastAsia" w:hAnsiTheme="minorEastAsia" w:eastAsiaTheme="minorEastAsia"/>
          <w:b/>
          <w:color w:val="auto"/>
          <w:sz w:val="24"/>
          <w:szCs w:val="24"/>
          <w:lang w:val="en-US" w:eastAsia="zh-CN"/>
        </w:rPr>
        <w:t>经办人</w:t>
      </w:r>
      <w:r>
        <w:rPr>
          <w:rFonts w:hint="eastAsia" w:cs="宋体" w:asciiTheme="minorEastAsia" w:hAnsiTheme="minorEastAsia" w:eastAsiaTheme="minorEastAsia"/>
          <w:b/>
          <w:color w:val="auto"/>
          <w:sz w:val="24"/>
          <w:szCs w:val="24"/>
        </w:rPr>
        <w:t>身份证复印件加盖供应商公章（鲜章）递交至安康尚昊招标代理有限公司进行报名事宜</w:t>
      </w:r>
      <w:r>
        <w:rPr>
          <w:rFonts w:hint="eastAsia" w:ascii="宋体" w:hAnsi="宋体" w:cs="宋体"/>
          <w:b/>
          <w:bCs/>
          <w:color w:val="auto"/>
          <w:sz w:val="24"/>
          <w:szCs w:val="24"/>
        </w:rPr>
        <w:t>。</w:t>
      </w:r>
    </w:p>
    <w:p w14:paraId="254FBE7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响应文件递交：</w:t>
      </w:r>
    </w:p>
    <w:p w14:paraId="1244D1EB">
      <w:pPr>
        <w:keepNext w:val="0"/>
        <w:keepLines w:val="0"/>
        <w:pageBreakBefore w:val="0"/>
        <w:widowControl/>
        <w:tabs>
          <w:tab w:val="left" w:pos="0"/>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响应文件递交截止时间：202</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15：00</w:t>
      </w:r>
      <w:r>
        <w:rPr>
          <w:rFonts w:hint="eastAsia" w:ascii="宋体" w:hAnsi="宋体" w:cs="宋体"/>
          <w:color w:val="auto"/>
          <w:kern w:val="0"/>
          <w:sz w:val="24"/>
          <w:szCs w:val="24"/>
        </w:rPr>
        <w:t xml:space="preserve">时 </w:t>
      </w:r>
    </w:p>
    <w:p w14:paraId="600B3A9A">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 xml:space="preserve">响应文件递交地点：安康市高新区高新观澜8幢2单元801室 </w:t>
      </w:r>
    </w:p>
    <w:p w14:paraId="0F812EA0">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自本公告发布之日起3个工作日。</w:t>
      </w:r>
    </w:p>
    <w:p w14:paraId="4FA019C8">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val="0"/>
          <w:bCs w:val="0"/>
          <w:color w:val="auto"/>
          <w:kern w:val="0"/>
          <w:sz w:val="24"/>
          <w:szCs w:val="24"/>
          <w:lang w:val="en-US" w:eastAsia="zh-CN"/>
        </w:rPr>
      </w:pPr>
      <w:bookmarkStart w:id="24" w:name="OLE_LINK29"/>
      <w:r>
        <w:rPr>
          <w:rFonts w:hint="eastAsia" w:ascii="宋体" w:hAnsi="宋体" w:cs="宋体"/>
          <w:b/>
          <w:bCs/>
          <w:color w:val="auto"/>
          <w:kern w:val="0"/>
          <w:sz w:val="24"/>
          <w:szCs w:val="24"/>
        </w:rPr>
        <w:t>六、其他补充事宜：</w:t>
      </w:r>
      <w:bookmarkEnd w:id="24"/>
      <w:r>
        <w:rPr>
          <w:rFonts w:hint="eastAsia" w:ascii="宋体" w:hAnsi="宋体" w:cs="宋体"/>
          <w:b w:val="0"/>
          <w:bCs w:val="0"/>
          <w:color w:val="auto"/>
          <w:kern w:val="0"/>
          <w:sz w:val="24"/>
          <w:szCs w:val="24"/>
          <w:lang w:val="en-US" w:eastAsia="zh-CN"/>
        </w:rPr>
        <w:t>无。</w:t>
      </w:r>
    </w:p>
    <w:p w14:paraId="1FB1956B">
      <w:pPr>
        <w:pStyle w:val="46"/>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七、对本次采购提出询问，请按以下方式联系</w:t>
      </w:r>
    </w:p>
    <w:p w14:paraId="4A17B225">
      <w:pPr>
        <w:pStyle w:val="46"/>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24DA7B18">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eastAsia="zh-CN"/>
        </w:rPr>
        <w:t>安康市中医医院</w:t>
      </w:r>
    </w:p>
    <w:p w14:paraId="557AEA29">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eastAsia="宋体" w:cs="宋体"/>
          <w:kern w:val="0"/>
          <w:sz w:val="24"/>
          <w:szCs w:val="24"/>
          <w:lang w:val="en-US" w:eastAsia="zh-CN"/>
        </w:rPr>
        <w:t>安康市高新区创新路与文景路交汇处</w:t>
      </w:r>
    </w:p>
    <w:p w14:paraId="509875DA">
      <w:pPr>
        <w:pStyle w:val="46"/>
        <w:keepNext w:val="0"/>
        <w:keepLines w:val="0"/>
        <w:pageBreakBefore w:val="0"/>
        <w:kinsoku/>
        <w:wordWrap/>
        <w:overflowPunct/>
        <w:topLinePunct w:val="0"/>
        <w:autoSpaceDE/>
        <w:autoSpaceDN/>
        <w:bidi w:val="0"/>
        <w:adjustRightInd/>
        <w:spacing w:line="44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lang w:val="en-US" w:eastAsia="zh-CN"/>
        </w:rPr>
        <w:t>罗先生</w:t>
      </w:r>
    </w:p>
    <w:p w14:paraId="4ACFD0E6">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13909158234</w:t>
      </w:r>
    </w:p>
    <w:p w14:paraId="5AB0D896">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采购代理机构信息</w:t>
      </w:r>
    </w:p>
    <w:p w14:paraId="5673DCC8">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69877392">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地    址：安康市高新区高新观澜8幢2单元801室</w:t>
      </w:r>
    </w:p>
    <w:p w14:paraId="136BEFB8">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cs="宋体"/>
          <w:color w:val="auto"/>
          <w:kern w:val="0"/>
          <w:sz w:val="24"/>
          <w:szCs w:val="24"/>
        </w:rPr>
      </w:pPr>
      <w:r>
        <w:rPr>
          <w:rFonts w:hint="eastAsia" w:ascii="宋体" w:hAnsi="宋体" w:cs="宋体"/>
          <w:color w:val="auto"/>
          <w:kern w:val="0"/>
          <w:sz w:val="24"/>
          <w:szCs w:val="24"/>
        </w:rPr>
        <w:t>联系方式：13991519725</w:t>
      </w:r>
    </w:p>
    <w:p w14:paraId="75E11C14">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项目联系方式</w:t>
      </w:r>
    </w:p>
    <w:p w14:paraId="7E43F464">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项目联系人：郑工</w:t>
      </w:r>
    </w:p>
    <w:p w14:paraId="7FA87525">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13991519725</w:t>
      </w:r>
    </w:p>
    <w:p w14:paraId="2A8E8A54">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kern w:val="0"/>
          <w:sz w:val="24"/>
          <w:szCs w:val="24"/>
          <w:lang w:val="en-US" w:eastAsia="zh-CN"/>
        </w:rPr>
      </w:pPr>
    </w:p>
    <w:p w14:paraId="6997BBE4">
      <w:pPr>
        <w:keepNext w:val="0"/>
        <w:keepLines w:val="0"/>
        <w:pageBreakBefore w:val="0"/>
        <w:kinsoku/>
        <w:wordWrap/>
        <w:overflowPunct/>
        <w:topLinePunct w:val="0"/>
        <w:autoSpaceDE/>
        <w:autoSpaceDN/>
        <w:bidi w:val="0"/>
        <w:adjustRightInd/>
        <w:spacing w:line="440" w:lineRule="exact"/>
        <w:ind w:firstLine="480" w:firstLineChars="200"/>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0D24D2B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13</w:t>
      </w:r>
      <w:r>
        <w:rPr>
          <w:rFonts w:hint="eastAsia" w:ascii="宋体" w:hAnsi="宋体" w:cs="宋体"/>
          <w:color w:val="auto"/>
          <w:kern w:val="0"/>
          <w:sz w:val="24"/>
          <w:szCs w:val="24"/>
        </w:rPr>
        <w:t>日</w:t>
      </w:r>
    </w:p>
    <w:p w14:paraId="69D10D53">
      <w:pPr>
        <w:pStyle w:val="31"/>
        <w:rPr>
          <w:rFonts w:ascii="宋体" w:hAnsi="宋体" w:cs="宋体"/>
          <w:color w:val="auto"/>
          <w:kern w:val="0"/>
          <w:sz w:val="24"/>
          <w:szCs w:val="24"/>
        </w:rPr>
      </w:pPr>
    </w:p>
    <w:p w14:paraId="53C75B77">
      <w:pPr>
        <w:pStyle w:val="4"/>
        <w:spacing w:line="360" w:lineRule="auto"/>
        <w:rPr>
          <w:rFonts w:hint="eastAsia"/>
          <w:color w:val="auto"/>
        </w:rPr>
        <w:sectPr>
          <w:headerReference r:id="rId11" w:type="first"/>
          <w:footerReference r:id="rId13" w:type="first"/>
          <w:headerReference r:id="rId10" w:type="default"/>
          <w:footerReference r:id="rId12" w:type="default"/>
          <w:pgSz w:w="11906" w:h="16838"/>
          <w:pgMar w:top="1417" w:right="1417" w:bottom="1417" w:left="1417" w:header="1134" w:footer="992" w:gutter="0"/>
          <w:pgNumType w:fmt="decimal" w:start="1"/>
          <w:cols w:space="0" w:num="1"/>
          <w:titlePg/>
          <w:docGrid w:type="lines" w:linePitch="326" w:charSpace="0"/>
        </w:sectPr>
      </w:pPr>
      <w:bookmarkStart w:id="25" w:name="_Toc19543334"/>
    </w:p>
    <w:p w14:paraId="650134D7">
      <w:pPr>
        <w:pStyle w:val="4"/>
        <w:spacing w:line="360" w:lineRule="auto"/>
        <w:rPr>
          <w:rFonts w:ascii="宋体" w:hAnsi="宋体" w:cs="宋体"/>
          <w:color w:val="auto"/>
        </w:rPr>
      </w:pPr>
      <w:bookmarkStart w:id="26" w:name="_Toc28381"/>
      <w:r>
        <w:rPr>
          <w:rFonts w:hint="eastAsia"/>
          <w:color w:val="auto"/>
        </w:rPr>
        <w:t>第二部分</w:t>
      </w:r>
      <w:r>
        <w:rPr>
          <w:color w:val="auto"/>
        </w:rPr>
        <w:t xml:space="preserve">  </w:t>
      </w:r>
      <w:r>
        <w:rPr>
          <w:rFonts w:hint="eastAsia"/>
          <w:color w:val="auto"/>
        </w:rPr>
        <w:t>供应商须知前附表</w:t>
      </w:r>
      <w:bookmarkEnd w:id="6"/>
      <w:bookmarkEnd w:id="7"/>
      <w:bookmarkEnd w:id="12"/>
      <w:bookmarkEnd w:id="13"/>
      <w:bookmarkEnd w:id="14"/>
      <w:bookmarkEnd w:id="15"/>
      <w:bookmarkEnd w:id="16"/>
      <w:bookmarkEnd w:id="25"/>
      <w:bookmarkEnd w:id="26"/>
    </w:p>
    <w:tbl>
      <w:tblPr>
        <w:tblStyle w:val="78"/>
        <w:tblW w:w="9643" w:type="dxa"/>
        <w:jc w:val="center"/>
        <w:tblLayout w:type="fixed"/>
        <w:tblCellMar>
          <w:top w:w="147" w:type="dxa"/>
          <w:left w:w="108" w:type="dxa"/>
          <w:bottom w:w="56" w:type="dxa"/>
          <w:right w:w="0" w:type="dxa"/>
        </w:tblCellMar>
      </w:tblPr>
      <w:tblGrid>
        <w:gridCol w:w="704"/>
        <w:gridCol w:w="1990"/>
        <w:gridCol w:w="6949"/>
      </w:tblGrid>
      <w:tr w14:paraId="17B0B565">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5E87AC">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672193B2">
            <w:pPr>
              <w:spacing w:line="259" w:lineRule="auto"/>
              <w:ind w:right="31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2BE513BA">
            <w:pPr>
              <w:spacing w:line="259" w:lineRule="auto"/>
              <w:ind w:left="840" w:right="111" w:firstLine="1680" w:firstLineChars="7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0018CEAA">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239A72">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12E9450">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37714B5D">
            <w:pPr>
              <w:spacing w:line="259" w:lineRule="auto"/>
              <w:rPr>
                <w:rFonts w:hint="default" w:asciiTheme="minorEastAsia" w:hAnsiTheme="minorEastAsia" w:eastAsiaTheme="minorEastAsia"/>
                <w:color w:val="auto"/>
                <w:sz w:val="24"/>
                <w:szCs w:val="24"/>
                <w:lang w:val="en-US" w:eastAsia="zh-CN"/>
              </w:rPr>
            </w:pPr>
            <w:r>
              <w:rPr>
                <w:rFonts w:hint="eastAsia" w:ascii="宋体" w:hAnsi="宋体" w:cs="宋体"/>
                <w:color w:val="auto"/>
                <w:kern w:val="0"/>
                <w:sz w:val="24"/>
                <w:szCs w:val="24"/>
                <w:lang w:eastAsia="zh-CN"/>
              </w:rPr>
              <w:t>安康市中医医院</w:t>
            </w:r>
          </w:p>
        </w:tc>
      </w:tr>
      <w:tr w14:paraId="7231993B">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55F1A2">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C72F245">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7F5E9678">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安康</w:t>
            </w:r>
            <w:r>
              <w:rPr>
                <w:rFonts w:asciiTheme="minorEastAsia" w:hAnsiTheme="minorEastAsia" w:eastAsiaTheme="minorEastAsia"/>
                <w:color w:val="auto"/>
                <w:sz w:val="24"/>
                <w:szCs w:val="24"/>
              </w:rPr>
              <w:t>尚昊招标代理有限公司</w:t>
            </w:r>
          </w:p>
        </w:tc>
      </w:tr>
      <w:tr w14:paraId="05AE1F9D">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78E4A8">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B8D3314">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3F6FC3A">
            <w:pPr>
              <w:pStyle w:val="77"/>
              <w:widowControl/>
              <w:snapToGrid w:val="0"/>
              <w:spacing w:line="400" w:lineRule="exact"/>
              <w:ind w:firstLine="0" w:firstLineChars="0"/>
              <w:jc w:val="left"/>
              <w:rPr>
                <w:rFonts w:asciiTheme="minorEastAsia" w:hAnsiTheme="minorEastAsia" w:eastAsiaTheme="minorEastAsia"/>
                <w:color w:val="auto"/>
                <w:sz w:val="24"/>
                <w:szCs w:val="24"/>
              </w:rPr>
            </w:pPr>
            <w:r>
              <w:rPr>
                <w:rFonts w:ascii="宋体" w:hAnsi="宋体" w:cs="Times New Roman"/>
                <w:color w:val="auto"/>
                <w:sz w:val="24"/>
                <w:szCs w:val="24"/>
              </w:rPr>
              <mc:AlternateContent>
                <mc:Choice Requires="wps">
                  <w:drawing>
                    <wp:anchor distT="0" distB="0" distL="114300" distR="114300" simplePos="0" relativeHeight="251661312"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017AE5FE">
                                  <w:pPr>
                                    <w:pStyle w:val="2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1312;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017AE5FE">
                            <w:pPr>
                              <w:pStyle w:val="2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auto"/>
                <w:sz w:val="24"/>
                <w:szCs w:val="24"/>
                <w:lang w:eastAsia="zh-CN"/>
              </w:rPr>
              <w:t>安康市中医医院高新分院夏季空调维保服务采购项目（二次）</w:t>
            </w:r>
            <w:r>
              <w:rPr>
                <w:rFonts w:hint="eastAsia" w:ascii="宋体" w:hAnsi="宋体" w:cs="Times New Roman"/>
                <w:color w:val="auto"/>
                <w:sz w:val="24"/>
                <w:szCs w:val="24"/>
              </w:rPr>
              <w:t xml:space="preserve"> </w:t>
            </w:r>
          </w:p>
        </w:tc>
      </w:tr>
      <w:tr w14:paraId="723BBCBE">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42848D">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144B4F4">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内容</w:t>
            </w:r>
          </w:p>
        </w:tc>
        <w:tc>
          <w:tcPr>
            <w:tcW w:w="6949" w:type="dxa"/>
            <w:tcBorders>
              <w:top w:val="single" w:color="000000" w:sz="4" w:space="0"/>
              <w:left w:val="single" w:color="000000" w:sz="4" w:space="0"/>
              <w:bottom w:val="single" w:color="000000" w:sz="4" w:space="0"/>
              <w:right w:val="single" w:color="000000" w:sz="4" w:space="0"/>
            </w:tcBorders>
          </w:tcPr>
          <w:p w14:paraId="7E4FB3DE">
            <w:pPr>
              <w:widowControl/>
              <w:tabs>
                <w:tab w:val="left" w:pos="1620"/>
              </w:tabs>
              <w:snapToGrid w:val="0"/>
              <w:spacing w:line="400" w:lineRule="exact"/>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lang w:eastAsia="zh-CN"/>
              </w:rPr>
              <w:t>安康市中医医院高新分院夏季空调维保服务采购项目（二次）</w:t>
            </w:r>
            <w:r>
              <w:rPr>
                <w:rFonts w:hint="eastAsia" w:ascii="宋体" w:hAnsi="宋体" w:cs="宋体"/>
                <w:color w:val="auto"/>
                <w:kern w:val="0"/>
                <w:sz w:val="24"/>
                <w:szCs w:val="24"/>
              </w:rPr>
              <w:t>，预算</w:t>
            </w:r>
            <w:r>
              <w:rPr>
                <w:rFonts w:hint="eastAsia" w:ascii="宋体" w:hAnsi="宋体" w:cs="宋体"/>
                <w:color w:val="auto"/>
                <w:kern w:val="0"/>
                <w:sz w:val="24"/>
                <w:szCs w:val="24"/>
                <w:lang w:val="en-US" w:eastAsia="zh-CN"/>
              </w:rPr>
              <w:t>180000.00</w:t>
            </w:r>
            <w:r>
              <w:rPr>
                <w:rFonts w:hint="eastAsia" w:ascii="宋体" w:hAnsi="宋体" w:cs="宋体"/>
                <w:color w:val="auto"/>
                <w:kern w:val="0"/>
                <w:sz w:val="24"/>
                <w:szCs w:val="24"/>
                <w:lang w:eastAsia="zh-CN"/>
              </w:rPr>
              <w:t>元，</w:t>
            </w:r>
            <w:r>
              <w:rPr>
                <w:rFonts w:hint="eastAsia" w:ascii="宋体" w:hAnsi="宋体" w:cs="宋体"/>
                <w:color w:val="auto"/>
                <w:kern w:val="0"/>
                <w:sz w:val="24"/>
                <w:szCs w:val="24"/>
                <w:lang w:val="en-US" w:eastAsia="zh-CN"/>
              </w:rPr>
              <w:t>最高限价：170000.00元。</w:t>
            </w:r>
            <w:r>
              <w:rPr>
                <w:rFonts w:hint="eastAsia" w:ascii="宋体" w:hAnsi="宋体" w:eastAsia="宋体" w:cs="宋体"/>
                <w:color w:val="auto"/>
                <w:kern w:val="2"/>
                <w:sz w:val="24"/>
                <w:szCs w:val="22"/>
                <w:lang w:val="en-US" w:eastAsia="zh-CN" w:bidi="ar-SA"/>
              </w:rPr>
              <w:t>项目概况：</w:t>
            </w:r>
            <w:r>
              <w:rPr>
                <w:rFonts w:hint="default" w:ascii="宋体" w:hAnsi="宋体" w:eastAsia="宋体" w:cs="宋体"/>
                <w:color w:val="auto"/>
                <w:kern w:val="0"/>
                <w:sz w:val="24"/>
                <w:szCs w:val="24"/>
                <w:lang w:val="en-US" w:eastAsia="zh-CN" w:bidi="ar"/>
              </w:rPr>
              <w:t>对</w:t>
            </w:r>
            <w:r>
              <w:rPr>
                <w:rFonts w:hint="eastAsia" w:ascii="宋体" w:hAnsi="宋体" w:cs="宋体"/>
                <w:color w:val="auto"/>
                <w:kern w:val="0"/>
                <w:sz w:val="24"/>
                <w:szCs w:val="24"/>
                <w:lang w:eastAsia="zh-CN"/>
              </w:rPr>
              <w:t>安康市中医医院高新分院</w:t>
            </w:r>
            <w:r>
              <w:rPr>
                <w:rFonts w:hint="eastAsia" w:ascii="宋体" w:hAnsi="宋体" w:eastAsia="宋体" w:cs="宋体"/>
                <w:color w:val="auto"/>
                <w:kern w:val="0"/>
                <w:sz w:val="24"/>
                <w:szCs w:val="24"/>
                <w:lang w:val="en-US" w:eastAsia="zh-CN" w:bidi="ar"/>
              </w:rPr>
              <w:t>中央空调系统</w:t>
            </w:r>
            <w:r>
              <w:rPr>
                <w:rFonts w:hint="default" w:ascii="宋体" w:hAnsi="宋体" w:eastAsia="宋体" w:cs="宋体"/>
                <w:color w:val="auto"/>
                <w:kern w:val="0"/>
                <w:sz w:val="24"/>
                <w:szCs w:val="24"/>
                <w:lang w:val="en-US" w:eastAsia="zh-CN" w:bidi="ar"/>
              </w:rPr>
              <w:t>设</w:t>
            </w:r>
            <w:r>
              <w:rPr>
                <w:rFonts w:hint="default" w:ascii="宋体" w:hAnsi="宋体" w:cs="宋体"/>
                <w:color w:val="auto"/>
                <w:kern w:val="0"/>
                <w:sz w:val="24"/>
                <w:szCs w:val="24"/>
                <w:lang w:val="en-US" w:eastAsia="zh-CN" w:bidi="ar"/>
              </w:rPr>
              <w:t>备进行维护保养</w:t>
            </w:r>
            <w:r>
              <w:rPr>
                <w:rFonts w:hint="eastAsia" w:ascii="宋体" w:hAnsi="宋体" w:cs="宋体"/>
                <w:color w:val="auto"/>
                <w:kern w:val="0"/>
                <w:sz w:val="24"/>
                <w:szCs w:val="24"/>
                <w:lang w:val="en-US" w:eastAsia="zh-CN" w:bidi="ar"/>
              </w:rPr>
              <w:t>、</w:t>
            </w:r>
            <w:r>
              <w:rPr>
                <w:rFonts w:hint="default" w:ascii="宋体" w:hAnsi="宋体" w:cs="宋体"/>
                <w:color w:val="auto"/>
                <w:kern w:val="0"/>
                <w:sz w:val="24"/>
                <w:szCs w:val="24"/>
                <w:lang w:val="en-US" w:eastAsia="zh-CN" w:bidi="ar"/>
              </w:rPr>
              <w:t>定期检修</w:t>
            </w:r>
            <w:r>
              <w:rPr>
                <w:rFonts w:hint="eastAsia" w:ascii="宋体" w:hAnsi="宋体" w:cs="宋体"/>
                <w:color w:val="auto"/>
                <w:kern w:val="0"/>
                <w:sz w:val="24"/>
                <w:szCs w:val="24"/>
                <w:lang w:val="en-US" w:eastAsia="zh-CN" w:bidi="ar"/>
              </w:rPr>
              <w:t>、日常巡检</w:t>
            </w:r>
            <w:r>
              <w:rPr>
                <w:rFonts w:hint="eastAsia" w:ascii="宋体" w:hAnsi="宋体" w:cs="宋体"/>
                <w:color w:val="auto"/>
                <w:kern w:val="0"/>
                <w:sz w:val="24"/>
                <w:szCs w:val="24"/>
              </w:rPr>
              <w:t>（采购内容详见第五部分采购内容及要求）</w:t>
            </w:r>
          </w:p>
        </w:tc>
      </w:tr>
      <w:tr w14:paraId="79ABE1C1">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93384B">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EAEEE8A">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6949" w:type="dxa"/>
            <w:tcBorders>
              <w:top w:val="single" w:color="000000" w:sz="4" w:space="0"/>
              <w:left w:val="single" w:color="000000" w:sz="4" w:space="0"/>
              <w:bottom w:val="single" w:color="000000" w:sz="4" w:space="0"/>
              <w:right w:val="single" w:color="000000" w:sz="4" w:space="0"/>
            </w:tcBorders>
          </w:tcPr>
          <w:p w14:paraId="30B01CF0">
            <w:pPr>
              <w:spacing w:line="259"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180000.00元</w:t>
            </w:r>
          </w:p>
        </w:tc>
      </w:tr>
      <w:tr w14:paraId="667694D2">
        <w:tblPrEx>
          <w:tblCellMar>
            <w:top w:w="147" w:type="dxa"/>
            <w:left w:w="108" w:type="dxa"/>
            <w:bottom w:w="56" w:type="dxa"/>
            <w:right w:w="0" w:type="dxa"/>
          </w:tblCellMar>
        </w:tblPrEx>
        <w:trPr>
          <w:trHeight w:val="54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DF9F87">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E39A9CA">
            <w:pPr>
              <w:widowControl/>
              <w:tabs>
                <w:tab w:val="left" w:pos="1620"/>
              </w:tabs>
              <w:snapToGrid w:val="0"/>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最高限价</w:t>
            </w:r>
          </w:p>
        </w:tc>
        <w:tc>
          <w:tcPr>
            <w:tcW w:w="6949" w:type="dxa"/>
            <w:tcBorders>
              <w:top w:val="single" w:color="000000" w:sz="4" w:space="0"/>
              <w:left w:val="single" w:color="000000" w:sz="4" w:space="0"/>
              <w:bottom w:val="single" w:color="000000" w:sz="4" w:space="0"/>
              <w:right w:val="single" w:color="000000" w:sz="4" w:space="0"/>
            </w:tcBorders>
            <w:vAlign w:val="bottom"/>
          </w:tcPr>
          <w:p w14:paraId="397C7DD1">
            <w:pPr>
              <w:widowControl/>
              <w:tabs>
                <w:tab w:val="left" w:pos="1620"/>
              </w:tabs>
              <w:snapToGrid w:val="0"/>
              <w:spacing w:line="400" w:lineRule="exact"/>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170000.00元</w:t>
            </w:r>
          </w:p>
        </w:tc>
      </w:tr>
      <w:tr w14:paraId="05CD3605">
        <w:tblPrEx>
          <w:tblCellMar>
            <w:top w:w="147" w:type="dxa"/>
            <w:left w:w="108" w:type="dxa"/>
            <w:bottom w:w="56" w:type="dxa"/>
            <w:right w:w="0" w:type="dxa"/>
          </w:tblCellMar>
        </w:tblPrEx>
        <w:trPr>
          <w:trHeight w:val="54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2863CD">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5B5B9DB">
            <w:pPr>
              <w:widowControl/>
              <w:tabs>
                <w:tab w:val="left" w:pos="1620"/>
              </w:tabs>
              <w:snapToGrid w:val="0"/>
              <w:spacing w:line="400" w:lineRule="exact"/>
              <w:jc w:val="center"/>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rPr>
              <w:t>合同履行期限</w:t>
            </w:r>
          </w:p>
        </w:tc>
        <w:tc>
          <w:tcPr>
            <w:tcW w:w="6949" w:type="dxa"/>
            <w:tcBorders>
              <w:top w:val="single" w:color="000000" w:sz="4" w:space="0"/>
              <w:left w:val="single" w:color="000000" w:sz="4" w:space="0"/>
              <w:bottom w:val="single" w:color="000000" w:sz="4" w:space="0"/>
              <w:right w:val="single" w:color="000000" w:sz="4" w:space="0"/>
            </w:tcBorders>
            <w:vAlign w:val="bottom"/>
          </w:tcPr>
          <w:p w14:paraId="15BCF2E2">
            <w:pPr>
              <w:widowControl/>
              <w:tabs>
                <w:tab w:val="left" w:pos="1620"/>
              </w:tabs>
              <w:snapToGrid w:val="0"/>
              <w:spacing w:line="400" w:lineRule="exact"/>
              <w:rPr>
                <w:rFonts w:hint="default" w:cs="宋体" w:asciiTheme="minorEastAsia" w:hAnsiTheme="minorEastAsia" w:eastAsiaTheme="minorEastAsia"/>
                <w:color w:val="auto"/>
                <w:kern w:val="0"/>
                <w:sz w:val="24"/>
                <w:szCs w:val="24"/>
                <w:lang w:val="en-US" w:eastAsia="zh-CN"/>
              </w:rPr>
            </w:pPr>
            <w:r>
              <w:rPr>
                <w:rFonts w:hint="eastAsia" w:ascii="宋体" w:hAnsi="宋体" w:cs="宋体"/>
                <w:color w:val="auto"/>
                <w:kern w:val="0"/>
                <w:sz w:val="24"/>
                <w:szCs w:val="24"/>
                <w:lang w:val="en-US" w:eastAsia="zh-CN" w:bidi="ar-SA"/>
              </w:rPr>
              <w:t>服务时间为自合同签订之日起1个制冷季</w:t>
            </w:r>
          </w:p>
        </w:tc>
      </w:tr>
      <w:tr w14:paraId="796C46E3">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00981C">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14513B">
            <w:pPr>
              <w:spacing w:line="360"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服务</w:t>
            </w:r>
            <w:r>
              <w:rPr>
                <w:rFonts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7BDE43D">
            <w:pPr>
              <w:spacing w:line="360" w:lineRule="auto"/>
              <w:jc w:val="left"/>
              <w:rPr>
                <w:rFonts w:ascii="宋体" w:hAnsi="宋体" w:cs="宋体"/>
                <w:color w:val="auto"/>
                <w:sz w:val="24"/>
                <w:szCs w:val="24"/>
              </w:rPr>
            </w:pPr>
            <w:r>
              <w:rPr>
                <w:rFonts w:hint="eastAsia" w:asciiTheme="minorEastAsia" w:hAnsiTheme="minorEastAsia" w:eastAsiaTheme="minorEastAsia"/>
                <w:color w:val="auto"/>
                <w:sz w:val="24"/>
                <w:szCs w:val="24"/>
              </w:rPr>
              <w:t>采购人指定地点</w:t>
            </w:r>
          </w:p>
        </w:tc>
      </w:tr>
      <w:tr w14:paraId="24EA05C0">
        <w:tblPrEx>
          <w:tblCellMar>
            <w:top w:w="147" w:type="dxa"/>
            <w:left w:w="108" w:type="dxa"/>
            <w:bottom w:w="56" w:type="dxa"/>
            <w:right w:w="0" w:type="dxa"/>
          </w:tblCellMar>
        </w:tblPrEx>
        <w:trPr>
          <w:trHeight w:val="54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028208">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E8AE70B">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5CEC7AA2">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660E0C39">
        <w:tblPrEx>
          <w:tblCellMar>
            <w:top w:w="147" w:type="dxa"/>
            <w:left w:w="108" w:type="dxa"/>
            <w:bottom w:w="56" w:type="dxa"/>
            <w:right w:w="0" w:type="dxa"/>
          </w:tblCellMar>
        </w:tblPrEx>
        <w:trPr>
          <w:trHeight w:val="89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8D11FE9">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C367A34">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投标人资质要求</w:t>
            </w:r>
          </w:p>
        </w:tc>
        <w:tc>
          <w:tcPr>
            <w:tcW w:w="6949" w:type="dxa"/>
            <w:tcBorders>
              <w:top w:val="single" w:color="000000" w:sz="4" w:space="0"/>
              <w:left w:val="single" w:color="000000" w:sz="4" w:space="0"/>
              <w:bottom w:val="single" w:color="000000" w:sz="4" w:space="0"/>
              <w:right w:val="single" w:color="000000" w:sz="4" w:space="0"/>
            </w:tcBorders>
          </w:tcPr>
          <w:p w14:paraId="4848FA2D">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07AD29D1">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rPr>
              <w:t>法定代表人授权书及被授权人身份证（法定代表人直接投标</w:t>
            </w:r>
            <w:r>
              <w:rPr>
                <w:rFonts w:hint="eastAsia" w:ascii="宋体" w:hAnsi="宋体" w:cs="宋体"/>
                <w:color w:val="auto"/>
                <w:kern w:val="0"/>
                <w:sz w:val="24"/>
                <w:szCs w:val="24"/>
                <w:lang w:eastAsia="zh-CN"/>
              </w:rPr>
              <w:t>只需</w:t>
            </w:r>
            <w:r>
              <w:rPr>
                <w:rFonts w:hint="eastAsia" w:ascii="宋体" w:hAnsi="宋体" w:cs="宋体"/>
                <w:color w:val="auto"/>
                <w:kern w:val="0"/>
                <w:sz w:val="24"/>
                <w:szCs w:val="24"/>
              </w:rPr>
              <w:t>提交其身份证原件）</w:t>
            </w:r>
            <w:r>
              <w:rPr>
                <w:rFonts w:hint="eastAsia" w:ascii="宋体" w:hAnsi="宋体" w:cs="宋体"/>
                <w:color w:val="auto"/>
                <w:kern w:val="0"/>
                <w:sz w:val="24"/>
                <w:szCs w:val="24"/>
                <w:lang w:eastAsia="zh-CN"/>
              </w:rPr>
              <w:t>。</w:t>
            </w:r>
          </w:p>
          <w:p w14:paraId="0244B018">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3CEB1B1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0EB50B9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月至今任意</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6EB9B81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w:t>
            </w:r>
            <w:r>
              <w:rPr>
                <w:rFonts w:hint="eastAsia" w:ascii="宋体" w:hAnsi="宋体" w:cs="宋体"/>
                <w:color w:val="auto"/>
                <w:sz w:val="24"/>
                <w:szCs w:val="24"/>
                <w:lang w:val="en-US" w:eastAsia="zh-CN"/>
              </w:rPr>
              <w:t>或2024年度</w:t>
            </w:r>
            <w:r>
              <w:rPr>
                <w:rFonts w:hint="eastAsia" w:ascii="宋体" w:hAnsi="宋体" w:cs="宋体"/>
                <w:color w:val="auto"/>
                <w:sz w:val="24"/>
                <w:szCs w:val="24"/>
                <w:lang w:eastAsia="zh-CN"/>
              </w:rPr>
              <w:t>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2F48DF4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提供2024年5月至今任意一个月社会保障资金缴存单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DDDC57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053DEC81">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0ED94D11">
            <w:pPr>
              <w:spacing w:after="50" w:line="292" w:lineRule="auto"/>
              <w:ind w:firstLine="240" w:firstLineChars="1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  </w:t>
            </w:r>
            <w:r>
              <w:rPr>
                <w:rFonts w:hint="eastAsia" w:cs="宋体" w:asciiTheme="minorEastAsia" w:hAnsiTheme="minorEastAsia" w:eastAsiaTheme="minorEastAsia"/>
                <w:b/>
                <w:bCs/>
                <w:color w:val="auto"/>
                <w:kern w:val="0"/>
                <w:sz w:val="24"/>
                <w:szCs w:val="24"/>
              </w:rPr>
              <w:t>注：上述资质为必备资质，欠缺其中任何一项按无效文件处理。参加招标会议时须提供上述</w:t>
            </w:r>
            <w:r>
              <w:rPr>
                <w:rFonts w:cs="宋体" w:asciiTheme="minorEastAsia" w:hAnsiTheme="minorEastAsia" w:eastAsiaTheme="minorEastAsia"/>
                <w:b/>
                <w:bCs/>
                <w:color w:val="auto"/>
                <w:kern w:val="0"/>
                <w:sz w:val="24"/>
                <w:szCs w:val="24"/>
              </w:rPr>
              <w:t>资质文件</w:t>
            </w:r>
            <w:r>
              <w:rPr>
                <w:rFonts w:hint="eastAsia" w:cs="宋体" w:asciiTheme="minorEastAsia" w:hAnsiTheme="minorEastAsia" w:eastAsiaTheme="minorEastAsia"/>
                <w:b/>
                <w:bCs/>
                <w:color w:val="auto"/>
                <w:kern w:val="0"/>
                <w:sz w:val="24"/>
                <w:szCs w:val="24"/>
              </w:rPr>
              <w:t>（密封）单独递交进行审查，否则按无效文件处理。投标文件（正、副本）中应附一套加盖投标人公章（红章）的上述资质文件的复印件。投标人须保证资质文件的真实、合法、有效，因资质产生的一切纠纷由投标人承担法律责任。</w:t>
            </w:r>
          </w:p>
        </w:tc>
      </w:tr>
      <w:tr w14:paraId="3D4B62BD">
        <w:tblPrEx>
          <w:tblCellMar>
            <w:top w:w="147" w:type="dxa"/>
            <w:left w:w="108" w:type="dxa"/>
            <w:bottom w:w="56" w:type="dxa"/>
            <w:right w:w="0" w:type="dxa"/>
          </w:tblCellMar>
        </w:tblPrEx>
        <w:trPr>
          <w:trHeight w:val="6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1B7900">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88DBB1C">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21DCE8D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5F5AD5F5">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不接受联合体磋商</w:t>
            </w:r>
          </w:p>
        </w:tc>
      </w:tr>
      <w:tr w14:paraId="0173B195">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26E0F5">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036BCC2">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6949" w:type="dxa"/>
            <w:tcBorders>
              <w:top w:val="single" w:color="000000" w:sz="4" w:space="0"/>
              <w:left w:val="single" w:color="000000" w:sz="4" w:space="0"/>
              <w:bottom w:val="single" w:color="000000" w:sz="4" w:space="0"/>
              <w:right w:val="single" w:color="000000" w:sz="4" w:space="0"/>
            </w:tcBorders>
          </w:tcPr>
          <w:p w14:paraId="28B4292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自行勘察，未勘察现场造成的一切后果由投标人自行承担（一切费用自理）</w:t>
            </w:r>
          </w:p>
        </w:tc>
      </w:tr>
      <w:tr w14:paraId="73153829">
        <w:tblPrEx>
          <w:tblCellMar>
            <w:top w:w="147" w:type="dxa"/>
            <w:left w:w="108" w:type="dxa"/>
            <w:bottom w:w="56" w:type="dxa"/>
            <w:right w:w="0" w:type="dxa"/>
          </w:tblCellMar>
        </w:tblPrEx>
        <w:trPr>
          <w:trHeight w:val="45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C9B6C60">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D62071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CB82ABC">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rPr>
              <w:t>202</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15：00</w:t>
            </w:r>
            <w:r>
              <w:rPr>
                <w:rFonts w:hint="eastAsia" w:ascii="宋体" w:hAnsi="宋体" w:cs="宋体"/>
                <w:color w:val="auto"/>
                <w:kern w:val="0"/>
                <w:sz w:val="24"/>
                <w:szCs w:val="24"/>
              </w:rPr>
              <w:t>时</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28E1957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宋体" w:hAnsi="宋体" w:cs="宋体"/>
                <w:color w:val="auto"/>
                <w:sz w:val="24"/>
                <w:szCs w:val="24"/>
              </w:rPr>
              <w:t>安康市高新区高新观澜8幢2单元801室</w:t>
            </w:r>
          </w:p>
          <w:p w14:paraId="068C7569">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74B441F1">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BF4CE10">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D8FCECD">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44FF3EF">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rPr>
              <w:t>202</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15：00</w:t>
            </w:r>
            <w:r>
              <w:rPr>
                <w:rFonts w:hint="eastAsia" w:ascii="宋体" w:hAnsi="宋体" w:cs="宋体"/>
                <w:color w:val="auto"/>
                <w:kern w:val="0"/>
                <w:sz w:val="24"/>
                <w:szCs w:val="24"/>
              </w:rPr>
              <w:t>时</w:t>
            </w:r>
            <w:r>
              <w:rPr>
                <w:rFonts w:hint="eastAsia" w:asciiTheme="minorEastAsia" w:hAnsiTheme="minorEastAsia" w:eastAsiaTheme="minorEastAsia"/>
                <w:color w:val="auto"/>
                <w:sz w:val="24"/>
                <w:szCs w:val="24"/>
              </w:rPr>
              <w:t>止</w:t>
            </w:r>
          </w:p>
          <w:p w14:paraId="48B12847">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cs="宋体"/>
                <w:color w:val="auto"/>
                <w:sz w:val="24"/>
                <w:szCs w:val="24"/>
              </w:rPr>
              <w:t>安康市高新区高新观澜8幢2单元801室</w:t>
            </w:r>
            <w:r>
              <w:rPr>
                <w:rFonts w:hint="eastAsia" w:asciiTheme="minorEastAsia" w:hAnsiTheme="minorEastAsia" w:eastAsiaTheme="minorEastAsia"/>
                <w:color w:val="auto"/>
                <w:sz w:val="24"/>
                <w:szCs w:val="24"/>
              </w:rPr>
              <w:t xml:space="preserve">  </w:t>
            </w:r>
          </w:p>
        </w:tc>
      </w:tr>
      <w:tr w14:paraId="31A70B65">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6320CD3">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223623C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5FB627B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u w:val="single" w:color="000000"/>
              </w:rPr>
              <w:t>90</w:t>
            </w:r>
            <w:r>
              <w:rPr>
                <w:rFonts w:asciiTheme="minorEastAsia" w:hAnsiTheme="minorEastAsia" w:eastAsiaTheme="minorEastAsia"/>
                <w:color w:val="auto"/>
                <w:sz w:val="24"/>
                <w:szCs w:val="24"/>
              </w:rPr>
              <w:t xml:space="preserve">日历天（从提交响应文件日起计算） </w:t>
            </w:r>
          </w:p>
        </w:tc>
      </w:tr>
      <w:tr w14:paraId="2D54CF9D">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72A7CFF7">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B875B2B">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497C41B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资质文件壹份、正本壹份、</w:t>
            </w:r>
            <w:r>
              <w:rPr>
                <w:rFonts w:hint="eastAsia" w:asciiTheme="minorEastAsia" w:hAnsiTheme="minorEastAsia" w:eastAsiaTheme="minorEastAsia"/>
                <w:color w:val="auto"/>
                <w:sz w:val="24"/>
                <w:szCs w:val="24"/>
                <w:lang w:eastAsia="zh-CN"/>
              </w:rPr>
              <w:t>副本贰份</w:t>
            </w:r>
            <w:r>
              <w:rPr>
                <w:rFonts w:asciiTheme="minorEastAsia" w:hAnsiTheme="minorEastAsia" w:eastAsiaTheme="minorEastAsia"/>
                <w:color w:val="auto"/>
                <w:sz w:val="24"/>
                <w:szCs w:val="24"/>
              </w:rPr>
              <w:t>，电子版壹份</w:t>
            </w:r>
          </w:p>
        </w:tc>
      </w:tr>
      <w:tr w14:paraId="0F78EAFA">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A77CACF">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CBFA2CB">
            <w:pPr>
              <w:spacing w:line="259" w:lineRule="auto"/>
              <w:jc w:val="center"/>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装订要求</w:t>
            </w:r>
          </w:p>
        </w:tc>
        <w:tc>
          <w:tcPr>
            <w:tcW w:w="6949" w:type="dxa"/>
            <w:tcBorders>
              <w:top w:val="single" w:color="000000" w:sz="4" w:space="0"/>
              <w:left w:val="single" w:color="000000" w:sz="4" w:space="0"/>
              <w:bottom w:val="single" w:color="000000" w:sz="4" w:space="0"/>
              <w:right w:val="single" w:color="000000" w:sz="4" w:space="0"/>
            </w:tcBorders>
          </w:tcPr>
          <w:p w14:paraId="36708FF5">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正本壹份，</w:t>
            </w:r>
            <w:r>
              <w:rPr>
                <w:rFonts w:hint="eastAsia" w:asciiTheme="minorEastAsia" w:hAnsiTheme="minorEastAsia" w:eastAsiaTheme="minorEastAsia"/>
                <w:color w:val="auto"/>
                <w:sz w:val="24"/>
                <w:szCs w:val="24"/>
                <w:lang w:eastAsia="zh-CN"/>
              </w:rPr>
              <w:t>副本贰份</w:t>
            </w:r>
            <w:r>
              <w:rPr>
                <w:rFonts w:hint="eastAsia" w:asciiTheme="minorEastAsia" w:hAnsiTheme="minorEastAsia" w:eastAsiaTheme="minorEastAsia"/>
                <w:color w:val="auto"/>
                <w:sz w:val="24"/>
                <w:szCs w:val="24"/>
              </w:rPr>
              <w:t>，电子文件壹份（电子文件内容须为加盖响应单位公章正本响应文件全部内容的扫描件，格式为PDF），电子版文件装入响应文件正本密封袋内，随响应文件一同递交</w:t>
            </w:r>
          </w:p>
        </w:tc>
      </w:tr>
      <w:tr w14:paraId="470EBA22">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77C400">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7201EFB">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6949" w:type="dxa"/>
            <w:tcBorders>
              <w:top w:val="single" w:color="000000" w:sz="4" w:space="0"/>
              <w:left w:val="single" w:color="000000" w:sz="4" w:space="0"/>
              <w:bottom w:val="single" w:color="000000" w:sz="4" w:space="0"/>
              <w:right w:val="single" w:color="000000" w:sz="4" w:space="0"/>
            </w:tcBorders>
          </w:tcPr>
          <w:p w14:paraId="2DC366E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2ED4AE9A">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055BDD5">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28D2BFF">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161DD58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根据《中华人民共和国政府采购法》《中华人民共和国</w:t>
            </w:r>
            <w:r>
              <w:rPr>
                <w:rFonts w:hint="eastAsia" w:asciiTheme="minorEastAsia" w:hAnsiTheme="minorEastAsia" w:eastAsiaTheme="minorEastAsia"/>
                <w:color w:val="auto"/>
                <w:sz w:val="24"/>
                <w:szCs w:val="24"/>
              </w:rPr>
              <w:t>政府采购法实施条例</w:t>
            </w:r>
            <w:r>
              <w:rPr>
                <w:rFonts w:asciiTheme="minorEastAsia" w:hAnsiTheme="minorEastAsia" w:eastAsiaTheme="minorEastAsia"/>
                <w:color w:val="auto"/>
                <w:sz w:val="24"/>
                <w:szCs w:val="24"/>
              </w:rPr>
              <w:t>》等有关法律规定组建磋商小组</w:t>
            </w:r>
          </w:p>
        </w:tc>
      </w:tr>
      <w:tr w14:paraId="165BC109">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5DA023">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D32B1F7">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p w14:paraId="5C6465FF">
            <w:pPr>
              <w:spacing w:line="259" w:lineRule="auto"/>
              <w:rPr>
                <w:rFonts w:hint="eastAsia" w:asciiTheme="minorEastAsia" w:hAnsiTheme="minorEastAsia" w:eastAsiaTheme="minorEastAsia"/>
                <w:color w:val="auto"/>
                <w:sz w:val="24"/>
                <w:szCs w:val="24"/>
                <w:lang w:eastAsia="zh-CN"/>
              </w:rPr>
            </w:pPr>
            <w:bookmarkStart w:id="27" w:name="OLE_LINK19"/>
            <w:r>
              <w:rPr>
                <w:rFonts w:hint="eastAsia" w:asciiTheme="minorEastAsia" w:hAnsiTheme="minorEastAsia" w:eastAsiaTheme="minorEastAsia"/>
                <w:color w:val="auto"/>
                <w:sz w:val="24"/>
                <w:szCs w:val="24"/>
                <w:lang w:eastAsia="zh-CN"/>
              </w:rPr>
              <w:t>合同签订生效后，主机大保养完成，设备运行正常，甲方验收合格后，支付合同总价款的50%；维保期结束甲方验收合格后，10日内支付剩余的50%合同总价款</w:t>
            </w:r>
            <w:r>
              <w:rPr>
                <w:rFonts w:hint="eastAsia" w:asciiTheme="minorEastAsia" w:hAnsiTheme="minorEastAsia" w:eastAsiaTheme="minorEastAsia"/>
                <w:color w:val="auto"/>
                <w:sz w:val="24"/>
                <w:szCs w:val="24"/>
              </w:rPr>
              <w:t>。</w:t>
            </w:r>
            <w:bookmarkEnd w:id="27"/>
          </w:p>
        </w:tc>
      </w:tr>
      <w:tr w14:paraId="77FF5AB6">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512C89B">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6C1A5E1">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6949" w:type="dxa"/>
            <w:tcBorders>
              <w:top w:val="single" w:color="000000" w:sz="4" w:space="0"/>
              <w:left w:val="single" w:color="000000" w:sz="4" w:space="0"/>
              <w:bottom w:val="single" w:color="000000" w:sz="4" w:space="0"/>
              <w:right w:val="single" w:color="000000" w:sz="4" w:space="0"/>
            </w:tcBorders>
          </w:tcPr>
          <w:p w14:paraId="19EFB046">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48F35699">
        <w:tblPrEx>
          <w:tblCellMar>
            <w:top w:w="147" w:type="dxa"/>
            <w:left w:w="108" w:type="dxa"/>
            <w:bottom w:w="56" w:type="dxa"/>
            <w:right w:w="0" w:type="dxa"/>
          </w:tblCellMar>
        </w:tblPrEx>
        <w:trPr>
          <w:trHeight w:val="156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A38AB1">
            <w:pPr>
              <w:pStyle w:val="77"/>
              <w:numPr>
                <w:ilvl w:val="0"/>
                <w:numId w:val="1"/>
              </w:numPr>
              <w:spacing w:line="259" w:lineRule="auto"/>
              <w:ind w:firstLineChars="0"/>
              <w:jc w:val="center"/>
              <w:rPr>
                <w:rFonts w:asciiTheme="minorEastAsia" w:hAnsiTheme="minorEastAsia" w:eastAsiaTheme="minorEastAsia"/>
                <w:color w:val="auto"/>
                <w:sz w:val="24"/>
                <w:szCs w:val="24"/>
              </w:rPr>
            </w:pPr>
            <w:bookmarkStart w:id="28" w:name="_Toc536429371"/>
            <w:bookmarkStart w:id="29" w:name="_Toc536202378"/>
            <w:bookmarkStart w:id="30" w:name="_Toc19272"/>
            <w:bookmarkStart w:id="31" w:name="_Toc21495"/>
            <w:bookmarkStart w:id="32" w:name="_Toc536429318"/>
            <w:bookmarkStart w:id="33" w:name="_Toc536202284"/>
          </w:p>
        </w:tc>
        <w:tc>
          <w:tcPr>
            <w:tcW w:w="1990" w:type="dxa"/>
            <w:tcBorders>
              <w:top w:val="single" w:color="000000" w:sz="4" w:space="0"/>
              <w:left w:val="single" w:color="000000" w:sz="4" w:space="0"/>
              <w:bottom w:val="single" w:color="000000" w:sz="4" w:space="0"/>
              <w:right w:val="single" w:color="000000" w:sz="4" w:space="0"/>
            </w:tcBorders>
            <w:vAlign w:val="center"/>
          </w:tcPr>
          <w:p w14:paraId="75B8E0CC">
            <w:pPr>
              <w:spacing w:line="259" w:lineRule="auto"/>
              <w:ind w:right="109"/>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其他说明事项</w:t>
            </w:r>
          </w:p>
        </w:tc>
        <w:tc>
          <w:tcPr>
            <w:tcW w:w="6949" w:type="dxa"/>
            <w:tcBorders>
              <w:top w:val="single" w:color="000000" w:sz="4" w:space="0"/>
              <w:left w:val="single" w:color="000000" w:sz="4" w:space="0"/>
              <w:bottom w:val="single" w:color="000000" w:sz="4" w:space="0"/>
              <w:right w:val="single" w:color="000000" w:sz="4" w:space="0"/>
            </w:tcBorders>
          </w:tcPr>
          <w:p w14:paraId="32101A76">
            <w:pPr>
              <w:keepNext w:val="0"/>
              <w:keepLines w:val="0"/>
              <w:suppressLineNumbers w:val="0"/>
              <w:spacing w:before="0" w:beforeAutospacing="0" w:after="0" w:afterAutospacing="0" w:line="440" w:lineRule="exact"/>
              <w:ind w:left="0" w:right="-11"/>
              <w:rPr>
                <w:rFonts w:hint="eastAsia" w:eastAsia="宋体" w:cs="宋体" w:asciiTheme="minorEastAsia" w:hAnsiTheme="minorEastAsia"/>
                <w:color w:val="auto"/>
                <w:kern w:val="2"/>
                <w:sz w:val="24"/>
                <w:szCs w:val="24"/>
                <w:highlight w:val="none"/>
                <w:lang w:val="en-US" w:eastAsia="zh-CN" w:bidi="ar-SA"/>
              </w:rPr>
            </w:pPr>
            <w:r>
              <w:rPr>
                <w:rFonts w:hint="eastAsia" w:eastAsia="宋体" w:cs="宋体" w:asciiTheme="minorEastAsia" w:hAnsiTheme="minorEastAsia"/>
                <w:color w:val="auto"/>
                <w:kern w:val="2"/>
                <w:sz w:val="24"/>
                <w:szCs w:val="24"/>
                <w:highlight w:val="none"/>
                <w:lang w:val="en-US" w:eastAsia="zh-CN" w:bidi="ar-SA"/>
              </w:rPr>
              <w:t>采购标的对应的中小企业划分标准所属行业为其他未列明行业。</w:t>
            </w:r>
          </w:p>
          <w:p w14:paraId="080B5CC5">
            <w:pPr>
              <w:spacing w:line="259" w:lineRule="auto"/>
              <w:ind w:right="-11"/>
              <w:rPr>
                <w:rFonts w:asciiTheme="minorEastAsia" w:hAnsiTheme="minorEastAsia" w:eastAsiaTheme="minorEastAsia"/>
                <w:color w:val="auto"/>
                <w:sz w:val="24"/>
                <w:szCs w:val="24"/>
              </w:rPr>
            </w:pPr>
            <w:r>
              <w:rPr>
                <w:rFonts w:hint="eastAsia" w:cs="宋体" w:asciiTheme="minorEastAsia" w:hAnsiTheme="minorEastAsia"/>
                <w:color w:val="auto"/>
                <w:kern w:val="2"/>
                <w:sz w:val="24"/>
                <w:szCs w:val="24"/>
                <w:highlight w:val="none"/>
                <w:lang w:val="en-US" w:eastAsia="zh-CN" w:bidi="ar-SA"/>
              </w:rPr>
              <w:t>其他未列明行业的</w:t>
            </w:r>
            <w:r>
              <w:rPr>
                <w:rFonts w:hint="eastAsia" w:eastAsia="宋体" w:cs="宋体" w:asciiTheme="minorEastAsia" w:hAnsiTheme="minorEastAsia"/>
                <w:color w:val="auto"/>
                <w:kern w:val="2"/>
                <w:sz w:val="24"/>
                <w:szCs w:val="24"/>
                <w:highlight w:val="none"/>
                <w:lang w:val="en-US" w:eastAsia="zh-CN" w:bidi="ar-SA"/>
              </w:rPr>
              <w:t>划型标准为：从业人员300人以下的为中小微型企业。其中，从业人员100人及以上的为中型企业；从业人员10人及以上的为小型企业；从业人员10人以下的为微型企业。</w:t>
            </w:r>
          </w:p>
        </w:tc>
      </w:tr>
    </w:tbl>
    <w:p w14:paraId="6CC288DE">
      <w:pPr>
        <w:pStyle w:val="14"/>
        <w:rPr>
          <w:color w:val="auto"/>
          <w:kern w:val="44"/>
          <w:sz w:val="32"/>
          <w:szCs w:val="32"/>
        </w:rPr>
      </w:pPr>
      <w:r>
        <w:rPr>
          <w:color w:val="auto"/>
        </w:rPr>
        <w:br w:type="page"/>
      </w:r>
    </w:p>
    <w:p w14:paraId="10F77888">
      <w:pPr>
        <w:pStyle w:val="4"/>
        <w:keepLines w:val="0"/>
        <w:spacing w:line="400" w:lineRule="exact"/>
        <w:rPr>
          <w:rFonts w:ascii="宋体"/>
          <w:color w:val="auto"/>
        </w:rPr>
      </w:pPr>
      <w:bookmarkStart w:id="34" w:name="_Toc19543335"/>
      <w:bookmarkStart w:id="35" w:name="_Toc7866"/>
      <w:r>
        <w:rPr>
          <w:rFonts w:hint="eastAsia" w:ascii="宋体" w:hAnsi="宋体" w:cs="宋体"/>
          <w:color w:val="auto"/>
        </w:rPr>
        <w:t xml:space="preserve">第三部分 </w:t>
      </w:r>
      <w:r>
        <w:rPr>
          <w:rFonts w:ascii="宋体" w:hAnsi="宋体" w:cs="宋体"/>
          <w:color w:val="auto"/>
        </w:rPr>
        <w:t xml:space="preserve">  </w:t>
      </w:r>
      <w:r>
        <w:rPr>
          <w:rFonts w:hint="eastAsia" w:ascii="宋体" w:hAnsi="宋体" w:cs="宋体"/>
          <w:color w:val="auto"/>
        </w:rPr>
        <w:t>供应商须知</w:t>
      </w:r>
      <w:bookmarkEnd w:id="28"/>
      <w:bookmarkEnd w:id="29"/>
      <w:bookmarkEnd w:id="30"/>
      <w:bookmarkEnd w:id="31"/>
      <w:bookmarkEnd w:id="32"/>
      <w:bookmarkEnd w:id="33"/>
      <w:bookmarkEnd w:id="34"/>
      <w:bookmarkEnd w:id="35"/>
    </w:p>
    <w:p w14:paraId="294B5550">
      <w:pPr>
        <w:widowControl/>
        <w:numPr>
          <w:ilvl w:val="0"/>
          <w:numId w:val="2"/>
        </w:numPr>
        <w:spacing w:line="400" w:lineRule="exact"/>
        <w:ind w:firstLine="643" w:firstLineChars="200"/>
        <w:jc w:val="center"/>
        <w:outlineLvl w:val="1"/>
        <w:rPr>
          <w:rFonts w:ascii="宋体" w:cs="Times New Roman"/>
          <w:b/>
          <w:bCs/>
          <w:color w:val="auto"/>
          <w:kern w:val="0"/>
          <w:sz w:val="32"/>
          <w:szCs w:val="32"/>
        </w:rPr>
      </w:pPr>
      <w:bookmarkStart w:id="36" w:name="_Toc536429319"/>
      <w:bookmarkStart w:id="37" w:name="_Toc17059"/>
      <w:bookmarkStart w:id="38" w:name="_Toc26739"/>
      <w:bookmarkStart w:id="39" w:name="_Toc536429372"/>
      <w:bookmarkStart w:id="40" w:name="_Toc536202379"/>
      <w:bookmarkStart w:id="41" w:name="_Toc536202285"/>
      <w:bookmarkStart w:id="42" w:name="_Toc19543336"/>
      <w:r>
        <w:rPr>
          <w:rFonts w:hint="eastAsia" w:ascii="宋体" w:hAnsi="宋体" w:cs="宋体"/>
          <w:b/>
          <w:bCs/>
          <w:color w:val="auto"/>
          <w:kern w:val="0"/>
          <w:sz w:val="32"/>
          <w:szCs w:val="32"/>
        </w:rPr>
        <w:t>总 则</w:t>
      </w:r>
      <w:bookmarkEnd w:id="36"/>
      <w:bookmarkEnd w:id="37"/>
      <w:bookmarkEnd w:id="38"/>
      <w:bookmarkEnd w:id="39"/>
      <w:bookmarkEnd w:id="40"/>
      <w:bookmarkEnd w:id="41"/>
      <w:bookmarkEnd w:id="42"/>
    </w:p>
    <w:p w14:paraId="2D361977">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cs="宋体"/>
          <w:b/>
          <w:bCs/>
          <w:color w:val="auto"/>
          <w:sz w:val="24"/>
          <w:szCs w:val="24"/>
        </w:rPr>
        <w:t>适用范围</w:t>
      </w:r>
    </w:p>
    <w:p w14:paraId="45C210B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1.1本磋商文件适用于本次采购活动的全过程。</w:t>
      </w:r>
    </w:p>
    <w:p w14:paraId="548A5F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22A1FB4D">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2.</w:t>
      </w:r>
      <w:r>
        <w:rPr>
          <w:rFonts w:hint="eastAsia" w:ascii="宋体" w:hAnsi="宋体" w:cs="宋体"/>
          <w:b/>
          <w:bCs/>
          <w:color w:val="auto"/>
          <w:sz w:val="24"/>
          <w:szCs w:val="24"/>
        </w:rPr>
        <w:t>定义</w:t>
      </w:r>
    </w:p>
    <w:p w14:paraId="1C537252">
      <w:pPr>
        <w:widowControl/>
        <w:snapToGrid w:val="0"/>
        <w:spacing w:line="360" w:lineRule="auto"/>
        <w:ind w:firstLine="480" w:firstLineChars="200"/>
        <w:jc w:val="left"/>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2.1采购人：</w:t>
      </w:r>
      <w:r>
        <w:rPr>
          <w:rFonts w:hint="eastAsia" w:ascii="宋体" w:hAnsi="宋体" w:cs="宋体"/>
          <w:bCs/>
          <w:color w:val="auto"/>
          <w:sz w:val="24"/>
          <w:szCs w:val="24"/>
          <w:lang w:eastAsia="zh-CN"/>
        </w:rPr>
        <w:t>安康市中医医院</w:t>
      </w:r>
    </w:p>
    <w:p w14:paraId="72B5F9A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2.2采购代理机构：安康尚昊招标代理有限公司</w:t>
      </w:r>
    </w:p>
    <w:p w14:paraId="28CC604A">
      <w:pPr>
        <w:widowControl/>
        <w:snapToGrid w:val="0"/>
        <w:spacing w:line="336" w:lineRule="auto"/>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2.3监管机构：安康市财政局</w:t>
      </w:r>
    </w:p>
    <w:p w14:paraId="5E05EEC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2.4供应商：指无条件接受磋商文件的各项要求，具备相应履约能力、具有《中华人民共和国政府采购法》第22规定的相关条件并向磋商小组提交响应文件的供应商。</w:t>
      </w:r>
    </w:p>
    <w:p w14:paraId="27B934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2.5货物：是指本次投标所需的各种形态和种类的物品。</w:t>
      </w:r>
    </w:p>
    <w:p w14:paraId="758CFF3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2.6服务：指除了货物和工程外的其他政府采购对象，包含除货物以外规定由供应商承担的与货物有关的辅助服务。</w:t>
      </w:r>
    </w:p>
    <w:p w14:paraId="306DA57E">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3.</w:t>
      </w:r>
      <w:r>
        <w:rPr>
          <w:rFonts w:hint="eastAsia" w:ascii="宋体" w:hAnsi="宋体" w:cs="宋体"/>
          <w:b/>
          <w:bCs/>
          <w:color w:val="auto"/>
          <w:sz w:val="24"/>
          <w:szCs w:val="24"/>
        </w:rPr>
        <w:t>合格的供应商</w:t>
      </w:r>
    </w:p>
    <w:p w14:paraId="163B420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3.1具有本项目生产、制造、加工、供应或实施能力，符合、承认并承诺履行本磋商文件各项规定的国内供应商。</w:t>
      </w:r>
    </w:p>
    <w:p w14:paraId="499C51A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3.2供应商应遵守有关的国家</w:t>
      </w:r>
      <w:r>
        <w:rPr>
          <w:rFonts w:hint="eastAsia" w:ascii="宋体" w:hAnsi="宋体" w:cs="宋体"/>
          <w:bCs/>
          <w:color w:val="auto"/>
          <w:sz w:val="24"/>
          <w:szCs w:val="24"/>
          <w:lang w:eastAsia="zh-CN"/>
        </w:rPr>
        <w:t>法律法规</w:t>
      </w:r>
      <w:r>
        <w:rPr>
          <w:rFonts w:hint="eastAsia" w:ascii="宋体" w:hAnsi="宋体" w:cs="宋体"/>
          <w:bCs/>
          <w:color w:val="auto"/>
          <w:sz w:val="24"/>
          <w:szCs w:val="24"/>
        </w:rPr>
        <w:t>和条例，具备《中华人民共和国政府采购法》和本文件中规定的条件：</w:t>
      </w:r>
    </w:p>
    <w:p w14:paraId="24B743CA">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rPr>
        <w:tab/>
      </w:r>
      <w:r>
        <w:rPr>
          <w:rFonts w:hint="eastAsia" w:ascii="宋体" w:hAnsi="宋体" w:cs="宋体"/>
          <w:bCs/>
          <w:color w:val="auto"/>
          <w:sz w:val="24"/>
          <w:szCs w:val="24"/>
        </w:rPr>
        <w:t>具有独立承担民事责任的能力；</w:t>
      </w:r>
    </w:p>
    <w:p w14:paraId="55AAD2C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rPr>
        <w:tab/>
      </w:r>
      <w:r>
        <w:rPr>
          <w:rFonts w:hint="eastAsia" w:ascii="宋体" w:hAnsi="宋体" w:cs="宋体"/>
          <w:bCs/>
          <w:color w:val="auto"/>
          <w:sz w:val="24"/>
          <w:szCs w:val="24"/>
        </w:rPr>
        <w:t>具有良好的商业信誉和健全的财务会计制度；</w:t>
      </w:r>
    </w:p>
    <w:p w14:paraId="5D6BCFE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rPr>
        <w:tab/>
      </w:r>
      <w:r>
        <w:rPr>
          <w:rFonts w:hint="eastAsia" w:ascii="宋体" w:hAnsi="宋体" w:cs="宋体"/>
          <w:bCs/>
          <w:color w:val="auto"/>
          <w:sz w:val="24"/>
          <w:szCs w:val="24"/>
        </w:rPr>
        <w:t>具有履行合同所必需的产品和专业技术能力；</w:t>
      </w:r>
    </w:p>
    <w:p w14:paraId="59E1ADF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w:t>
      </w:r>
      <w:r>
        <w:rPr>
          <w:rFonts w:hint="eastAsia" w:ascii="宋体" w:hAnsi="宋体" w:cs="宋体"/>
          <w:bCs/>
          <w:color w:val="auto"/>
          <w:sz w:val="24"/>
          <w:szCs w:val="24"/>
        </w:rPr>
        <w:tab/>
      </w:r>
      <w:r>
        <w:rPr>
          <w:rFonts w:hint="eastAsia" w:ascii="宋体" w:hAnsi="宋体" w:cs="宋体"/>
          <w:bCs/>
          <w:color w:val="auto"/>
          <w:sz w:val="24"/>
          <w:szCs w:val="24"/>
        </w:rPr>
        <w:t>具有依法缴纳税收和社会保障资金的良好记录；</w:t>
      </w:r>
    </w:p>
    <w:p w14:paraId="7E52A9F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（5）</w:t>
      </w:r>
      <w:r>
        <w:rPr>
          <w:rFonts w:hint="eastAsia" w:ascii="宋体" w:hAnsi="宋体" w:cs="宋体"/>
          <w:bCs/>
          <w:color w:val="auto"/>
          <w:sz w:val="24"/>
          <w:szCs w:val="24"/>
        </w:rPr>
        <w:tab/>
      </w:r>
      <w:r>
        <w:rPr>
          <w:rFonts w:hint="eastAsia" w:ascii="宋体" w:hAnsi="宋体" w:cs="宋体"/>
          <w:bCs/>
          <w:color w:val="auto"/>
          <w:sz w:val="24"/>
          <w:szCs w:val="24"/>
        </w:rPr>
        <w:t>参加此项采购活动前三年内，在经营活动中没有重大违法记录；</w:t>
      </w:r>
    </w:p>
    <w:p w14:paraId="6EC3E38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（6）</w:t>
      </w:r>
      <w:r>
        <w:rPr>
          <w:rFonts w:hint="eastAsia" w:ascii="宋体" w:hAnsi="宋体" w:cs="宋体"/>
          <w:bCs/>
          <w:color w:val="auto"/>
          <w:sz w:val="24"/>
          <w:szCs w:val="24"/>
        </w:rPr>
        <w:tab/>
      </w:r>
      <w:r>
        <w:rPr>
          <w:rFonts w:hint="eastAsia" w:ascii="宋体" w:hAnsi="宋体" w:cs="宋体"/>
          <w:bCs/>
          <w:color w:val="auto"/>
          <w:sz w:val="24"/>
          <w:szCs w:val="24"/>
        </w:rPr>
        <w:t>法律、行政法规规定的其他条件。</w:t>
      </w:r>
    </w:p>
    <w:p w14:paraId="4A1C9372">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3.3供应商</w:t>
      </w:r>
      <w:r>
        <w:rPr>
          <w:rFonts w:hint="eastAsia" w:ascii="宋体" w:hAnsi="宋体" w:cs="宋体"/>
          <w:bCs/>
          <w:color w:val="auto"/>
          <w:sz w:val="24"/>
          <w:szCs w:val="24"/>
          <w:lang w:val="en-US" w:eastAsia="zh-CN"/>
        </w:rPr>
        <w:t>获取</w:t>
      </w:r>
      <w:r>
        <w:rPr>
          <w:rFonts w:hint="eastAsia" w:ascii="宋体" w:hAnsi="宋体" w:cs="宋体"/>
          <w:bCs/>
          <w:color w:val="auto"/>
          <w:sz w:val="24"/>
          <w:szCs w:val="24"/>
        </w:rPr>
        <w:t>磋商文件时应登记备案，并提供有效联系方式。</w:t>
      </w:r>
    </w:p>
    <w:p w14:paraId="439A215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 xml:space="preserve">3.4如供应商代表不是法定代表人，须持有《法定代表人授权委托书》 </w:t>
      </w:r>
      <w:r>
        <w:rPr>
          <w:rFonts w:hint="eastAsia" w:ascii="宋体" w:hAnsi="宋体" w:cs="宋体"/>
          <w:bCs/>
          <w:color w:val="auto"/>
          <w:sz w:val="24"/>
          <w:szCs w:val="24"/>
          <w:lang w:eastAsia="zh-CN"/>
        </w:rPr>
        <w:t>（</w:t>
      </w:r>
      <w:r>
        <w:rPr>
          <w:rFonts w:hint="eastAsia" w:ascii="宋体" w:hAnsi="宋体" w:cs="宋体"/>
          <w:bCs/>
          <w:color w:val="auto"/>
          <w:sz w:val="24"/>
          <w:szCs w:val="24"/>
        </w:rPr>
        <w:t>按磋商文件提供的格式填写</w:t>
      </w:r>
      <w:r>
        <w:rPr>
          <w:rFonts w:hint="eastAsia" w:ascii="宋体" w:hAnsi="宋体" w:cs="宋体"/>
          <w:bCs/>
          <w:color w:val="auto"/>
          <w:sz w:val="24"/>
          <w:szCs w:val="24"/>
          <w:lang w:eastAsia="zh-CN"/>
        </w:rPr>
        <w:t>）</w:t>
      </w:r>
      <w:r>
        <w:rPr>
          <w:rFonts w:hint="eastAsia" w:ascii="宋体" w:hAnsi="宋体" w:cs="宋体"/>
          <w:bCs/>
          <w:color w:val="auto"/>
          <w:sz w:val="24"/>
          <w:szCs w:val="24"/>
        </w:rPr>
        <w:t>。</w:t>
      </w:r>
    </w:p>
    <w:p w14:paraId="622D2B3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3.5供应商应独立于采购人，不得直接或间接地与采购人为采购本次招标的货物或服务进行设计、编制技术规格</w:t>
      </w:r>
      <w:r>
        <w:rPr>
          <w:rFonts w:hint="eastAsia" w:ascii="宋体" w:hAnsi="宋体" w:cs="宋体"/>
          <w:bCs/>
          <w:color w:val="auto"/>
          <w:sz w:val="24"/>
          <w:szCs w:val="24"/>
          <w:lang w:eastAsia="zh-CN"/>
        </w:rPr>
        <w:t>和其他</w:t>
      </w:r>
      <w:r>
        <w:rPr>
          <w:rFonts w:hint="eastAsia" w:ascii="宋体" w:hAnsi="宋体" w:cs="宋体"/>
          <w:bCs/>
          <w:color w:val="auto"/>
          <w:sz w:val="24"/>
          <w:szCs w:val="24"/>
        </w:rPr>
        <w:t>文件所委托的咨询公司或其附属机构有任何关联。</w:t>
      </w:r>
    </w:p>
    <w:p w14:paraId="0060959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3.6供应商不得存在下列情形之一：</w:t>
      </w:r>
    </w:p>
    <w:p w14:paraId="2CE4E4C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（1）与采购人或采购代理机构存在隶属关系或者其他利害关系；</w:t>
      </w:r>
    </w:p>
    <w:p w14:paraId="3A29CD9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（2）与其他供应商的法定代表人（或者负责人）为同一人，或者与其他供应商存在直接控股、管理关系；</w:t>
      </w:r>
    </w:p>
    <w:p w14:paraId="1C98FBD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eastAsia="宋体" w:cs="宋体"/>
          <w:b w:val="0"/>
          <w:bCs w:val="0"/>
          <w:color w:val="auto"/>
          <w:sz w:val="24"/>
          <w:szCs w:val="24"/>
        </w:rPr>
        <w:t>受到刑事处罚，或者受到 200万元以上罚款，责令停产停业、在一年至三年内禁止参加政府采购活动或吊销许可证、营业执照等情形之一的行政处罚，或者存在财政部门认定的其他重大违法记录</w:t>
      </w:r>
      <w:r>
        <w:rPr>
          <w:rFonts w:hint="eastAsia" w:ascii="宋体" w:hAnsi="宋体" w:cs="宋体"/>
          <w:b w:val="0"/>
          <w:bCs w:val="0"/>
          <w:color w:val="auto"/>
          <w:sz w:val="24"/>
          <w:szCs w:val="24"/>
          <w:lang w:eastAsia="zh-CN"/>
        </w:rPr>
        <w:t>；</w:t>
      </w:r>
    </w:p>
    <w:p w14:paraId="7E3C024F">
      <w:pPr>
        <w:widowControl/>
        <w:snapToGrid w:val="0"/>
        <w:spacing w:line="360" w:lineRule="auto"/>
        <w:ind w:firstLine="480" w:firstLineChars="200"/>
        <w:jc w:val="left"/>
        <w:rPr>
          <w:rFonts w:hint="eastAsia" w:ascii="宋体" w:hAnsi="宋体" w:eastAsia="宋体" w:cs="宋体"/>
          <w:bCs/>
          <w:color w:val="auto"/>
          <w:sz w:val="24"/>
          <w:szCs w:val="24"/>
          <w:lang w:eastAsia="zh-CN"/>
        </w:rPr>
      </w:pPr>
      <w:r>
        <w:rPr>
          <w:rFonts w:hint="eastAsia" w:ascii="宋体" w:hAnsi="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color w:val="auto"/>
          <w:sz w:val="24"/>
          <w:szCs w:val="24"/>
          <w:lang w:eastAsia="zh-CN"/>
        </w:rPr>
        <w:t>。</w:t>
      </w:r>
    </w:p>
    <w:p w14:paraId="582AF036">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cs="宋体"/>
          <w:b/>
          <w:bCs/>
          <w:color w:val="auto"/>
          <w:sz w:val="24"/>
          <w:szCs w:val="24"/>
        </w:rPr>
        <w:t>政府采购政策支持</w:t>
      </w:r>
    </w:p>
    <w:p w14:paraId="0B44B86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 xml:space="preserve">4.1对列入财政部、国家发改委发布的《节能产品政府采购清单》且属于应当“强制采购的节能产品”，按照规定实行强制采购。 </w:t>
      </w:r>
    </w:p>
    <w:p w14:paraId="431FAC30">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159C2B1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4.3产品同时属于“非强制采购节能产品”、环境标志产品的，评审时只有其中一项能享受优先待遇（供应商自行选择，并在报价文件中填写相关信息及数据）。</w:t>
      </w:r>
    </w:p>
    <w:p w14:paraId="5AFFFF4A">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4.4供应商有融资、担保需求的，具体办理流程按照财政厅及相关政策执行。</w:t>
      </w:r>
    </w:p>
    <w:p w14:paraId="2418E1B1">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cs="宋体"/>
          <w:b/>
          <w:bCs/>
          <w:color w:val="auto"/>
          <w:sz w:val="24"/>
          <w:szCs w:val="24"/>
        </w:rPr>
        <w:t>费用承担</w:t>
      </w:r>
    </w:p>
    <w:p w14:paraId="0D501D54">
      <w:pPr>
        <w:widowControl/>
        <w:snapToGrid w:val="0"/>
        <w:spacing w:line="360" w:lineRule="auto"/>
        <w:ind w:firstLine="480" w:firstLineChars="200"/>
        <w:jc w:val="left"/>
        <w:rPr>
          <w:color w:val="auto"/>
          <w:sz w:val="24"/>
          <w:szCs w:val="24"/>
        </w:rPr>
      </w:pPr>
      <w:r>
        <w:rPr>
          <w:rFonts w:hint="eastAsia"/>
          <w:color w:val="auto"/>
          <w:sz w:val="24"/>
          <w:szCs w:val="24"/>
        </w:rPr>
        <w:t>无论磋商结果如何，供应商自行承担所有与参加磋商有关的全部费用。</w:t>
      </w:r>
    </w:p>
    <w:p w14:paraId="649B115F">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cs="宋体"/>
          <w:b/>
          <w:bCs/>
          <w:color w:val="auto"/>
          <w:sz w:val="24"/>
          <w:szCs w:val="24"/>
        </w:rPr>
        <w:t>保密</w:t>
      </w:r>
    </w:p>
    <w:p w14:paraId="2996977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参与磋商活动的各方应对磋商文件和响应文件的商业和技术等秘密保密，违者应对由此造成的后果承担法律责任。</w:t>
      </w:r>
    </w:p>
    <w:p w14:paraId="53A240EA">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7.</w:t>
      </w:r>
      <w:r>
        <w:rPr>
          <w:rFonts w:hint="eastAsia" w:ascii="宋体" w:hAnsi="宋体" w:cs="宋体"/>
          <w:b/>
          <w:bCs/>
          <w:color w:val="auto"/>
          <w:sz w:val="24"/>
          <w:szCs w:val="24"/>
        </w:rPr>
        <w:t>语言文字</w:t>
      </w:r>
    </w:p>
    <w:p w14:paraId="78462D1B">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除专用术语外，与磋商文件有关的语言均使用中文；必要时专用术语应附有中文注释。</w:t>
      </w:r>
    </w:p>
    <w:p w14:paraId="3FA24C8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8.</w:t>
      </w:r>
      <w:r>
        <w:rPr>
          <w:rFonts w:hint="eastAsia" w:ascii="宋体" w:hAnsi="宋体" w:cs="宋体"/>
          <w:b/>
          <w:bCs/>
          <w:color w:val="auto"/>
          <w:sz w:val="24"/>
          <w:szCs w:val="24"/>
        </w:rPr>
        <w:t>计量单位</w:t>
      </w:r>
    </w:p>
    <w:p w14:paraId="6CF4DA20">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所有计量均采用中华人民共和国法定计量单位。</w:t>
      </w:r>
    </w:p>
    <w:p w14:paraId="6D0B4DC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9.</w:t>
      </w:r>
      <w:r>
        <w:rPr>
          <w:rFonts w:hint="eastAsia" w:ascii="宋体" w:hAnsi="宋体" w:cs="宋体"/>
          <w:b/>
          <w:bCs/>
          <w:color w:val="auto"/>
          <w:sz w:val="24"/>
          <w:szCs w:val="24"/>
        </w:rPr>
        <w:t>踏勘现场</w:t>
      </w:r>
    </w:p>
    <w:p w14:paraId="617A8A4E">
      <w:pPr>
        <w:pStyle w:val="14"/>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自行勘察，未勘察现场造成的一切后果由投标人自行承担（一切费用自理）。</w:t>
      </w:r>
    </w:p>
    <w:p w14:paraId="68E15358">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10</w:t>
      </w:r>
      <w:r>
        <w:rPr>
          <w:rFonts w:hint="eastAsia" w:ascii="宋体" w:hAnsi="宋体" w:cs="宋体"/>
          <w:b/>
          <w:bCs/>
          <w:color w:val="auto"/>
          <w:sz w:val="24"/>
          <w:szCs w:val="24"/>
          <w:lang w:val="en-US" w:eastAsia="zh-CN"/>
        </w:rPr>
        <w:t>.</w:t>
      </w:r>
      <w:r>
        <w:rPr>
          <w:rFonts w:hint="eastAsia" w:ascii="宋体" w:hAnsi="宋体" w:cs="宋体"/>
          <w:b/>
          <w:bCs/>
          <w:color w:val="auto"/>
          <w:sz w:val="24"/>
          <w:szCs w:val="24"/>
        </w:rPr>
        <w:t>偏离</w:t>
      </w:r>
    </w:p>
    <w:p w14:paraId="6A95C32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除供应商须知前附表另有规定外，供应商递交的响应文件不允许严重负偏离。</w:t>
      </w:r>
    </w:p>
    <w:p w14:paraId="62C6CA63">
      <w:pPr>
        <w:widowControl/>
        <w:numPr>
          <w:ilvl w:val="0"/>
          <w:numId w:val="2"/>
        </w:numPr>
        <w:spacing w:line="360" w:lineRule="auto"/>
        <w:ind w:firstLine="643" w:firstLineChars="200"/>
        <w:jc w:val="center"/>
        <w:outlineLvl w:val="1"/>
        <w:rPr>
          <w:rFonts w:ascii="宋体" w:hAnsi="宋体" w:cs="宋体"/>
          <w:b/>
          <w:bCs/>
          <w:color w:val="auto"/>
          <w:kern w:val="0"/>
          <w:sz w:val="32"/>
          <w:szCs w:val="32"/>
        </w:rPr>
      </w:pPr>
      <w:bookmarkStart w:id="43" w:name="_Toc536202380"/>
      <w:bookmarkStart w:id="44" w:name="_Toc3976"/>
      <w:bookmarkStart w:id="45" w:name="_Toc19543337"/>
      <w:bookmarkStart w:id="46" w:name="_Toc536429373"/>
      <w:bookmarkStart w:id="47" w:name="_Toc536202288"/>
      <w:bookmarkStart w:id="48" w:name="_Toc536429320"/>
      <w:r>
        <w:rPr>
          <w:rFonts w:hint="eastAsia" w:ascii="宋体" w:hAnsi="宋体" w:cs="宋体"/>
          <w:b/>
          <w:bCs/>
          <w:color w:val="auto"/>
          <w:kern w:val="0"/>
          <w:sz w:val="32"/>
          <w:szCs w:val="32"/>
        </w:rPr>
        <w:t>竞争性磋商文件</w:t>
      </w:r>
      <w:bookmarkEnd w:id="43"/>
      <w:bookmarkEnd w:id="44"/>
      <w:bookmarkEnd w:id="45"/>
      <w:bookmarkEnd w:id="46"/>
      <w:bookmarkEnd w:id="47"/>
      <w:bookmarkEnd w:id="48"/>
    </w:p>
    <w:p w14:paraId="6D2C7AA2">
      <w:pPr>
        <w:pStyle w:val="6"/>
        <w:numPr>
          <w:ilvl w:val="0"/>
          <w:numId w:val="0"/>
        </w:numPr>
        <w:spacing w:line="360" w:lineRule="auto"/>
        <w:ind w:firstLine="482" w:firstLineChars="200"/>
        <w:rPr>
          <w:rFonts w:ascii="宋体" w:hAnsi="宋体" w:cs="宋体"/>
          <w:color w:val="auto"/>
          <w:sz w:val="24"/>
          <w:szCs w:val="28"/>
        </w:rPr>
      </w:pPr>
      <w:bookmarkStart w:id="49" w:name="_Toc5801"/>
      <w:bookmarkStart w:id="50" w:name="_Toc536202289"/>
      <w:r>
        <w:rPr>
          <w:rFonts w:hint="eastAsia" w:ascii="宋体" w:hAnsi="宋体" w:cs="宋体"/>
          <w:color w:val="auto"/>
          <w:sz w:val="24"/>
          <w:szCs w:val="28"/>
          <w:lang w:val="en-US" w:eastAsia="zh-CN"/>
        </w:rPr>
        <w:t>1.</w:t>
      </w:r>
      <w:r>
        <w:rPr>
          <w:rFonts w:hint="eastAsia" w:ascii="宋体" w:hAnsi="宋体" w:cs="宋体"/>
          <w:color w:val="auto"/>
          <w:sz w:val="24"/>
          <w:szCs w:val="28"/>
        </w:rPr>
        <w:t>竞争性磋商文件的构成</w:t>
      </w:r>
      <w:bookmarkEnd w:id="49"/>
      <w:bookmarkEnd w:id="50"/>
    </w:p>
    <w:p w14:paraId="2AF098D9">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2B597C2C">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竞争性磋商公告；</w:t>
      </w:r>
    </w:p>
    <w:p w14:paraId="05324FB0">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供应商须知前附表；</w:t>
      </w:r>
    </w:p>
    <w:p w14:paraId="17F9A84A">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w:t>
      </w:r>
    </w:p>
    <w:p w14:paraId="07CC4B32">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评分标准；</w:t>
      </w:r>
    </w:p>
    <w:p w14:paraId="558B940B">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采购内容及要求；</w:t>
      </w:r>
    </w:p>
    <w:p w14:paraId="699484D5">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商务及</w:t>
      </w:r>
      <w:r>
        <w:rPr>
          <w:rFonts w:hint="eastAsia" w:ascii="宋体" w:hAnsi="宋体" w:cs="宋体"/>
          <w:color w:val="auto"/>
          <w:sz w:val="24"/>
          <w:szCs w:val="28"/>
        </w:rPr>
        <w:t>合同条款；</w:t>
      </w:r>
    </w:p>
    <w:p w14:paraId="0CF070B8">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响应文件格式。</w:t>
      </w:r>
    </w:p>
    <w:p w14:paraId="3A7AF27A">
      <w:pPr>
        <w:pStyle w:val="6"/>
        <w:numPr>
          <w:ilvl w:val="0"/>
          <w:numId w:val="0"/>
        </w:numPr>
        <w:spacing w:line="360" w:lineRule="auto"/>
        <w:ind w:firstLine="482" w:firstLineChars="200"/>
        <w:rPr>
          <w:rFonts w:ascii="宋体" w:hAnsi="宋体" w:cs="宋体"/>
          <w:color w:val="auto"/>
          <w:sz w:val="24"/>
          <w:szCs w:val="28"/>
        </w:rPr>
      </w:pPr>
      <w:bookmarkStart w:id="51" w:name="_Toc536202290"/>
      <w:r>
        <w:rPr>
          <w:rFonts w:hint="eastAsia" w:ascii="宋体" w:hAnsi="宋体" w:cs="宋体"/>
          <w:color w:val="auto"/>
          <w:sz w:val="24"/>
          <w:szCs w:val="28"/>
          <w:lang w:val="en-US" w:eastAsia="zh-CN"/>
        </w:rPr>
        <w:t>2.</w:t>
      </w:r>
      <w:r>
        <w:rPr>
          <w:rFonts w:hint="eastAsia" w:ascii="宋体" w:hAnsi="宋体" w:cs="宋体"/>
          <w:color w:val="auto"/>
          <w:sz w:val="24"/>
          <w:szCs w:val="28"/>
        </w:rPr>
        <w:t>磋商文件的检查及阅读</w:t>
      </w:r>
      <w:bookmarkEnd w:id="51"/>
    </w:p>
    <w:p w14:paraId="4136761A">
      <w:pPr>
        <w:tabs>
          <w:tab w:val="left" w:pos="0"/>
        </w:tabs>
        <w:adjustRightInd w:val="0"/>
        <w:snapToGrid w:val="0"/>
        <w:spacing w:line="360" w:lineRule="auto"/>
        <w:ind w:firstLine="600" w:firstLineChars="250"/>
        <w:jc w:val="left"/>
        <w:rPr>
          <w:rFonts w:ascii="宋体" w:hAnsi="宋体" w:cs="宋体"/>
          <w:color w:val="auto"/>
          <w:sz w:val="24"/>
          <w:szCs w:val="28"/>
        </w:rPr>
      </w:pPr>
      <w:r>
        <w:rPr>
          <w:rFonts w:hint="eastAsia" w:ascii="宋体" w:hAnsi="宋体" w:cs="宋体"/>
          <w:color w:val="auto"/>
          <w:sz w:val="24"/>
          <w:szCs w:val="28"/>
        </w:rPr>
        <w:t>供应商应认真阅读和充分理解竞争性磋商文件中所有的事项、格式条款和规范要求。供应商没有对竞争性磋商文件全面</w:t>
      </w:r>
      <w:r>
        <w:rPr>
          <w:rFonts w:hint="eastAsia" w:ascii="宋体" w:hAnsi="宋体" w:cs="宋体"/>
          <w:color w:val="auto"/>
          <w:sz w:val="24"/>
          <w:szCs w:val="28"/>
          <w:lang w:eastAsia="zh-CN"/>
        </w:rPr>
        <w:t>作出</w:t>
      </w:r>
      <w:r>
        <w:rPr>
          <w:rFonts w:hint="eastAsia" w:ascii="宋体" w:hAnsi="宋体" w:cs="宋体"/>
          <w:color w:val="auto"/>
          <w:sz w:val="24"/>
          <w:szCs w:val="28"/>
        </w:rPr>
        <w:t>实质性响应是供应商的风险。没有按照竞争性磋商文件要求作出实质性响应的响应文件应作无效文件处理。</w:t>
      </w:r>
    </w:p>
    <w:p w14:paraId="4B1CE1C3">
      <w:pPr>
        <w:pStyle w:val="6"/>
        <w:numPr>
          <w:ilvl w:val="0"/>
          <w:numId w:val="0"/>
        </w:numPr>
        <w:spacing w:line="360" w:lineRule="auto"/>
        <w:ind w:firstLine="482" w:firstLineChars="200"/>
        <w:rPr>
          <w:rFonts w:ascii="宋体" w:hAnsi="宋体" w:cs="宋体"/>
          <w:color w:val="auto"/>
          <w:sz w:val="24"/>
          <w:szCs w:val="28"/>
        </w:rPr>
      </w:pPr>
      <w:bookmarkStart w:id="52" w:name="_Toc536202292"/>
      <w:r>
        <w:rPr>
          <w:rFonts w:hint="eastAsia" w:ascii="宋体" w:hAnsi="宋体" w:cs="宋体"/>
          <w:color w:val="auto"/>
          <w:sz w:val="24"/>
          <w:szCs w:val="28"/>
          <w:lang w:val="en-US" w:eastAsia="zh-CN"/>
        </w:rPr>
        <w:t>3.</w:t>
      </w:r>
      <w:r>
        <w:rPr>
          <w:rFonts w:hint="eastAsia" w:ascii="宋体" w:hAnsi="宋体" w:cs="宋体"/>
          <w:color w:val="auto"/>
          <w:sz w:val="24"/>
          <w:szCs w:val="28"/>
        </w:rPr>
        <w:t>现场踏勘及磋商文件答疑</w:t>
      </w:r>
      <w:bookmarkEnd w:id="52"/>
    </w:p>
    <w:p w14:paraId="64302FDB">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5B44F840">
      <w:pPr>
        <w:pStyle w:val="6"/>
        <w:numPr>
          <w:ilvl w:val="0"/>
          <w:numId w:val="0"/>
        </w:numPr>
        <w:spacing w:line="360" w:lineRule="auto"/>
        <w:ind w:firstLine="482" w:firstLineChars="200"/>
        <w:rPr>
          <w:rFonts w:ascii="宋体" w:hAnsi="宋体" w:cs="宋体"/>
          <w:color w:val="auto"/>
          <w:sz w:val="24"/>
          <w:szCs w:val="28"/>
        </w:rPr>
      </w:pPr>
      <w:bookmarkStart w:id="53" w:name="_Toc19797"/>
      <w:bookmarkStart w:id="54" w:name="_Toc536202293"/>
      <w:r>
        <w:rPr>
          <w:rFonts w:hint="eastAsia" w:ascii="宋体" w:hAnsi="宋体" w:cs="宋体"/>
          <w:color w:val="auto"/>
          <w:sz w:val="24"/>
          <w:szCs w:val="28"/>
          <w:lang w:val="en-US" w:eastAsia="zh-CN"/>
        </w:rPr>
        <w:t>4.</w:t>
      </w:r>
      <w:r>
        <w:rPr>
          <w:rFonts w:hint="eastAsia" w:ascii="宋体" w:hAnsi="宋体" w:cs="宋体"/>
          <w:color w:val="auto"/>
          <w:sz w:val="24"/>
          <w:szCs w:val="28"/>
        </w:rPr>
        <w:t>竞争性磋商文件的澄清</w:t>
      </w:r>
      <w:bookmarkEnd w:id="53"/>
      <w:bookmarkEnd w:id="54"/>
    </w:p>
    <w:p w14:paraId="73D159C7">
      <w:pPr>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color w:val="auto"/>
          <w:sz w:val="24"/>
          <w:szCs w:val="28"/>
          <w:lang w:eastAsia="zh-CN"/>
        </w:rPr>
        <w:t>或</w:t>
      </w:r>
      <w:r>
        <w:rPr>
          <w:rFonts w:hint="eastAsia" w:ascii="宋体" w:hAnsi="宋体" w:cs="宋体"/>
          <w:color w:val="auto"/>
          <w:sz w:val="24"/>
          <w:szCs w:val="28"/>
        </w:rPr>
        <w:t>因市场行情了解不清造成的后果和风险均由供应商自负。</w:t>
      </w:r>
    </w:p>
    <w:p w14:paraId="795398FC">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4.2响应人若对磋商文件有任何疑问要求澄清，或认为有必要与采购人进行技术交流的，响应人在收到采购文件之日或者采购文件公告期限届满之日</w:t>
      </w:r>
      <w:r>
        <w:rPr>
          <w:rFonts w:hint="eastAsia" w:ascii="宋体" w:hAnsi="宋体" w:cs="宋体"/>
          <w:color w:val="auto"/>
          <w:sz w:val="24"/>
          <w:szCs w:val="24"/>
        </w:rPr>
        <w:t>七个工作日内</w:t>
      </w:r>
      <w:r>
        <w:rPr>
          <w:rFonts w:hint="eastAsia" w:ascii="宋体" w:hAnsi="宋体" w:cs="宋体"/>
          <w:color w:val="auto"/>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2BCC360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4.3对于在规定时间内收到的投标人依法提出的询问或者质疑，采购代理机构将按程序及时</w:t>
      </w:r>
      <w:r>
        <w:rPr>
          <w:rFonts w:hint="eastAsia" w:ascii="宋体" w:hAnsi="宋体" w:cs="宋体"/>
          <w:color w:val="auto"/>
          <w:sz w:val="24"/>
          <w:szCs w:val="24"/>
          <w:lang w:eastAsia="zh-CN"/>
        </w:rPr>
        <w:t>作出</w:t>
      </w:r>
      <w:r>
        <w:rPr>
          <w:rFonts w:hint="eastAsia" w:ascii="宋体" w:hAnsi="宋体" w:cs="宋体"/>
          <w:color w:val="auto"/>
          <w:sz w:val="24"/>
          <w:szCs w:val="24"/>
        </w:rPr>
        <w:t>答复，若对</w:t>
      </w:r>
      <w:r>
        <w:rPr>
          <w:rFonts w:hint="eastAsia" w:ascii="宋体" w:hAnsi="宋体" w:cs="宋体"/>
          <w:color w:val="auto"/>
          <w:sz w:val="24"/>
          <w:szCs w:val="24"/>
          <w:lang w:eastAsia="zh-CN"/>
        </w:rPr>
        <w:t>磋商文件</w:t>
      </w:r>
      <w:r>
        <w:rPr>
          <w:rFonts w:hint="eastAsia" w:ascii="宋体" w:hAnsi="宋体" w:cs="宋体"/>
          <w:color w:val="auto"/>
          <w:sz w:val="24"/>
          <w:szCs w:val="24"/>
        </w:rPr>
        <w:t>做出实质性变动，则按照相关规定延长投标截止时间。</w:t>
      </w:r>
    </w:p>
    <w:p w14:paraId="00159879">
      <w:pPr>
        <w:pStyle w:val="10"/>
        <w:spacing w:line="360" w:lineRule="auto"/>
        <w:rPr>
          <w:rFonts w:ascii="宋体" w:hAnsi="宋体" w:cs="宋体"/>
          <w:color w:val="auto"/>
        </w:rPr>
      </w:pPr>
      <w:r>
        <w:rPr>
          <w:rFonts w:hint="eastAsia" w:ascii="宋体" w:hAnsi="宋体" w:cs="宋体"/>
          <w:color w:val="auto"/>
          <w:sz w:val="24"/>
          <w:szCs w:val="24"/>
        </w:rPr>
        <w:t>4.4投标人提出质疑应当有明确的请求和必要的证明材料。</w:t>
      </w:r>
    </w:p>
    <w:p w14:paraId="4D578D00">
      <w:pPr>
        <w:pStyle w:val="6"/>
        <w:numPr>
          <w:ilvl w:val="0"/>
          <w:numId w:val="0"/>
        </w:numPr>
        <w:spacing w:line="360" w:lineRule="auto"/>
        <w:ind w:firstLine="482" w:firstLineChars="200"/>
        <w:rPr>
          <w:rFonts w:ascii="宋体" w:hAnsi="宋体" w:cs="宋体"/>
          <w:color w:val="auto"/>
          <w:sz w:val="24"/>
          <w:szCs w:val="28"/>
        </w:rPr>
      </w:pPr>
      <w:bookmarkStart w:id="55" w:name="_Toc6390"/>
      <w:bookmarkStart w:id="56" w:name="_Toc536202294"/>
      <w:r>
        <w:rPr>
          <w:rFonts w:hint="eastAsia" w:ascii="宋体" w:hAnsi="宋体" w:cs="宋体"/>
          <w:color w:val="auto"/>
          <w:sz w:val="24"/>
          <w:szCs w:val="28"/>
          <w:lang w:val="en-US" w:eastAsia="zh-CN"/>
        </w:rPr>
        <w:t>5.</w:t>
      </w:r>
      <w:r>
        <w:rPr>
          <w:rFonts w:hint="eastAsia" w:ascii="宋体" w:hAnsi="宋体" w:cs="宋体"/>
          <w:color w:val="auto"/>
          <w:sz w:val="24"/>
          <w:szCs w:val="28"/>
        </w:rPr>
        <w:t>竞争性磋商文件的修改</w:t>
      </w:r>
      <w:bookmarkEnd w:id="55"/>
      <w:bookmarkEnd w:id="56"/>
    </w:p>
    <w:p w14:paraId="389109A9">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8"/>
        </w:rPr>
        <w:t>5.1 在磋商截止时间五日前，无论出于何种原因，代理机构可主动或在解答供应商提出的澄清问题时，对竞争性磋商文件进行修改，</w:t>
      </w:r>
      <w:r>
        <w:rPr>
          <w:rFonts w:hint="eastAsia" w:ascii="宋体" w:hAnsi="宋体" w:cs="宋体"/>
          <w:color w:val="auto"/>
          <w:sz w:val="24"/>
          <w:szCs w:val="24"/>
        </w:rPr>
        <w:t>不足5日的，顺延提交响应文件的截止时间</w:t>
      </w:r>
      <w:r>
        <w:rPr>
          <w:rFonts w:hint="eastAsia" w:ascii="宋体" w:hAnsi="宋体" w:cs="宋体"/>
          <w:color w:val="auto"/>
          <w:sz w:val="24"/>
          <w:szCs w:val="28"/>
        </w:rPr>
        <w:t>，并</w:t>
      </w:r>
      <w:r>
        <w:rPr>
          <w:rFonts w:hint="eastAsia" w:ascii="宋体" w:hAnsi="宋体" w:cs="宋体"/>
          <w:color w:val="auto"/>
          <w:sz w:val="24"/>
          <w:szCs w:val="24"/>
        </w:rPr>
        <w:t>在发布磋商公告的媒体上发布变更公告，并以书面形式通知所有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磋商文件的单位。该澄清或者修改的内容为</w:t>
      </w:r>
      <w:r>
        <w:rPr>
          <w:rFonts w:hint="eastAsia" w:ascii="宋体" w:hAnsi="宋体" w:cs="宋体"/>
          <w:color w:val="auto"/>
          <w:sz w:val="24"/>
          <w:szCs w:val="24"/>
          <w:lang w:eastAsia="zh-CN"/>
        </w:rPr>
        <w:t>磋商文件</w:t>
      </w:r>
      <w:r>
        <w:rPr>
          <w:rFonts w:hint="eastAsia" w:ascii="宋体" w:hAnsi="宋体" w:cs="宋体"/>
          <w:color w:val="auto"/>
          <w:sz w:val="24"/>
          <w:szCs w:val="24"/>
        </w:rPr>
        <w:t>的组成部分。</w:t>
      </w:r>
    </w:p>
    <w:p w14:paraId="24B6A2B8">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5.2</w:t>
      </w:r>
      <w:r>
        <w:rPr>
          <w:rFonts w:hint="eastAsia" w:ascii="宋体" w:hAnsi="宋体" w:cs="宋体"/>
          <w:color w:val="auto"/>
          <w:sz w:val="24"/>
          <w:szCs w:val="24"/>
          <w:lang w:eastAsia="zh-CN"/>
        </w:rPr>
        <w:t>磋商文件</w:t>
      </w:r>
      <w:r>
        <w:rPr>
          <w:rFonts w:hint="eastAsia" w:ascii="宋体" w:hAnsi="宋体" w:cs="宋体"/>
          <w:color w:val="auto"/>
          <w:sz w:val="24"/>
          <w:szCs w:val="24"/>
        </w:rPr>
        <w:t>的修改书将构成</w:t>
      </w:r>
      <w:r>
        <w:rPr>
          <w:rFonts w:hint="eastAsia" w:ascii="宋体" w:hAnsi="宋体" w:cs="宋体"/>
          <w:color w:val="auto"/>
          <w:sz w:val="24"/>
          <w:szCs w:val="24"/>
          <w:lang w:eastAsia="zh-CN"/>
        </w:rPr>
        <w:t>磋商文件</w:t>
      </w:r>
      <w:r>
        <w:rPr>
          <w:rFonts w:hint="eastAsia" w:ascii="宋体" w:hAnsi="宋体" w:cs="宋体"/>
          <w:color w:val="auto"/>
          <w:sz w:val="24"/>
          <w:szCs w:val="24"/>
        </w:rPr>
        <w:t>的一部分，对采购人和投标人都具有约束力。</w:t>
      </w:r>
    </w:p>
    <w:p w14:paraId="57B2E5BC">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w:t>
      </w:r>
    </w:p>
    <w:p w14:paraId="0E2EE9F3">
      <w:pPr>
        <w:pStyle w:val="6"/>
        <w:numPr>
          <w:ilvl w:val="0"/>
          <w:numId w:val="0"/>
        </w:numPr>
        <w:spacing w:line="360" w:lineRule="auto"/>
        <w:ind w:firstLine="482" w:firstLineChars="200"/>
        <w:rPr>
          <w:rFonts w:ascii="宋体" w:hAnsi="宋体" w:cs="宋体"/>
          <w:color w:val="auto"/>
          <w:sz w:val="24"/>
          <w:szCs w:val="28"/>
        </w:rPr>
      </w:pPr>
      <w:bookmarkStart w:id="57" w:name="_Toc536202295"/>
      <w:bookmarkStart w:id="58" w:name="_Toc31188"/>
      <w:r>
        <w:rPr>
          <w:rFonts w:hint="eastAsia" w:ascii="宋体" w:hAnsi="宋体" w:cs="宋体"/>
          <w:color w:val="auto"/>
          <w:sz w:val="24"/>
          <w:szCs w:val="28"/>
          <w:lang w:val="en-US" w:eastAsia="zh-CN"/>
        </w:rPr>
        <w:t>6.</w:t>
      </w:r>
      <w:r>
        <w:rPr>
          <w:rFonts w:hint="eastAsia" w:ascii="宋体" w:hAnsi="宋体" w:cs="宋体"/>
          <w:color w:val="auto"/>
          <w:sz w:val="24"/>
          <w:szCs w:val="28"/>
        </w:rPr>
        <w:t>质疑</w:t>
      </w:r>
    </w:p>
    <w:p w14:paraId="69C3CBF0">
      <w:pPr>
        <w:pStyle w:val="6"/>
        <w:spacing w:line="360" w:lineRule="auto"/>
        <w:ind w:firstLine="480" w:firstLineChars="200"/>
        <w:rPr>
          <w:rFonts w:ascii="宋体" w:hAnsi="宋体" w:cs="宋体"/>
          <w:b w:val="0"/>
          <w:color w:val="auto"/>
          <w:sz w:val="24"/>
          <w:szCs w:val="28"/>
        </w:rPr>
      </w:pPr>
      <w:r>
        <w:rPr>
          <w:rFonts w:hint="eastAsia" w:ascii="宋体" w:hAnsi="宋体" w:cs="宋体"/>
          <w:b w:val="0"/>
          <w:color w:val="auto"/>
          <w:sz w:val="24"/>
          <w:szCs w:val="28"/>
        </w:rPr>
        <w:t>供应商认为磋商文件、招标过程和中标结果使自己的权益受到损害的，可以按《政府采购法》第</w:t>
      </w:r>
      <w:r>
        <w:rPr>
          <w:rFonts w:hint="eastAsia" w:ascii="宋体" w:hAnsi="宋体" w:cs="宋体"/>
          <w:b w:val="0"/>
          <w:color w:val="auto"/>
          <w:sz w:val="24"/>
          <w:szCs w:val="28"/>
          <w:lang w:val="en-US" w:eastAsia="zh-CN"/>
        </w:rPr>
        <w:t>五十二</w:t>
      </w:r>
      <w:r>
        <w:rPr>
          <w:rFonts w:hint="eastAsia" w:ascii="宋体" w:hAnsi="宋体" w:cs="宋体"/>
          <w:b w:val="0"/>
          <w:color w:val="auto"/>
          <w:sz w:val="24"/>
          <w:szCs w:val="28"/>
        </w:rPr>
        <w:t>条执行。</w:t>
      </w:r>
    </w:p>
    <w:p w14:paraId="43B24E2C">
      <w:pPr>
        <w:pStyle w:val="6"/>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7.</w:t>
      </w:r>
      <w:r>
        <w:rPr>
          <w:rFonts w:hint="eastAsia" w:ascii="宋体" w:hAnsi="宋体" w:cs="宋体"/>
          <w:color w:val="auto"/>
          <w:sz w:val="24"/>
          <w:szCs w:val="28"/>
        </w:rPr>
        <w:t>竞争性磋商文件的获取</w:t>
      </w:r>
      <w:bookmarkEnd w:id="57"/>
      <w:bookmarkEnd w:id="58"/>
    </w:p>
    <w:p w14:paraId="1997D409">
      <w:pPr>
        <w:widowControl/>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供应商必须从代理机构</w:t>
      </w:r>
      <w:r>
        <w:rPr>
          <w:rFonts w:hint="eastAsia" w:ascii="宋体" w:hAnsi="宋体" w:cs="宋体"/>
          <w:color w:val="auto"/>
          <w:sz w:val="24"/>
          <w:szCs w:val="28"/>
          <w:lang w:val="en-US" w:eastAsia="zh-CN"/>
        </w:rPr>
        <w:t>获取</w:t>
      </w:r>
      <w:r>
        <w:rPr>
          <w:rFonts w:hint="eastAsia" w:ascii="宋体" w:hAnsi="宋体" w:cs="宋体"/>
          <w:color w:val="auto"/>
          <w:sz w:val="24"/>
          <w:szCs w:val="28"/>
        </w:rPr>
        <w:t>竞争性磋商文件，供应商自行转让或复制竞争性磋商文件视为无效。</w:t>
      </w:r>
      <w:r>
        <w:rPr>
          <w:rFonts w:hint="eastAsia" w:ascii="宋体" w:hAnsi="宋体" w:cs="宋体"/>
          <w:color w:val="auto"/>
          <w:sz w:val="24"/>
          <w:szCs w:val="28"/>
          <w:lang w:val="en-US" w:eastAsia="zh-CN"/>
        </w:rPr>
        <w:t>本</w:t>
      </w:r>
      <w:r>
        <w:rPr>
          <w:rFonts w:hint="eastAsia" w:ascii="宋体" w:hAnsi="宋体" w:cs="宋体"/>
          <w:color w:val="auto"/>
          <w:sz w:val="24"/>
          <w:szCs w:val="28"/>
        </w:rPr>
        <w:t>竞争性磋商文件仅作为本次竞争性磋商使用。</w:t>
      </w:r>
    </w:p>
    <w:p w14:paraId="4F80A956">
      <w:pPr>
        <w:pStyle w:val="10"/>
        <w:spacing w:line="360" w:lineRule="auto"/>
        <w:ind w:firstLine="482" w:firstLineChars="200"/>
        <w:jc w:val="left"/>
        <w:rPr>
          <w:rFonts w:ascii="宋体" w:hAnsi="宋体" w:cs="宋体"/>
          <w:color w:val="auto"/>
          <w:sz w:val="24"/>
          <w:szCs w:val="28"/>
        </w:rPr>
      </w:pPr>
      <w:bookmarkStart w:id="59" w:name="_Toc536202296"/>
      <w:bookmarkStart w:id="60" w:name="_Toc5095"/>
      <w:r>
        <w:rPr>
          <w:rFonts w:hint="eastAsia" w:ascii="宋体" w:hAnsi="宋体" w:cs="宋体"/>
          <w:b/>
          <w:bCs/>
          <w:color w:val="auto"/>
          <w:sz w:val="24"/>
          <w:szCs w:val="28"/>
          <w:lang w:eastAsia="zh-CN"/>
        </w:rPr>
        <w:t>8.</w:t>
      </w:r>
      <w:r>
        <w:rPr>
          <w:rFonts w:hint="eastAsia" w:ascii="宋体" w:hAnsi="宋体" w:cs="宋体"/>
          <w:b/>
          <w:bCs/>
          <w:color w:val="auto"/>
          <w:sz w:val="24"/>
          <w:szCs w:val="28"/>
        </w:rPr>
        <w:t>竞争性磋商文件的解释权归代理机构</w:t>
      </w:r>
      <w:bookmarkEnd w:id="59"/>
      <w:bookmarkEnd w:id="60"/>
      <w:r>
        <w:rPr>
          <w:rFonts w:hint="eastAsia" w:ascii="宋体" w:hAnsi="宋体" w:cs="宋体"/>
          <w:color w:val="auto"/>
          <w:sz w:val="24"/>
          <w:szCs w:val="28"/>
        </w:rPr>
        <w:t>（如发现磋商文件内容与现行法律法规不相符的情况，以现行法律法规为准。</w:t>
      </w:r>
      <w:r>
        <w:rPr>
          <w:rFonts w:hint="eastAsia" w:ascii="宋体" w:hAnsi="宋体" w:cs="宋体"/>
          <w:color w:val="auto"/>
          <w:sz w:val="24"/>
          <w:szCs w:val="28"/>
          <w:lang w:eastAsia="zh-CN"/>
        </w:rPr>
        <w:t>）</w:t>
      </w:r>
    </w:p>
    <w:p w14:paraId="680BCD45">
      <w:pPr>
        <w:widowControl/>
        <w:numPr>
          <w:ilvl w:val="0"/>
          <w:numId w:val="2"/>
        </w:numPr>
        <w:spacing w:line="360" w:lineRule="auto"/>
        <w:ind w:firstLine="562" w:firstLineChars="200"/>
        <w:jc w:val="center"/>
        <w:outlineLvl w:val="1"/>
        <w:rPr>
          <w:rFonts w:ascii="宋体" w:hAnsi="宋体" w:cs="宋体"/>
          <w:b/>
          <w:bCs/>
          <w:color w:val="auto"/>
          <w:kern w:val="0"/>
          <w:sz w:val="28"/>
          <w:szCs w:val="32"/>
        </w:rPr>
      </w:pPr>
      <w:bookmarkStart w:id="61" w:name="_Toc622"/>
      <w:bookmarkStart w:id="62" w:name="_Toc536429374"/>
      <w:bookmarkStart w:id="63" w:name="_Toc536202297"/>
      <w:bookmarkStart w:id="64" w:name="_Toc536429321"/>
      <w:bookmarkStart w:id="65" w:name="_Toc536202381"/>
      <w:bookmarkStart w:id="66" w:name="_Toc19543338"/>
      <w:r>
        <w:rPr>
          <w:rFonts w:hint="eastAsia" w:ascii="宋体" w:hAnsi="宋体" w:cs="宋体"/>
          <w:b/>
          <w:bCs/>
          <w:color w:val="auto"/>
          <w:kern w:val="0"/>
          <w:sz w:val="28"/>
          <w:szCs w:val="32"/>
        </w:rPr>
        <w:t>响应文件</w:t>
      </w:r>
      <w:bookmarkEnd w:id="61"/>
      <w:bookmarkEnd w:id="62"/>
      <w:bookmarkEnd w:id="63"/>
      <w:bookmarkEnd w:id="64"/>
      <w:bookmarkEnd w:id="65"/>
      <w:bookmarkEnd w:id="66"/>
    </w:p>
    <w:p w14:paraId="34D1FDC2">
      <w:pPr>
        <w:pStyle w:val="6"/>
        <w:spacing w:line="312" w:lineRule="auto"/>
        <w:ind w:firstLine="480" w:firstLineChars="200"/>
        <w:rPr>
          <w:rFonts w:ascii="宋体" w:hAnsi="宋体"/>
          <w:b w:val="0"/>
          <w:bCs w:val="0"/>
          <w:color w:val="auto"/>
          <w:sz w:val="24"/>
          <w:szCs w:val="21"/>
        </w:rPr>
      </w:pPr>
      <w:r>
        <w:rPr>
          <w:rFonts w:hint="eastAsia" w:ascii="宋体" w:hAnsi="宋体"/>
          <w:b w:val="0"/>
          <w:bCs w:val="0"/>
          <w:color w:val="auto"/>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auto"/>
          <w:sz w:val="24"/>
          <w:szCs w:val="21"/>
          <w:lang w:eastAsia="zh-CN"/>
        </w:rPr>
        <w:t>作出</w:t>
      </w:r>
      <w:r>
        <w:rPr>
          <w:rFonts w:hint="eastAsia" w:ascii="宋体" w:hAnsi="宋体"/>
          <w:b w:val="0"/>
          <w:bCs w:val="0"/>
          <w:color w:val="auto"/>
          <w:sz w:val="24"/>
          <w:szCs w:val="21"/>
        </w:rPr>
        <w:t>实质性响应，其磋商将被拒绝。</w:t>
      </w:r>
    </w:p>
    <w:p w14:paraId="550B545E">
      <w:pPr>
        <w:pStyle w:val="6"/>
        <w:spacing w:line="312" w:lineRule="auto"/>
        <w:ind w:firstLine="480" w:firstLineChars="200"/>
        <w:rPr>
          <w:rFonts w:ascii="宋体" w:hAnsi="宋体"/>
          <w:b w:val="0"/>
          <w:bCs w:val="0"/>
          <w:color w:val="auto"/>
          <w:sz w:val="24"/>
          <w:szCs w:val="21"/>
        </w:rPr>
      </w:pPr>
      <w:r>
        <w:rPr>
          <w:rFonts w:hint="eastAsia" w:ascii="宋体" w:hAnsi="宋体"/>
          <w:b w:val="0"/>
          <w:bCs w:val="0"/>
          <w:color w:val="auto"/>
          <w:sz w:val="24"/>
          <w:szCs w:val="21"/>
        </w:rPr>
        <w:t>投标人提交的磋商响应文件（包括产品的技术资料）以及投标人与采购代理机构就有关磋商的所有来往函电均应以中文书写。</w:t>
      </w:r>
    </w:p>
    <w:p w14:paraId="0CEF9192">
      <w:pPr>
        <w:pStyle w:val="6"/>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响应文件构成和格式</w:t>
      </w:r>
    </w:p>
    <w:p w14:paraId="2CACEE17">
      <w:pPr>
        <w:widowControl/>
        <w:spacing w:line="360" w:lineRule="auto"/>
        <w:ind w:firstLine="480" w:firstLineChars="200"/>
        <w:outlineLvl w:val="1"/>
        <w:rPr>
          <w:rFonts w:ascii="宋体" w:hAnsi="宋体" w:cs="宋体"/>
          <w:bCs/>
          <w:color w:val="auto"/>
          <w:kern w:val="0"/>
          <w:sz w:val="24"/>
          <w:szCs w:val="24"/>
        </w:rPr>
      </w:pPr>
      <w:r>
        <w:rPr>
          <w:rFonts w:hint="eastAsia" w:ascii="宋体" w:hAnsi="宋体" w:cs="宋体"/>
          <w:bCs/>
          <w:color w:val="auto"/>
          <w:kern w:val="0"/>
          <w:sz w:val="24"/>
          <w:szCs w:val="24"/>
        </w:rPr>
        <w:t>投标人应按照本须知响应文件构成和格式及第七部分提供的格式编写投标文件，不得缺少</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要求填写的表格或提交的资料。</w:t>
      </w:r>
    </w:p>
    <w:p w14:paraId="65270A69">
      <w:pPr>
        <w:pStyle w:val="6"/>
        <w:numPr>
          <w:ilvl w:val="0"/>
          <w:numId w:val="0"/>
        </w:numPr>
        <w:spacing w:line="360" w:lineRule="auto"/>
        <w:ind w:firstLine="482" w:firstLineChars="200"/>
        <w:rPr>
          <w:rFonts w:ascii="宋体" w:hAnsi="宋体" w:cs="宋体"/>
          <w:color w:val="auto"/>
          <w:sz w:val="24"/>
          <w:szCs w:val="28"/>
        </w:rPr>
      </w:pPr>
      <w:bookmarkStart w:id="67" w:name="_Toc536202299"/>
      <w:r>
        <w:rPr>
          <w:rFonts w:hint="eastAsia" w:ascii="宋体" w:hAnsi="宋体" w:cs="宋体"/>
          <w:color w:val="auto"/>
          <w:sz w:val="24"/>
          <w:szCs w:val="28"/>
          <w:lang w:val="en-US" w:eastAsia="zh-CN"/>
        </w:rPr>
        <w:t>2.</w:t>
      </w:r>
      <w:r>
        <w:rPr>
          <w:rFonts w:hint="eastAsia" w:ascii="宋体" w:hAnsi="宋体" w:cs="宋体"/>
          <w:color w:val="auto"/>
          <w:sz w:val="24"/>
          <w:szCs w:val="28"/>
        </w:rPr>
        <w:t>磋商报价</w:t>
      </w:r>
      <w:bookmarkEnd w:id="67"/>
    </w:p>
    <w:p w14:paraId="2531B2A2">
      <w:pPr>
        <w:spacing w:line="360" w:lineRule="auto"/>
        <w:ind w:firstLine="480" w:firstLineChars="200"/>
        <w:rPr>
          <w:rFonts w:ascii="宋体" w:hAnsi="宋体" w:cs="宋体"/>
          <w:color w:val="auto"/>
          <w:sz w:val="28"/>
          <w:szCs w:val="22"/>
        </w:rPr>
      </w:pPr>
      <w:bookmarkStart w:id="68" w:name="_Toc536202300"/>
      <w:bookmarkStart w:id="69" w:name="_Toc29200"/>
      <w:r>
        <w:rPr>
          <w:rFonts w:hint="eastAsia" w:ascii="宋体" w:hAnsi="宋体" w:cs="宋体"/>
          <w:color w:val="auto"/>
          <w:sz w:val="24"/>
        </w:rPr>
        <w:t>（1）磋商报价为供应商充分考虑磋商文件的各项条款和所掌握的市场情况及本项目的实际情况，根据自身情况自主报价。</w:t>
      </w:r>
    </w:p>
    <w:p w14:paraId="1BD3F0A5">
      <w:pPr>
        <w:spacing w:line="360" w:lineRule="auto"/>
        <w:ind w:firstLine="480" w:firstLineChars="200"/>
        <w:rPr>
          <w:rFonts w:ascii="宋体" w:hAnsi="宋体" w:cs="宋体"/>
          <w:color w:val="auto"/>
          <w:sz w:val="24"/>
        </w:rPr>
      </w:pPr>
      <w:r>
        <w:rPr>
          <w:rFonts w:hint="eastAsia" w:ascii="宋体" w:hAnsi="宋体" w:cs="宋体"/>
          <w:color w:val="auto"/>
          <w:sz w:val="24"/>
        </w:rPr>
        <w:t>（2）供应商应在响应报价表中标明本次招标所要求的货物、服务且验收合格的所有费用。</w:t>
      </w:r>
    </w:p>
    <w:p w14:paraId="6EB1BCA9">
      <w:pPr>
        <w:spacing w:line="360" w:lineRule="auto"/>
        <w:ind w:firstLine="480" w:firstLineChars="200"/>
        <w:rPr>
          <w:rFonts w:ascii="宋体" w:hAnsi="宋体" w:cs="宋体"/>
          <w:color w:val="auto"/>
          <w:sz w:val="24"/>
        </w:rPr>
      </w:pPr>
      <w:r>
        <w:rPr>
          <w:rFonts w:hint="eastAsia" w:ascii="宋体" w:hAnsi="宋体" w:cs="宋体"/>
          <w:color w:val="auto"/>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cs="宋体"/>
          <w:color w:val="auto"/>
          <w:spacing w:val="4"/>
          <w:sz w:val="24"/>
        </w:rPr>
        <w:t>供应商应考虑全部材料的风险，供应商一旦成交，采购人将不再对此部分进行调整；供应商的报价应将此差异考虑在综合单价内，</w:t>
      </w:r>
      <w:r>
        <w:rPr>
          <w:rFonts w:hint="eastAsia" w:ascii="宋体" w:hAnsi="宋体" w:cs="宋体"/>
          <w:color w:val="auto"/>
          <w:sz w:val="24"/>
          <w:szCs w:val="24"/>
        </w:rPr>
        <w:t>采购人及学院不再</w:t>
      </w:r>
      <w:r>
        <w:rPr>
          <w:rFonts w:hint="eastAsia" w:ascii="宋体" w:hAnsi="宋体" w:cs="宋体"/>
          <w:color w:val="auto"/>
          <w:sz w:val="24"/>
          <w:szCs w:val="24"/>
          <w:lang w:eastAsia="zh-CN"/>
        </w:rPr>
        <w:t>承担其他任何</w:t>
      </w:r>
      <w:r>
        <w:rPr>
          <w:rFonts w:hint="eastAsia" w:ascii="宋体" w:hAnsi="宋体" w:cs="宋体"/>
          <w:color w:val="auto"/>
          <w:sz w:val="24"/>
          <w:szCs w:val="24"/>
        </w:rPr>
        <w:t>费用</w:t>
      </w:r>
      <w:r>
        <w:rPr>
          <w:rFonts w:hint="eastAsia" w:ascii="宋体" w:hAnsi="宋体" w:cs="宋体"/>
          <w:color w:val="auto"/>
          <w:spacing w:val="4"/>
          <w:sz w:val="24"/>
        </w:rPr>
        <w:t>。</w:t>
      </w:r>
    </w:p>
    <w:p w14:paraId="1542B486">
      <w:pPr>
        <w:spacing w:line="360" w:lineRule="auto"/>
        <w:ind w:firstLine="480" w:firstLineChars="200"/>
        <w:rPr>
          <w:rFonts w:ascii="宋体" w:hAnsi="宋体" w:cs="宋体"/>
          <w:color w:val="auto"/>
          <w:sz w:val="24"/>
        </w:rPr>
      </w:pPr>
      <w:r>
        <w:rPr>
          <w:rFonts w:hint="eastAsia" w:ascii="宋体" w:hAnsi="宋体" w:cs="宋体"/>
          <w:color w:val="auto"/>
          <w:sz w:val="24"/>
        </w:rPr>
        <w:t>（4）响应报价表应有法定代表人或被授权人的签字。</w:t>
      </w:r>
    </w:p>
    <w:p w14:paraId="67A0F19D">
      <w:pPr>
        <w:pStyle w:val="6"/>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3.</w:t>
      </w:r>
      <w:r>
        <w:rPr>
          <w:rFonts w:hint="eastAsia" w:ascii="宋体" w:hAnsi="宋体" w:cs="宋体"/>
          <w:color w:val="auto"/>
          <w:sz w:val="24"/>
          <w:szCs w:val="28"/>
        </w:rPr>
        <w:t>磋商货币</w:t>
      </w:r>
      <w:bookmarkEnd w:id="68"/>
      <w:bookmarkEnd w:id="69"/>
    </w:p>
    <w:p w14:paraId="4337C9D7">
      <w:pPr>
        <w:widowControl/>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采购人只接受人民币作为唯一磋商货币。以人民币为投标货币。以元为报价单位，保留小数点后两位。</w:t>
      </w:r>
    </w:p>
    <w:p w14:paraId="60243A54">
      <w:pPr>
        <w:pStyle w:val="6"/>
        <w:numPr>
          <w:ilvl w:val="0"/>
          <w:numId w:val="0"/>
        </w:numPr>
        <w:spacing w:line="360" w:lineRule="auto"/>
        <w:ind w:firstLine="482" w:firstLineChars="200"/>
        <w:rPr>
          <w:rFonts w:ascii="宋体" w:hAnsi="宋体" w:cs="宋体"/>
          <w:color w:val="auto"/>
          <w:sz w:val="24"/>
          <w:szCs w:val="28"/>
        </w:rPr>
      </w:pPr>
      <w:bookmarkStart w:id="70" w:name="_Toc536202302"/>
      <w:r>
        <w:rPr>
          <w:rFonts w:hint="eastAsia" w:ascii="宋体" w:hAnsi="宋体" w:cs="宋体"/>
          <w:color w:val="auto"/>
          <w:sz w:val="24"/>
          <w:szCs w:val="28"/>
          <w:lang w:val="en-US" w:eastAsia="zh-CN"/>
        </w:rPr>
        <w:t>4.</w:t>
      </w:r>
      <w:r>
        <w:rPr>
          <w:rFonts w:hint="eastAsia" w:ascii="宋体" w:hAnsi="宋体" w:cs="宋体"/>
          <w:color w:val="auto"/>
          <w:sz w:val="24"/>
          <w:szCs w:val="28"/>
        </w:rPr>
        <w:t>响应有效期</w:t>
      </w:r>
      <w:bookmarkEnd w:id="70"/>
    </w:p>
    <w:p w14:paraId="4125EE8D">
      <w:pPr>
        <w:adjustRightInd w:val="0"/>
        <w:snapToGrid w:val="0"/>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13061BC8">
      <w:pPr>
        <w:pStyle w:val="6"/>
        <w:numPr>
          <w:ilvl w:val="0"/>
          <w:numId w:val="0"/>
        </w:numPr>
        <w:spacing w:line="360" w:lineRule="auto"/>
        <w:ind w:firstLine="482" w:firstLineChars="200"/>
        <w:rPr>
          <w:rFonts w:ascii="宋体" w:hAnsi="宋体" w:cs="宋体"/>
          <w:color w:val="auto"/>
          <w:sz w:val="24"/>
          <w:szCs w:val="28"/>
        </w:rPr>
      </w:pPr>
      <w:bookmarkStart w:id="71" w:name="_Toc536202303"/>
      <w:bookmarkStart w:id="72" w:name="_Toc24827"/>
      <w:r>
        <w:rPr>
          <w:rFonts w:hint="eastAsia" w:ascii="宋体" w:hAnsi="宋体" w:cs="宋体"/>
          <w:color w:val="auto"/>
          <w:sz w:val="24"/>
          <w:szCs w:val="28"/>
          <w:lang w:val="en-US" w:eastAsia="zh-CN"/>
        </w:rPr>
        <w:t>5.</w:t>
      </w:r>
      <w:r>
        <w:rPr>
          <w:rFonts w:hint="eastAsia" w:ascii="宋体" w:hAnsi="宋体" w:cs="宋体"/>
          <w:color w:val="auto"/>
          <w:sz w:val="24"/>
          <w:szCs w:val="28"/>
        </w:rPr>
        <w:t>响应文件的格式、装订、密封和签署</w:t>
      </w:r>
      <w:bookmarkEnd w:id="71"/>
      <w:bookmarkEnd w:id="72"/>
    </w:p>
    <w:p w14:paraId="5493A283">
      <w:pPr>
        <w:spacing w:line="312" w:lineRule="auto"/>
        <w:ind w:firstLine="480" w:firstLineChars="200"/>
        <w:jc w:val="left"/>
        <w:rPr>
          <w:rFonts w:ascii="宋体" w:hAnsi="宋体" w:cs="宋体"/>
          <w:color w:val="auto"/>
          <w:sz w:val="24"/>
          <w:szCs w:val="28"/>
        </w:rPr>
      </w:pPr>
      <w:r>
        <w:rPr>
          <w:rFonts w:hint="eastAsia" w:ascii="宋体" w:hAnsi="宋体" w:cs="宋体"/>
          <w:color w:val="auto"/>
          <w:sz w:val="24"/>
          <w:szCs w:val="28"/>
        </w:rPr>
        <w:t>5.1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以为正本的复印件。</w:t>
      </w:r>
    </w:p>
    <w:p w14:paraId="37D4063D">
      <w:pPr>
        <w:spacing w:line="312" w:lineRule="auto"/>
        <w:ind w:firstLine="480" w:firstLineChars="200"/>
        <w:jc w:val="left"/>
        <w:rPr>
          <w:rFonts w:ascii="宋体" w:hAnsi="宋体" w:cs="宋体"/>
          <w:color w:val="auto"/>
          <w:sz w:val="24"/>
          <w:szCs w:val="28"/>
        </w:rPr>
      </w:pPr>
      <w:r>
        <w:rPr>
          <w:rFonts w:hint="eastAsia" w:ascii="宋体" w:hAnsi="宋体" w:cs="宋体"/>
          <w:color w:val="auto"/>
          <w:sz w:val="24"/>
          <w:szCs w:val="28"/>
        </w:rPr>
        <w:t>5.2响应文件的装订</w:t>
      </w:r>
    </w:p>
    <w:p w14:paraId="04205758">
      <w:pPr>
        <w:spacing w:line="360" w:lineRule="auto"/>
        <w:ind w:firstLine="480" w:firstLineChars="200"/>
        <w:jc w:val="left"/>
        <w:rPr>
          <w:rFonts w:ascii="宋体" w:hAnsi="宋体" w:cs="宋体"/>
          <w:color w:val="auto"/>
          <w:sz w:val="24"/>
          <w:szCs w:val="28"/>
          <w:highlight w:val="yellow"/>
        </w:rPr>
      </w:pPr>
      <w:r>
        <w:rPr>
          <w:rFonts w:hint="eastAsia" w:ascii="宋体" w:hAnsi="宋体" w:cs="宋体"/>
          <w:color w:val="auto"/>
          <w:sz w:val="24"/>
          <w:szCs w:val="28"/>
        </w:rPr>
        <w:t>响应文件正本壹份、</w:t>
      </w:r>
      <w:r>
        <w:rPr>
          <w:rFonts w:hint="eastAsia" w:ascii="宋体" w:hAnsi="宋体" w:cs="宋体"/>
          <w:color w:val="auto"/>
          <w:sz w:val="24"/>
          <w:szCs w:val="28"/>
          <w:lang w:eastAsia="zh-CN"/>
        </w:rPr>
        <w:t>副本贰份</w:t>
      </w:r>
      <w:r>
        <w:rPr>
          <w:rFonts w:hint="eastAsia" w:ascii="宋体" w:hAnsi="宋体" w:cs="宋体"/>
          <w:color w:val="auto"/>
          <w:sz w:val="24"/>
          <w:szCs w:val="28"/>
        </w:rPr>
        <w:t>，分别胶装装订成册，且封面须清楚地标明“正本”或“副本”；若正本和副本不符，以正本书面文件为准；同时提供与正本内容一致的电子版</w:t>
      </w:r>
      <w:r>
        <w:rPr>
          <w:rFonts w:hint="eastAsia" w:ascii="宋体" w:hAnsi="宋体" w:cs="宋体"/>
          <w:color w:val="auto"/>
          <w:sz w:val="24"/>
          <w:szCs w:val="24"/>
        </w:rPr>
        <w:t>（</w:t>
      </w:r>
      <w:r>
        <w:rPr>
          <w:rFonts w:hint="eastAsia" w:ascii="宋体" w:hAnsi="宋体" w:cs="宋体"/>
          <w:color w:val="auto"/>
          <w:sz w:val="24"/>
          <w:szCs w:val="28"/>
        </w:rPr>
        <w:t>电子U盘文档应为PDF格式</w:t>
      </w:r>
      <w:r>
        <w:rPr>
          <w:rFonts w:hint="eastAsia" w:ascii="宋体" w:hAnsi="宋体" w:cs="宋体"/>
          <w:color w:val="auto"/>
          <w:sz w:val="24"/>
          <w:szCs w:val="24"/>
        </w:rPr>
        <w:t>）</w:t>
      </w:r>
      <w:r>
        <w:rPr>
          <w:rFonts w:hint="eastAsia" w:ascii="宋体" w:hAnsi="宋体" w:cs="宋体"/>
          <w:color w:val="auto"/>
          <w:sz w:val="24"/>
          <w:szCs w:val="28"/>
        </w:rPr>
        <w:t>，电子版放置“正本”密封袋内。</w:t>
      </w:r>
      <w:r>
        <w:rPr>
          <w:rFonts w:hint="eastAsia" w:asciiTheme="minorEastAsia" w:hAnsiTheme="minorEastAsia" w:eastAsiaTheme="minorEastAsia"/>
          <w:color w:val="auto"/>
          <w:sz w:val="24"/>
          <w:szCs w:val="24"/>
        </w:rPr>
        <w:t>（电子文件内容须为加盖响应单位公章正本响应文件全部内容的扫描件，格式为PDF），电子版文件装入响应文件正本密封袋内，随响应文件一同递交。</w:t>
      </w:r>
    </w:p>
    <w:p w14:paraId="3C56D603">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5.3响应文件的签署</w:t>
      </w:r>
    </w:p>
    <w:p w14:paraId="5FFEC134">
      <w:pPr>
        <w:numPr>
          <w:ilvl w:val="0"/>
          <w:numId w:val="4"/>
        </w:numPr>
        <w:spacing w:line="360" w:lineRule="auto"/>
        <w:jc w:val="left"/>
        <w:rPr>
          <w:rFonts w:ascii="宋体" w:hAnsi="宋体" w:cs="宋体"/>
          <w:color w:val="auto"/>
          <w:sz w:val="24"/>
          <w:szCs w:val="28"/>
        </w:rPr>
      </w:pPr>
      <w:r>
        <w:rPr>
          <w:rFonts w:hint="eastAsia" w:ascii="宋体" w:hAnsi="宋体" w:cs="宋体"/>
          <w:color w:val="auto"/>
          <w:sz w:val="24"/>
          <w:szCs w:val="28"/>
        </w:rPr>
        <w:t>供应商应在投标文件正副本中指定的页面落款处填写供应商全称，并按要求加盖公章及签字</w:t>
      </w:r>
      <w:r>
        <w:rPr>
          <w:rFonts w:hint="eastAsia" w:ascii="宋体" w:hAnsi="宋体" w:cs="宋体"/>
          <w:color w:val="auto"/>
          <w:sz w:val="24"/>
          <w:szCs w:val="28"/>
          <w:lang w:eastAsia="zh-CN"/>
        </w:rPr>
        <w:t>（</w:t>
      </w:r>
      <w:r>
        <w:rPr>
          <w:rFonts w:hint="eastAsia" w:ascii="宋体" w:hAnsi="宋体" w:cs="宋体"/>
          <w:color w:val="auto"/>
          <w:sz w:val="24"/>
          <w:szCs w:val="28"/>
        </w:rPr>
        <w:t>包括投标文件的封面）侧面还需加盖骑缝章。</w:t>
      </w:r>
    </w:p>
    <w:p w14:paraId="3117739E">
      <w:pPr>
        <w:numPr>
          <w:ilvl w:val="0"/>
          <w:numId w:val="4"/>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响应文件应字迹清楚、内容齐全、不得涂改或增删。如有修改和增删，必须有供应商公章及法定代表人或其授权代表签字。</w:t>
      </w:r>
    </w:p>
    <w:p w14:paraId="090050D9">
      <w:pPr>
        <w:numPr>
          <w:ilvl w:val="0"/>
          <w:numId w:val="4"/>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因响应文件字迹潦草或表达不清所引起的不利后果由供应商承担。</w:t>
      </w:r>
    </w:p>
    <w:p w14:paraId="6347A65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5.4响应文件的密封</w:t>
      </w:r>
    </w:p>
    <w:p w14:paraId="0FAF9CC3">
      <w:pPr>
        <w:spacing w:line="360" w:lineRule="auto"/>
        <w:ind w:firstLine="600" w:firstLineChars="250"/>
        <w:jc w:val="left"/>
        <w:rPr>
          <w:rFonts w:ascii="宋体" w:hAnsi="宋体" w:cs="宋体"/>
          <w:color w:val="auto"/>
          <w:kern w:val="0"/>
          <w:sz w:val="24"/>
          <w:szCs w:val="28"/>
        </w:rPr>
      </w:pPr>
      <w:r>
        <w:rPr>
          <w:rFonts w:hint="eastAsia" w:ascii="宋体" w:hAnsi="宋体" w:cs="宋体"/>
          <w:color w:val="auto"/>
          <w:sz w:val="24"/>
          <w:szCs w:val="28"/>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等标识</w:t>
      </w:r>
      <w:r>
        <w:rPr>
          <w:rFonts w:hint="eastAsia" w:ascii="宋体" w:hAnsi="宋体" w:cs="宋体"/>
          <w:color w:val="auto"/>
          <w:sz w:val="24"/>
          <w:szCs w:val="28"/>
          <w:lang w:eastAsia="zh-CN"/>
        </w:rPr>
        <w:t>且</w:t>
      </w:r>
      <w:r>
        <w:rPr>
          <w:rFonts w:hint="eastAsia" w:ascii="宋体" w:hAnsi="宋体" w:cs="宋体"/>
          <w:color w:val="auto"/>
          <w:kern w:val="0"/>
          <w:sz w:val="24"/>
          <w:szCs w:val="28"/>
        </w:rPr>
        <w:t>响应文件袋上应加盖供应商公章，如果未按上述规定进行密封，供应商的响应文件有权被拒绝</w:t>
      </w:r>
      <w:r>
        <w:rPr>
          <w:rFonts w:hint="eastAsia" w:ascii="宋体" w:hAnsi="宋体" w:cs="宋体"/>
          <w:color w:val="auto"/>
          <w:sz w:val="24"/>
          <w:szCs w:val="28"/>
        </w:rPr>
        <w:t>。</w:t>
      </w:r>
    </w:p>
    <w:p w14:paraId="7C722B2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如果供应商未按上述要求密封及加写标记，误投或过早启封的响应文件，将自行承担其响应文件被视为无效响应文件的风险。</w:t>
      </w:r>
    </w:p>
    <w:p w14:paraId="6B49E153">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5.5本次磋商只接受简体中文文字的响应文件；如响应文件中出现外文资料，必须配以中文译文。否则，由此引发的一切责任由供应商自负。</w:t>
      </w:r>
    </w:p>
    <w:p w14:paraId="78769497">
      <w:pPr>
        <w:widowControl/>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5.6拒绝接受以电话、传真、电子邮件形式的磋商。</w:t>
      </w:r>
    </w:p>
    <w:p w14:paraId="3A6895F5">
      <w:pPr>
        <w:widowControl/>
        <w:numPr>
          <w:ilvl w:val="0"/>
          <w:numId w:val="2"/>
        </w:numPr>
        <w:spacing w:line="360" w:lineRule="auto"/>
        <w:ind w:firstLine="562" w:firstLineChars="200"/>
        <w:jc w:val="center"/>
        <w:outlineLvl w:val="1"/>
        <w:rPr>
          <w:rFonts w:ascii="宋体" w:hAnsi="宋体" w:cs="宋体"/>
          <w:b/>
          <w:bCs/>
          <w:color w:val="auto"/>
          <w:kern w:val="0"/>
          <w:sz w:val="28"/>
          <w:szCs w:val="32"/>
        </w:rPr>
      </w:pPr>
      <w:bookmarkStart w:id="73" w:name="_Toc19543339"/>
      <w:bookmarkStart w:id="74" w:name="_Toc536202382"/>
      <w:bookmarkStart w:id="75" w:name="_Toc536202305"/>
      <w:bookmarkStart w:id="76" w:name="_Toc536429322"/>
      <w:bookmarkStart w:id="77" w:name="_Toc4747"/>
      <w:bookmarkStart w:id="78" w:name="_Toc3565"/>
      <w:bookmarkStart w:id="79" w:name="_Toc536429375"/>
      <w:bookmarkStart w:id="80" w:name="_Toc3736"/>
      <w:r>
        <w:rPr>
          <w:rFonts w:hint="eastAsia" w:ascii="宋体" w:hAnsi="宋体" w:cs="宋体"/>
          <w:b/>
          <w:bCs/>
          <w:color w:val="auto"/>
          <w:kern w:val="0"/>
          <w:sz w:val="28"/>
          <w:szCs w:val="32"/>
        </w:rPr>
        <w:t>响应文件的递交</w:t>
      </w:r>
      <w:bookmarkEnd w:id="73"/>
      <w:bookmarkEnd w:id="74"/>
      <w:bookmarkEnd w:id="75"/>
      <w:bookmarkEnd w:id="76"/>
      <w:bookmarkEnd w:id="77"/>
      <w:bookmarkEnd w:id="78"/>
      <w:bookmarkEnd w:id="79"/>
      <w:r>
        <w:rPr>
          <w:rFonts w:hint="eastAsia" w:ascii="宋体" w:hAnsi="宋体" w:cs="宋体"/>
          <w:b/>
          <w:bCs/>
          <w:color w:val="auto"/>
          <w:kern w:val="0"/>
          <w:sz w:val="28"/>
          <w:szCs w:val="32"/>
        </w:rPr>
        <w:t xml:space="preserve"> </w:t>
      </w:r>
    </w:p>
    <w:bookmarkEnd w:id="80"/>
    <w:p w14:paraId="5B26F291">
      <w:pPr>
        <w:pStyle w:val="6"/>
        <w:numPr>
          <w:ilvl w:val="0"/>
          <w:numId w:val="0"/>
        </w:numPr>
        <w:spacing w:line="360" w:lineRule="auto"/>
        <w:ind w:firstLine="482" w:firstLineChars="200"/>
        <w:rPr>
          <w:rFonts w:ascii="宋体" w:hAnsi="宋体" w:cs="宋体"/>
          <w:color w:val="auto"/>
          <w:sz w:val="24"/>
          <w:szCs w:val="28"/>
        </w:rPr>
      </w:pPr>
      <w:bookmarkStart w:id="81" w:name="_Toc536202306"/>
      <w:bookmarkStart w:id="82" w:name="_Toc3685"/>
      <w:r>
        <w:rPr>
          <w:rFonts w:hint="eastAsia" w:ascii="宋体" w:hAnsi="宋体" w:cs="宋体"/>
          <w:color w:val="auto"/>
          <w:sz w:val="24"/>
          <w:szCs w:val="28"/>
          <w:lang w:val="en-US" w:eastAsia="zh-CN"/>
        </w:rPr>
        <w:t>1.</w:t>
      </w:r>
      <w:r>
        <w:rPr>
          <w:rFonts w:hint="eastAsia" w:ascii="宋体" w:hAnsi="宋体" w:cs="宋体"/>
          <w:color w:val="auto"/>
          <w:sz w:val="24"/>
          <w:szCs w:val="28"/>
        </w:rPr>
        <w:t>响应文件递交</w:t>
      </w:r>
      <w:bookmarkEnd w:id="81"/>
      <w:bookmarkEnd w:id="82"/>
    </w:p>
    <w:p w14:paraId="4BA40816">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4E019329">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1.2代理机构在宣布递交响应文件时间截止之后，拒绝接收任何人送达、递交的响应文件及其他资料；</w:t>
      </w:r>
    </w:p>
    <w:p w14:paraId="2CE86C12">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1.3代理机构不接受邮寄的响应文件；</w:t>
      </w:r>
    </w:p>
    <w:p w14:paraId="61FE2E0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1.4无论供应商成交与否，其响应文件恕不退还。</w:t>
      </w:r>
    </w:p>
    <w:p w14:paraId="61BDE10B">
      <w:pPr>
        <w:pStyle w:val="6"/>
        <w:numPr>
          <w:ilvl w:val="0"/>
          <w:numId w:val="0"/>
        </w:numPr>
        <w:spacing w:line="360" w:lineRule="auto"/>
        <w:ind w:firstLine="482" w:firstLineChars="200"/>
        <w:rPr>
          <w:rFonts w:ascii="宋体" w:hAnsi="宋体" w:cs="宋体"/>
          <w:color w:val="auto"/>
          <w:sz w:val="24"/>
          <w:szCs w:val="28"/>
        </w:rPr>
      </w:pPr>
      <w:bookmarkStart w:id="83" w:name="_Toc12741"/>
      <w:bookmarkStart w:id="84" w:name="_Toc536202307"/>
      <w:r>
        <w:rPr>
          <w:rFonts w:hint="eastAsia" w:ascii="宋体" w:hAnsi="宋体" w:cs="宋体"/>
          <w:color w:val="auto"/>
          <w:sz w:val="24"/>
          <w:szCs w:val="28"/>
          <w:lang w:val="en-US" w:eastAsia="zh-CN"/>
        </w:rPr>
        <w:t>2.</w:t>
      </w:r>
      <w:r>
        <w:rPr>
          <w:rFonts w:hint="eastAsia" w:ascii="宋体" w:hAnsi="宋体" w:cs="宋体"/>
          <w:color w:val="auto"/>
          <w:sz w:val="24"/>
          <w:szCs w:val="28"/>
        </w:rPr>
        <w:t>响应文件的修改和撤回</w:t>
      </w:r>
      <w:bookmarkEnd w:id="83"/>
      <w:bookmarkEnd w:id="84"/>
    </w:p>
    <w:p w14:paraId="06EE6E3F">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2.1供应商在递交响应文件以后，在规定的投标截止时间之前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可以书面形式补充、修改或撤回已递交的响应文件，并以书面形式通知招标代理机构。补充、修改的内容应当按磋商文件要求密封、签署、盖章，并作为响应文件的组成部分；</w:t>
      </w:r>
    </w:p>
    <w:p w14:paraId="24F49DE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1332FB3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131EAE9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2.4投标截止时间之后，供应商不得补充、修改响应文件。</w:t>
      </w:r>
    </w:p>
    <w:p w14:paraId="11E78F2B">
      <w:pPr>
        <w:widowControl/>
        <w:numPr>
          <w:ilvl w:val="0"/>
          <w:numId w:val="2"/>
        </w:numPr>
        <w:spacing w:line="360" w:lineRule="auto"/>
        <w:ind w:firstLine="562" w:firstLineChars="200"/>
        <w:jc w:val="center"/>
        <w:outlineLvl w:val="1"/>
        <w:rPr>
          <w:rFonts w:ascii="宋体" w:hAnsi="宋体" w:cs="宋体"/>
          <w:b/>
          <w:bCs/>
          <w:color w:val="auto"/>
          <w:kern w:val="0"/>
          <w:sz w:val="28"/>
          <w:szCs w:val="28"/>
        </w:rPr>
      </w:pPr>
      <w:bookmarkStart w:id="85" w:name="_Toc536429376"/>
      <w:bookmarkStart w:id="86" w:name="_Toc536429323"/>
      <w:bookmarkStart w:id="87" w:name="_Toc27066"/>
      <w:bookmarkStart w:id="88" w:name="_Toc14415"/>
      <w:bookmarkStart w:id="89" w:name="_Toc536202383"/>
      <w:bookmarkStart w:id="90" w:name="_Toc19543340"/>
      <w:bookmarkStart w:id="91" w:name="_Toc175"/>
      <w:bookmarkStart w:id="92" w:name="_Toc536202308"/>
      <w:r>
        <w:rPr>
          <w:rFonts w:hint="eastAsia" w:ascii="宋体" w:hAnsi="宋体" w:cs="宋体"/>
          <w:b/>
          <w:bCs/>
          <w:color w:val="auto"/>
          <w:kern w:val="0"/>
          <w:sz w:val="28"/>
          <w:szCs w:val="28"/>
        </w:rPr>
        <w:t>磋商、评审、定标</w:t>
      </w:r>
      <w:bookmarkEnd w:id="85"/>
      <w:bookmarkEnd w:id="86"/>
      <w:bookmarkEnd w:id="87"/>
      <w:bookmarkEnd w:id="88"/>
      <w:bookmarkEnd w:id="89"/>
      <w:bookmarkEnd w:id="90"/>
      <w:bookmarkEnd w:id="91"/>
      <w:bookmarkEnd w:id="92"/>
    </w:p>
    <w:p w14:paraId="2B93F24D">
      <w:pPr>
        <w:pStyle w:val="6"/>
        <w:numPr>
          <w:ilvl w:val="0"/>
          <w:numId w:val="0"/>
        </w:numPr>
        <w:spacing w:line="360" w:lineRule="auto"/>
        <w:ind w:firstLine="482" w:firstLineChars="200"/>
        <w:rPr>
          <w:rFonts w:ascii="宋体" w:hAnsi="宋体" w:cs="宋体"/>
          <w:color w:val="auto"/>
          <w:sz w:val="24"/>
          <w:szCs w:val="28"/>
        </w:rPr>
      </w:pPr>
      <w:bookmarkStart w:id="93" w:name="_Toc536202309"/>
      <w:r>
        <w:rPr>
          <w:rFonts w:hint="eastAsia" w:ascii="宋体" w:hAnsi="宋体" w:cs="宋体"/>
          <w:color w:val="auto"/>
          <w:sz w:val="24"/>
          <w:szCs w:val="28"/>
          <w:lang w:val="en-US" w:eastAsia="zh-CN"/>
        </w:rPr>
        <w:t>1.</w:t>
      </w:r>
      <w:r>
        <w:rPr>
          <w:rFonts w:hint="eastAsia" w:ascii="宋体" w:hAnsi="宋体" w:cs="宋体"/>
          <w:color w:val="auto"/>
          <w:sz w:val="24"/>
          <w:szCs w:val="28"/>
        </w:rPr>
        <w:t>磋商</w:t>
      </w:r>
      <w:bookmarkEnd w:id="93"/>
    </w:p>
    <w:p w14:paraId="7F50D631">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1.1采购代理机构按磋商公告中规定的时间和地点接收供应商递交的响应文件，主持磋商会议，邀请供应商代表及采购人代表参加。</w:t>
      </w:r>
      <w:r>
        <w:rPr>
          <w:rFonts w:hint="eastAsia" w:ascii="宋体" w:hAnsi="宋体" w:cs="宋体"/>
          <w:color w:val="auto"/>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5E988838">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1.2磋商时，当众查验投标文件密封情况，由投标人或者其推选的代表检查投标文件的密封情况，以确认各投标人的投标文件密封情况是否与递交时一致，没有被提前启封等异常情况。</w:t>
      </w:r>
    </w:p>
    <w:p w14:paraId="0A429FF5">
      <w:pPr>
        <w:overflowPunct w:val="0"/>
        <w:adjustRightInd w:val="0"/>
        <w:snapToGrid w:val="0"/>
        <w:spacing w:line="360" w:lineRule="auto"/>
        <w:ind w:firstLine="600" w:firstLineChars="250"/>
        <w:rPr>
          <w:rFonts w:ascii="宋体" w:hAnsi="宋体" w:cs="宋体"/>
          <w:color w:val="auto"/>
          <w:sz w:val="24"/>
          <w:szCs w:val="24"/>
        </w:rPr>
      </w:pPr>
      <w:r>
        <w:rPr>
          <w:rFonts w:hint="eastAsia" w:ascii="宋体" w:hAnsi="宋体" w:cs="宋体"/>
          <w:color w:val="auto"/>
          <w:sz w:val="24"/>
          <w:szCs w:val="28"/>
        </w:rPr>
        <w:t>1.3经确认无误后，</w:t>
      </w:r>
      <w:r>
        <w:rPr>
          <w:rFonts w:hint="eastAsia" w:ascii="宋体" w:hAnsi="宋体" w:cs="宋体"/>
          <w:color w:val="auto"/>
          <w:sz w:val="24"/>
          <w:szCs w:val="24"/>
        </w:rPr>
        <w:t>对密封合格的投标文件由代理机构工作人员现场拆封开启，密封不合格的投标文件以及按照“响应文件的修改和撤回”规定，提交了可接受的“撤回”通知书的投标文件将不予拆封。</w:t>
      </w:r>
    </w:p>
    <w:p w14:paraId="0AC56282">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1.4投标文件拆封后，宣读投标人名称</w:t>
      </w:r>
      <w:r>
        <w:rPr>
          <w:rFonts w:hint="eastAsia" w:ascii="宋体" w:hAnsi="宋体" w:cs="宋体"/>
          <w:bCs/>
          <w:color w:val="auto"/>
          <w:sz w:val="24"/>
          <w:szCs w:val="24"/>
        </w:rPr>
        <w:t>。</w:t>
      </w:r>
    </w:p>
    <w:p w14:paraId="627BE15D">
      <w:pPr>
        <w:pStyle w:val="6"/>
        <w:spacing w:line="360" w:lineRule="auto"/>
        <w:ind w:firstLine="482" w:firstLineChars="200"/>
        <w:rPr>
          <w:rFonts w:ascii="宋体" w:hAnsi="宋体" w:cs="宋体"/>
          <w:color w:val="auto"/>
          <w:sz w:val="24"/>
          <w:szCs w:val="28"/>
        </w:rPr>
      </w:pPr>
      <w:bookmarkStart w:id="94" w:name="_Toc536202310"/>
      <w:r>
        <w:rPr>
          <w:rFonts w:hint="eastAsia" w:ascii="宋体" w:hAnsi="宋体" w:cs="宋体"/>
          <w:color w:val="auto"/>
          <w:sz w:val="24"/>
          <w:szCs w:val="28"/>
          <w:lang w:eastAsia="zh-CN"/>
        </w:rPr>
        <w:t>2.</w:t>
      </w:r>
      <w:r>
        <w:rPr>
          <w:rFonts w:hint="eastAsia" w:ascii="宋体" w:hAnsi="宋体" w:cs="宋体"/>
          <w:color w:val="auto"/>
          <w:sz w:val="24"/>
          <w:szCs w:val="28"/>
        </w:rPr>
        <w:t>磋商小组</w:t>
      </w:r>
      <w:bookmarkEnd w:id="94"/>
    </w:p>
    <w:p w14:paraId="4F50F08C">
      <w:pPr>
        <w:spacing w:line="360" w:lineRule="auto"/>
        <w:ind w:firstLine="480" w:firstLineChars="200"/>
        <w:rPr>
          <w:rFonts w:ascii="宋体" w:hAnsi="宋体" w:cs="宋体"/>
          <w:color w:val="auto"/>
          <w:sz w:val="24"/>
        </w:rPr>
      </w:pPr>
      <w:bookmarkStart w:id="95" w:name="_Toc536202311"/>
      <w:bookmarkStart w:id="96" w:name="_Toc385958808"/>
      <w:bookmarkStart w:id="97" w:name="_Toc386129876"/>
      <w:bookmarkStart w:id="98" w:name="_Toc27940"/>
      <w:bookmarkStart w:id="99" w:name="_Toc28085"/>
      <w:r>
        <w:rPr>
          <w:rFonts w:hint="eastAsia" w:ascii="宋体" w:hAnsi="宋体" w:cs="宋体"/>
          <w:color w:val="auto"/>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E7DC7DF">
      <w:pPr>
        <w:spacing w:line="360" w:lineRule="auto"/>
        <w:ind w:firstLine="458" w:firstLineChars="191"/>
        <w:rPr>
          <w:rFonts w:ascii="宋体" w:hAnsi="宋体" w:cs="宋体"/>
          <w:color w:val="auto"/>
          <w:sz w:val="24"/>
        </w:rPr>
      </w:pPr>
      <w:r>
        <w:rPr>
          <w:rFonts w:hint="eastAsia" w:ascii="宋体" w:hAnsi="宋体" w:cs="宋体"/>
          <w:color w:val="auto"/>
          <w:sz w:val="24"/>
        </w:rPr>
        <w:t>（1）要严格遵守政府采购相关法律制度，依法履行各自职责，公正、客观、审慎地组织和参与评审工作；</w:t>
      </w:r>
    </w:p>
    <w:p w14:paraId="588F86F7">
      <w:pPr>
        <w:tabs>
          <w:tab w:val="left" w:pos="1200"/>
        </w:tabs>
        <w:spacing w:line="360" w:lineRule="auto"/>
        <w:ind w:firstLine="480" w:firstLineChars="200"/>
        <w:rPr>
          <w:rFonts w:ascii="宋体" w:hAnsi="宋体" w:cs="宋体"/>
          <w:color w:val="auto"/>
          <w:sz w:val="24"/>
        </w:rPr>
      </w:pPr>
      <w:r>
        <w:rPr>
          <w:rFonts w:hint="eastAsia" w:ascii="宋体" w:hAnsi="宋体" w:cs="宋体"/>
          <w:color w:val="auto"/>
          <w:sz w:val="24"/>
        </w:rPr>
        <w:t>（2）对所有响应文件逐一进行资格性、符合性审查，并</w:t>
      </w:r>
      <w:r>
        <w:rPr>
          <w:rFonts w:hint="eastAsia" w:ascii="宋体" w:hAnsi="宋体" w:cs="宋体"/>
          <w:color w:val="auto"/>
          <w:sz w:val="24"/>
          <w:lang w:eastAsia="zh-CN"/>
        </w:rPr>
        <w:t>作出评价</w:t>
      </w:r>
      <w:r>
        <w:rPr>
          <w:rFonts w:hint="eastAsia" w:ascii="宋体" w:hAnsi="宋体" w:cs="宋体"/>
          <w:color w:val="auto"/>
          <w:sz w:val="24"/>
        </w:rPr>
        <w:t>；</w:t>
      </w:r>
    </w:p>
    <w:p w14:paraId="5341979C">
      <w:pPr>
        <w:tabs>
          <w:tab w:val="left" w:pos="1200"/>
        </w:tabs>
        <w:spacing w:line="360" w:lineRule="auto"/>
        <w:ind w:firstLine="458" w:firstLineChars="191"/>
        <w:rPr>
          <w:rFonts w:ascii="宋体" w:hAnsi="宋体" w:cs="宋体"/>
          <w:color w:val="auto"/>
          <w:sz w:val="24"/>
        </w:rPr>
      </w:pPr>
      <w:r>
        <w:rPr>
          <w:rFonts w:hint="eastAsia" w:ascii="宋体" w:hAnsi="宋体" w:cs="宋体"/>
          <w:color w:val="auto"/>
          <w:sz w:val="24"/>
        </w:rPr>
        <w:t>（3）按磋商文件规定的评审方法和标准，进行比较和评价；对供应商的价格分等客观评分项的评分应当一致；</w:t>
      </w:r>
    </w:p>
    <w:p w14:paraId="0C93E100">
      <w:pPr>
        <w:spacing w:line="360" w:lineRule="auto"/>
        <w:ind w:firstLine="480" w:firstLineChars="200"/>
        <w:rPr>
          <w:rFonts w:ascii="宋体" w:hAnsi="宋体" w:cs="宋体"/>
          <w:color w:val="auto"/>
          <w:sz w:val="24"/>
        </w:rPr>
      </w:pPr>
      <w:r>
        <w:rPr>
          <w:rFonts w:hint="eastAsia" w:ascii="宋体" w:hAnsi="宋体" w:cs="宋体"/>
          <w:color w:val="auto"/>
          <w:sz w:val="24"/>
        </w:rPr>
        <w:t>（4）要求供应商对响应文件有关事项作出解释或澄清；</w:t>
      </w:r>
    </w:p>
    <w:p w14:paraId="6568D296">
      <w:pPr>
        <w:spacing w:line="360" w:lineRule="auto"/>
        <w:ind w:firstLine="480" w:firstLineChars="200"/>
        <w:rPr>
          <w:rFonts w:ascii="宋体" w:hAnsi="宋体" w:cs="宋体"/>
          <w:color w:val="auto"/>
          <w:sz w:val="24"/>
        </w:rPr>
      </w:pPr>
      <w:r>
        <w:rPr>
          <w:rFonts w:hint="eastAsia" w:ascii="宋体" w:hAnsi="宋体" w:cs="宋体"/>
          <w:color w:val="auto"/>
          <w:sz w:val="24"/>
        </w:rPr>
        <w:t>（5）要依法独立评审，按照磋商文件的要求和评标标准进行评标，推荐成交候选供应商名单，对评审意见承担个人责任；</w:t>
      </w:r>
    </w:p>
    <w:p w14:paraId="1B35110D">
      <w:pPr>
        <w:spacing w:line="360" w:lineRule="auto"/>
        <w:ind w:firstLine="480" w:firstLineChars="200"/>
        <w:rPr>
          <w:rFonts w:ascii="宋体" w:hAnsi="宋体" w:cs="宋体"/>
          <w:color w:val="auto"/>
          <w:sz w:val="24"/>
        </w:rPr>
      </w:pPr>
      <w:r>
        <w:rPr>
          <w:rFonts w:hint="eastAsia" w:ascii="宋体" w:hAnsi="宋体" w:cs="宋体"/>
          <w:color w:val="auto"/>
          <w:sz w:val="24"/>
        </w:rPr>
        <w:t>（6）对需要共同认定的事项存在争议的，按照少数服从多数的原则</w:t>
      </w:r>
      <w:r>
        <w:rPr>
          <w:rFonts w:hint="eastAsia" w:ascii="宋体" w:hAnsi="宋体" w:cs="宋体"/>
          <w:color w:val="auto"/>
          <w:sz w:val="24"/>
          <w:lang w:eastAsia="zh-CN"/>
        </w:rPr>
        <w:t>作出</w:t>
      </w:r>
      <w:r>
        <w:rPr>
          <w:rFonts w:hint="eastAsia" w:ascii="宋体" w:hAnsi="宋体" w:cs="宋体"/>
          <w:color w:val="auto"/>
          <w:sz w:val="24"/>
        </w:rPr>
        <w:t xml:space="preserve">结论。持不同意见的磋商小组成员应当在评审报告上签署不同意见并说明理由，否则视为同意； </w:t>
      </w:r>
    </w:p>
    <w:p w14:paraId="651040A2">
      <w:pPr>
        <w:spacing w:line="360" w:lineRule="auto"/>
        <w:ind w:firstLine="480" w:firstLineChars="200"/>
        <w:rPr>
          <w:rFonts w:ascii="宋体" w:hAnsi="宋体" w:cs="宋体"/>
          <w:color w:val="auto"/>
          <w:sz w:val="24"/>
        </w:rPr>
      </w:pPr>
      <w:r>
        <w:rPr>
          <w:rFonts w:hint="eastAsia" w:ascii="宋体" w:hAnsi="宋体" w:cs="宋体"/>
          <w:color w:val="auto"/>
          <w:sz w:val="24"/>
        </w:rPr>
        <w:t>（7）对评审情况以及在评审过程中获悉的国家秘密、商业秘密负有保密责任；</w:t>
      </w:r>
    </w:p>
    <w:p w14:paraId="1059A56C">
      <w:pPr>
        <w:spacing w:line="360" w:lineRule="auto"/>
        <w:ind w:firstLine="480" w:firstLineChars="200"/>
        <w:rPr>
          <w:rFonts w:ascii="宋体" w:hAnsi="宋体" w:cs="宋体"/>
          <w:color w:val="auto"/>
          <w:sz w:val="24"/>
        </w:rPr>
      </w:pPr>
      <w:r>
        <w:rPr>
          <w:rFonts w:hint="eastAsia" w:ascii="宋体" w:hAnsi="宋体" w:cs="宋体"/>
          <w:color w:val="auto"/>
          <w:sz w:val="24"/>
        </w:rPr>
        <w:t>（8） 配合财政部门的投诉处理工作；</w:t>
      </w:r>
    </w:p>
    <w:p w14:paraId="536DAEA8">
      <w:pPr>
        <w:spacing w:line="360" w:lineRule="auto"/>
        <w:ind w:firstLine="480" w:firstLineChars="200"/>
        <w:rPr>
          <w:rFonts w:ascii="宋体" w:hAnsi="宋体" w:cs="宋体"/>
          <w:color w:val="auto"/>
          <w:sz w:val="24"/>
        </w:rPr>
      </w:pPr>
      <w:r>
        <w:rPr>
          <w:rFonts w:hint="eastAsia" w:ascii="宋体" w:hAnsi="宋体" w:cs="宋体"/>
          <w:color w:val="auto"/>
          <w:sz w:val="24"/>
        </w:rPr>
        <w:t>（9）配合采购人、采购代理机构答复供应商提出的质疑。</w:t>
      </w:r>
    </w:p>
    <w:bookmarkEnd w:id="95"/>
    <w:bookmarkEnd w:id="96"/>
    <w:bookmarkEnd w:id="97"/>
    <w:bookmarkEnd w:id="98"/>
    <w:bookmarkEnd w:id="99"/>
    <w:p w14:paraId="25D0D947">
      <w:pPr>
        <w:spacing w:line="360" w:lineRule="auto"/>
        <w:ind w:firstLine="482" w:firstLineChars="200"/>
        <w:rPr>
          <w:rFonts w:ascii="宋体" w:hAnsi="宋体" w:cs="宋体"/>
          <w:b/>
          <w:color w:val="auto"/>
          <w:sz w:val="24"/>
        </w:rPr>
      </w:pPr>
      <w:bookmarkStart w:id="100" w:name="_Toc536202313"/>
      <w:r>
        <w:rPr>
          <w:rFonts w:hint="eastAsia" w:ascii="宋体" w:hAnsi="宋体" w:cs="宋体"/>
          <w:b/>
          <w:color w:val="auto"/>
          <w:sz w:val="24"/>
          <w:lang w:eastAsia="zh-CN"/>
        </w:rPr>
        <w:t>3.</w:t>
      </w:r>
      <w:r>
        <w:rPr>
          <w:rFonts w:hint="eastAsia" w:ascii="宋体" w:hAnsi="宋体" w:cs="宋体"/>
          <w:b/>
          <w:color w:val="auto"/>
          <w:sz w:val="24"/>
        </w:rPr>
        <w:t>响应文件的初审</w:t>
      </w:r>
    </w:p>
    <w:p w14:paraId="77403871">
      <w:pPr>
        <w:spacing w:line="360" w:lineRule="auto"/>
        <w:ind w:firstLine="360" w:firstLineChars="150"/>
        <w:rPr>
          <w:rFonts w:hint="eastAsia" w:ascii="宋体" w:hAnsi="宋体" w:cs="宋体"/>
          <w:color w:val="auto"/>
          <w:sz w:val="24"/>
        </w:rPr>
      </w:pPr>
      <w:r>
        <w:rPr>
          <w:rFonts w:hint="eastAsia" w:ascii="宋体" w:hAnsi="宋体" w:cs="宋体"/>
          <w:color w:val="auto"/>
          <w:sz w:val="24"/>
        </w:rPr>
        <w:t>（1）初审分为资格性审查和符合性审查。</w:t>
      </w:r>
    </w:p>
    <w:p w14:paraId="29DF2AE2">
      <w:pPr>
        <w:spacing w:line="360" w:lineRule="auto"/>
        <w:ind w:firstLine="360" w:firstLineChars="150"/>
        <w:rPr>
          <w:rFonts w:ascii="宋体" w:hAnsi="宋体" w:cs="宋体"/>
          <w:color w:val="auto"/>
          <w:sz w:val="24"/>
        </w:rPr>
      </w:pPr>
      <w:r>
        <w:rPr>
          <w:rFonts w:hint="eastAsia" w:ascii="宋体" w:hAnsi="宋体" w:cs="宋体"/>
          <w:color w:val="auto"/>
          <w:sz w:val="24"/>
        </w:rPr>
        <w:t>（2）资格性审查：依据磋商文件的规定，对供应商的资格证明文件进行审查，以确定供应商是否具备磋商资格。</w:t>
      </w:r>
    </w:p>
    <w:p w14:paraId="15768FE8">
      <w:pPr>
        <w:spacing w:line="360" w:lineRule="auto"/>
        <w:ind w:firstLine="360" w:firstLineChars="150"/>
        <w:rPr>
          <w:rFonts w:hint="default" w:ascii="宋体" w:hAnsi="宋体" w:eastAsia="宋体" w:cs="宋体"/>
          <w:color w:val="auto"/>
          <w:sz w:val="24"/>
          <w:lang w:val="en-US" w:eastAsia="zh-CN"/>
        </w:rPr>
      </w:pPr>
      <w:r>
        <w:rPr>
          <w:rFonts w:hint="eastAsia" w:ascii="宋体" w:hAnsi="宋体" w:cs="宋体"/>
          <w:color w:val="auto"/>
          <w:sz w:val="24"/>
        </w:rPr>
        <w:t>（3）符合性审查：依据磋商文件规定，从响应文件的有效性、完整性和对磋商文件的响应程度进行审查。</w:t>
      </w:r>
    </w:p>
    <w:tbl>
      <w:tblPr>
        <w:tblStyle w:val="3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4A77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5154BA97">
            <w:pPr>
              <w:widowControl/>
              <w:spacing w:line="288" w:lineRule="auto"/>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768D456">
            <w:pPr>
              <w:widowControl/>
              <w:spacing w:line="288" w:lineRule="auto"/>
              <w:ind w:firstLine="200"/>
              <w:jc w:val="center"/>
              <w:rPr>
                <w:rFonts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E942FEA">
            <w:pPr>
              <w:widowControl/>
              <w:spacing w:line="288" w:lineRule="auto"/>
              <w:ind w:firstLine="200"/>
              <w:jc w:val="center"/>
              <w:rPr>
                <w:rFonts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6F3C725">
            <w:pPr>
              <w:widowControl/>
              <w:spacing w:line="288" w:lineRule="auto"/>
              <w:rPr>
                <w:rFonts w:ascii="宋体" w:hAnsi="宋体" w:cs="宋体"/>
                <w:b/>
                <w:bCs/>
                <w:color w:val="auto"/>
                <w:kern w:val="0"/>
                <w:sz w:val="24"/>
                <w:szCs w:val="24"/>
              </w:rPr>
            </w:pPr>
            <w:r>
              <w:rPr>
                <w:rFonts w:hint="eastAsia" w:ascii="宋体" w:hAnsi="宋体" w:cs="宋体"/>
                <w:b/>
                <w:bCs/>
                <w:color w:val="auto"/>
                <w:kern w:val="0"/>
                <w:sz w:val="24"/>
                <w:szCs w:val="24"/>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4B44E36">
            <w:pPr>
              <w:widowControl/>
              <w:spacing w:line="288"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04CB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74067A06">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1</w:t>
            </w:r>
          </w:p>
        </w:tc>
        <w:tc>
          <w:tcPr>
            <w:tcW w:w="2359" w:type="dxa"/>
            <w:tcBorders>
              <w:top w:val="single" w:color="auto" w:sz="4" w:space="0"/>
              <w:left w:val="single" w:color="auto" w:sz="4" w:space="0"/>
              <w:bottom w:val="single" w:color="auto" w:sz="4" w:space="0"/>
              <w:right w:val="single" w:color="auto" w:sz="4" w:space="0"/>
            </w:tcBorders>
          </w:tcPr>
          <w:p w14:paraId="1310EF1E">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投标文件正、副本数量及装订方式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6B4F7D9D">
            <w:pPr>
              <w:widowControl/>
              <w:spacing w:line="288" w:lineRule="auto"/>
              <w:jc w:val="left"/>
              <w:rPr>
                <w:rFonts w:ascii="宋体" w:hAnsi="宋体" w:cs="宋体"/>
                <w:bCs/>
                <w:color w:val="auto"/>
                <w:kern w:val="0"/>
                <w:sz w:val="24"/>
                <w:szCs w:val="24"/>
              </w:rPr>
            </w:pPr>
            <w:r>
              <w:rPr>
                <w:rFonts w:hint="eastAsia" w:ascii="宋体" w:hAnsi="宋体" w:cs="宋体"/>
                <w:color w:val="auto"/>
                <w:sz w:val="24"/>
                <w:szCs w:val="24"/>
              </w:rPr>
              <w:t>均符合</w:t>
            </w:r>
            <w:r>
              <w:rPr>
                <w:rFonts w:hint="eastAsia" w:ascii="宋体" w:hAnsi="宋体" w:cs="宋体"/>
                <w:color w:val="auto"/>
                <w:sz w:val="24"/>
                <w:szCs w:val="24"/>
                <w:lang w:eastAsia="zh-CN"/>
              </w:rPr>
              <w:t>磋商文件</w:t>
            </w:r>
            <w:r>
              <w:rPr>
                <w:rFonts w:hint="eastAsia" w:ascii="宋体" w:hAnsi="宋体" w:cs="宋体"/>
                <w:color w:val="auto"/>
                <w:sz w:val="24"/>
                <w:szCs w:val="24"/>
              </w:rPr>
              <w:t>要求。</w:t>
            </w:r>
          </w:p>
        </w:tc>
        <w:tc>
          <w:tcPr>
            <w:tcW w:w="1002" w:type="dxa"/>
            <w:tcBorders>
              <w:top w:val="single" w:color="auto" w:sz="4" w:space="0"/>
              <w:left w:val="single" w:color="auto" w:sz="4" w:space="0"/>
              <w:bottom w:val="single" w:color="auto" w:sz="4" w:space="0"/>
              <w:right w:val="single" w:color="auto" w:sz="4" w:space="0"/>
            </w:tcBorders>
          </w:tcPr>
          <w:p w14:paraId="7A3A9AD4">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D559784">
            <w:pPr>
              <w:widowControl/>
              <w:spacing w:line="288" w:lineRule="auto"/>
              <w:ind w:firstLine="200"/>
              <w:rPr>
                <w:rFonts w:ascii="宋体" w:hAnsi="宋体" w:cs="宋体"/>
                <w:b/>
                <w:bCs/>
                <w:color w:val="auto"/>
                <w:kern w:val="0"/>
                <w:sz w:val="24"/>
                <w:szCs w:val="24"/>
              </w:rPr>
            </w:pPr>
          </w:p>
        </w:tc>
      </w:tr>
      <w:tr w14:paraId="2C5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2DED319B">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2</w:t>
            </w:r>
          </w:p>
        </w:tc>
        <w:tc>
          <w:tcPr>
            <w:tcW w:w="2359" w:type="dxa"/>
            <w:tcBorders>
              <w:top w:val="single" w:color="auto" w:sz="4" w:space="0"/>
              <w:left w:val="single" w:color="auto" w:sz="4" w:space="0"/>
              <w:bottom w:val="single" w:color="auto" w:sz="4" w:space="0"/>
              <w:right w:val="single" w:color="auto" w:sz="4" w:space="0"/>
            </w:tcBorders>
          </w:tcPr>
          <w:p w14:paraId="5C38FE1C">
            <w:pPr>
              <w:widowControl/>
              <w:spacing w:line="288" w:lineRule="auto"/>
              <w:ind w:firstLine="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投标文件封面、投标函、法定代表人委托授权书三处的项目名称、项目编号、标段</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未划分标段的除外</w:t>
            </w:r>
            <w:r>
              <w:rPr>
                <w:rFonts w:hint="eastAsia" w:ascii="宋体" w:hAnsi="宋体" w:cs="宋体"/>
                <w:bCs/>
                <w:color w:val="auto"/>
                <w:kern w:val="0"/>
                <w:sz w:val="24"/>
                <w:szCs w:val="24"/>
                <w:lang w:eastAsia="zh-CN"/>
              </w:rPr>
              <w:t>）</w:t>
            </w:r>
          </w:p>
        </w:tc>
        <w:tc>
          <w:tcPr>
            <w:tcW w:w="3770" w:type="dxa"/>
            <w:tcBorders>
              <w:top w:val="single" w:color="auto" w:sz="4" w:space="0"/>
              <w:left w:val="single" w:color="auto" w:sz="4" w:space="0"/>
              <w:bottom w:val="single" w:color="auto" w:sz="4" w:space="0"/>
              <w:right w:val="single" w:color="auto" w:sz="4" w:space="0"/>
            </w:tcBorders>
            <w:vAlign w:val="center"/>
          </w:tcPr>
          <w:p w14:paraId="6A49D873">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三处均无遗漏，且与所投项目名称、项目编号、标段完全一致。</w:t>
            </w:r>
          </w:p>
        </w:tc>
        <w:tc>
          <w:tcPr>
            <w:tcW w:w="1002" w:type="dxa"/>
            <w:tcBorders>
              <w:top w:val="single" w:color="auto" w:sz="4" w:space="0"/>
              <w:left w:val="single" w:color="auto" w:sz="4" w:space="0"/>
              <w:bottom w:val="single" w:color="auto" w:sz="4" w:space="0"/>
              <w:right w:val="single" w:color="auto" w:sz="4" w:space="0"/>
            </w:tcBorders>
          </w:tcPr>
          <w:p w14:paraId="360425B0">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5A3B662">
            <w:pPr>
              <w:widowControl/>
              <w:spacing w:line="288" w:lineRule="auto"/>
              <w:ind w:firstLine="200"/>
              <w:rPr>
                <w:rFonts w:ascii="宋体" w:hAnsi="宋体" w:cs="宋体"/>
                <w:b/>
                <w:bCs/>
                <w:color w:val="auto"/>
                <w:kern w:val="0"/>
                <w:sz w:val="24"/>
                <w:szCs w:val="24"/>
              </w:rPr>
            </w:pPr>
          </w:p>
        </w:tc>
      </w:tr>
      <w:tr w14:paraId="295D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590D3699">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3</w:t>
            </w:r>
          </w:p>
        </w:tc>
        <w:tc>
          <w:tcPr>
            <w:tcW w:w="2359" w:type="dxa"/>
            <w:tcBorders>
              <w:top w:val="single" w:color="auto" w:sz="4" w:space="0"/>
              <w:left w:val="single" w:color="auto" w:sz="4" w:space="0"/>
              <w:bottom w:val="single" w:color="auto" w:sz="4" w:space="0"/>
              <w:right w:val="single" w:color="auto" w:sz="4" w:space="0"/>
            </w:tcBorders>
            <w:vAlign w:val="center"/>
          </w:tcPr>
          <w:p w14:paraId="030FD818">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投标文件签署、盖章</w:t>
            </w:r>
          </w:p>
        </w:tc>
        <w:tc>
          <w:tcPr>
            <w:tcW w:w="3770" w:type="dxa"/>
            <w:tcBorders>
              <w:top w:val="single" w:color="auto" w:sz="4" w:space="0"/>
              <w:left w:val="single" w:color="auto" w:sz="4" w:space="0"/>
              <w:bottom w:val="single" w:color="auto" w:sz="4" w:space="0"/>
              <w:right w:val="single" w:color="auto" w:sz="4" w:space="0"/>
            </w:tcBorders>
          </w:tcPr>
          <w:p w14:paraId="4C515336">
            <w:pPr>
              <w:widowControl/>
              <w:spacing w:line="288" w:lineRule="auto"/>
              <w:jc w:val="left"/>
              <w:rPr>
                <w:rFonts w:ascii="宋体" w:hAnsi="宋体" w:cs="宋体"/>
                <w:bCs/>
                <w:color w:val="auto"/>
                <w:kern w:val="0"/>
                <w:sz w:val="24"/>
                <w:szCs w:val="24"/>
              </w:rPr>
            </w:pPr>
            <w:r>
              <w:rPr>
                <w:rFonts w:hint="eastAsia" w:ascii="宋体" w:hAnsi="宋体" w:cs="宋体"/>
                <w:color w:val="auto"/>
                <w:sz w:val="24"/>
                <w:szCs w:val="24"/>
              </w:rPr>
              <w:t>均按</w:t>
            </w:r>
            <w:r>
              <w:rPr>
                <w:rFonts w:hint="eastAsia" w:ascii="宋体" w:hAnsi="宋体" w:cs="宋体"/>
                <w:color w:val="auto"/>
                <w:sz w:val="24"/>
                <w:szCs w:val="24"/>
                <w:lang w:eastAsia="zh-CN"/>
              </w:rPr>
              <w:t>磋商文件</w:t>
            </w:r>
            <w:r>
              <w:rPr>
                <w:rFonts w:hint="eastAsia" w:ascii="宋体" w:hAnsi="宋体" w:cs="宋体"/>
                <w:color w:val="auto"/>
                <w:sz w:val="24"/>
                <w:szCs w:val="24"/>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tcPr>
          <w:p w14:paraId="05F9B8A1">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5DACE32">
            <w:pPr>
              <w:widowControl/>
              <w:spacing w:line="288" w:lineRule="auto"/>
              <w:ind w:firstLine="200"/>
              <w:rPr>
                <w:rFonts w:ascii="宋体" w:hAnsi="宋体" w:cs="宋体"/>
                <w:b/>
                <w:bCs/>
                <w:color w:val="auto"/>
                <w:kern w:val="0"/>
                <w:sz w:val="24"/>
                <w:szCs w:val="24"/>
              </w:rPr>
            </w:pPr>
          </w:p>
        </w:tc>
      </w:tr>
      <w:tr w14:paraId="7F98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0610000E">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4</w:t>
            </w:r>
          </w:p>
        </w:tc>
        <w:tc>
          <w:tcPr>
            <w:tcW w:w="2359" w:type="dxa"/>
            <w:tcBorders>
              <w:top w:val="single" w:color="auto" w:sz="4" w:space="0"/>
              <w:left w:val="single" w:color="auto" w:sz="4" w:space="0"/>
              <w:bottom w:val="single" w:color="auto" w:sz="4" w:space="0"/>
              <w:right w:val="single" w:color="auto" w:sz="4" w:space="0"/>
            </w:tcBorders>
            <w:vAlign w:val="center"/>
          </w:tcPr>
          <w:p w14:paraId="60FB34D0">
            <w:pPr>
              <w:widowControl/>
              <w:spacing w:line="288" w:lineRule="auto"/>
              <w:ind w:firstLine="200"/>
              <w:jc w:val="center"/>
              <w:rPr>
                <w:rFonts w:ascii="宋体" w:hAnsi="宋体" w:cs="宋体"/>
                <w:bCs/>
                <w:color w:val="auto"/>
                <w:kern w:val="0"/>
                <w:sz w:val="24"/>
                <w:szCs w:val="24"/>
                <w:highlight w:val="red"/>
              </w:rPr>
            </w:pPr>
            <w:r>
              <w:rPr>
                <w:rFonts w:hint="eastAsia" w:ascii="宋体" w:hAnsi="宋体" w:cs="宋体"/>
                <w:bCs/>
                <w:color w:val="auto"/>
                <w:kern w:val="0"/>
                <w:sz w:val="24"/>
                <w:szCs w:val="24"/>
                <w:lang w:val="en-US" w:eastAsia="zh-CN"/>
              </w:rPr>
              <w:t>响应</w:t>
            </w:r>
            <w:r>
              <w:rPr>
                <w:rFonts w:hint="eastAsia" w:ascii="宋体" w:hAnsi="宋体" w:cs="宋体"/>
                <w:bCs/>
                <w:color w:val="auto"/>
                <w:kern w:val="0"/>
                <w:sz w:val="24"/>
                <w:szCs w:val="24"/>
              </w:rPr>
              <w:t>文件组成</w:t>
            </w:r>
          </w:p>
        </w:tc>
        <w:tc>
          <w:tcPr>
            <w:tcW w:w="3770" w:type="dxa"/>
            <w:tcBorders>
              <w:top w:val="single" w:color="auto" w:sz="4" w:space="0"/>
              <w:left w:val="single" w:color="auto" w:sz="4" w:space="0"/>
              <w:bottom w:val="single" w:color="auto" w:sz="4" w:space="0"/>
              <w:right w:val="single" w:color="auto" w:sz="4" w:space="0"/>
            </w:tcBorders>
          </w:tcPr>
          <w:p w14:paraId="3D1A970D">
            <w:pPr>
              <w:widowControl/>
              <w:spacing w:line="288" w:lineRule="auto"/>
              <w:jc w:val="left"/>
              <w:rPr>
                <w:rFonts w:ascii="宋体" w:hAnsi="宋体" w:cs="宋体"/>
                <w:color w:val="auto"/>
                <w:sz w:val="24"/>
                <w:szCs w:val="24"/>
              </w:rPr>
            </w:pPr>
            <w:r>
              <w:rPr>
                <w:rFonts w:hint="eastAsia" w:ascii="宋体" w:hAnsi="宋体" w:cs="宋体"/>
                <w:color w:val="auto"/>
                <w:sz w:val="24"/>
                <w:szCs w:val="24"/>
              </w:rPr>
              <w:t>投标文件应包含以下内容：</w:t>
            </w:r>
          </w:p>
          <w:p w14:paraId="31FC76AF">
            <w:pPr>
              <w:pStyle w:val="23"/>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rPr>
              <w:t>响应函</w:t>
            </w:r>
          </w:p>
          <w:p w14:paraId="7E6D51D4">
            <w:pPr>
              <w:pStyle w:val="23"/>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rPr>
              <w:t>响应报价表</w:t>
            </w:r>
          </w:p>
          <w:p w14:paraId="134F0AE1">
            <w:pPr>
              <w:pStyle w:val="23"/>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rPr>
              <w:t>资格证明文件</w:t>
            </w:r>
          </w:p>
          <w:p w14:paraId="4F255F1F">
            <w:pPr>
              <w:pStyle w:val="23"/>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技术及</w:t>
            </w:r>
            <w:r>
              <w:rPr>
                <w:rFonts w:hint="eastAsia" w:ascii="宋体" w:hAnsi="宋体" w:cs="宋体"/>
                <w:color w:val="auto"/>
                <w:kern w:val="0"/>
                <w:sz w:val="24"/>
                <w:szCs w:val="24"/>
                <w:lang w:eastAsia="zh-CN"/>
              </w:rPr>
              <w:t>商务</w:t>
            </w: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lang w:eastAsia="zh-CN"/>
              </w:rPr>
              <w:t>偏离表</w:t>
            </w:r>
          </w:p>
          <w:p w14:paraId="04D2BAF6">
            <w:pPr>
              <w:pStyle w:val="23"/>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rPr>
              <w:t>方案</w:t>
            </w:r>
          </w:p>
          <w:p w14:paraId="58BBF7A5">
            <w:pPr>
              <w:pStyle w:val="23"/>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rPr>
              <w:t>供应商承诺书</w:t>
            </w:r>
          </w:p>
        </w:tc>
        <w:tc>
          <w:tcPr>
            <w:tcW w:w="1002" w:type="dxa"/>
            <w:tcBorders>
              <w:top w:val="single" w:color="auto" w:sz="4" w:space="0"/>
              <w:left w:val="single" w:color="auto" w:sz="4" w:space="0"/>
              <w:bottom w:val="single" w:color="auto" w:sz="4" w:space="0"/>
              <w:right w:val="single" w:color="auto" w:sz="4" w:space="0"/>
            </w:tcBorders>
          </w:tcPr>
          <w:p w14:paraId="1019E148">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FEA191F">
            <w:pPr>
              <w:widowControl/>
              <w:spacing w:line="288" w:lineRule="auto"/>
              <w:ind w:firstLine="200"/>
              <w:rPr>
                <w:rFonts w:ascii="宋体" w:hAnsi="宋体" w:cs="宋体"/>
                <w:b/>
                <w:bCs/>
                <w:color w:val="auto"/>
                <w:kern w:val="0"/>
                <w:sz w:val="24"/>
                <w:szCs w:val="24"/>
              </w:rPr>
            </w:pPr>
          </w:p>
        </w:tc>
      </w:tr>
      <w:tr w14:paraId="193F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4566DA44">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5</w:t>
            </w:r>
          </w:p>
        </w:tc>
        <w:tc>
          <w:tcPr>
            <w:tcW w:w="2359" w:type="dxa"/>
            <w:tcBorders>
              <w:top w:val="single" w:color="auto" w:sz="4" w:space="0"/>
              <w:left w:val="single" w:color="auto" w:sz="4" w:space="0"/>
              <w:bottom w:val="single" w:color="auto" w:sz="4" w:space="0"/>
              <w:right w:val="single" w:color="auto" w:sz="4" w:space="0"/>
            </w:tcBorders>
            <w:vAlign w:val="center"/>
          </w:tcPr>
          <w:p w14:paraId="6D6DEB54">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投标文件的计量单位、语言、报价货币、投标有效期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690C6E0A">
            <w:pPr>
              <w:widowControl/>
              <w:spacing w:line="288" w:lineRule="auto"/>
              <w:jc w:val="left"/>
              <w:rPr>
                <w:rFonts w:ascii="宋体" w:hAnsi="宋体" w:cs="宋体"/>
                <w:b/>
                <w:bCs/>
                <w:color w:val="auto"/>
                <w:kern w:val="0"/>
                <w:sz w:val="24"/>
                <w:szCs w:val="24"/>
              </w:rPr>
            </w:pPr>
            <w:r>
              <w:rPr>
                <w:rFonts w:hint="eastAsia" w:ascii="宋体" w:hAnsi="宋体" w:cs="宋体"/>
                <w:color w:val="auto"/>
                <w:sz w:val="24"/>
                <w:szCs w:val="24"/>
              </w:rPr>
              <w:t>计量单位、语言、报价货币、投标有效期均符合</w:t>
            </w:r>
            <w:r>
              <w:rPr>
                <w:rFonts w:hint="eastAsia" w:ascii="宋体" w:hAnsi="宋体" w:cs="宋体"/>
                <w:color w:val="auto"/>
                <w:sz w:val="24"/>
                <w:szCs w:val="24"/>
                <w:lang w:eastAsia="zh-CN"/>
              </w:rPr>
              <w:t>磋商文件</w:t>
            </w:r>
            <w:r>
              <w:rPr>
                <w:rFonts w:hint="eastAsia" w:ascii="宋体" w:hAnsi="宋体" w:cs="宋体"/>
                <w:color w:val="auto"/>
                <w:sz w:val="24"/>
                <w:szCs w:val="24"/>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7929AB84">
            <w:pPr>
              <w:widowControl/>
              <w:spacing w:line="288" w:lineRule="auto"/>
              <w:ind w:firstLine="200"/>
              <w:jc w:val="center"/>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ECB15CE">
            <w:pPr>
              <w:widowControl/>
              <w:spacing w:line="288" w:lineRule="auto"/>
              <w:ind w:firstLine="200"/>
              <w:rPr>
                <w:rFonts w:ascii="宋体" w:hAnsi="宋体" w:cs="宋体"/>
                <w:b/>
                <w:bCs/>
                <w:color w:val="auto"/>
                <w:kern w:val="0"/>
                <w:sz w:val="24"/>
                <w:szCs w:val="24"/>
              </w:rPr>
            </w:pPr>
          </w:p>
        </w:tc>
      </w:tr>
      <w:tr w14:paraId="2228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17E66E19">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6</w:t>
            </w:r>
          </w:p>
        </w:tc>
        <w:tc>
          <w:tcPr>
            <w:tcW w:w="2359" w:type="dxa"/>
            <w:tcBorders>
              <w:top w:val="single" w:color="auto" w:sz="4" w:space="0"/>
              <w:left w:val="single" w:color="auto" w:sz="4" w:space="0"/>
              <w:bottom w:val="single" w:color="auto" w:sz="4" w:space="0"/>
              <w:right w:val="single" w:color="auto" w:sz="4" w:space="0"/>
            </w:tcBorders>
            <w:vAlign w:val="center"/>
          </w:tcPr>
          <w:p w14:paraId="4EC8EE16">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投标报价</w:t>
            </w:r>
          </w:p>
        </w:tc>
        <w:tc>
          <w:tcPr>
            <w:tcW w:w="3770" w:type="dxa"/>
            <w:tcBorders>
              <w:top w:val="single" w:color="auto" w:sz="4" w:space="0"/>
              <w:left w:val="single" w:color="auto" w:sz="4" w:space="0"/>
              <w:bottom w:val="single" w:color="auto" w:sz="4" w:space="0"/>
              <w:right w:val="single" w:color="auto" w:sz="4" w:space="0"/>
            </w:tcBorders>
          </w:tcPr>
          <w:p w14:paraId="16F85F9B">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（1）投标报价符合唯一性要求：</w:t>
            </w:r>
          </w:p>
          <w:p w14:paraId="6609FD01">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05BEB26A">
            <w:pPr>
              <w:widowControl/>
              <w:spacing w:line="288" w:lineRule="auto"/>
              <w:jc w:val="left"/>
              <w:rPr>
                <w:rFonts w:ascii="宋体" w:hAnsi="宋体" w:cs="宋体"/>
                <w:color w:val="auto"/>
                <w:sz w:val="24"/>
                <w:szCs w:val="24"/>
              </w:rPr>
            </w:pPr>
            <w:r>
              <w:rPr>
                <w:rFonts w:hint="eastAsia" w:ascii="宋体" w:hAnsi="宋体" w:cs="宋体"/>
                <w:bCs/>
                <w:color w:val="auto"/>
                <w:kern w:val="0"/>
                <w:sz w:val="24"/>
                <w:szCs w:val="24"/>
              </w:rPr>
              <w:t>（3）未超出采购预算或</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规定的最高限价；</w:t>
            </w:r>
          </w:p>
        </w:tc>
        <w:tc>
          <w:tcPr>
            <w:tcW w:w="1002" w:type="dxa"/>
            <w:tcBorders>
              <w:top w:val="single" w:color="auto" w:sz="4" w:space="0"/>
              <w:left w:val="single" w:color="auto" w:sz="4" w:space="0"/>
              <w:bottom w:val="single" w:color="auto" w:sz="4" w:space="0"/>
              <w:right w:val="single" w:color="auto" w:sz="4" w:space="0"/>
            </w:tcBorders>
          </w:tcPr>
          <w:p w14:paraId="3FB0D007">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61EE42">
            <w:pPr>
              <w:widowControl/>
              <w:spacing w:line="288" w:lineRule="auto"/>
              <w:ind w:firstLine="200"/>
              <w:rPr>
                <w:rFonts w:ascii="宋体" w:hAnsi="宋体" w:cs="宋体"/>
                <w:b/>
                <w:bCs/>
                <w:color w:val="auto"/>
                <w:kern w:val="0"/>
                <w:sz w:val="24"/>
                <w:szCs w:val="24"/>
              </w:rPr>
            </w:pPr>
          </w:p>
        </w:tc>
      </w:tr>
      <w:tr w14:paraId="2108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67A3F1FA">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7</w:t>
            </w:r>
          </w:p>
        </w:tc>
        <w:tc>
          <w:tcPr>
            <w:tcW w:w="2359" w:type="dxa"/>
            <w:tcBorders>
              <w:top w:val="single" w:color="auto" w:sz="4" w:space="0"/>
              <w:left w:val="single" w:color="auto" w:sz="4" w:space="0"/>
              <w:bottom w:val="single" w:color="auto" w:sz="4" w:space="0"/>
              <w:right w:val="single" w:color="auto" w:sz="4" w:space="0"/>
            </w:tcBorders>
            <w:vAlign w:val="center"/>
          </w:tcPr>
          <w:p w14:paraId="2AFA778C">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0459F257">
            <w:pPr>
              <w:widowControl/>
              <w:spacing w:line="288" w:lineRule="auto"/>
              <w:jc w:val="left"/>
              <w:rPr>
                <w:rFonts w:ascii="宋体" w:hAnsi="宋体" w:cs="宋体"/>
                <w:color w:val="auto"/>
                <w:sz w:val="24"/>
                <w:szCs w:val="24"/>
              </w:rPr>
            </w:pPr>
            <w:r>
              <w:rPr>
                <w:rFonts w:hint="eastAsia" w:ascii="宋体" w:hAnsi="宋体" w:cs="宋体"/>
                <w:color w:val="auto"/>
                <w:sz w:val="24"/>
                <w:szCs w:val="24"/>
              </w:rPr>
              <w:t>完全响应</w:t>
            </w:r>
            <w:r>
              <w:rPr>
                <w:rFonts w:hint="eastAsia" w:ascii="宋体" w:hAnsi="宋体" w:cs="宋体"/>
                <w:color w:val="auto"/>
                <w:sz w:val="24"/>
                <w:szCs w:val="24"/>
                <w:lang w:eastAsia="zh-CN"/>
              </w:rPr>
              <w:t>磋商文件</w:t>
            </w:r>
            <w:r>
              <w:rPr>
                <w:rFonts w:hint="eastAsia" w:ascii="宋体" w:hAnsi="宋体" w:cs="宋体"/>
                <w:color w:val="auto"/>
                <w:sz w:val="24"/>
                <w:szCs w:val="24"/>
              </w:rPr>
              <w:t>要求的各项实质性条款。</w:t>
            </w:r>
          </w:p>
        </w:tc>
        <w:tc>
          <w:tcPr>
            <w:tcW w:w="1002" w:type="dxa"/>
            <w:tcBorders>
              <w:top w:val="single" w:color="auto" w:sz="4" w:space="0"/>
              <w:left w:val="single" w:color="auto" w:sz="4" w:space="0"/>
              <w:bottom w:val="single" w:color="auto" w:sz="4" w:space="0"/>
              <w:right w:val="single" w:color="auto" w:sz="4" w:space="0"/>
            </w:tcBorders>
          </w:tcPr>
          <w:p w14:paraId="1561D10B">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58CC7216">
            <w:pPr>
              <w:widowControl/>
              <w:spacing w:line="288" w:lineRule="auto"/>
              <w:ind w:firstLine="200"/>
              <w:rPr>
                <w:rFonts w:ascii="宋体" w:hAnsi="宋体" w:cs="宋体"/>
                <w:b/>
                <w:bCs/>
                <w:color w:val="auto"/>
                <w:kern w:val="0"/>
                <w:sz w:val="24"/>
                <w:szCs w:val="24"/>
              </w:rPr>
            </w:pPr>
          </w:p>
        </w:tc>
      </w:tr>
      <w:tr w14:paraId="5E09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39B69F8E">
            <w:pPr>
              <w:widowControl/>
              <w:spacing w:line="288" w:lineRule="auto"/>
              <w:ind w:firstLine="200"/>
              <w:jc w:val="center"/>
              <w:rPr>
                <w:rFonts w:ascii="宋体" w:hAnsi="宋体" w:cs="宋体"/>
                <w:color w:val="auto"/>
                <w:sz w:val="24"/>
                <w:szCs w:val="24"/>
              </w:rPr>
            </w:pPr>
            <w:r>
              <w:rPr>
                <w:rFonts w:hint="eastAsia" w:ascii="宋体" w:hAnsi="宋体" w:cs="宋体"/>
                <w:color w:val="auto"/>
                <w:sz w:val="24"/>
                <w:szCs w:val="24"/>
              </w:rPr>
              <w:t>8</w:t>
            </w:r>
          </w:p>
        </w:tc>
        <w:tc>
          <w:tcPr>
            <w:tcW w:w="2359" w:type="dxa"/>
            <w:tcBorders>
              <w:top w:val="single" w:color="auto" w:sz="4" w:space="0"/>
              <w:left w:val="single" w:color="auto" w:sz="4" w:space="0"/>
              <w:bottom w:val="single" w:color="auto" w:sz="4" w:space="0"/>
              <w:right w:val="single" w:color="auto" w:sz="4" w:space="0"/>
            </w:tcBorders>
            <w:vAlign w:val="center"/>
          </w:tcPr>
          <w:p w14:paraId="5AC71490">
            <w:pPr>
              <w:widowControl/>
              <w:spacing w:line="288" w:lineRule="auto"/>
              <w:jc w:val="center"/>
              <w:rPr>
                <w:rFonts w:ascii="宋体" w:hAnsi="宋体" w:cs="宋体"/>
                <w:bCs/>
                <w:color w:val="auto"/>
                <w:kern w:val="0"/>
                <w:sz w:val="24"/>
                <w:szCs w:val="24"/>
              </w:rPr>
            </w:pPr>
            <w:r>
              <w:rPr>
                <w:rFonts w:hint="eastAsia" w:ascii="宋体" w:hAnsi="宋体" w:cs="宋体"/>
                <w:bCs/>
                <w:color w:val="auto"/>
                <w:sz w:val="24"/>
                <w:szCs w:val="24"/>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6BB6ADFB">
            <w:pPr>
              <w:widowControl/>
              <w:spacing w:line="288" w:lineRule="auto"/>
              <w:jc w:val="left"/>
              <w:rPr>
                <w:rFonts w:ascii="宋体" w:hAnsi="宋体" w:cs="宋体"/>
                <w:color w:val="auto"/>
                <w:sz w:val="24"/>
                <w:szCs w:val="24"/>
              </w:rPr>
            </w:pPr>
            <w:r>
              <w:rPr>
                <w:rFonts w:hint="eastAsia" w:ascii="宋体" w:hAnsi="宋体" w:cs="宋体"/>
                <w:color w:val="auto"/>
                <w:sz w:val="24"/>
                <w:szCs w:val="24"/>
              </w:rPr>
              <w:t>完整响应</w:t>
            </w:r>
            <w:r>
              <w:rPr>
                <w:rFonts w:hint="eastAsia" w:ascii="宋体" w:hAnsi="宋体" w:cs="宋体"/>
                <w:color w:val="auto"/>
                <w:sz w:val="24"/>
                <w:szCs w:val="24"/>
                <w:lang w:eastAsia="zh-CN"/>
              </w:rPr>
              <w:t>磋商文件</w:t>
            </w:r>
            <w:r>
              <w:rPr>
                <w:rFonts w:hint="eastAsia" w:ascii="宋体" w:hAnsi="宋体" w:cs="宋体"/>
                <w:color w:val="auto"/>
                <w:sz w:val="24"/>
                <w:szCs w:val="24"/>
              </w:rPr>
              <w:t>合同主要条款。</w:t>
            </w:r>
          </w:p>
        </w:tc>
        <w:tc>
          <w:tcPr>
            <w:tcW w:w="1002" w:type="dxa"/>
            <w:tcBorders>
              <w:top w:val="single" w:color="auto" w:sz="4" w:space="0"/>
              <w:left w:val="single" w:color="auto" w:sz="4" w:space="0"/>
              <w:bottom w:val="single" w:color="auto" w:sz="4" w:space="0"/>
              <w:right w:val="single" w:color="auto" w:sz="4" w:space="0"/>
            </w:tcBorders>
          </w:tcPr>
          <w:p w14:paraId="440BC63A">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1020B5">
            <w:pPr>
              <w:widowControl/>
              <w:spacing w:line="288" w:lineRule="auto"/>
              <w:ind w:firstLine="200"/>
              <w:rPr>
                <w:rFonts w:ascii="宋体" w:hAnsi="宋体" w:cs="宋体"/>
                <w:b/>
                <w:bCs/>
                <w:color w:val="auto"/>
                <w:kern w:val="0"/>
                <w:sz w:val="24"/>
                <w:szCs w:val="24"/>
              </w:rPr>
            </w:pPr>
          </w:p>
        </w:tc>
      </w:tr>
    </w:tbl>
    <w:p w14:paraId="3D6597DB">
      <w:pPr>
        <w:pStyle w:val="14"/>
        <w:rPr>
          <w:color w:val="auto"/>
        </w:rPr>
      </w:pPr>
    </w:p>
    <w:p w14:paraId="045B9E2F">
      <w:pPr>
        <w:spacing w:line="360" w:lineRule="auto"/>
        <w:ind w:firstLine="360" w:firstLineChars="150"/>
        <w:rPr>
          <w:rFonts w:ascii="宋体" w:hAnsi="宋体" w:cs="宋体"/>
          <w:color w:val="auto"/>
          <w:sz w:val="24"/>
        </w:rPr>
      </w:pPr>
      <w:r>
        <w:rPr>
          <w:rFonts w:hint="eastAsia" w:ascii="宋体" w:hAnsi="宋体" w:cs="宋体"/>
          <w:color w:val="auto"/>
          <w:sz w:val="24"/>
        </w:rPr>
        <w:t>（4）磋商时，响应文件中出现下列情况，修正原则为：</w:t>
      </w:r>
    </w:p>
    <w:p w14:paraId="5F156920">
      <w:pPr>
        <w:spacing w:line="360" w:lineRule="auto"/>
        <w:ind w:firstLine="600" w:firstLineChars="250"/>
        <w:rPr>
          <w:rFonts w:ascii="宋体" w:hAnsi="宋体" w:cs="宋体"/>
          <w:color w:val="auto"/>
          <w:sz w:val="24"/>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响应文件中响应报价表内容与响应文件中明细内容不一致的，以响应报价表为准；</w:t>
      </w:r>
    </w:p>
    <w:p w14:paraId="014E0DE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B</w:t>
      </w:r>
      <w:r>
        <w:rPr>
          <w:rFonts w:hint="eastAsia" w:ascii="宋体" w:hAnsi="宋体" w:cs="宋体"/>
          <w:color w:val="auto"/>
          <w:sz w:val="24"/>
          <w:lang w:eastAsia="zh-CN"/>
        </w:rPr>
        <w:t>.</w:t>
      </w:r>
      <w:r>
        <w:rPr>
          <w:rFonts w:hint="eastAsia" w:ascii="宋体" w:hAnsi="宋体" w:cs="宋体"/>
          <w:color w:val="auto"/>
          <w:sz w:val="24"/>
        </w:rPr>
        <w:t>大写金额和小写金额不一致的，以大写金额为准；</w:t>
      </w:r>
    </w:p>
    <w:p w14:paraId="473FEB3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C</w:t>
      </w:r>
      <w:r>
        <w:rPr>
          <w:rFonts w:hint="eastAsia" w:ascii="宋体" w:hAnsi="宋体" w:cs="宋体"/>
          <w:color w:val="auto"/>
          <w:sz w:val="24"/>
          <w:lang w:eastAsia="zh-CN"/>
        </w:rPr>
        <w:t>.</w:t>
      </w:r>
      <w:r>
        <w:rPr>
          <w:rFonts w:hint="eastAsia" w:ascii="宋体" w:hAnsi="宋体" w:cs="宋体"/>
          <w:color w:val="auto"/>
          <w:sz w:val="24"/>
        </w:rPr>
        <w:t>单价金额小数点或者百分比有明显错位的，以响应报价表的总价为准，并修改单价；</w:t>
      </w:r>
    </w:p>
    <w:p w14:paraId="7AF697E3">
      <w:pPr>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 xml:space="preserve">总价金额与按单价汇总金额不一致的，以单价金额计算结果为准； </w:t>
      </w:r>
    </w:p>
    <w:p w14:paraId="0D6ACA8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响应文件正本与副本不一致的，以正本为准；</w:t>
      </w:r>
    </w:p>
    <w:p w14:paraId="357619B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F</w:t>
      </w:r>
      <w:r>
        <w:rPr>
          <w:rFonts w:hint="eastAsia" w:ascii="宋体" w:hAnsi="宋体" w:cs="宋体"/>
          <w:color w:val="auto"/>
          <w:sz w:val="24"/>
          <w:lang w:eastAsia="zh-CN"/>
        </w:rPr>
        <w:t>.</w:t>
      </w:r>
      <w:r>
        <w:rPr>
          <w:rFonts w:hint="eastAsia" w:ascii="宋体" w:hAnsi="宋体" w:cs="宋体"/>
          <w:color w:val="auto"/>
          <w:sz w:val="24"/>
        </w:rPr>
        <w:t>多处内容交叉不符时，以磋商小组评审结果为准；</w:t>
      </w:r>
    </w:p>
    <w:p w14:paraId="0EC5D60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G</w:t>
      </w:r>
      <w:r>
        <w:rPr>
          <w:rFonts w:hint="eastAsia" w:ascii="宋体" w:hAnsi="宋体" w:cs="宋体"/>
          <w:color w:val="auto"/>
          <w:sz w:val="24"/>
          <w:lang w:eastAsia="zh-CN"/>
        </w:rPr>
        <w:t>.</w:t>
      </w:r>
      <w:r>
        <w:rPr>
          <w:rFonts w:hint="eastAsia" w:ascii="宋体" w:hAnsi="宋体" w:cs="宋体"/>
          <w:color w:val="auto"/>
          <w:sz w:val="24"/>
        </w:rPr>
        <w:t>文字与图表不符的，以文字为准。</w:t>
      </w:r>
    </w:p>
    <w:p w14:paraId="5C7B6B75">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574899D3">
      <w:pPr>
        <w:spacing w:line="360" w:lineRule="auto"/>
        <w:ind w:firstLine="480" w:firstLineChars="200"/>
        <w:rPr>
          <w:rFonts w:ascii="宋体" w:hAnsi="宋体" w:cs="宋体"/>
          <w:color w:val="auto"/>
          <w:sz w:val="24"/>
        </w:rPr>
      </w:pPr>
      <w:r>
        <w:rPr>
          <w:rFonts w:hint="eastAsia" w:ascii="宋体" w:hAnsi="宋体" w:cs="宋体"/>
          <w:color w:val="auto"/>
          <w:sz w:val="24"/>
        </w:rPr>
        <w:t>（5）磋商开始后，直到向成交供应商授予合同为止，凡审查、澄清、评价和比较磋商的有关资料，磋商小组成员均不得向供应商及与磋商无关的其他人透露。</w:t>
      </w:r>
    </w:p>
    <w:p w14:paraId="55ACD02C">
      <w:pPr>
        <w:kinsoku w:val="0"/>
        <w:spacing w:line="360" w:lineRule="auto"/>
        <w:ind w:firstLine="482" w:firstLineChars="200"/>
        <w:rPr>
          <w:rFonts w:ascii="宋体" w:hAnsi="宋体" w:cs="宋体"/>
          <w:b/>
          <w:color w:val="auto"/>
          <w:sz w:val="24"/>
        </w:rPr>
      </w:pPr>
      <w:r>
        <w:rPr>
          <w:rFonts w:hint="eastAsia" w:ascii="宋体" w:hAnsi="宋体" w:cs="宋体"/>
          <w:b/>
          <w:color w:val="auto"/>
          <w:sz w:val="24"/>
          <w:lang w:eastAsia="zh-CN"/>
        </w:rPr>
        <w:t>4.</w:t>
      </w:r>
      <w:r>
        <w:rPr>
          <w:rFonts w:hint="eastAsia" w:ascii="宋体" w:hAnsi="宋体" w:cs="宋体"/>
          <w:b/>
          <w:color w:val="auto"/>
          <w:sz w:val="24"/>
        </w:rPr>
        <w:t>有下列情形之一的，视为供应商串通投标，磋商小组应当认定其响应文件无效：</w:t>
      </w:r>
    </w:p>
    <w:p w14:paraId="6A6F1A6C">
      <w:pPr>
        <w:spacing w:line="360" w:lineRule="auto"/>
        <w:ind w:firstLine="600" w:firstLineChars="250"/>
        <w:rPr>
          <w:rFonts w:ascii="宋体" w:hAnsi="宋体" w:cs="宋体"/>
          <w:color w:val="auto"/>
          <w:kern w:val="0"/>
          <w:sz w:val="22"/>
          <w:szCs w:val="22"/>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不同供应商的响应文件由同一单位或者个人编制；</w:t>
      </w:r>
    </w:p>
    <w:p w14:paraId="7F031A62">
      <w:pPr>
        <w:widowControl/>
        <w:spacing w:line="360" w:lineRule="auto"/>
        <w:ind w:firstLine="600" w:firstLineChars="250"/>
        <w:rPr>
          <w:rFonts w:ascii="宋体" w:hAnsi="宋体" w:cs="宋体"/>
          <w:color w:val="auto"/>
          <w:sz w:val="24"/>
        </w:rPr>
      </w:pPr>
      <w:r>
        <w:rPr>
          <w:rFonts w:hint="eastAsia" w:ascii="宋体" w:hAnsi="宋体" w:cs="宋体"/>
          <w:color w:val="auto"/>
          <w:sz w:val="24"/>
        </w:rPr>
        <w:t>B</w:t>
      </w:r>
      <w:r>
        <w:rPr>
          <w:rFonts w:hint="eastAsia" w:ascii="宋体" w:hAnsi="宋体" w:cs="宋体"/>
          <w:color w:val="auto"/>
          <w:sz w:val="24"/>
          <w:lang w:eastAsia="zh-CN"/>
        </w:rPr>
        <w:t>.</w:t>
      </w:r>
      <w:r>
        <w:rPr>
          <w:rFonts w:hint="eastAsia" w:ascii="宋体" w:hAnsi="宋体" w:cs="宋体"/>
          <w:color w:val="auto"/>
          <w:sz w:val="24"/>
        </w:rPr>
        <w:t xml:space="preserve">不同供应商委托同一单位或者个人办理磋商事宜； </w:t>
      </w:r>
    </w:p>
    <w:p w14:paraId="06C657AC">
      <w:pPr>
        <w:widowControl/>
        <w:spacing w:line="360" w:lineRule="auto"/>
        <w:ind w:firstLine="600" w:firstLineChars="250"/>
        <w:rPr>
          <w:rFonts w:ascii="宋体" w:hAnsi="宋体" w:cs="宋体"/>
          <w:color w:val="auto"/>
          <w:sz w:val="24"/>
        </w:rPr>
      </w:pPr>
      <w:r>
        <w:rPr>
          <w:rFonts w:hint="eastAsia" w:ascii="宋体" w:hAnsi="宋体" w:cs="宋体"/>
          <w:color w:val="auto"/>
          <w:sz w:val="24"/>
        </w:rPr>
        <w:t>C</w:t>
      </w:r>
      <w:r>
        <w:rPr>
          <w:rFonts w:hint="eastAsia" w:ascii="宋体" w:hAnsi="宋体" w:cs="宋体"/>
          <w:color w:val="auto"/>
          <w:sz w:val="24"/>
          <w:lang w:eastAsia="zh-CN"/>
        </w:rPr>
        <w:t>.</w:t>
      </w:r>
      <w:r>
        <w:rPr>
          <w:rFonts w:hint="eastAsia" w:ascii="宋体" w:hAnsi="宋体" w:cs="宋体"/>
          <w:color w:val="auto"/>
          <w:sz w:val="24"/>
        </w:rPr>
        <w:t>不同供应商的响应文件载明的项目管理成员或者联系人员为同一人；</w:t>
      </w:r>
    </w:p>
    <w:p w14:paraId="3074CD2B">
      <w:pPr>
        <w:widowControl/>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不同供应商的响应文件异常一致或者磋商报价呈规律性差异；</w:t>
      </w:r>
    </w:p>
    <w:p w14:paraId="0E7BC71D">
      <w:pPr>
        <w:widowControl/>
        <w:spacing w:line="360" w:lineRule="auto"/>
        <w:ind w:firstLine="480" w:firstLineChars="200"/>
        <w:rPr>
          <w:rFonts w:ascii="宋体" w:hAnsi="宋体" w:cs="宋体"/>
          <w:color w:val="auto"/>
          <w:sz w:val="24"/>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不同供应商的响应文件相互混装；</w:t>
      </w:r>
    </w:p>
    <w:p w14:paraId="35C4231C">
      <w:pPr>
        <w:pStyle w:val="6"/>
        <w:keepNext w:val="0"/>
        <w:keepLines w:val="0"/>
        <w:spacing w:line="360" w:lineRule="auto"/>
        <w:ind w:firstLine="482" w:firstLineChars="200"/>
        <w:rPr>
          <w:rFonts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澄清</w:t>
      </w:r>
    </w:p>
    <w:p w14:paraId="33D9479F">
      <w:pPr>
        <w:widowControl/>
        <w:spacing w:line="360" w:lineRule="auto"/>
        <w:ind w:firstLine="360" w:firstLineChars="150"/>
        <w:rPr>
          <w:rFonts w:ascii="宋体" w:hAnsi="宋体" w:cs="宋体"/>
          <w:color w:val="auto"/>
          <w:sz w:val="24"/>
        </w:rPr>
      </w:pPr>
      <w:r>
        <w:rPr>
          <w:rFonts w:hint="eastAsia" w:ascii="宋体" w:hAnsi="宋体" w:cs="宋体"/>
          <w:color w:val="auto"/>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A277EC">
      <w:pPr>
        <w:widowControl/>
        <w:spacing w:line="360" w:lineRule="auto"/>
        <w:ind w:firstLine="360" w:firstLineChars="150"/>
        <w:rPr>
          <w:rFonts w:ascii="宋体" w:hAnsi="宋体" w:cs="宋体"/>
          <w:color w:val="auto"/>
          <w:sz w:val="24"/>
        </w:rPr>
      </w:pPr>
      <w:r>
        <w:rPr>
          <w:rFonts w:hint="eastAsia" w:ascii="宋体" w:hAnsi="宋体" w:cs="宋体"/>
          <w:color w:val="auto"/>
          <w:sz w:val="24"/>
        </w:rPr>
        <w:t>（2）实质性内容包括但不限于：服务期、付款方式、安全指标、质量指标、主要技术指标等。</w:t>
      </w:r>
    </w:p>
    <w:p w14:paraId="114DBE1A">
      <w:pPr>
        <w:widowControl/>
        <w:spacing w:line="360" w:lineRule="auto"/>
        <w:ind w:firstLine="360" w:firstLineChars="150"/>
        <w:rPr>
          <w:rFonts w:ascii="宋体" w:hAnsi="宋体" w:cs="宋体"/>
          <w:color w:val="auto"/>
          <w:sz w:val="24"/>
        </w:rPr>
      </w:pPr>
      <w:r>
        <w:rPr>
          <w:rFonts w:hint="eastAsia" w:ascii="宋体" w:hAnsi="宋体" w:cs="宋体"/>
          <w:color w:val="auto"/>
          <w:sz w:val="24"/>
        </w:rPr>
        <w:t>（3）磋商小组要求供应商澄清、说明或者更正响应文件应当以书面形式作出，并由其法定代表人或被授权人签字。</w:t>
      </w:r>
    </w:p>
    <w:p w14:paraId="4E291D4B">
      <w:pPr>
        <w:spacing w:line="360" w:lineRule="auto"/>
        <w:ind w:firstLine="360" w:firstLineChars="150"/>
        <w:rPr>
          <w:rFonts w:ascii="宋体" w:hAnsi="宋体" w:cs="宋体"/>
          <w:color w:val="auto"/>
          <w:sz w:val="24"/>
        </w:rPr>
      </w:pPr>
      <w:r>
        <w:rPr>
          <w:rFonts w:hint="eastAsia" w:ascii="宋体" w:hAnsi="宋体" w:cs="宋体"/>
          <w:color w:val="auto"/>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100"/>
    <w:p w14:paraId="193131EB">
      <w:pPr>
        <w:pStyle w:val="6"/>
        <w:keepNext w:val="0"/>
        <w:keepLines w:val="0"/>
        <w:spacing w:line="360" w:lineRule="auto"/>
        <w:ind w:firstLine="482" w:firstLineChars="200"/>
        <w:rPr>
          <w:rFonts w:ascii="宋体" w:hAnsi="宋体" w:cs="宋体"/>
          <w:color w:val="auto"/>
          <w:sz w:val="24"/>
          <w:szCs w:val="24"/>
        </w:rPr>
      </w:pPr>
      <w:bookmarkStart w:id="101" w:name="_Toc12947"/>
      <w:bookmarkStart w:id="102" w:name="_Toc536202314"/>
      <w:r>
        <w:rPr>
          <w:rFonts w:hint="eastAsia" w:ascii="宋体" w:hAnsi="宋体" w:cs="宋体"/>
          <w:color w:val="auto"/>
          <w:sz w:val="24"/>
          <w:szCs w:val="24"/>
          <w:lang w:eastAsia="zh-CN"/>
        </w:rPr>
        <w:t>6.</w:t>
      </w:r>
      <w:r>
        <w:rPr>
          <w:rFonts w:hint="eastAsia" w:ascii="宋体" w:hAnsi="宋体" w:cs="宋体"/>
          <w:color w:val="auto"/>
          <w:sz w:val="24"/>
          <w:szCs w:val="24"/>
        </w:rPr>
        <w:t>评审方法及内容</w:t>
      </w:r>
      <w:r>
        <w:rPr>
          <w:rFonts w:hint="eastAsia" w:ascii="宋体" w:hAnsi="宋体" w:cs="宋体"/>
          <w:color w:val="auto"/>
          <w:sz w:val="24"/>
          <w:szCs w:val="24"/>
        </w:rPr>
        <w:tab/>
      </w:r>
    </w:p>
    <w:p w14:paraId="48452F36">
      <w:pPr>
        <w:spacing w:line="360" w:lineRule="auto"/>
        <w:ind w:firstLine="360" w:firstLineChars="150"/>
        <w:rPr>
          <w:rFonts w:ascii="宋体" w:hAnsi="宋体" w:cs="宋体"/>
          <w:color w:val="auto"/>
          <w:sz w:val="24"/>
        </w:rPr>
      </w:pPr>
      <w:r>
        <w:rPr>
          <w:rFonts w:hint="eastAsia" w:ascii="宋体" w:hAnsi="宋体" w:cs="宋体"/>
          <w:color w:val="auto"/>
          <w:sz w:val="24"/>
        </w:rPr>
        <w:t>（1）按照磋商文件规定的评审方法和标准，对资格性审查和符合性审查合格的响应文件进行商务和技术评审，综合比较和评价。</w:t>
      </w:r>
    </w:p>
    <w:p w14:paraId="4A7EC1A8">
      <w:pPr>
        <w:spacing w:line="360" w:lineRule="auto"/>
        <w:ind w:firstLine="360" w:firstLineChars="150"/>
        <w:rPr>
          <w:rFonts w:ascii="宋体" w:hAnsi="宋体" w:cs="宋体"/>
          <w:color w:val="auto"/>
          <w:sz w:val="24"/>
        </w:rPr>
      </w:pPr>
      <w:r>
        <w:rPr>
          <w:rFonts w:hint="eastAsia" w:ascii="宋体" w:hAnsi="宋体" w:cs="宋体"/>
          <w:color w:val="auto"/>
          <w:sz w:val="24"/>
        </w:rPr>
        <w:t>（2）采用综合评分法：二次报价为最终报价，在满足磋商文件所有实质性要求前提下，提交最终报价。如采购需求没有实质性变化，各供应商的报价应逐次降低，二次报价高于一次报价的，为无效报价，按无效文件处理。</w:t>
      </w:r>
    </w:p>
    <w:p w14:paraId="1BC0205F">
      <w:pPr>
        <w:spacing w:line="360" w:lineRule="auto"/>
        <w:ind w:firstLine="360" w:firstLineChars="150"/>
        <w:rPr>
          <w:rFonts w:ascii="宋体" w:hAnsi="宋体" w:cs="宋体"/>
          <w:color w:val="auto"/>
          <w:sz w:val="24"/>
          <w:lang w:val="zh-CN"/>
        </w:rPr>
      </w:pPr>
      <w:r>
        <w:rPr>
          <w:rFonts w:hint="eastAsia" w:ascii="宋体" w:hAnsi="宋体" w:cs="宋体"/>
          <w:color w:val="auto"/>
          <w:sz w:val="24"/>
        </w:rPr>
        <w:t xml:space="preserve"> （3）</w:t>
      </w:r>
      <w:r>
        <w:rPr>
          <w:rFonts w:hint="eastAsia" w:ascii="宋体" w:hAnsi="宋体" w:cs="宋体"/>
          <w:color w:val="auto"/>
          <w:sz w:val="24"/>
          <w:lang w:val="zh-CN"/>
        </w:rPr>
        <w:t>磋商小组应当根据综合评分情况，按照评审得分由高到低顺序推荐3名成交候选供应商，并编写评审报告。评审得分相同的，按照最后报价由低到高的顺序推荐。评审得分且最后报价相同的，按照服务方案优劣顺序推荐，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文件处理。</w:t>
      </w:r>
    </w:p>
    <w:p w14:paraId="3822FC4A">
      <w:pPr>
        <w:spacing w:line="360" w:lineRule="auto"/>
        <w:ind w:firstLine="360" w:firstLineChars="15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3F9B2EC">
      <w:pPr>
        <w:pStyle w:val="6"/>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定标</w:t>
      </w:r>
      <w:bookmarkEnd w:id="101"/>
      <w:bookmarkEnd w:id="102"/>
    </w:p>
    <w:p w14:paraId="75ECD98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7.1代理机构在评审结束后2个工作日内将评审报告送达采购单位，采购单位在收到评审报告后5个工作日内，按照评审报告中推荐的成交候选人顺序确认第一成交候选人为成交单位，同时书面复函代理机构；</w:t>
      </w:r>
    </w:p>
    <w:p w14:paraId="5BF0EFB9">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7.2代理机构收到采购单位“定标复函”后2日内，在财政部门指定的政府采购信息媒体上发布公告，并向成交供应商发出“成交通知书”。</w:t>
      </w:r>
    </w:p>
    <w:p w14:paraId="37FF54E9">
      <w:pPr>
        <w:widowControl/>
        <w:numPr>
          <w:ilvl w:val="0"/>
          <w:numId w:val="2"/>
        </w:numPr>
        <w:spacing w:line="360" w:lineRule="auto"/>
        <w:ind w:firstLine="562" w:firstLineChars="200"/>
        <w:jc w:val="center"/>
        <w:outlineLvl w:val="1"/>
        <w:rPr>
          <w:rFonts w:ascii="宋体" w:hAnsi="宋体" w:cs="宋体"/>
          <w:b/>
          <w:bCs/>
          <w:color w:val="auto"/>
          <w:kern w:val="0"/>
          <w:sz w:val="28"/>
          <w:szCs w:val="28"/>
        </w:rPr>
      </w:pPr>
      <w:bookmarkStart w:id="103" w:name="_Toc536202384"/>
      <w:bookmarkStart w:id="104" w:name="_Toc536202315"/>
      <w:bookmarkStart w:id="105" w:name="_Toc19543341"/>
      <w:bookmarkStart w:id="106" w:name="_Toc536429324"/>
      <w:bookmarkStart w:id="107" w:name="_Toc25308"/>
      <w:bookmarkStart w:id="108" w:name="_Toc11870"/>
      <w:bookmarkStart w:id="109" w:name="_Toc19972"/>
      <w:bookmarkStart w:id="110" w:name="_Toc536429377"/>
      <w:r>
        <w:rPr>
          <w:rFonts w:hint="eastAsia" w:ascii="宋体" w:hAnsi="宋体" w:cs="宋体"/>
          <w:b/>
          <w:bCs/>
          <w:color w:val="auto"/>
          <w:kern w:val="0"/>
          <w:sz w:val="28"/>
          <w:szCs w:val="28"/>
        </w:rPr>
        <w:t>签订合同</w:t>
      </w:r>
      <w:bookmarkEnd w:id="103"/>
      <w:bookmarkEnd w:id="104"/>
      <w:bookmarkEnd w:id="105"/>
      <w:bookmarkEnd w:id="106"/>
      <w:bookmarkEnd w:id="107"/>
      <w:bookmarkEnd w:id="108"/>
      <w:bookmarkEnd w:id="109"/>
      <w:bookmarkEnd w:id="110"/>
    </w:p>
    <w:p w14:paraId="5198C592">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1.</w:t>
      </w:r>
      <w:r>
        <w:rPr>
          <w:rFonts w:hint="eastAsia" w:ascii="宋体" w:hAnsi="宋体" w:cs="宋体"/>
          <w:color w:val="auto"/>
          <w:sz w:val="24"/>
        </w:rPr>
        <w:t>成交后，成交供应商在收到成交通知书后</w:t>
      </w:r>
      <w:r>
        <w:rPr>
          <w:rFonts w:hint="eastAsia" w:ascii="宋体" w:hAnsi="宋体" w:cs="宋体"/>
          <w:color w:val="auto"/>
          <w:sz w:val="24"/>
          <w:lang w:val="en-US" w:eastAsia="zh-CN"/>
        </w:rPr>
        <w:t>二十五</w:t>
      </w:r>
      <w:r>
        <w:rPr>
          <w:rFonts w:hint="eastAsia" w:ascii="宋体" w:hAnsi="宋体" w:cs="宋体"/>
          <w:color w:val="auto"/>
          <w:sz w:val="24"/>
        </w:rPr>
        <w:t>（</w:t>
      </w:r>
      <w:r>
        <w:rPr>
          <w:rFonts w:hint="eastAsia" w:ascii="宋体" w:hAnsi="宋体" w:cs="宋体"/>
          <w:color w:val="auto"/>
          <w:sz w:val="24"/>
          <w:lang w:val="en-US" w:eastAsia="zh-CN"/>
        </w:rPr>
        <w:t>25</w:t>
      </w:r>
      <w:r>
        <w:rPr>
          <w:rFonts w:hint="eastAsia" w:ascii="宋体" w:hAnsi="宋体" w:cs="宋体"/>
          <w:color w:val="auto"/>
          <w:sz w:val="24"/>
        </w:rPr>
        <w:t>）个日历日内，应按磋商文件的要求与采购人洽谈合同条款，并签订供货合同，同时送监督机构备案，磋商文件及成交供应商的响应文件均作为合同的组成部分；</w:t>
      </w:r>
    </w:p>
    <w:p w14:paraId="02D9D9D7">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采购人不得向成交供应商提出超出磋商文件以外的任何要求作为签订合同的条件，不得与成交供应商订立背离磋商文件确定的合同文本以及采购服务要求实质性内容的协议。</w:t>
      </w:r>
    </w:p>
    <w:p w14:paraId="4081BEE6">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3.</w:t>
      </w:r>
      <w:r>
        <w:rPr>
          <w:rFonts w:hint="eastAsia" w:ascii="宋体" w:hAnsi="宋体" w:cs="宋体"/>
          <w:color w:val="auto"/>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23D45998">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政府采购合同在执行过程中，确需修改、变更时，应当按照相应的审核批准程序办理。</w:t>
      </w:r>
    </w:p>
    <w:p w14:paraId="10CA07B3">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5.</w:t>
      </w:r>
      <w:r>
        <w:rPr>
          <w:rFonts w:hint="eastAsia" w:ascii="宋体" w:hAnsi="宋体" w:cs="宋体"/>
          <w:color w:val="auto"/>
          <w:sz w:val="24"/>
        </w:rPr>
        <w:t>磋商文件、响应文件、澄清等为政府采购合同的组成部分，具有同等法律效力。</w:t>
      </w:r>
    </w:p>
    <w:p w14:paraId="7FBE94B9">
      <w:pPr>
        <w:spacing w:line="360" w:lineRule="auto"/>
        <w:ind w:firstLine="480" w:firstLineChars="200"/>
        <w:rPr>
          <w:rFonts w:ascii="宋体" w:hAnsi="宋体" w:cs="宋体"/>
          <w:color w:val="auto"/>
          <w:sz w:val="24"/>
        </w:rPr>
      </w:pPr>
      <w:bookmarkStart w:id="111" w:name="_Toc26132"/>
      <w:bookmarkStart w:id="112" w:name="_Toc536202316"/>
      <w:bookmarkStart w:id="113" w:name="_Toc28110"/>
      <w:bookmarkStart w:id="114" w:name="_Toc536429325"/>
      <w:bookmarkStart w:id="115" w:name="_Toc536202385"/>
      <w:bookmarkStart w:id="116" w:name="_Toc536429378"/>
      <w:bookmarkStart w:id="117" w:name="_Toc32237"/>
      <w:r>
        <w:rPr>
          <w:rFonts w:hint="eastAsia" w:ascii="宋体" w:hAnsi="宋体" w:cs="宋体"/>
          <w:color w:val="auto"/>
          <w:sz w:val="24"/>
          <w:lang w:eastAsia="zh-CN"/>
        </w:rPr>
        <w:t>6.</w:t>
      </w:r>
      <w:r>
        <w:rPr>
          <w:rFonts w:hint="eastAsia" w:ascii="宋体" w:hAnsi="宋体" w:cs="宋体"/>
          <w:color w:val="auto"/>
          <w:sz w:val="24"/>
        </w:rPr>
        <w:t>政府采购管理部门在合同履行期间以及履行期后，可以随时检查项目的执行情况，对采购标准、采购内容进行调查核实，并对发现的问题进行处理。</w:t>
      </w:r>
    </w:p>
    <w:p w14:paraId="5F12FC05">
      <w:pPr>
        <w:widowControl/>
        <w:numPr>
          <w:ilvl w:val="0"/>
          <w:numId w:val="2"/>
        </w:numPr>
        <w:spacing w:line="360" w:lineRule="auto"/>
        <w:ind w:firstLine="562" w:firstLineChars="200"/>
        <w:jc w:val="center"/>
        <w:outlineLvl w:val="1"/>
        <w:rPr>
          <w:rFonts w:ascii="宋体" w:hAnsi="宋体" w:cs="宋体"/>
          <w:b/>
          <w:bCs/>
          <w:color w:val="auto"/>
          <w:kern w:val="0"/>
          <w:sz w:val="28"/>
          <w:szCs w:val="28"/>
        </w:rPr>
      </w:pPr>
      <w:bookmarkStart w:id="118" w:name="_Toc19543342"/>
      <w:r>
        <w:rPr>
          <w:rFonts w:hint="eastAsia" w:ascii="宋体" w:hAnsi="宋体" w:cs="宋体"/>
          <w:b/>
          <w:bCs/>
          <w:color w:val="auto"/>
          <w:kern w:val="0"/>
          <w:sz w:val="28"/>
          <w:szCs w:val="28"/>
        </w:rPr>
        <w:t>代理服务费</w:t>
      </w:r>
      <w:bookmarkEnd w:id="111"/>
      <w:bookmarkEnd w:id="112"/>
      <w:bookmarkEnd w:id="113"/>
      <w:bookmarkEnd w:id="114"/>
      <w:bookmarkEnd w:id="115"/>
      <w:bookmarkEnd w:id="116"/>
      <w:bookmarkEnd w:id="117"/>
      <w:bookmarkEnd w:id="118"/>
    </w:p>
    <w:p w14:paraId="1EAB3257">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参照国家计委颁发的《招标代理服务收费管理暂行办法》（计价格[2002]1980号）和国家发展</w:t>
      </w:r>
      <w:r>
        <w:rPr>
          <w:rFonts w:hint="eastAsia" w:ascii="宋体" w:hAnsi="宋体" w:cs="宋体"/>
          <w:color w:val="auto"/>
          <w:sz w:val="24"/>
          <w:szCs w:val="28"/>
          <w:lang w:val="en-US" w:eastAsia="zh-CN"/>
        </w:rPr>
        <w:t>和</w:t>
      </w:r>
      <w:r>
        <w:rPr>
          <w:rFonts w:hint="eastAsia" w:ascii="宋体" w:hAnsi="宋体" w:cs="宋体"/>
          <w:color w:val="auto"/>
          <w:sz w:val="24"/>
          <w:szCs w:val="28"/>
        </w:rPr>
        <w:t xml:space="preserve">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auto"/>
          <w:sz w:val="24"/>
          <w:szCs w:val="28"/>
          <w:lang w:eastAsia="zh-CN"/>
        </w:rPr>
        <w:t>账号</w:t>
      </w:r>
      <w:r>
        <w:rPr>
          <w:rFonts w:hint="eastAsia" w:ascii="宋体" w:hAnsi="宋体" w:cs="宋体"/>
          <w:color w:val="auto"/>
          <w:sz w:val="24"/>
          <w:szCs w:val="28"/>
        </w:rPr>
        <w:t>：61050166371100000492）</w:t>
      </w:r>
    </w:p>
    <w:p w14:paraId="4F050B0D">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2.本次项目代理服务费由中标人支付，</w:t>
      </w:r>
      <w:r>
        <w:rPr>
          <w:rFonts w:hint="eastAsia" w:ascii="宋体" w:hAnsi="宋体" w:cs="宋体"/>
          <w:color w:val="auto"/>
          <w:sz w:val="24"/>
          <w:szCs w:val="28"/>
        </w:rPr>
        <w:t>代理服务费以转账、电汇或现金等形式交纳。</w:t>
      </w:r>
    </w:p>
    <w:p w14:paraId="369ED418">
      <w:pPr>
        <w:widowControl/>
        <w:numPr>
          <w:ilvl w:val="0"/>
          <w:numId w:val="2"/>
        </w:numPr>
        <w:spacing w:line="360" w:lineRule="auto"/>
        <w:ind w:firstLine="0"/>
        <w:jc w:val="center"/>
        <w:outlineLvl w:val="1"/>
        <w:rPr>
          <w:rFonts w:ascii="宋体" w:hAnsi="宋体" w:cs="宋体"/>
          <w:b/>
          <w:bCs/>
          <w:color w:val="auto"/>
          <w:kern w:val="0"/>
          <w:sz w:val="28"/>
          <w:szCs w:val="28"/>
        </w:rPr>
      </w:pPr>
      <w:bookmarkStart w:id="119" w:name="_Toc536429326"/>
      <w:bookmarkStart w:id="120" w:name="_Toc664"/>
      <w:bookmarkStart w:id="121" w:name="_Toc11491"/>
      <w:bookmarkStart w:id="122" w:name="_Toc536202317"/>
      <w:bookmarkStart w:id="123" w:name="_Toc536202386"/>
      <w:bookmarkStart w:id="124" w:name="_Toc19543343"/>
      <w:bookmarkStart w:id="125" w:name="_Toc536429379"/>
      <w:r>
        <w:rPr>
          <w:rFonts w:hint="eastAsia" w:ascii="宋体" w:hAnsi="宋体" w:cs="宋体"/>
          <w:b/>
          <w:bCs/>
          <w:color w:val="auto"/>
          <w:kern w:val="0"/>
          <w:sz w:val="28"/>
          <w:szCs w:val="28"/>
        </w:rPr>
        <w:t>质疑和投诉</w:t>
      </w:r>
      <w:bookmarkEnd w:id="119"/>
      <w:bookmarkEnd w:id="120"/>
      <w:bookmarkEnd w:id="121"/>
      <w:bookmarkEnd w:id="122"/>
      <w:bookmarkEnd w:id="123"/>
      <w:bookmarkEnd w:id="124"/>
      <w:bookmarkEnd w:id="125"/>
    </w:p>
    <w:p w14:paraId="1776918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质疑或投诉的接收和处理应当按照《中华人民共和国政府采购法》及其实施条例、《政府采购质疑和投诉办法</w:t>
      </w:r>
      <w:r>
        <w:rPr>
          <w:rFonts w:hint="eastAsia" w:ascii="宋体" w:hAnsi="宋体" w:cs="宋体"/>
          <w:color w:val="auto"/>
          <w:sz w:val="24"/>
          <w:szCs w:val="28"/>
          <w:lang w:eastAsia="zh-CN"/>
        </w:rPr>
        <w:t>》《</w:t>
      </w:r>
      <w:r>
        <w:rPr>
          <w:rFonts w:hint="eastAsia" w:ascii="宋体" w:hAnsi="宋体" w:cs="宋体"/>
          <w:color w:val="auto"/>
          <w:sz w:val="24"/>
          <w:szCs w:val="28"/>
        </w:rPr>
        <w:t>财政部关于加强政府采购供应商投诉受理审查工作的通知》等的相关规定办理。</w:t>
      </w:r>
    </w:p>
    <w:p w14:paraId="2FFA632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1.</w:t>
      </w:r>
      <w:r>
        <w:rPr>
          <w:rFonts w:hint="eastAsia" w:ascii="宋体" w:hAnsi="宋体" w:cs="宋体"/>
          <w:color w:val="auto"/>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5D2E8E58">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（1）对采购文件提出质疑的，为收到采购文件之日或者采购文件公告期限届满之日；</w:t>
      </w:r>
    </w:p>
    <w:p w14:paraId="485816BA">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（2）对采购过程提出质疑的，为各采购程序环节结束之日；</w:t>
      </w:r>
    </w:p>
    <w:p w14:paraId="056884B7">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（3）对中标或者成交结果提出质疑的，为中标或者成交结果公告期限届满之日。</w:t>
      </w:r>
    </w:p>
    <w:p w14:paraId="011FBD0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供应商应当在法定质疑期内一次性提出针对同一采购程序环节的质疑。</w:t>
      </w:r>
    </w:p>
    <w:p w14:paraId="101E9E3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3.</w:t>
      </w:r>
      <w:r>
        <w:rPr>
          <w:rFonts w:hint="eastAsia" w:ascii="宋体" w:hAnsi="宋体" w:cs="宋体"/>
          <w:color w:val="auto"/>
          <w:sz w:val="24"/>
          <w:szCs w:val="28"/>
        </w:rPr>
        <w:t>质疑函应当包括下列主要内容：</w:t>
      </w:r>
    </w:p>
    <w:p w14:paraId="608C6C66">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（1）供应商的姓名或者名称、地址、邮编、联系人及联系电话；</w:t>
      </w:r>
    </w:p>
    <w:p w14:paraId="00455932">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（2）质疑项目的名称、编号；</w:t>
      </w:r>
    </w:p>
    <w:p w14:paraId="64F68BF5">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（3）具体、明确的质疑事项和与质疑事项相关的请求；</w:t>
      </w:r>
    </w:p>
    <w:p w14:paraId="34B9742A">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（4）事实依据；</w:t>
      </w:r>
    </w:p>
    <w:p w14:paraId="45A21C54">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（5）必要的法律依据；</w:t>
      </w:r>
    </w:p>
    <w:p w14:paraId="51A5F149">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（6）提出质疑的日期。</w:t>
      </w:r>
    </w:p>
    <w:p w14:paraId="43B6495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4.</w:t>
      </w:r>
      <w:r>
        <w:rPr>
          <w:rFonts w:hint="eastAsia" w:ascii="宋体" w:hAnsi="宋体" w:cs="宋体"/>
          <w:color w:val="auto"/>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83BF9D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5.</w:t>
      </w:r>
      <w:r>
        <w:rPr>
          <w:rFonts w:hint="eastAsia" w:ascii="宋体" w:hAnsi="宋体" w:cs="宋体"/>
          <w:color w:val="auto"/>
          <w:sz w:val="24"/>
          <w:szCs w:val="28"/>
        </w:rPr>
        <w:t>质疑函内容不得含有虚假、恶意</w:t>
      </w:r>
      <w:r>
        <w:rPr>
          <w:rFonts w:hint="eastAsia" w:ascii="宋体" w:hAnsi="宋体" w:cs="宋体"/>
          <w:color w:val="auto"/>
          <w:sz w:val="24"/>
          <w:szCs w:val="28"/>
          <w:lang w:eastAsia="zh-CN"/>
        </w:rPr>
        <w:t>成分</w:t>
      </w:r>
      <w:r>
        <w:rPr>
          <w:rFonts w:hint="eastAsia" w:ascii="宋体" w:hAnsi="宋体" w:cs="宋体"/>
          <w:color w:val="auto"/>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5022721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6.</w:t>
      </w:r>
      <w:r>
        <w:rPr>
          <w:rFonts w:hint="eastAsia" w:ascii="宋体" w:hAnsi="宋体" w:cs="宋体"/>
          <w:color w:val="auto"/>
          <w:sz w:val="24"/>
          <w:szCs w:val="28"/>
        </w:rPr>
        <w:t xml:space="preserve">质疑函接收方式：由自然人本人或法定代表人或者其授权代表携带书面原件及身份证明原件到现场递交，否则不予受理 。 </w:t>
      </w:r>
    </w:p>
    <w:p w14:paraId="200C36C3">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质疑受理部门：安康尚昊招标代理有限公司</w:t>
      </w:r>
    </w:p>
    <w:p w14:paraId="7D256DA6">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   质疑受理电话：13991519725</w:t>
      </w:r>
    </w:p>
    <w:p w14:paraId="186B6F4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8.</w:t>
      </w:r>
      <w:r>
        <w:rPr>
          <w:rFonts w:hint="eastAsia" w:ascii="宋体" w:hAnsi="宋体" w:cs="宋体"/>
          <w:color w:val="auto"/>
          <w:sz w:val="24"/>
          <w:szCs w:val="28"/>
        </w:rPr>
        <w:t>提交质疑函地点：安康市高新区高新观澜8幢2单元801室</w:t>
      </w:r>
    </w:p>
    <w:p w14:paraId="4750A62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9.</w:t>
      </w:r>
      <w:r>
        <w:rPr>
          <w:rFonts w:hint="eastAsia" w:ascii="宋体" w:hAnsi="宋体" w:cs="宋体"/>
          <w:color w:val="auto"/>
          <w:sz w:val="24"/>
          <w:szCs w:val="28"/>
        </w:rPr>
        <w:t>本次采购活动中，采购代理机构对质疑函回复的书面文件的送达方式为现场取件。</w:t>
      </w:r>
    </w:p>
    <w:p w14:paraId="170C3A7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如所质疑的问题比较复杂，采购人或者采购代理机构在规定的答复时间内无法回复，应事先告知提出质疑的供应商，同时向同级政府采购监督管理部门报告。</w:t>
      </w:r>
    </w:p>
    <w:p w14:paraId="336F0A1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10</w:t>
      </w:r>
      <w:r>
        <w:rPr>
          <w:rFonts w:hint="eastAsia" w:ascii="宋体" w:hAnsi="宋体" w:cs="宋体"/>
          <w:color w:val="auto"/>
          <w:sz w:val="24"/>
          <w:szCs w:val="28"/>
          <w:lang w:val="en-US" w:eastAsia="zh-CN"/>
        </w:rPr>
        <w:t>.</w:t>
      </w:r>
      <w:r>
        <w:rPr>
          <w:rFonts w:hint="eastAsia" w:ascii="宋体" w:hAnsi="宋体" w:cs="宋体"/>
          <w:color w:val="auto"/>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68921723">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1</w:t>
      </w:r>
      <w:r>
        <w:rPr>
          <w:rFonts w:hint="eastAsia" w:ascii="宋体" w:hAnsi="宋体" w:cs="宋体"/>
          <w:color w:val="auto"/>
          <w:sz w:val="24"/>
          <w:szCs w:val="28"/>
          <w:lang w:eastAsia="zh-CN"/>
        </w:rPr>
        <w:t>1.</w:t>
      </w:r>
      <w:r>
        <w:rPr>
          <w:rFonts w:hint="eastAsia" w:ascii="宋体" w:hAnsi="宋体" w:cs="宋体"/>
          <w:color w:val="auto"/>
          <w:sz w:val="24"/>
          <w:szCs w:val="28"/>
        </w:rPr>
        <w:t>质疑函应当使用中文。</w:t>
      </w:r>
    </w:p>
    <w:p w14:paraId="5C19285E">
      <w:pPr>
        <w:widowControl/>
        <w:numPr>
          <w:ilvl w:val="0"/>
          <w:numId w:val="2"/>
        </w:numPr>
        <w:spacing w:line="360" w:lineRule="auto"/>
        <w:ind w:firstLine="0"/>
        <w:jc w:val="center"/>
        <w:outlineLvl w:val="1"/>
        <w:rPr>
          <w:rFonts w:ascii="宋体" w:hAnsi="宋体" w:cs="宋体"/>
          <w:b/>
          <w:bCs/>
          <w:color w:val="auto"/>
          <w:kern w:val="0"/>
          <w:sz w:val="24"/>
          <w:szCs w:val="28"/>
        </w:rPr>
      </w:pPr>
      <w:bookmarkStart w:id="126" w:name="_Toc536202387"/>
      <w:bookmarkStart w:id="127" w:name="_Toc19543344"/>
      <w:bookmarkStart w:id="128" w:name="_Toc536429380"/>
      <w:bookmarkStart w:id="129" w:name="_Toc536429327"/>
      <w:bookmarkStart w:id="130" w:name="_Toc536202318"/>
      <w:r>
        <w:rPr>
          <w:rFonts w:hint="eastAsia" w:ascii="宋体" w:hAnsi="宋体" w:cs="宋体"/>
          <w:b/>
          <w:bCs/>
          <w:color w:val="auto"/>
          <w:kern w:val="0"/>
          <w:sz w:val="24"/>
          <w:szCs w:val="28"/>
        </w:rPr>
        <w:t>其他</w:t>
      </w:r>
      <w:bookmarkEnd w:id="126"/>
      <w:bookmarkEnd w:id="127"/>
      <w:bookmarkEnd w:id="128"/>
      <w:bookmarkEnd w:id="129"/>
      <w:bookmarkEnd w:id="130"/>
    </w:p>
    <w:p w14:paraId="3412B8F1">
      <w:pPr>
        <w:spacing w:line="360" w:lineRule="auto"/>
        <w:ind w:firstLine="480" w:firstLineChars="200"/>
        <w:jc w:val="left"/>
        <w:rPr>
          <w:rFonts w:ascii="宋体" w:hAnsi="宋体" w:cs="宋体"/>
          <w:color w:val="auto"/>
          <w:sz w:val="24"/>
          <w:szCs w:val="28"/>
        </w:rPr>
      </w:pPr>
      <w:bookmarkStart w:id="131" w:name="_Toc3298"/>
      <w:r>
        <w:rPr>
          <w:rFonts w:hint="eastAsia" w:ascii="宋体" w:hAnsi="宋体" w:cs="宋体"/>
          <w:color w:val="auto"/>
          <w:sz w:val="24"/>
          <w:szCs w:val="28"/>
          <w:lang w:eastAsia="zh-CN"/>
        </w:rPr>
        <w:t>1.</w:t>
      </w:r>
      <w:r>
        <w:rPr>
          <w:rFonts w:hint="eastAsia" w:ascii="宋体" w:hAnsi="宋体" w:cs="宋体"/>
          <w:color w:val="auto"/>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6A7BE3E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（1）因情况变化，不再符合规定的竞争性磋商采购方式适用情形的；</w:t>
      </w:r>
    </w:p>
    <w:p w14:paraId="3564ABE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（2）出现影响采购公正的违法、违规行为的；</w:t>
      </w:r>
    </w:p>
    <w:p w14:paraId="4A4CA46D">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0781C1C4">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（4）因重大变故，采购任务取消的。</w:t>
      </w:r>
    </w:p>
    <w:p w14:paraId="4824564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磋商失败后，除采购任务取消外，将重新组织采购</w:t>
      </w:r>
      <w:bookmarkEnd w:id="131"/>
      <w:bookmarkStart w:id="132" w:name="_Toc536202319"/>
      <w:bookmarkStart w:id="133" w:name="_Toc536202388"/>
      <w:bookmarkStart w:id="134" w:name="_Toc536429328"/>
      <w:bookmarkStart w:id="135" w:name="_Toc536429381"/>
      <w:bookmarkStart w:id="136" w:name="_Toc25345"/>
      <w:r>
        <w:rPr>
          <w:rFonts w:hint="eastAsia" w:ascii="宋体" w:hAnsi="宋体" w:cs="宋体"/>
          <w:color w:val="auto"/>
          <w:sz w:val="24"/>
          <w:szCs w:val="28"/>
        </w:rPr>
        <w:t>。</w:t>
      </w:r>
      <w:bookmarkEnd w:id="132"/>
      <w:bookmarkEnd w:id="133"/>
      <w:bookmarkEnd w:id="134"/>
      <w:bookmarkEnd w:id="135"/>
      <w:bookmarkEnd w:id="136"/>
    </w:p>
    <w:p w14:paraId="38629AB4">
      <w:pPr>
        <w:widowControl/>
        <w:spacing w:line="360" w:lineRule="auto"/>
        <w:jc w:val="left"/>
        <w:rPr>
          <w:rFonts w:ascii="宋体" w:hAnsi="宋体" w:cs="宋体"/>
          <w:b/>
          <w:bCs/>
          <w:caps/>
          <w:color w:val="auto"/>
          <w:sz w:val="36"/>
          <w:szCs w:val="20"/>
        </w:rPr>
      </w:pPr>
      <w:bookmarkStart w:id="137" w:name="_Toc19543345"/>
      <w:r>
        <w:rPr>
          <w:rFonts w:hint="eastAsia" w:ascii="宋体" w:hAnsi="宋体" w:cs="宋体"/>
          <w:color w:val="auto"/>
          <w:sz w:val="36"/>
        </w:rPr>
        <w:br w:type="page"/>
      </w:r>
    </w:p>
    <w:p w14:paraId="4B15D25D">
      <w:pPr>
        <w:pStyle w:val="25"/>
        <w:numPr>
          <w:ilvl w:val="0"/>
          <w:numId w:val="6"/>
        </w:numPr>
        <w:spacing w:before="0" w:after="0" w:line="420" w:lineRule="exact"/>
        <w:jc w:val="center"/>
        <w:outlineLvl w:val="0"/>
        <w:rPr>
          <w:color w:val="auto"/>
          <w:sz w:val="36"/>
        </w:rPr>
      </w:pPr>
      <w:r>
        <w:rPr>
          <w:rFonts w:hint="eastAsia"/>
          <w:color w:val="auto"/>
          <w:sz w:val="36"/>
        </w:rPr>
        <w:t xml:space="preserve"> </w:t>
      </w:r>
      <w:bookmarkStart w:id="138" w:name="_Toc18523"/>
      <w:r>
        <w:rPr>
          <w:rFonts w:hint="eastAsia"/>
          <w:color w:val="auto"/>
          <w:sz w:val="36"/>
        </w:rPr>
        <w:t>评分</w:t>
      </w:r>
      <w:r>
        <w:rPr>
          <w:color w:val="auto"/>
          <w:sz w:val="36"/>
        </w:rPr>
        <w:t>标准</w:t>
      </w:r>
      <w:bookmarkEnd w:id="137"/>
      <w:bookmarkEnd w:id="138"/>
      <w:bookmarkStart w:id="139" w:name="_Toc262"/>
    </w:p>
    <w:tbl>
      <w:tblPr>
        <w:tblStyle w:val="35"/>
        <w:tblW w:w="9635" w:type="dxa"/>
        <w:jc w:val="center"/>
        <w:tblLayout w:type="fixed"/>
        <w:tblCellMar>
          <w:top w:w="0" w:type="dxa"/>
          <w:left w:w="108" w:type="dxa"/>
          <w:bottom w:w="0" w:type="dxa"/>
          <w:right w:w="108" w:type="dxa"/>
        </w:tblCellMar>
      </w:tblPr>
      <w:tblGrid>
        <w:gridCol w:w="503"/>
        <w:gridCol w:w="1179"/>
        <w:gridCol w:w="7953"/>
      </w:tblGrid>
      <w:tr w14:paraId="09EC9E55">
        <w:tblPrEx>
          <w:tblCellMar>
            <w:top w:w="0" w:type="dxa"/>
            <w:left w:w="108" w:type="dxa"/>
            <w:bottom w:w="0" w:type="dxa"/>
            <w:right w:w="108" w:type="dxa"/>
          </w:tblCellMar>
        </w:tblPrEx>
        <w:trPr>
          <w:trHeight w:val="764" w:hRule="atLeast"/>
          <w:jc w:val="center"/>
        </w:trPr>
        <w:tc>
          <w:tcPr>
            <w:tcW w:w="503" w:type="dxa"/>
            <w:tcBorders>
              <w:top w:val="single" w:color="auto" w:sz="4" w:space="0"/>
              <w:left w:val="single" w:color="auto" w:sz="4" w:space="0"/>
              <w:bottom w:val="single" w:color="000000" w:sz="6" w:space="0"/>
              <w:right w:val="single" w:color="000000" w:sz="6" w:space="0"/>
            </w:tcBorders>
            <w:vAlign w:val="center"/>
          </w:tcPr>
          <w:p w14:paraId="7B1DF122">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179" w:type="dxa"/>
            <w:tcBorders>
              <w:top w:val="single" w:color="auto" w:sz="4" w:space="0"/>
              <w:left w:val="single" w:color="000000" w:sz="6" w:space="0"/>
              <w:bottom w:val="single" w:color="000000" w:sz="6" w:space="0"/>
              <w:right w:val="single" w:color="auto" w:sz="4" w:space="0"/>
            </w:tcBorders>
            <w:vAlign w:val="center"/>
          </w:tcPr>
          <w:p w14:paraId="6910340C">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评审因素</w:t>
            </w:r>
          </w:p>
          <w:p w14:paraId="7623FD4D">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及</w:t>
            </w:r>
            <w:r>
              <w:rPr>
                <w:rFonts w:hint="eastAsia" w:ascii="宋体" w:hAnsi="宋体" w:eastAsia="宋体" w:cs="宋体"/>
                <w:b w:val="0"/>
                <w:bCs/>
                <w:color w:val="auto"/>
                <w:kern w:val="0"/>
                <w:sz w:val="24"/>
                <w:szCs w:val="24"/>
              </w:rPr>
              <w:t>权值</w:t>
            </w:r>
          </w:p>
        </w:tc>
        <w:tc>
          <w:tcPr>
            <w:tcW w:w="7953" w:type="dxa"/>
            <w:tcBorders>
              <w:top w:val="single" w:color="auto" w:sz="4" w:space="0"/>
              <w:left w:val="single" w:color="000000" w:sz="6" w:space="0"/>
              <w:bottom w:val="single" w:color="000000" w:sz="6" w:space="0"/>
              <w:right w:val="single" w:color="auto" w:sz="4" w:space="0"/>
            </w:tcBorders>
            <w:vAlign w:val="center"/>
          </w:tcPr>
          <w:p w14:paraId="1E8CE894">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评审标准</w:t>
            </w:r>
          </w:p>
        </w:tc>
      </w:tr>
      <w:tr w14:paraId="2918B610">
        <w:tblPrEx>
          <w:tblCellMar>
            <w:top w:w="0" w:type="dxa"/>
            <w:left w:w="108" w:type="dxa"/>
            <w:bottom w:w="0" w:type="dxa"/>
            <w:right w:w="108" w:type="dxa"/>
          </w:tblCellMar>
        </w:tblPrEx>
        <w:trPr>
          <w:trHeight w:val="107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6173947B">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w:t>
            </w:r>
          </w:p>
        </w:tc>
        <w:tc>
          <w:tcPr>
            <w:tcW w:w="1179" w:type="dxa"/>
            <w:tcBorders>
              <w:top w:val="single" w:color="000000" w:sz="6" w:space="0"/>
              <w:left w:val="single" w:color="000000" w:sz="6" w:space="0"/>
              <w:bottom w:val="single" w:color="000000" w:sz="6" w:space="0"/>
              <w:right w:val="single" w:color="auto" w:sz="4" w:space="0"/>
            </w:tcBorders>
            <w:vAlign w:val="center"/>
          </w:tcPr>
          <w:p w14:paraId="648B5ED7">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投标报价</w:t>
            </w:r>
          </w:p>
          <w:p w14:paraId="4E1DACA1">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000000" w:sz="6" w:space="0"/>
              <w:bottom w:val="single" w:color="000000" w:sz="6" w:space="0"/>
              <w:right w:val="single" w:color="auto" w:sz="4" w:space="0"/>
            </w:tcBorders>
            <w:vAlign w:val="center"/>
          </w:tcPr>
          <w:p w14:paraId="7040B400">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满足磋商文件要求且最后报价最低的供应商的价格为基准价得</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分，其他各供应商的最后报价得分按下列公式计：（基准价/投标报价）×</w:t>
            </w:r>
            <w:r>
              <w:rPr>
                <w:rFonts w:hint="eastAsia" w:ascii="宋体" w:hAnsi="宋体" w:cs="宋体"/>
                <w:b w:val="0"/>
                <w:bCs/>
                <w:color w:val="auto"/>
                <w:kern w:val="0"/>
                <w:sz w:val="24"/>
                <w:szCs w:val="24"/>
                <w:lang w:val="en-US" w:eastAsia="zh-CN"/>
              </w:rPr>
              <w:t>20</w:t>
            </w:r>
            <w:r>
              <w:rPr>
                <w:rFonts w:hint="eastAsia" w:ascii="宋体" w:hAnsi="宋体" w:eastAsia="宋体" w:cs="宋体"/>
                <w:b w:val="0"/>
                <w:bCs/>
                <w:color w:val="auto"/>
                <w:kern w:val="0"/>
                <w:sz w:val="24"/>
                <w:szCs w:val="24"/>
              </w:rPr>
              <w:t>%×100。</w:t>
            </w:r>
          </w:p>
        </w:tc>
      </w:tr>
      <w:tr w14:paraId="255AC418">
        <w:tblPrEx>
          <w:tblCellMar>
            <w:top w:w="0" w:type="dxa"/>
            <w:left w:w="108" w:type="dxa"/>
            <w:bottom w:w="0" w:type="dxa"/>
            <w:right w:w="108" w:type="dxa"/>
          </w:tblCellMar>
        </w:tblPrEx>
        <w:trPr>
          <w:trHeight w:val="9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44E32483">
            <w:pPr>
              <w:spacing w:line="360" w:lineRule="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2</w:t>
            </w:r>
          </w:p>
        </w:tc>
        <w:tc>
          <w:tcPr>
            <w:tcW w:w="1179" w:type="dxa"/>
            <w:tcBorders>
              <w:top w:val="single" w:color="000000" w:sz="6" w:space="0"/>
              <w:left w:val="single" w:color="000000" w:sz="6" w:space="0"/>
              <w:bottom w:val="single" w:color="000000" w:sz="6" w:space="0"/>
              <w:right w:val="single" w:color="auto" w:sz="4" w:space="0"/>
            </w:tcBorders>
            <w:vAlign w:val="center"/>
          </w:tcPr>
          <w:p w14:paraId="1C7778A6">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商务响应</w:t>
            </w:r>
          </w:p>
          <w:p w14:paraId="5D774241">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（5分）</w:t>
            </w:r>
          </w:p>
        </w:tc>
        <w:tc>
          <w:tcPr>
            <w:tcW w:w="7953" w:type="dxa"/>
            <w:tcBorders>
              <w:top w:val="single" w:color="000000" w:sz="6" w:space="0"/>
              <w:left w:val="single" w:color="000000" w:sz="6" w:space="0"/>
              <w:bottom w:val="single" w:color="000000" w:sz="6" w:space="0"/>
              <w:right w:val="single" w:color="auto" w:sz="4" w:space="0"/>
            </w:tcBorders>
            <w:vAlign w:val="center"/>
          </w:tcPr>
          <w:p w14:paraId="297E405A">
            <w:pPr>
              <w:spacing w:line="360" w:lineRule="auto"/>
              <w:rPr>
                <w:rFonts w:hint="eastAsia" w:ascii="宋体" w:hAnsi="宋体" w:eastAsia="宋体" w:cs="宋体"/>
                <w:b w:val="0"/>
                <w:bCs/>
                <w:color w:val="auto"/>
                <w:kern w:val="0"/>
                <w:sz w:val="24"/>
                <w:szCs w:val="24"/>
              </w:rPr>
            </w:pPr>
            <w:r>
              <w:rPr>
                <w:rFonts w:hint="eastAsia" w:ascii="宋体" w:hAnsi="宋体" w:eastAsia="宋体" w:cs="宋体"/>
                <w:color w:val="auto"/>
                <w:sz w:val="24"/>
                <w:szCs w:val="24"/>
                <w:highlight w:val="none"/>
                <w:lang w:val="zh-CN"/>
              </w:rPr>
              <w:t>经过有效性和符合性审核合格的投标人，对商务要求完全响应且优于</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文件要求的计5分</w:t>
            </w:r>
            <w:r>
              <w:rPr>
                <w:rFonts w:hint="eastAsia" w:ascii="宋体" w:hAnsi="宋体" w:eastAsia="宋体" w:cs="宋体"/>
                <w:color w:val="auto"/>
                <w:sz w:val="24"/>
                <w:szCs w:val="24"/>
                <w:highlight w:val="none"/>
              </w:rPr>
              <w:t>，未做详细响应的，按响应程度低于评标基准的赋1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4分。</w:t>
            </w:r>
          </w:p>
        </w:tc>
      </w:tr>
      <w:tr w14:paraId="25A47765">
        <w:tblPrEx>
          <w:tblCellMar>
            <w:top w:w="0" w:type="dxa"/>
            <w:left w:w="108" w:type="dxa"/>
            <w:bottom w:w="0" w:type="dxa"/>
            <w:right w:w="108" w:type="dxa"/>
          </w:tblCellMar>
        </w:tblPrEx>
        <w:trPr>
          <w:trHeight w:val="2710" w:hRule="atLeast"/>
          <w:jc w:val="center"/>
        </w:trPr>
        <w:tc>
          <w:tcPr>
            <w:tcW w:w="503" w:type="dxa"/>
            <w:vMerge w:val="restart"/>
            <w:tcBorders>
              <w:top w:val="single" w:color="000000" w:sz="6" w:space="0"/>
              <w:left w:val="single" w:color="auto" w:sz="4" w:space="0"/>
              <w:right w:val="single" w:color="000000" w:sz="6" w:space="0"/>
            </w:tcBorders>
            <w:vAlign w:val="center"/>
          </w:tcPr>
          <w:p w14:paraId="3AE8CBA2">
            <w:pPr>
              <w:spacing w:line="360" w:lineRule="auto"/>
              <w:rPr>
                <w:rFonts w:hint="eastAsia" w:ascii="宋体" w:hAnsi="宋体" w:eastAsia="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3</w:t>
            </w:r>
          </w:p>
        </w:tc>
        <w:tc>
          <w:tcPr>
            <w:tcW w:w="1179" w:type="dxa"/>
            <w:vMerge w:val="restart"/>
            <w:tcBorders>
              <w:top w:val="single" w:color="000000" w:sz="6" w:space="0"/>
              <w:left w:val="single" w:color="000000" w:sz="6" w:space="0"/>
              <w:right w:val="single" w:color="auto" w:sz="4" w:space="0"/>
            </w:tcBorders>
            <w:vAlign w:val="center"/>
          </w:tcPr>
          <w:p w14:paraId="32BFD92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分）</w:t>
            </w:r>
          </w:p>
          <w:p w14:paraId="0DF983F6">
            <w:pPr>
              <w:spacing w:line="360" w:lineRule="auto"/>
              <w:jc w:val="center"/>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5A2844A9">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项目实施方案（15分）</w:t>
            </w:r>
          </w:p>
          <w:p w14:paraId="4EA345B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提供针对本项目的实施方案，要求具有针对性、科学性且能够完全满足采购人需求，包括但不限于整体维保服务方案（包含：日常、月度、</w:t>
            </w:r>
            <w:r>
              <w:rPr>
                <w:rFonts w:hint="eastAsia" w:ascii="宋体" w:hAnsi="宋体" w:cs="宋体"/>
                <w:color w:val="auto"/>
                <w:sz w:val="24"/>
                <w:szCs w:val="24"/>
                <w:highlight w:val="none"/>
                <w:lang w:val="en-US" w:eastAsia="zh-CN"/>
              </w:rPr>
              <w:t>季</w:t>
            </w:r>
            <w:r>
              <w:rPr>
                <w:rFonts w:hint="eastAsia" w:ascii="宋体" w:hAnsi="宋体" w:eastAsia="宋体" w:cs="宋体"/>
                <w:color w:val="auto"/>
                <w:sz w:val="24"/>
                <w:szCs w:val="24"/>
                <w:highlight w:val="none"/>
                <w:lang w:val="en-US" w:eastAsia="zh-CN"/>
              </w:rPr>
              <w:t xml:space="preserve">度维保方案）、工作方法、有详细的维保制度、维保计划、操作规程等。 </w:t>
            </w:r>
          </w:p>
          <w:p w14:paraId="5F028B0E">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实施方案操作性强、安全度高、方案清晰、方法合理、操作性强且满足采购需求的，计11-15 分；</w:t>
            </w:r>
          </w:p>
          <w:p w14:paraId="57C070A8">
            <w:pPr>
              <w:numPr>
                <w:ilvl w:val="0"/>
                <w:numId w:val="0"/>
              </w:numPr>
              <w:spacing w:line="360" w:lineRule="auto"/>
              <w:rPr>
                <w:rFonts w:hint="eastAsia"/>
                <w:color w:val="auto"/>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方案基本清晰、方法基本合理、能够满足采购人需求，得5-10 分； （3）方案及方法能够满足采购人部分需求的，得0-4 分。</w:t>
            </w:r>
          </w:p>
        </w:tc>
      </w:tr>
      <w:tr w14:paraId="6D8813DB">
        <w:tblPrEx>
          <w:tblCellMar>
            <w:top w:w="0" w:type="dxa"/>
            <w:left w:w="108" w:type="dxa"/>
            <w:bottom w:w="0" w:type="dxa"/>
            <w:right w:w="108" w:type="dxa"/>
          </w:tblCellMar>
        </w:tblPrEx>
        <w:trPr>
          <w:trHeight w:val="3168" w:hRule="atLeast"/>
          <w:jc w:val="center"/>
        </w:trPr>
        <w:tc>
          <w:tcPr>
            <w:tcW w:w="503" w:type="dxa"/>
            <w:vMerge w:val="continue"/>
            <w:tcBorders>
              <w:left w:val="single" w:color="auto" w:sz="4" w:space="0"/>
              <w:right w:val="single" w:color="000000" w:sz="6" w:space="0"/>
            </w:tcBorders>
            <w:vAlign w:val="center"/>
          </w:tcPr>
          <w:p w14:paraId="0052A05F">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right w:val="single" w:color="auto" w:sz="4" w:space="0"/>
            </w:tcBorders>
            <w:vAlign w:val="center"/>
          </w:tcPr>
          <w:p w14:paraId="6F380934">
            <w:pPr>
              <w:spacing w:line="360" w:lineRule="auto"/>
              <w:jc w:val="center"/>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7E75EF6E">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人员配置及组织架构（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4E7F8D02">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 xml:space="preserve">维保运行人员及专业设置合理、工作计划及轮换制度科学，项目管理组织架构合理、维保运行人员经验丰富，提供职员主要资历、经验（提供相关材料， 如有经验应提供相关业绩证明）。 </w:t>
            </w:r>
          </w:p>
          <w:p w14:paraId="0EF26D31">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kern w:val="2"/>
                <w:sz w:val="24"/>
                <w:szCs w:val="24"/>
                <w:lang w:val="en-US" w:eastAsia="zh-CN" w:bidi="ar-SA"/>
              </w:rPr>
              <w:t>（1）</w:t>
            </w:r>
            <w:r>
              <w:rPr>
                <w:rFonts w:ascii="宋体" w:hAnsi="宋体" w:eastAsia="宋体" w:cs="宋体"/>
                <w:b w:val="0"/>
                <w:bCs w:val="0"/>
                <w:color w:val="auto"/>
                <w:sz w:val="24"/>
                <w:szCs w:val="24"/>
              </w:rPr>
              <w:t xml:space="preserve">组织架构合理，职员配备充足、专业设置合理，维保运行人员经验丰富的计 11-15 分； </w:t>
            </w:r>
          </w:p>
          <w:p w14:paraId="766719E5">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（2）项目架构基本合理，职员配备基本完整的计</w:t>
            </w:r>
            <w:r>
              <w:rPr>
                <w:rFonts w:hint="eastAsia" w:ascii="宋体" w:hAnsi="宋体" w:eastAsia="宋体" w:cs="宋体"/>
                <w:b w:val="0"/>
                <w:bCs w:val="0"/>
                <w:color w:val="auto"/>
                <w:sz w:val="24"/>
                <w:szCs w:val="24"/>
                <w:lang w:val="en-US" w:eastAsia="zh-CN"/>
              </w:rPr>
              <w:t>5</w:t>
            </w:r>
            <w:r>
              <w:rPr>
                <w:rFonts w:ascii="宋体" w:hAnsi="宋体" w:eastAsia="宋体" w:cs="宋体"/>
                <w:b w:val="0"/>
                <w:bCs w:val="0"/>
                <w:color w:val="auto"/>
                <w:sz w:val="24"/>
                <w:szCs w:val="24"/>
              </w:rPr>
              <w:t xml:space="preserve">-10 分； </w:t>
            </w:r>
          </w:p>
          <w:p w14:paraId="25E2BF64">
            <w:pPr>
              <w:numPr>
                <w:ilvl w:val="0"/>
                <w:numId w:val="0"/>
              </w:numPr>
              <w:spacing w:line="360" w:lineRule="auto"/>
              <w:jc w:val="left"/>
              <w:rPr>
                <w:rFonts w:hint="eastAsia" w:ascii="宋体" w:hAnsi="宋体" w:eastAsia="宋体" w:cs="宋体"/>
                <w:b w:val="0"/>
                <w:bCs/>
                <w:color w:val="auto"/>
                <w:kern w:val="0"/>
                <w:sz w:val="24"/>
                <w:szCs w:val="24"/>
              </w:rPr>
            </w:pPr>
            <w:r>
              <w:rPr>
                <w:rFonts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ascii="宋体" w:hAnsi="宋体" w:eastAsia="宋体" w:cs="宋体"/>
                <w:b w:val="0"/>
                <w:bCs w:val="0"/>
                <w:color w:val="auto"/>
                <w:sz w:val="24"/>
                <w:szCs w:val="24"/>
              </w:rPr>
              <w:t>）项目架构有缺陷，职员配备只能满足采购人部分需求的计0-</w:t>
            </w:r>
            <w:r>
              <w:rPr>
                <w:rFonts w:hint="eastAsia" w:ascii="宋体" w:hAnsi="宋体" w:eastAsia="宋体" w:cs="宋体"/>
                <w:b w:val="0"/>
                <w:bCs w:val="0"/>
                <w:color w:val="auto"/>
                <w:sz w:val="24"/>
                <w:szCs w:val="24"/>
                <w:lang w:val="en-US" w:eastAsia="zh-CN"/>
              </w:rPr>
              <w:t>4</w:t>
            </w:r>
            <w:r>
              <w:rPr>
                <w:rFonts w:ascii="宋体" w:hAnsi="宋体" w:eastAsia="宋体" w:cs="宋体"/>
                <w:b w:val="0"/>
                <w:bCs w:val="0"/>
                <w:color w:val="auto"/>
                <w:sz w:val="24"/>
                <w:szCs w:val="24"/>
              </w:rPr>
              <w:t xml:space="preserve"> 分。</w:t>
            </w:r>
          </w:p>
        </w:tc>
      </w:tr>
      <w:tr w14:paraId="09760653">
        <w:tblPrEx>
          <w:tblCellMar>
            <w:top w:w="0" w:type="dxa"/>
            <w:left w:w="108" w:type="dxa"/>
            <w:bottom w:w="0" w:type="dxa"/>
            <w:right w:w="108" w:type="dxa"/>
          </w:tblCellMar>
        </w:tblPrEx>
        <w:trPr>
          <w:trHeight w:val="3285" w:hRule="atLeast"/>
          <w:jc w:val="center"/>
        </w:trPr>
        <w:tc>
          <w:tcPr>
            <w:tcW w:w="503" w:type="dxa"/>
            <w:vMerge w:val="continue"/>
            <w:tcBorders>
              <w:left w:val="single" w:color="auto" w:sz="4" w:space="0"/>
              <w:right w:val="single" w:color="000000" w:sz="6" w:space="0"/>
            </w:tcBorders>
            <w:vAlign w:val="center"/>
          </w:tcPr>
          <w:p w14:paraId="05F92373">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bottom w:val="single" w:color="000000" w:sz="6" w:space="0"/>
              <w:right w:val="single" w:color="auto" w:sz="4" w:space="0"/>
            </w:tcBorders>
            <w:vAlign w:val="center"/>
          </w:tcPr>
          <w:p w14:paraId="0C02A275">
            <w:pPr>
              <w:spacing w:line="360" w:lineRule="auto"/>
              <w:jc w:val="center"/>
              <w:rPr>
                <w:rFonts w:hint="default" w:ascii="宋体" w:hAnsi="宋体" w:eastAsia="宋体" w:cs="宋体"/>
                <w:b w:val="0"/>
                <w:bCs/>
                <w:color w:val="auto"/>
                <w:kern w:val="0"/>
                <w:sz w:val="24"/>
                <w:szCs w:val="24"/>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1EB5097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维保服务分析（10分）</w:t>
            </w:r>
          </w:p>
          <w:p w14:paraId="28C7E8D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针对设备运行中可能出现的问题及重大故障，有</w:t>
            </w:r>
            <w:r>
              <w:rPr>
                <w:rFonts w:hint="eastAsia" w:ascii="宋体" w:hAnsi="宋体" w:eastAsia="宋体" w:cs="宋体"/>
                <w:color w:val="auto"/>
                <w:sz w:val="24"/>
                <w:szCs w:val="24"/>
                <w:highlight w:val="none"/>
                <w:lang w:val="zh-CN"/>
              </w:rPr>
              <w:t>行之有效</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措施和</w:t>
            </w:r>
            <w:r>
              <w:rPr>
                <w:rFonts w:hint="eastAsia" w:ascii="宋体" w:hAnsi="宋体" w:eastAsia="宋体" w:cs="宋体"/>
                <w:color w:val="auto"/>
                <w:sz w:val="24"/>
                <w:szCs w:val="24"/>
                <w:highlight w:val="none"/>
                <w:lang w:val="zh-CN"/>
              </w:rPr>
              <w:t>详细具体</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解决方案，对故障响应时间、维修服务时限及特殊情况下不能及时排除故障造成损失的赔偿方案等方面有明确的措施及承诺，</w:t>
            </w:r>
          </w:p>
          <w:p w14:paraId="4BC5B24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对故障及问题分析理解透彻，措施科学合理、承诺全面的计</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分析</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较为全面、措施及承诺基本满足采购需求的计4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793928E7">
            <w:pPr>
              <w:numPr>
                <w:ilvl w:val="0"/>
                <w:numId w:val="0"/>
              </w:numPr>
              <w:spacing w:line="360" w:lineRule="auto"/>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bidi="ar-SA"/>
              </w:rPr>
              <w:t>（</w:t>
            </w:r>
            <w:r>
              <w:rPr>
                <w:rFonts w:hint="eastAsia" w:ascii="宋体" w:hAnsi="宋体" w:cs="宋体"/>
                <w:b w:val="0"/>
                <w:bCs/>
                <w:color w:val="auto"/>
                <w:kern w:val="0"/>
                <w:sz w:val="24"/>
                <w:szCs w:val="24"/>
                <w:lang w:val="en-US" w:eastAsia="zh-CN" w:bidi="ar-SA"/>
              </w:rPr>
              <w:t>3</w:t>
            </w:r>
            <w:r>
              <w:rPr>
                <w:rFonts w:hint="eastAsia" w:ascii="宋体" w:hAnsi="宋体" w:eastAsia="宋体" w:cs="宋体"/>
                <w:b w:val="0"/>
                <w:bCs/>
                <w:color w:val="auto"/>
                <w:kern w:val="0"/>
                <w:sz w:val="24"/>
                <w:szCs w:val="24"/>
                <w:lang w:val="en-US" w:eastAsia="zh-CN" w:bidi="ar-SA"/>
              </w:rPr>
              <w:t>）</w:t>
            </w:r>
            <w:r>
              <w:rPr>
                <w:rFonts w:hint="eastAsia" w:ascii="宋体" w:hAnsi="宋体" w:eastAsia="宋体" w:cs="宋体"/>
                <w:color w:val="auto"/>
                <w:sz w:val="24"/>
                <w:szCs w:val="24"/>
                <w:highlight w:val="none"/>
                <w:lang w:val="en-US" w:eastAsia="zh-CN"/>
              </w:rPr>
              <w:t>分析及措施存在缺陷或不足、承诺无法满足采购需求的计0-3分。</w:t>
            </w:r>
          </w:p>
        </w:tc>
      </w:tr>
      <w:tr w14:paraId="693F0E97">
        <w:tblPrEx>
          <w:tblCellMar>
            <w:top w:w="0" w:type="dxa"/>
            <w:left w:w="108" w:type="dxa"/>
            <w:bottom w:w="0" w:type="dxa"/>
            <w:right w:w="108" w:type="dxa"/>
          </w:tblCellMar>
        </w:tblPrEx>
        <w:trPr>
          <w:trHeight w:val="1623" w:hRule="atLeast"/>
          <w:jc w:val="center"/>
        </w:trPr>
        <w:tc>
          <w:tcPr>
            <w:tcW w:w="503" w:type="dxa"/>
            <w:vMerge w:val="continue"/>
            <w:tcBorders>
              <w:left w:val="single" w:color="auto" w:sz="4" w:space="0"/>
              <w:right w:val="single" w:color="000000" w:sz="6" w:space="0"/>
            </w:tcBorders>
            <w:vAlign w:val="center"/>
          </w:tcPr>
          <w:p w14:paraId="5DDCFF4F">
            <w:pPr>
              <w:spacing w:line="360" w:lineRule="auto"/>
              <w:rPr>
                <w:rFonts w:hint="eastAsia" w:ascii="宋体" w:hAnsi="宋体" w:eastAsia="宋体" w:cs="宋体"/>
                <w:b w:val="0"/>
                <w:bCs/>
                <w:color w:val="auto"/>
                <w:kern w:val="0"/>
                <w:sz w:val="24"/>
                <w:szCs w:val="24"/>
              </w:rPr>
            </w:pPr>
          </w:p>
        </w:tc>
        <w:tc>
          <w:tcPr>
            <w:tcW w:w="1179" w:type="dxa"/>
            <w:vMerge w:val="restart"/>
            <w:tcBorders>
              <w:top w:val="single" w:color="000000" w:sz="6" w:space="0"/>
              <w:left w:val="single" w:color="000000" w:sz="6" w:space="0"/>
              <w:right w:val="single" w:color="auto" w:sz="4" w:space="0"/>
            </w:tcBorders>
            <w:vAlign w:val="center"/>
          </w:tcPr>
          <w:p w14:paraId="7B82FC7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服务能力（</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7953" w:type="dxa"/>
            <w:tcBorders>
              <w:top w:val="single" w:color="000000" w:sz="6" w:space="0"/>
              <w:left w:val="single" w:color="000000" w:sz="6" w:space="0"/>
              <w:bottom w:val="single" w:color="000000" w:sz="6" w:space="0"/>
              <w:right w:val="single" w:color="auto" w:sz="4" w:space="0"/>
            </w:tcBorders>
          </w:tcPr>
          <w:p w14:paraId="0FEF8DC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内控制度（</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7E33A86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投标人有健全的内控制度，有针对本项目的具体的工作方法、</w:t>
            </w:r>
            <w:r>
              <w:rPr>
                <w:rFonts w:hint="eastAsia" w:ascii="宋体" w:hAnsi="宋体" w:eastAsia="宋体" w:cs="宋体"/>
                <w:color w:val="auto"/>
                <w:sz w:val="24"/>
                <w:szCs w:val="24"/>
                <w:highlight w:val="none"/>
                <w:lang w:val="zh-CN"/>
              </w:rPr>
              <w:t>有详细的维保制度、维保计划、操作规程</w:t>
            </w:r>
            <w:r>
              <w:rPr>
                <w:rFonts w:hint="eastAsia" w:ascii="宋体" w:hAnsi="宋体" w:eastAsia="宋体" w:cs="宋体"/>
                <w:color w:val="auto"/>
                <w:sz w:val="24"/>
                <w:szCs w:val="24"/>
                <w:highlight w:val="none"/>
                <w:lang w:val="en-US" w:eastAsia="zh-CN"/>
              </w:rPr>
              <w:t>等计</w:t>
            </w:r>
            <w:r>
              <w:rPr>
                <w:rFonts w:hint="eastAsia" w:ascii="宋体" w:hAnsi="宋体" w:cs="宋体"/>
                <w:color w:val="auto"/>
                <w:sz w:val="24"/>
                <w:szCs w:val="24"/>
                <w:highlight w:val="none"/>
                <w:lang w:val="en-US" w:eastAsia="zh-CN"/>
              </w:rPr>
              <w:t>6—8</w:t>
            </w:r>
            <w:r>
              <w:rPr>
                <w:rFonts w:hint="eastAsia" w:ascii="宋体" w:hAnsi="宋体" w:eastAsia="宋体" w:cs="宋体"/>
                <w:color w:val="auto"/>
                <w:sz w:val="24"/>
                <w:szCs w:val="24"/>
                <w:highlight w:val="none"/>
                <w:lang w:val="en-US" w:eastAsia="zh-CN"/>
              </w:rPr>
              <w:t>分；</w:t>
            </w:r>
          </w:p>
          <w:p w14:paraId="224BC77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内控制度较完善，工作方法较具体，维保制度、维保计划、操作规程基本详细的计</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分；</w:t>
            </w:r>
          </w:p>
          <w:p w14:paraId="38491A4E">
            <w:pPr>
              <w:spacing w:line="360" w:lineRule="auto"/>
              <w:rPr>
                <w:rFonts w:hint="eastAsia" w:ascii="宋体" w:hAnsi="宋体" w:eastAsia="宋体" w:cs="宋体"/>
                <w:b w:val="0"/>
                <w:bCs/>
                <w:color w:val="auto"/>
                <w:kern w:val="0"/>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val="en-US" w:eastAsia="zh-CN"/>
              </w:rPr>
              <w:t>工作方法不够具体，维保制度、维保计划、操作规程不够完善的计0-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08ACBA12">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5FD0FC81">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right w:val="single" w:color="auto" w:sz="4" w:space="0"/>
            </w:tcBorders>
            <w:vAlign w:val="center"/>
          </w:tcPr>
          <w:p w14:paraId="3C70D9C9">
            <w:pPr>
              <w:spacing w:line="360" w:lineRule="auto"/>
              <w:jc w:val="left"/>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53F961D8">
            <w:pPr>
              <w:spacing w:line="360" w:lineRule="auto"/>
              <w:rPr>
                <w:rFonts w:hint="eastAsia" w:ascii="宋体" w:hAnsi="宋体" w:cs="宋体"/>
                <w:color w:val="auto"/>
                <w:sz w:val="24"/>
                <w:szCs w:val="24"/>
              </w:rPr>
            </w:pPr>
            <w:r>
              <w:rPr>
                <w:rFonts w:hint="eastAsia" w:ascii="宋体" w:hAnsi="宋体" w:eastAsia="宋体" w:cs="宋体"/>
                <w:color w:val="auto"/>
                <w:sz w:val="24"/>
                <w:szCs w:val="24"/>
                <w:highlight w:val="none"/>
                <w:lang w:val="en-US" w:eastAsia="zh-CN"/>
              </w:rPr>
              <w:t>应急措施（6分）</w:t>
            </w:r>
          </w:p>
          <w:p w14:paraId="6FAF79EC">
            <w:pPr>
              <w:spacing w:line="360" w:lineRule="auto"/>
              <w:rPr>
                <w:rFonts w:hint="eastAsia" w:ascii="宋体" w:hAnsi="宋体"/>
                <w:color w:val="auto"/>
                <w:sz w:val="24"/>
              </w:rPr>
            </w:pPr>
            <w:r>
              <w:rPr>
                <w:rFonts w:hint="eastAsia" w:ascii="宋体" w:hAnsi="宋体" w:cs="宋体"/>
                <w:color w:val="auto"/>
                <w:sz w:val="24"/>
                <w:szCs w:val="24"/>
              </w:rPr>
              <w:t>针对本项目服务的应急预案措施，针对各类突发事件制定切实可行的应急预案措施</w:t>
            </w:r>
            <w:r>
              <w:rPr>
                <w:rFonts w:hint="eastAsia" w:ascii="宋体" w:hAnsi="宋体" w:cs="宋体"/>
                <w:color w:val="auto"/>
                <w:sz w:val="24"/>
                <w:szCs w:val="24"/>
                <w:lang w:val="en-US" w:eastAsia="zh-CN"/>
              </w:rPr>
              <w:t>和</w:t>
            </w:r>
            <w:r>
              <w:rPr>
                <w:rFonts w:hint="eastAsia" w:ascii="宋体" w:hAnsi="宋体" w:cs="宋体"/>
                <w:color w:val="auto"/>
                <w:sz w:val="24"/>
              </w:rPr>
              <w:t>应急演练方案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措施方案制定合理、完善</w:t>
            </w:r>
            <w:r>
              <w:rPr>
                <w:rFonts w:hint="eastAsia" w:ascii="宋体" w:hAnsi="宋体" w:cs="宋体"/>
                <w:color w:val="auto"/>
                <w:sz w:val="24"/>
                <w:szCs w:val="24"/>
              </w:rPr>
              <w:t>详细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切实可行</w:t>
            </w:r>
            <w:r>
              <w:rPr>
                <w:rFonts w:hint="eastAsia" w:ascii="宋体" w:hAnsi="宋体" w:cs="宋体"/>
                <w:color w:val="auto"/>
                <w:sz w:val="24"/>
                <w:szCs w:val="24"/>
              </w:rPr>
              <w:t>的计</w:t>
            </w:r>
            <w:r>
              <w:rPr>
                <w:rFonts w:hint="eastAsia" w:ascii="宋体" w:hAnsi="宋体" w:cs="宋体"/>
                <w:color w:val="auto"/>
                <w:sz w:val="24"/>
                <w:szCs w:val="24"/>
                <w:lang w:val="en-US" w:eastAsia="zh-CN"/>
              </w:rPr>
              <w:t>5—6</w:t>
            </w:r>
            <w:r>
              <w:rPr>
                <w:rFonts w:hint="eastAsia" w:ascii="宋体" w:hAnsi="宋体" w:cs="宋体"/>
                <w:color w:val="auto"/>
                <w:sz w:val="24"/>
                <w:szCs w:val="24"/>
              </w:rPr>
              <w:t>分，</w:t>
            </w:r>
            <w:r>
              <w:rPr>
                <w:rFonts w:hint="eastAsia" w:ascii="宋体" w:hAnsi="宋体" w:cs="宋体"/>
                <w:color w:val="auto"/>
                <w:sz w:val="24"/>
                <w:szCs w:val="24"/>
                <w:lang w:val="en-US" w:eastAsia="zh-CN"/>
              </w:rPr>
              <w:t>措施方案制定较为合理，基本可行的3—4</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措施方案制定存在部分缺陷和不足的计0-2分</w:t>
            </w:r>
            <w:r>
              <w:rPr>
                <w:rFonts w:hint="eastAsia" w:ascii="宋体" w:hAnsi="宋体" w:cs="宋体"/>
                <w:color w:val="auto"/>
                <w:sz w:val="24"/>
                <w:szCs w:val="24"/>
              </w:rPr>
              <w:t>。</w:t>
            </w:r>
          </w:p>
        </w:tc>
      </w:tr>
      <w:tr w14:paraId="04A53847">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1C40811C">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bottom w:val="single" w:color="auto" w:sz="4" w:space="0"/>
              <w:right w:val="single" w:color="auto" w:sz="4" w:space="0"/>
            </w:tcBorders>
            <w:vAlign w:val="center"/>
          </w:tcPr>
          <w:p w14:paraId="0527E2FF">
            <w:pPr>
              <w:spacing w:line="360" w:lineRule="auto"/>
              <w:jc w:val="left"/>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732BBBE3">
            <w:pPr>
              <w:spacing w:line="360" w:lineRule="auto"/>
              <w:rPr>
                <w:rFonts w:hint="eastAsia" w:ascii="宋体" w:hAnsi="宋体"/>
                <w:color w:val="auto"/>
                <w:sz w:val="24"/>
              </w:rPr>
            </w:pPr>
            <w:r>
              <w:rPr>
                <w:rFonts w:hint="eastAsia" w:ascii="宋体" w:hAnsi="宋体" w:eastAsia="宋体" w:cs="宋体"/>
                <w:color w:val="auto"/>
                <w:sz w:val="24"/>
                <w:szCs w:val="24"/>
                <w:highlight w:val="none"/>
                <w:lang w:val="en-US" w:eastAsia="zh-CN"/>
              </w:rPr>
              <w:t>工具仪器（6分）</w:t>
            </w:r>
          </w:p>
          <w:p w14:paraId="168C5194">
            <w:pPr>
              <w:spacing w:line="360" w:lineRule="auto"/>
              <w:rPr>
                <w:rFonts w:hint="eastAsia" w:ascii="宋体" w:hAnsi="宋体" w:eastAsia="宋体" w:cs="宋体"/>
                <w:b w:val="0"/>
                <w:bCs/>
                <w:color w:val="auto"/>
                <w:kern w:val="0"/>
                <w:sz w:val="24"/>
                <w:szCs w:val="24"/>
              </w:rPr>
            </w:pPr>
            <w:r>
              <w:rPr>
                <w:rFonts w:hint="eastAsia" w:ascii="宋体" w:hAnsi="宋体"/>
                <w:color w:val="auto"/>
                <w:sz w:val="24"/>
              </w:rPr>
              <w:t>根据所配备的维保工具、仪器仪表、检测设备</w:t>
            </w:r>
            <w:r>
              <w:rPr>
                <w:rFonts w:hint="eastAsia" w:ascii="宋体" w:hAnsi="宋体"/>
                <w:color w:val="auto"/>
                <w:sz w:val="24"/>
                <w:lang w:val="en-US" w:eastAsia="zh-CN"/>
              </w:rPr>
              <w:t>情况进行</w:t>
            </w:r>
            <w:r>
              <w:rPr>
                <w:rFonts w:hint="eastAsia" w:ascii="宋体" w:hAnsi="宋体"/>
                <w:color w:val="auto"/>
                <w:sz w:val="24"/>
              </w:rPr>
              <w:t>综合赋分。设备齐全、功能完全满足本项目维保需要的，得</w:t>
            </w:r>
            <w:r>
              <w:rPr>
                <w:rFonts w:hint="eastAsia" w:ascii="宋体" w:hAnsi="宋体"/>
                <w:color w:val="auto"/>
                <w:sz w:val="24"/>
                <w:lang w:val="en-US" w:eastAsia="zh-CN"/>
              </w:rPr>
              <w:t>5—6</w:t>
            </w:r>
            <w:r>
              <w:rPr>
                <w:rFonts w:hint="eastAsia" w:ascii="宋体" w:hAnsi="宋体"/>
                <w:color w:val="auto"/>
                <w:sz w:val="24"/>
              </w:rPr>
              <w:t>分；设备基本齐全、能基本满足本项目维保需要的得</w:t>
            </w:r>
            <w:r>
              <w:rPr>
                <w:rFonts w:hint="eastAsia" w:ascii="宋体" w:hAnsi="宋体"/>
                <w:color w:val="auto"/>
                <w:sz w:val="24"/>
                <w:lang w:val="en-US" w:eastAsia="zh-CN"/>
              </w:rPr>
              <w:t>3—4</w:t>
            </w:r>
            <w:r>
              <w:rPr>
                <w:rFonts w:hint="eastAsia" w:ascii="宋体" w:hAnsi="宋体"/>
                <w:color w:val="auto"/>
                <w:sz w:val="24"/>
              </w:rPr>
              <w:t>分；设备不全、不能满足本项目维保需要的得0-</w:t>
            </w:r>
            <w:r>
              <w:rPr>
                <w:rFonts w:hint="eastAsia" w:ascii="宋体" w:hAnsi="宋体"/>
                <w:color w:val="auto"/>
                <w:sz w:val="24"/>
                <w:lang w:val="en-US" w:eastAsia="zh-CN"/>
              </w:rPr>
              <w:t>2</w:t>
            </w:r>
            <w:r>
              <w:rPr>
                <w:rFonts w:hint="eastAsia" w:ascii="宋体" w:hAnsi="宋体"/>
                <w:color w:val="auto"/>
                <w:sz w:val="24"/>
              </w:rPr>
              <w:t>分。</w:t>
            </w:r>
          </w:p>
        </w:tc>
      </w:tr>
      <w:tr w14:paraId="45D4040C">
        <w:tblPrEx>
          <w:tblCellMar>
            <w:top w:w="0" w:type="dxa"/>
            <w:left w:w="108" w:type="dxa"/>
            <w:bottom w:w="0" w:type="dxa"/>
            <w:right w:w="108" w:type="dxa"/>
          </w:tblCellMar>
        </w:tblPrEx>
        <w:trPr>
          <w:trHeight w:val="1070"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14:paraId="07A5845C">
            <w:pPr>
              <w:spacing w:line="360" w:lineRule="auto"/>
              <w:rPr>
                <w:rFonts w:hint="eastAsia" w:ascii="宋体" w:hAnsi="宋体" w:eastAsia="宋体" w:cs="宋体"/>
                <w:b w:val="0"/>
                <w:bCs/>
                <w:color w:val="auto"/>
                <w:kern w:val="0"/>
                <w:sz w:val="24"/>
                <w:szCs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B61C6BE">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业绩</w:t>
            </w:r>
          </w:p>
          <w:p w14:paraId="1C2010F0">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609BD157">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投标人提供</w:t>
            </w:r>
            <w:r>
              <w:rPr>
                <w:rFonts w:hint="eastAsia" w:ascii="宋体" w:hAnsi="宋体" w:cs="宋体"/>
                <w:b w:val="0"/>
                <w:bCs/>
                <w:color w:val="auto"/>
                <w:kern w:val="0"/>
                <w:sz w:val="24"/>
                <w:szCs w:val="24"/>
                <w:lang w:val="en-US" w:eastAsia="zh-CN"/>
              </w:rPr>
              <w:t>2022</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05</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01日</w:t>
            </w:r>
            <w:r>
              <w:rPr>
                <w:rFonts w:hint="eastAsia" w:ascii="宋体" w:hAnsi="宋体" w:eastAsia="宋体" w:cs="宋体"/>
                <w:b w:val="0"/>
                <w:bCs/>
                <w:color w:val="auto"/>
                <w:kern w:val="0"/>
                <w:sz w:val="24"/>
                <w:szCs w:val="24"/>
              </w:rPr>
              <w:t>（以合同签订时间为准）至今的</w:t>
            </w:r>
            <w:r>
              <w:rPr>
                <w:rFonts w:hint="eastAsia" w:ascii="宋体" w:hAnsi="宋体" w:eastAsia="宋体" w:cs="宋体"/>
                <w:b w:val="0"/>
                <w:bCs/>
                <w:color w:val="auto"/>
                <w:kern w:val="0"/>
                <w:sz w:val="24"/>
                <w:szCs w:val="24"/>
                <w:lang w:val="en-US" w:eastAsia="zh-CN"/>
              </w:rPr>
              <w:t>类似项目</w:t>
            </w:r>
            <w:r>
              <w:rPr>
                <w:rFonts w:hint="eastAsia" w:ascii="宋体" w:hAnsi="宋体" w:eastAsia="宋体" w:cs="宋体"/>
                <w:b w:val="0"/>
                <w:bCs/>
                <w:color w:val="auto"/>
                <w:kern w:val="0"/>
                <w:sz w:val="24"/>
                <w:szCs w:val="24"/>
              </w:rPr>
              <w:t>业绩，业绩以有效的合同为准，每提供一份类似项目业绩计</w:t>
            </w:r>
            <w:r>
              <w:rPr>
                <w:rFonts w:hint="eastAsia" w:ascii="宋体" w:hAnsi="宋体" w:cs="宋体"/>
                <w:b w:val="0"/>
                <w:bCs/>
                <w:color w:val="auto"/>
                <w:kern w:val="0"/>
                <w:sz w:val="24"/>
                <w:szCs w:val="24"/>
                <w:lang w:val="en-US" w:eastAsia="zh-CN"/>
              </w:rPr>
              <w:t>2</w:t>
            </w:r>
            <w:r>
              <w:rPr>
                <w:rFonts w:hint="eastAsia" w:ascii="宋体" w:hAnsi="宋体" w:eastAsia="宋体" w:cs="宋体"/>
                <w:b w:val="0"/>
                <w:bCs/>
                <w:color w:val="auto"/>
                <w:kern w:val="0"/>
                <w:sz w:val="24"/>
                <w:szCs w:val="24"/>
              </w:rPr>
              <w:t>分，最多得</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p>
        </w:tc>
      </w:tr>
      <w:tr w14:paraId="460EF5F0">
        <w:tblPrEx>
          <w:tblCellMar>
            <w:top w:w="0" w:type="dxa"/>
            <w:left w:w="108" w:type="dxa"/>
            <w:bottom w:w="0" w:type="dxa"/>
            <w:right w:w="108" w:type="dxa"/>
          </w:tblCellMar>
        </w:tblPrEx>
        <w:trPr>
          <w:trHeight w:val="49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0CDFC530">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1179" w:type="dxa"/>
            <w:tcBorders>
              <w:top w:val="single" w:color="auto" w:sz="4" w:space="0"/>
              <w:left w:val="single" w:color="auto" w:sz="4" w:space="0"/>
              <w:bottom w:val="single" w:color="auto" w:sz="4" w:space="0"/>
              <w:right w:val="single" w:color="auto" w:sz="4" w:space="0"/>
            </w:tcBorders>
            <w:vAlign w:val="center"/>
          </w:tcPr>
          <w:p w14:paraId="57065BDB">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备品配件</w:t>
            </w: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7FA8403A">
            <w:pPr>
              <w:numPr>
                <w:ilvl w:val="0"/>
                <w:numId w:val="7"/>
              </w:numPr>
              <w:spacing w:line="360" w:lineRule="auto"/>
              <w:rPr>
                <w:rFonts w:hint="eastAsia" w:ascii="宋体" w:hAnsi="宋体"/>
                <w:color w:val="auto"/>
                <w:sz w:val="24"/>
              </w:rPr>
            </w:pPr>
            <w:r>
              <w:rPr>
                <w:rFonts w:hint="eastAsia" w:ascii="宋体" w:hAnsi="宋体"/>
                <w:color w:val="auto"/>
                <w:sz w:val="24"/>
              </w:rPr>
              <w:t>针对</w:t>
            </w:r>
            <w:r>
              <w:rPr>
                <w:rFonts w:hint="eastAsia" w:ascii="宋体" w:hAnsi="宋体"/>
                <w:color w:val="auto"/>
                <w:sz w:val="24"/>
                <w:lang w:val="en-US" w:eastAsia="zh-CN"/>
              </w:rPr>
              <w:t>项目</w:t>
            </w:r>
            <w:r>
              <w:rPr>
                <w:rFonts w:hint="eastAsia" w:ascii="宋体" w:hAnsi="宋体"/>
                <w:color w:val="auto"/>
                <w:sz w:val="24"/>
              </w:rPr>
              <w:t>目前设备现状，</w:t>
            </w:r>
            <w:r>
              <w:rPr>
                <w:rFonts w:hint="eastAsia" w:ascii="宋体" w:hAnsi="宋体"/>
                <w:color w:val="auto"/>
                <w:spacing w:val="6"/>
                <w:sz w:val="24"/>
              </w:rPr>
              <w:t>备品、配件供应有保障，货源渠道正规，</w:t>
            </w:r>
            <w:r>
              <w:rPr>
                <w:rFonts w:hint="eastAsia" w:ascii="宋体" w:hAnsi="宋体"/>
                <w:color w:val="auto"/>
                <w:sz w:val="24"/>
              </w:rPr>
              <w:t>承诺主要设备（制冷机组、冷却塔、水泵、风机盘管、空调机、新风机）的配件、耗材选用原厂品牌，并提供承诺书</w:t>
            </w:r>
            <w:r>
              <w:rPr>
                <w:rFonts w:hint="eastAsia" w:ascii="宋体" w:hAnsi="宋体"/>
                <w:color w:val="auto"/>
                <w:sz w:val="24"/>
                <w:lang w:eastAsia="zh-CN"/>
              </w:rPr>
              <w:t>，</w:t>
            </w:r>
            <w:r>
              <w:rPr>
                <w:rFonts w:hint="eastAsia" w:ascii="宋体" w:hAnsi="宋体"/>
                <w:color w:val="auto"/>
                <w:sz w:val="24"/>
                <w:lang w:val="en-US" w:eastAsia="zh-CN"/>
              </w:rPr>
              <w:t>根据响应程度计0-3</w:t>
            </w:r>
            <w:r>
              <w:rPr>
                <w:rFonts w:hint="eastAsia" w:ascii="宋体" w:hAnsi="宋体"/>
                <w:color w:val="auto"/>
                <w:sz w:val="24"/>
              </w:rPr>
              <w:t>分。</w:t>
            </w:r>
          </w:p>
          <w:p w14:paraId="28E38E7B">
            <w:pPr>
              <w:numPr>
                <w:ilvl w:val="0"/>
                <w:numId w:val="7"/>
              </w:numPr>
              <w:spacing w:line="360" w:lineRule="auto"/>
              <w:rPr>
                <w:rFonts w:hint="eastAsia" w:ascii="宋体" w:hAnsi="宋体"/>
                <w:color w:val="auto"/>
                <w:sz w:val="24"/>
                <w:lang w:val="en-US" w:eastAsia="zh-CN"/>
              </w:rPr>
            </w:pPr>
            <w:r>
              <w:rPr>
                <w:rFonts w:hint="eastAsia" w:ascii="宋体" w:hAnsi="宋体"/>
                <w:color w:val="auto"/>
                <w:sz w:val="24"/>
                <w:lang w:val="en-US" w:eastAsia="zh-CN"/>
              </w:rPr>
              <w:t>根据供应商提供的</w:t>
            </w:r>
            <w:r>
              <w:rPr>
                <w:rFonts w:hint="eastAsia" w:ascii="宋体" w:hAnsi="宋体" w:cs="宋体"/>
                <w:color w:val="auto"/>
                <w:kern w:val="0"/>
                <w:sz w:val="24"/>
                <w:szCs w:val="24"/>
                <w:lang w:val="en-US" w:eastAsia="zh-CN" w:bidi="ar"/>
              </w:rPr>
              <w:t>备品备件材料清单报价优惠率进行横向比较，优惠力度最大的计3分，其余根据响应情况计1-2分。</w:t>
            </w:r>
          </w:p>
        </w:tc>
      </w:tr>
      <w:tr w14:paraId="2FBCF984">
        <w:tblPrEx>
          <w:tblCellMar>
            <w:top w:w="0" w:type="dxa"/>
            <w:left w:w="108" w:type="dxa"/>
            <w:bottom w:w="0" w:type="dxa"/>
            <w:right w:w="108" w:type="dxa"/>
          </w:tblCellMar>
        </w:tblPrEx>
        <w:trPr>
          <w:trHeight w:val="10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7E72029">
            <w:pPr>
              <w:spacing w:line="360" w:lineRule="auto"/>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w:t>
            </w:r>
          </w:p>
        </w:tc>
        <w:tc>
          <w:tcPr>
            <w:tcW w:w="1179" w:type="dxa"/>
            <w:tcBorders>
              <w:top w:val="single" w:color="auto" w:sz="4" w:space="0"/>
              <w:left w:val="single" w:color="auto" w:sz="4" w:space="0"/>
              <w:bottom w:val="single" w:color="auto" w:sz="4" w:space="0"/>
              <w:right w:val="single" w:color="auto" w:sz="4" w:space="0"/>
            </w:tcBorders>
            <w:vAlign w:val="center"/>
          </w:tcPr>
          <w:p w14:paraId="7C7B22EC">
            <w:pPr>
              <w:spacing w:line="360" w:lineRule="auto"/>
              <w:jc w:val="center"/>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合理化建议（3分）</w:t>
            </w:r>
          </w:p>
        </w:tc>
        <w:tc>
          <w:tcPr>
            <w:tcW w:w="7953" w:type="dxa"/>
            <w:tcBorders>
              <w:top w:val="single" w:color="000000" w:sz="6" w:space="0"/>
              <w:left w:val="single" w:color="auto" w:sz="4" w:space="0"/>
              <w:bottom w:val="single" w:color="000000" w:sz="6" w:space="0"/>
              <w:right w:val="single" w:color="auto" w:sz="4" w:space="0"/>
            </w:tcBorders>
          </w:tcPr>
          <w:p w14:paraId="68B92DAE">
            <w:pPr>
              <w:spacing w:line="360" w:lineRule="auto"/>
              <w:rPr>
                <w:rFonts w:hint="default" w:ascii="宋体" w:hAnsi="宋体" w:eastAsia="宋体"/>
                <w:color w:val="auto"/>
                <w:sz w:val="24"/>
                <w:lang w:val="en-US" w:eastAsia="zh-CN"/>
              </w:rPr>
            </w:pPr>
            <w:r>
              <w:rPr>
                <w:rFonts w:hint="eastAsia" w:ascii="宋体" w:hAnsi="宋体"/>
                <w:color w:val="auto"/>
                <w:sz w:val="24"/>
                <w:lang w:val="en-US" w:eastAsia="zh-CN"/>
              </w:rPr>
              <w:t>针对本项目提出合理化建议，</w:t>
            </w:r>
            <w:r>
              <w:rPr>
                <w:rFonts w:hint="eastAsia" w:ascii="宋体" w:hAnsi="宋体" w:cs="楷体"/>
                <w:color w:val="auto"/>
                <w:sz w:val="24"/>
              </w:rPr>
              <w:t>综合考核投标人所提出合理化建议是否全面、提供的实施建议方案是否切实可行等，逐项详细说明的计</w:t>
            </w:r>
            <w:r>
              <w:rPr>
                <w:rFonts w:hint="eastAsia" w:ascii="宋体" w:hAnsi="宋体" w:cs="楷体"/>
                <w:color w:val="auto"/>
                <w:sz w:val="24"/>
                <w:lang w:val="en-US" w:eastAsia="zh-CN"/>
              </w:rPr>
              <w:t>3</w:t>
            </w:r>
            <w:r>
              <w:rPr>
                <w:rFonts w:hint="eastAsia" w:ascii="宋体" w:hAnsi="宋体" w:cs="楷体"/>
                <w:color w:val="auto"/>
                <w:sz w:val="24"/>
              </w:rPr>
              <w:t>分，未做详细响应的，按响应程度计 0-</w:t>
            </w:r>
            <w:r>
              <w:rPr>
                <w:rFonts w:hint="eastAsia" w:ascii="宋体" w:hAnsi="宋体" w:cs="楷体"/>
                <w:color w:val="auto"/>
                <w:sz w:val="24"/>
                <w:lang w:val="en-US" w:eastAsia="zh-CN"/>
              </w:rPr>
              <w:t>2</w:t>
            </w:r>
            <w:r>
              <w:rPr>
                <w:rFonts w:hint="eastAsia" w:ascii="宋体" w:hAnsi="宋体" w:cs="楷体"/>
                <w:color w:val="auto"/>
                <w:sz w:val="24"/>
              </w:rPr>
              <w:t>分。</w:t>
            </w:r>
          </w:p>
        </w:tc>
      </w:tr>
    </w:tbl>
    <w:p w14:paraId="5A836FF0">
      <w:pPr>
        <w:spacing w:line="360" w:lineRule="auto"/>
        <w:rPr>
          <w:rFonts w:cs="宋体" w:asciiTheme="minorEastAsia" w:hAnsiTheme="minorEastAsia" w:eastAsiaTheme="minorEastAsia"/>
          <w:bCs/>
          <w:color w:val="auto"/>
          <w:sz w:val="24"/>
          <w:szCs w:val="24"/>
        </w:rPr>
      </w:pPr>
      <w:r>
        <w:rPr>
          <w:rFonts w:hint="eastAsia" w:cs="宋体" w:asciiTheme="minorEastAsia" w:hAnsiTheme="minorEastAsia" w:eastAsiaTheme="minorEastAsia"/>
          <w:b/>
          <w:bCs/>
          <w:color w:val="auto"/>
          <w:sz w:val="24"/>
          <w:szCs w:val="24"/>
        </w:rPr>
        <w:t>备注</w:t>
      </w:r>
      <w:r>
        <w:rPr>
          <w:rFonts w:hint="eastAsia" w:cs="宋体" w:asciiTheme="minorEastAsia" w:hAnsiTheme="minorEastAsia" w:eastAsiaTheme="minorEastAsia"/>
          <w:bCs/>
          <w:color w:val="auto"/>
          <w:sz w:val="24"/>
          <w:szCs w:val="24"/>
        </w:rPr>
        <w:t>：</w:t>
      </w:r>
    </w:p>
    <w:p w14:paraId="13A34A95">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1.</w:t>
      </w:r>
      <w:r>
        <w:rPr>
          <w:rFonts w:hint="eastAsia" w:ascii="宋体" w:hAnsi="宋体" w:cs="宋体"/>
          <w:bCs/>
          <w:color w:val="auto"/>
          <w:sz w:val="24"/>
          <w:szCs w:val="24"/>
        </w:rPr>
        <w:t>以上各项打分均由评标委员会独立评分，评分相邻两档之间的得分，归属于较低一档</w:t>
      </w:r>
      <w:r>
        <w:rPr>
          <w:rFonts w:hint="eastAsia" w:ascii="宋体" w:hAnsi="宋体" w:cs="宋体"/>
          <w:bCs/>
          <w:color w:val="auto"/>
          <w:sz w:val="24"/>
          <w:szCs w:val="24"/>
          <w:lang w:eastAsia="zh-CN"/>
        </w:rPr>
        <w:t>，</w:t>
      </w:r>
      <w:r>
        <w:rPr>
          <w:rFonts w:hint="eastAsia" w:ascii="宋体" w:hAnsi="宋体" w:cs="宋体"/>
          <w:bCs/>
          <w:color w:val="auto"/>
          <w:sz w:val="24"/>
          <w:szCs w:val="24"/>
        </w:rPr>
        <w:t>两档之间可取小数点进行打分，按评审后综合得分由高到低推荐一至三名中标候选人。</w:t>
      </w:r>
    </w:p>
    <w:p w14:paraId="243F0FCE">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2.</w:t>
      </w:r>
      <w:r>
        <w:rPr>
          <w:rFonts w:hint="eastAsia" w:ascii="宋体" w:hAnsi="宋体" w:cs="宋体"/>
          <w:bCs/>
          <w:color w:val="auto"/>
          <w:sz w:val="24"/>
          <w:szCs w:val="24"/>
        </w:rPr>
        <w:t>对于非专门面向中小企业的项目，对小型和微型企业产品的价格给予10%的扣除，用扣除后的价格参与评审；</w:t>
      </w:r>
    </w:p>
    <w:p w14:paraId="3126D33C">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3.</w:t>
      </w:r>
      <w:r>
        <w:rPr>
          <w:rFonts w:hint="eastAsia" w:ascii="宋体" w:hAnsi="宋体" w:cs="宋体"/>
          <w:bCs/>
          <w:color w:val="auto"/>
          <w:sz w:val="24"/>
          <w:szCs w:val="24"/>
        </w:rPr>
        <w:t>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6CEA47C6">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4.</w:t>
      </w:r>
      <w:r>
        <w:rPr>
          <w:rFonts w:hint="eastAsia" w:ascii="宋体" w:hAnsi="宋体" w:cs="宋体"/>
          <w:bCs/>
          <w:color w:val="auto"/>
          <w:sz w:val="24"/>
          <w:szCs w:val="24"/>
        </w:rPr>
        <w:t>《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23B313D5">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5.</w:t>
      </w:r>
      <w:r>
        <w:rPr>
          <w:rFonts w:hint="eastAsia" w:ascii="宋体" w:hAnsi="宋体" w:cs="宋体"/>
          <w:bCs/>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266FCE">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6.</w:t>
      </w:r>
      <w:r>
        <w:rPr>
          <w:rFonts w:hint="eastAsia" w:ascii="宋体" w:hAnsi="宋体" w:cs="宋体"/>
          <w:bCs/>
          <w:color w:val="auto"/>
          <w:sz w:val="24"/>
          <w:szCs w:val="24"/>
        </w:rPr>
        <w:t>若出现综合得分并列时，按投标报价由低到高顺序排列。得分且投标报价相同的并列。投标文件满足</w:t>
      </w:r>
      <w:r>
        <w:rPr>
          <w:rFonts w:hint="eastAsia" w:ascii="宋体" w:hAnsi="宋体" w:cs="宋体"/>
          <w:bCs/>
          <w:color w:val="auto"/>
          <w:sz w:val="24"/>
          <w:szCs w:val="24"/>
          <w:lang w:eastAsia="zh-CN"/>
        </w:rPr>
        <w:t>磋商文件</w:t>
      </w:r>
      <w:r>
        <w:rPr>
          <w:rFonts w:hint="eastAsia" w:ascii="宋体" w:hAnsi="宋体" w:cs="宋体"/>
          <w:bCs/>
          <w:color w:val="auto"/>
          <w:sz w:val="24"/>
          <w:szCs w:val="24"/>
        </w:rPr>
        <w:t>全部实质性要求，且按照评审因素的量化指标评审得分最高的投标人为排名第一的中标候选人。</w:t>
      </w:r>
    </w:p>
    <w:bookmarkEnd w:id="139"/>
    <w:p w14:paraId="1CD68C26">
      <w:pPr>
        <w:pStyle w:val="4"/>
        <w:pageBreakBefore/>
        <w:numPr>
          <w:ilvl w:val="0"/>
          <w:numId w:val="6"/>
        </w:numPr>
        <w:rPr>
          <w:rFonts w:ascii="宋体" w:hAnsi="宋体" w:cs="宋体"/>
          <w:color w:val="auto"/>
        </w:rPr>
      </w:pPr>
      <w:bookmarkStart w:id="140" w:name="_Toc11325"/>
      <w:bookmarkStart w:id="141" w:name="_Toc15647"/>
      <w:bookmarkStart w:id="142" w:name="_Toc6835"/>
      <w:r>
        <w:rPr>
          <w:rFonts w:hint="eastAsia" w:ascii="宋体" w:hAnsi="宋体" w:cs="宋体"/>
          <w:color w:val="auto"/>
        </w:rPr>
        <w:t>采购内容及要求</w:t>
      </w:r>
      <w:bookmarkEnd w:id="140"/>
    </w:p>
    <w:p w14:paraId="697264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rPr>
          <w:rFonts w:hint="default" w:ascii="宋体" w:hAnsi="宋体" w:cs="宋体"/>
          <w:color w:val="auto"/>
          <w:kern w:val="0"/>
          <w:sz w:val="24"/>
          <w:szCs w:val="24"/>
          <w:lang w:val="en-US" w:eastAsia="zh-CN" w:bidi="ar"/>
        </w:rPr>
      </w:pPr>
      <w:bookmarkStart w:id="143" w:name="_Toc21652"/>
      <w:bookmarkStart w:id="144" w:name="_Toc10286"/>
      <w:bookmarkStart w:id="145" w:name="_Toc536202391"/>
      <w:bookmarkStart w:id="146" w:name="_Toc536429384"/>
      <w:bookmarkStart w:id="147" w:name="_Toc536202322"/>
      <w:bookmarkStart w:id="148" w:name="_Toc536429331"/>
      <w:bookmarkStart w:id="149" w:name="_Toc19543347"/>
      <w:r>
        <w:rPr>
          <w:rFonts w:hint="eastAsia" w:ascii="宋体" w:hAnsi="宋体"/>
          <w:b/>
          <w:sz w:val="24"/>
        </w:rPr>
        <w:t>一、</w:t>
      </w:r>
      <w:r>
        <w:rPr>
          <w:rFonts w:hint="eastAsia" w:hAnsi="宋体"/>
          <w:b/>
          <w:sz w:val="24"/>
          <w:lang w:val="en-US" w:eastAsia="zh-CN"/>
        </w:rPr>
        <w:t>采购</w:t>
      </w:r>
      <w:r>
        <w:rPr>
          <w:rFonts w:hint="eastAsia" w:ascii="宋体" w:hAnsi="宋体"/>
          <w:b/>
          <w:sz w:val="24"/>
        </w:rPr>
        <w:t>内容：</w:t>
      </w:r>
      <w:r>
        <w:rPr>
          <w:rFonts w:hint="eastAsia" w:ascii="宋体" w:hAnsi="宋体"/>
          <w:b w:val="0"/>
          <w:bCs/>
          <w:sz w:val="24"/>
          <w:lang w:eastAsia="zh-CN"/>
        </w:rPr>
        <w:t>安康市中医医院高新分院夏季空调维保服务采购项目（二次）</w:t>
      </w:r>
      <w:r>
        <w:rPr>
          <w:rFonts w:hint="default" w:ascii="宋体" w:hAnsi="宋体" w:eastAsia="宋体" w:cs="宋体"/>
          <w:color w:val="auto"/>
          <w:kern w:val="0"/>
          <w:sz w:val="24"/>
          <w:szCs w:val="24"/>
          <w:lang w:val="en-US" w:eastAsia="zh-CN" w:bidi="ar"/>
        </w:rPr>
        <w:t>，现需要专业的维保公司对</w:t>
      </w:r>
      <w:r>
        <w:rPr>
          <w:rFonts w:hint="eastAsia" w:ascii="宋体" w:hAnsi="宋体" w:eastAsia="宋体" w:cs="宋体"/>
          <w:color w:val="auto"/>
          <w:kern w:val="0"/>
          <w:sz w:val="24"/>
          <w:szCs w:val="24"/>
          <w:lang w:val="en-US" w:eastAsia="zh-CN" w:bidi="ar"/>
        </w:rPr>
        <w:t>中央空调系统</w:t>
      </w:r>
      <w:r>
        <w:rPr>
          <w:rFonts w:hint="default" w:ascii="宋体" w:hAnsi="宋体" w:eastAsia="宋体" w:cs="宋体"/>
          <w:color w:val="auto"/>
          <w:kern w:val="0"/>
          <w:sz w:val="24"/>
          <w:szCs w:val="24"/>
          <w:lang w:val="en-US" w:eastAsia="zh-CN" w:bidi="ar"/>
        </w:rPr>
        <w:t>设</w:t>
      </w:r>
      <w:r>
        <w:rPr>
          <w:rFonts w:hint="default" w:ascii="宋体" w:hAnsi="宋体" w:cs="宋体"/>
          <w:color w:val="auto"/>
          <w:kern w:val="0"/>
          <w:sz w:val="24"/>
          <w:szCs w:val="24"/>
          <w:lang w:val="en-US" w:eastAsia="zh-CN" w:bidi="ar"/>
        </w:rPr>
        <w:t>备进行维护保养</w:t>
      </w:r>
      <w:r>
        <w:rPr>
          <w:rFonts w:hint="eastAsia" w:ascii="宋体" w:hAnsi="宋体" w:cs="宋体"/>
          <w:color w:val="auto"/>
          <w:kern w:val="0"/>
          <w:sz w:val="24"/>
          <w:szCs w:val="24"/>
          <w:lang w:val="en-US" w:eastAsia="zh-CN" w:bidi="ar"/>
        </w:rPr>
        <w:t>、</w:t>
      </w:r>
      <w:r>
        <w:rPr>
          <w:rFonts w:hint="default" w:ascii="宋体" w:hAnsi="宋体" w:cs="宋体"/>
          <w:color w:val="auto"/>
          <w:kern w:val="0"/>
          <w:sz w:val="24"/>
          <w:szCs w:val="24"/>
          <w:lang w:val="en-US" w:eastAsia="zh-CN" w:bidi="ar"/>
        </w:rPr>
        <w:t>定期检修</w:t>
      </w:r>
      <w:r>
        <w:rPr>
          <w:rFonts w:hint="eastAsia" w:ascii="宋体" w:hAnsi="宋体" w:cs="宋体"/>
          <w:color w:val="auto"/>
          <w:kern w:val="0"/>
          <w:sz w:val="24"/>
          <w:szCs w:val="24"/>
          <w:lang w:val="en-US" w:eastAsia="zh-CN" w:bidi="ar"/>
        </w:rPr>
        <w:t>、日常巡检（详见主要设备明细表），</w:t>
      </w:r>
      <w:r>
        <w:rPr>
          <w:rFonts w:hint="default" w:ascii="宋体" w:hAnsi="宋体" w:cs="宋体"/>
          <w:color w:val="auto"/>
          <w:kern w:val="0"/>
          <w:sz w:val="24"/>
          <w:szCs w:val="24"/>
          <w:lang w:val="en-US" w:eastAsia="zh-CN" w:bidi="ar"/>
        </w:rPr>
        <w:t>保证空调开机正常运行。</w:t>
      </w:r>
      <w:r>
        <w:rPr>
          <w:rFonts w:hint="eastAsia" w:ascii="宋体" w:hAnsi="宋体" w:eastAsia="宋体" w:cs="宋体"/>
          <w:color w:val="auto"/>
          <w:kern w:val="0"/>
          <w:sz w:val="24"/>
          <w:szCs w:val="24"/>
          <w:lang w:val="en-US" w:eastAsia="zh-CN" w:bidi="ar"/>
        </w:rPr>
        <w:t>中央空调</w:t>
      </w:r>
      <w:r>
        <w:rPr>
          <w:rFonts w:hint="eastAsia" w:ascii="宋体" w:hAnsi="宋体" w:cs="宋体"/>
          <w:color w:val="auto"/>
          <w:kern w:val="0"/>
          <w:sz w:val="24"/>
          <w:szCs w:val="24"/>
          <w:lang w:val="en-US" w:eastAsia="zh-CN" w:bidi="ar"/>
        </w:rPr>
        <w:t>主机大保养材料及人工</w:t>
      </w:r>
      <w:r>
        <w:rPr>
          <w:rFonts w:hint="default" w:ascii="宋体" w:hAnsi="宋体" w:cs="宋体"/>
          <w:color w:val="auto"/>
          <w:kern w:val="0"/>
          <w:sz w:val="24"/>
          <w:szCs w:val="24"/>
          <w:lang w:val="en-US" w:eastAsia="zh-CN" w:bidi="ar"/>
        </w:rPr>
        <w:t>包含在维保合同内</w:t>
      </w:r>
      <w:r>
        <w:rPr>
          <w:rFonts w:hint="eastAsia" w:ascii="宋体" w:hAnsi="宋体" w:cs="宋体"/>
          <w:color w:val="auto"/>
          <w:kern w:val="0"/>
          <w:sz w:val="24"/>
          <w:szCs w:val="24"/>
          <w:lang w:val="en-US" w:eastAsia="zh-CN" w:bidi="ar"/>
        </w:rPr>
        <w:t>。</w:t>
      </w:r>
    </w:p>
    <w:p w14:paraId="43C34896">
      <w:pPr>
        <w:pStyle w:val="113"/>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rPr>
      </w:pPr>
      <w:r>
        <w:rPr>
          <w:rFonts w:hint="eastAsia" w:ascii="宋体" w:hAnsi="宋体"/>
          <w:b/>
          <w:sz w:val="24"/>
          <w:lang w:val="en-US" w:eastAsia="zh-CN"/>
        </w:rPr>
        <w:t>二</w:t>
      </w:r>
      <w:r>
        <w:rPr>
          <w:rFonts w:hint="eastAsia" w:ascii="宋体" w:hAnsi="宋体"/>
          <w:b/>
          <w:sz w:val="24"/>
        </w:rPr>
        <w:t>、主要设备明细：</w:t>
      </w:r>
    </w:p>
    <w:tbl>
      <w:tblPr>
        <w:tblStyle w:val="35"/>
        <w:tblW w:w="977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28"/>
        <w:gridCol w:w="1695"/>
        <w:gridCol w:w="697"/>
        <w:gridCol w:w="735"/>
        <w:gridCol w:w="4803"/>
        <w:gridCol w:w="1018"/>
      </w:tblGrid>
      <w:tr w14:paraId="39EAD5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3" w:hRule="atLeast"/>
          <w:jc w:val="center"/>
        </w:trPr>
        <w:tc>
          <w:tcPr>
            <w:tcW w:w="9776" w:type="dxa"/>
            <w:gridSpan w:val="6"/>
            <w:tcBorders>
              <w:top w:val="single" w:color="000000" w:sz="4" w:space="0"/>
              <w:left w:val="single" w:color="000000" w:sz="4" w:space="0"/>
              <w:bottom w:val="single" w:color="000000" w:sz="4" w:space="0"/>
              <w:right w:val="single" w:color="000000" w:sz="4" w:space="0"/>
            </w:tcBorders>
            <w:noWrap w:val="0"/>
            <w:vAlign w:val="center"/>
          </w:tcPr>
          <w:p w14:paraId="104C75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中央空调</w:t>
            </w:r>
            <w:r>
              <w:rPr>
                <w:rFonts w:hint="eastAsia" w:ascii="宋体" w:hAnsi="宋体" w:eastAsia="宋体" w:cs="宋体"/>
                <w:sz w:val="21"/>
                <w:szCs w:val="21"/>
              </w:rPr>
              <w:t>制冷系统主要设备表</w:t>
            </w:r>
          </w:p>
        </w:tc>
      </w:tr>
      <w:tr w14:paraId="369FB10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3"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E682C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E37F2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设备名称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9F8E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5EF1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6489BE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技术参数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E12B5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0EB487A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3"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66CB57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6494DD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降膜式水冷螺杆机组</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4FEF7B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97AC5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4FCB03B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LSBLG2050 制冷量：2050KW，功率：352KW，冷冻水量：353m3／h，冷却水量：413m3／h</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87984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贝莱特</w:t>
            </w:r>
          </w:p>
        </w:tc>
      </w:tr>
      <w:tr w14:paraId="26593A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3"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C4C928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F966E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超低噪声型方形横流冷却塔</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718362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D264AD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017673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超低噪声型横流玻璃钢冷却塔CDBHZ2-500流量：452m3／h 电机功率：12kw 运行重量：13070kg</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7867DC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一台拖4个，共12个</w:t>
            </w:r>
          </w:p>
        </w:tc>
      </w:tr>
      <w:tr w14:paraId="5070820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77"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B584A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D70952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冷却水循环泵</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8C23EA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3819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0A3532E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型号：HQ300-315A 功率：75KW 重量：1240kg 流程：450m3／h  扬程：28m（暂定）型号：HQ200-315（1） 功率：55KW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C203D9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三用一备</w:t>
            </w:r>
          </w:p>
        </w:tc>
      </w:tr>
      <w:tr w14:paraId="0DA6B66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40"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D41E4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D44247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低区冷冻水循环泵</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580BDD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8D6FD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C800F1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功率55KW   流程：400m3／h  扬程：32m</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4B1274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三用一备</w:t>
            </w:r>
          </w:p>
        </w:tc>
      </w:tr>
      <w:tr w14:paraId="5ACCB96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77"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9B636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2450C7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高区冷冻水循环泵</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D413F7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F82FB5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501F8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功率55KW  流程：300m3／h 扬程：35m</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120E9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二用一备</w:t>
            </w:r>
          </w:p>
        </w:tc>
      </w:tr>
      <w:tr w14:paraId="4304BF8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6"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FF302E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9F5301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分、集水器</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501691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C18E1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0399B6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L=4320 D=800 Q=1100m3/h</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C284E8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2BD768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6"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363960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E50C6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主楼高区板式换热器</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DC3FD7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E4E5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0EDBAD7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3000KW</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3AE5FA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518D093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3"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35522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761DC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系统板式换热器</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0E428E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A897F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34A58B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2500KW</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7EB3D0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4BC84D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99"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DF890A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341DC5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定压补水装置</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0A71AF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47A0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57FD4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QWNGS-1200/0.6定压罐直径1200，补水流量8m3／h，扬程38m，水泵功率1.5kw／台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5008B2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0FFC037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32"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FCF42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0C1AEE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主楼定压补水装置</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0A3A04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527194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141BA3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QWNGS-1200/1.6定压罐直径1200，补水流量6m3／h，扬程116m，水泵功率3kw／台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E4A55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103228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3"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7F1AA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6357B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软化水设备</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6F152BD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DD2EB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63121E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QWRS-15-20-T</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68A899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21D7F36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A5DB4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6A7FC9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软水箱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6FBB4EF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23613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6E7270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2000x2000x3000 体积：12m3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1D0F4A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66D7665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ED5D8E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C0AFDF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全程水处理器</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660902B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CC9EF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41D6962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DN500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B8707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084946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E8886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678C59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压差定压装置</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6CD14CD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4510D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1A3B68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DN200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BDC9ED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6A09711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3"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FBB317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0099C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主楼压差定压装置</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50DF0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169FCE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4E43E2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DN250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BB78A7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13862D3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3"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3B027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59E3D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风机盘管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7A17D98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337B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850</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E32818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FP51 WA - FP 136WA各型号</w:t>
            </w:r>
          </w:p>
        </w:tc>
        <w:tc>
          <w:tcPr>
            <w:tcW w:w="1018" w:type="dxa"/>
            <w:vMerge w:val="restart"/>
            <w:tcBorders>
              <w:top w:val="single" w:color="000000" w:sz="4" w:space="0"/>
              <w:left w:val="single" w:color="000000" w:sz="4" w:space="0"/>
              <w:right w:val="single" w:color="000000" w:sz="4" w:space="0"/>
            </w:tcBorders>
            <w:noWrap w:val="0"/>
            <w:vAlign w:val="center"/>
          </w:tcPr>
          <w:p w14:paraId="3649E8D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1-26层</w:t>
            </w:r>
          </w:p>
        </w:tc>
      </w:tr>
      <w:tr w14:paraId="7231156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3"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3CE1E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8B7E85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新风机组</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81C78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1926A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58台</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4FB8913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吊顶式</w:t>
            </w:r>
          </w:p>
        </w:tc>
        <w:tc>
          <w:tcPr>
            <w:tcW w:w="1018" w:type="dxa"/>
            <w:vMerge w:val="continue"/>
            <w:tcBorders>
              <w:left w:val="single" w:color="000000" w:sz="4" w:space="0"/>
              <w:right w:val="single" w:color="000000" w:sz="4" w:space="0"/>
            </w:tcBorders>
            <w:noWrap w:val="0"/>
            <w:vAlign w:val="center"/>
          </w:tcPr>
          <w:p w14:paraId="394B7C1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1E907E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3"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736AC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F0022B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各类风口</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159ECB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9BC2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2200</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410A28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新风口、送风口、回风口、排风口、排烟口清洗消毒</w:t>
            </w:r>
          </w:p>
        </w:tc>
        <w:tc>
          <w:tcPr>
            <w:tcW w:w="1018" w:type="dxa"/>
            <w:tcBorders>
              <w:left w:val="single" w:color="000000" w:sz="4" w:space="0"/>
              <w:bottom w:val="single" w:color="000000" w:sz="4" w:space="0"/>
              <w:right w:val="single" w:color="000000" w:sz="4" w:space="0"/>
            </w:tcBorders>
            <w:noWrap w:val="0"/>
            <w:vAlign w:val="center"/>
          </w:tcPr>
          <w:p w14:paraId="07A523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bl>
    <w:p w14:paraId="64F71EF2">
      <w:pPr>
        <w:pStyle w:val="113"/>
        <w:keepNext w:val="0"/>
        <w:keepLines w:val="0"/>
        <w:pageBreakBefore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三、设备保养内容</w:t>
      </w:r>
    </w:p>
    <w:p w14:paraId="41E0306B">
      <w:pPr>
        <w:pStyle w:val="113"/>
        <w:keepNext w:val="0"/>
        <w:keepLines w:val="0"/>
        <w:pageBreakBefore w:val="0"/>
        <w:numPr>
          <w:ilvl w:val="0"/>
          <w:numId w:val="0"/>
        </w:numPr>
        <w:kinsoku/>
        <w:wordWrap/>
        <w:overflowPunct/>
        <w:topLinePunct w:val="0"/>
        <w:autoSpaceDE/>
        <w:autoSpaceDN/>
        <w:bidi w:val="0"/>
        <w:adjustRightInd/>
        <w:snapToGrid/>
        <w:spacing w:line="360" w:lineRule="auto"/>
        <w:ind w:left="479" w:leftChars="228" w:right="0" w:rightChars="0" w:firstLine="0" w:firstLineChars="0"/>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.末端</w:t>
      </w:r>
      <w:r>
        <w:rPr>
          <w:rFonts w:hint="eastAsia" w:ascii="宋体" w:hAnsi="宋体"/>
          <w:color w:val="000000" w:themeColor="text1"/>
          <w:sz w:val="24"/>
          <w14:textFill>
            <w14:solidFill>
              <w14:schemeClr w14:val="tx1"/>
            </w14:solidFill>
          </w14:textFill>
        </w:rPr>
        <w:t>风机盘管</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新风机组</w:t>
      </w:r>
      <w:r>
        <w:rPr>
          <w:rFonts w:hint="eastAsia" w:ascii="宋体" w:hAnsi="宋体"/>
          <w:color w:val="000000" w:themeColor="text1"/>
          <w:sz w:val="24"/>
          <w14:textFill>
            <w14:solidFill>
              <w14:schemeClr w14:val="tx1"/>
            </w14:solidFill>
          </w14:textFill>
        </w:rPr>
        <w:t>的维护保养</w:t>
      </w:r>
      <w:r>
        <w:rPr>
          <w:rFonts w:hint="eastAsia" w:ascii="宋体" w:hAnsi="宋体"/>
          <w:color w:val="000000" w:themeColor="text1"/>
          <w:sz w:val="24"/>
          <w:lang w:eastAsia="zh-CN"/>
          <w14:textFill>
            <w14:solidFill>
              <w14:schemeClr w14:val="tx1"/>
            </w14:solidFill>
          </w14:textFill>
        </w:rPr>
        <w:t>：</w:t>
      </w:r>
    </w:p>
    <w:p w14:paraId="437D1EB3">
      <w:pPr>
        <w:pStyle w:val="113"/>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 xml:space="preserve"> 包括接水盘、盘管翅片</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空气过滤网清洗</w:t>
      </w:r>
      <w:r>
        <w:rPr>
          <w:rFonts w:hint="eastAsia" w:ascii="宋体" w:hAnsi="宋体"/>
          <w:color w:val="000000" w:themeColor="text1"/>
          <w:sz w:val="24"/>
          <w:lang w:val="en-US" w:eastAsia="zh-CN"/>
          <w14:textFill>
            <w14:solidFill>
              <w14:schemeClr w14:val="tx1"/>
            </w14:solidFill>
          </w14:textFill>
        </w:rPr>
        <w:t>消毒，</w:t>
      </w:r>
      <w:r>
        <w:rPr>
          <w:rFonts w:hint="eastAsia" w:ascii="宋体" w:hAnsi="宋体"/>
          <w:color w:val="000000" w:themeColor="text1"/>
          <w:sz w:val="24"/>
          <w14:textFill>
            <w14:solidFill>
              <w14:schemeClr w14:val="tx1"/>
            </w14:solidFill>
          </w14:textFill>
        </w:rPr>
        <w:t>进风百叶、送风口、</w:t>
      </w:r>
      <w:r>
        <w:rPr>
          <w:rFonts w:hint="eastAsia" w:ascii="宋体" w:hAnsi="宋体"/>
          <w:color w:val="000000" w:themeColor="text1"/>
          <w:sz w:val="24"/>
          <w:lang w:val="en-US" w:eastAsia="zh-CN"/>
          <w14:textFill>
            <w14:solidFill>
              <w14:schemeClr w14:val="tx1"/>
            </w14:solidFill>
          </w14:textFill>
        </w:rPr>
        <w:t>回风口等风口</w:t>
      </w:r>
      <w:r>
        <w:rPr>
          <w:rFonts w:hint="eastAsia" w:ascii="宋体" w:hAnsi="宋体"/>
          <w:color w:val="000000" w:themeColor="text1"/>
          <w:sz w:val="24"/>
          <w14:textFill>
            <w14:solidFill>
              <w14:schemeClr w14:val="tx1"/>
            </w14:solidFill>
          </w14:textFill>
        </w:rPr>
        <w:t>清洗</w:t>
      </w:r>
      <w:r>
        <w:rPr>
          <w:rFonts w:hint="eastAsia" w:ascii="宋体" w:hAnsi="宋体"/>
          <w:color w:val="000000" w:themeColor="text1"/>
          <w:sz w:val="24"/>
          <w:lang w:val="en-US" w:eastAsia="zh-CN"/>
          <w14:textFill>
            <w14:solidFill>
              <w14:schemeClr w14:val="tx1"/>
            </w14:solidFill>
          </w14:textFill>
        </w:rPr>
        <w:t>消毒</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以及电磁阀、</w:t>
      </w:r>
      <w:r>
        <w:rPr>
          <w:rFonts w:hint="eastAsia" w:ascii="宋体" w:hAnsi="宋体"/>
          <w:color w:val="000000" w:themeColor="text1"/>
          <w:sz w:val="24"/>
          <w14:textFill>
            <w14:solidFill>
              <w14:schemeClr w14:val="tx1"/>
            </w14:solidFill>
          </w14:textFill>
        </w:rPr>
        <w:t>温控开关、电机、排气等日常维护、检查</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维修</w:t>
      </w:r>
      <w:r>
        <w:rPr>
          <w:rFonts w:hint="eastAsia" w:ascii="宋体" w:hAnsi="宋体"/>
          <w:color w:val="000000" w:themeColor="text1"/>
          <w:sz w:val="24"/>
          <w:lang w:eastAsia="zh-CN"/>
          <w14:textFill>
            <w14:solidFill>
              <w14:schemeClr w14:val="tx1"/>
            </w14:solidFill>
          </w14:textFill>
        </w:rPr>
        <w:t>。</w:t>
      </w:r>
    </w:p>
    <w:p w14:paraId="074EB40A">
      <w:pPr>
        <w:pStyle w:val="113"/>
        <w:keepNext w:val="0"/>
        <w:keepLines w:val="0"/>
        <w:pageBreakBefore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1.2具体要求：免费更换新风机组初效、中效过滤网，对新风机组表冷器清洗消毒，机组内壁、外表、接水盘清洗消毒；对风机盘管冷凝接水盘淤泥清除，检查并调整接水盘、冷凝水管坡度，用专用的清洗济对盘管翅片清洗，清洗叶轮积灰；免费更换坏的电磁阀、温控开关、盘管电机；对所有的</w:t>
      </w:r>
      <w:r>
        <w:rPr>
          <w:rFonts w:hint="eastAsia" w:ascii="宋体" w:hAnsi="宋体"/>
          <w:color w:val="000000" w:themeColor="text1"/>
          <w:sz w:val="24"/>
          <w14:textFill>
            <w14:solidFill>
              <w14:schemeClr w14:val="tx1"/>
            </w14:solidFill>
          </w14:textFill>
        </w:rPr>
        <w:t>送风口、</w:t>
      </w:r>
      <w:r>
        <w:rPr>
          <w:rFonts w:hint="eastAsia" w:ascii="宋体" w:hAnsi="宋体"/>
          <w:color w:val="000000" w:themeColor="text1"/>
          <w:sz w:val="24"/>
          <w:lang w:val="en-US" w:eastAsia="zh-CN"/>
          <w14:textFill>
            <w14:solidFill>
              <w14:schemeClr w14:val="tx1"/>
            </w14:solidFill>
          </w14:textFill>
        </w:rPr>
        <w:t>回风口、排风口、排烟口、过滤网拆下</w:t>
      </w:r>
      <w:r>
        <w:rPr>
          <w:rFonts w:hint="eastAsia" w:ascii="宋体" w:hAnsi="宋体"/>
          <w:color w:val="000000" w:themeColor="text1"/>
          <w:sz w:val="24"/>
          <w14:textFill>
            <w14:solidFill>
              <w14:schemeClr w14:val="tx1"/>
            </w14:solidFill>
          </w14:textFill>
        </w:rPr>
        <w:t>清洗</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消毒、并对叶片角度校正。</w:t>
      </w:r>
    </w:p>
    <w:p w14:paraId="3A1B987B">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冷却塔的维护保养</w:t>
      </w:r>
      <w:r>
        <w:rPr>
          <w:rFonts w:hint="eastAsia" w:ascii="宋体" w:hAnsi="宋体"/>
          <w:color w:val="000000" w:themeColor="text1"/>
          <w:sz w:val="24"/>
          <w:lang w:eastAsia="zh-CN"/>
          <w14:textFill>
            <w14:solidFill>
              <w14:schemeClr w14:val="tx1"/>
            </w14:solidFill>
          </w14:textFill>
        </w:rPr>
        <w:t>：</w:t>
      </w:r>
    </w:p>
    <w:p w14:paraId="262C57B3">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w:t>
      </w:r>
      <w:r>
        <w:rPr>
          <w:rFonts w:hint="eastAsia" w:ascii="宋体" w:hAnsi="宋体"/>
          <w:color w:val="000000" w:themeColor="text1"/>
          <w:sz w:val="24"/>
          <w14:textFill>
            <w14:solidFill>
              <w14:schemeClr w14:val="tx1"/>
            </w14:solidFill>
          </w14:textFill>
        </w:rPr>
        <w:t xml:space="preserve"> 补水系统、水质处理、电机风机的日常维护保养，冷却塔的化学或物理清洗及填料的更换</w:t>
      </w:r>
      <w:r>
        <w:rPr>
          <w:rFonts w:hint="eastAsia" w:ascii="宋体" w:hAnsi="宋体"/>
          <w:color w:val="000000" w:themeColor="text1"/>
          <w:sz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存水盘、外壳、网板清洁或油漆</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以及系统</w:t>
      </w:r>
      <w:r>
        <w:rPr>
          <w:rFonts w:hint="eastAsia" w:hAnsi="宋体"/>
          <w:color w:val="000000" w:themeColor="text1"/>
          <w:sz w:val="24"/>
          <w:szCs w:val="24"/>
          <w14:textFill>
            <w14:solidFill>
              <w14:schemeClr w14:val="tx1"/>
            </w14:solidFill>
          </w14:textFill>
        </w:rPr>
        <w:t>换水</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检查补给水、管路阀门是否正常</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检查水位及浮球控制开关</w:t>
      </w:r>
      <w:r>
        <w:rPr>
          <w:rFonts w:hint="eastAsia" w:hAnsi="宋体"/>
          <w:color w:val="000000" w:themeColor="text1"/>
          <w:sz w:val="24"/>
          <w:szCs w:val="24"/>
          <w:lang w:val="en-US" w:eastAsia="zh-CN"/>
          <w14:textFill>
            <w14:solidFill>
              <w14:schemeClr w14:val="tx1"/>
            </w14:solidFill>
          </w14:textFill>
        </w:rPr>
        <w:t>等日常维护保养。</w:t>
      </w:r>
    </w:p>
    <w:p w14:paraId="5880F119">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themeColor="text1"/>
          <w:sz w:val="24"/>
          <w:lang w:val="en-US" w:eastAsia="zh-CN" w:bidi="ar-SA"/>
          <w14:textFill>
            <w14:solidFill>
              <w14:schemeClr w14:val="tx1"/>
            </w14:solidFill>
          </w14:textFill>
        </w:rPr>
      </w:pPr>
      <w:r>
        <w:rPr>
          <w:rFonts w:hint="eastAsia" w:ascii="宋体" w:hAnsi="宋体" w:eastAsia="宋体" w:cs="Times New Roman"/>
          <w:color w:val="000000" w:themeColor="text1"/>
          <w:sz w:val="24"/>
          <w:lang w:val="en-US" w:eastAsia="zh-CN" w:bidi="ar-SA"/>
          <w14:textFill>
            <w14:solidFill>
              <w14:schemeClr w14:val="tx1"/>
            </w14:solidFill>
          </w14:textFill>
        </w:rPr>
        <w:t>2.2具体要求：冷却塔填料拆解清洗、对严重钙化或破损的填料免费更换，排空集水盘及管道存水，存水盘、外壳、网板的澡类、生物黏泥、泥沙采用专用的杀菌灭藻剂、粘泥剥离剂、除垢清洗剂及物理方式深度清洗；室外管网重新刷红色防锈漆；检查冷却塔补水系统，确保浮球阀等补水装置工作正常；本次维保系统大换水，日常监控水质pH值控制在7.0-8.5；电机风机调效、坏的免费维修。</w:t>
      </w:r>
    </w:p>
    <w:p w14:paraId="5CB5521E">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水管系统的维护保养</w:t>
      </w:r>
      <w:r>
        <w:rPr>
          <w:rFonts w:hint="eastAsia" w:ascii="宋体" w:hAnsi="宋体"/>
          <w:color w:val="000000" w:themeColor="text1"/>
          <w:sz w:val="24"/>
          <w:lang w:eastAsia="zh-CN"/>
          <w14:textFill>
            <w14:solidFill>
              <w14:schemeClr w14:val="tx1"/>
            </w14:solidFill>
          </w14:textFill>
        </w:rPr>
        <w:t>：</w:t>
      </w:r>
    </w:p>
    <w:p w14:paraId="1833004F">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3.1</w:t>
      </w:r>
      <w:r>
        <w:rPr>
          <w:rFonts w:hint="eastAsia" w:ascii="宋体" w:hAnsi="宋体"/>
          <w:color w:val="000000" w:themeColor="text1"/>
          <w:sz w:val="24"/>
          <w14:textFill>
            <w14:solidFill>
              <w14:schemeClr w14:val="tx1"/>
            </w14:solidFill>
          </w14:textFill>
        </w:rPr>
        <w:t>管道防锈刷漆</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水管</w:t>
      </w:r>
      <w:r>
        <w:rPr>
          <w:rFonts w:hint="eastAsia" w:ascii="宋体" w:hAnsi="宋体"/>
          <w:color w:val="000000" w:themeColor="text1"/>
          <w:sz w:val="24"/>
          <w14:textFill>
            <w14:solidFill>
              <w14:schemeClr w14:val="tx1"/>
            </w14:solidFill>
          </w14:textFill>
        </w:rPr>
        <w:t>保温、各种阀门、压力表</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过滤器清洗、主水管路清洗、</w:t>
      </w:r>
      <w:r>
        <w:rPr>
          <w:rFonts w:hint="eastAsia" w:hAnsi="宋体"/>
          <w:color w:val="000000" w:themeColor="text1"/>
          <w:sz w:val="24"/>
          <w:szCs w:val="24"/>
          <w14:textFill>
            <w14:solidFill>
              <w14:schemeClr w14:val="tx1"/>
            </w14:solidFill>
          </w14:textFill>
        </w:rPr>
        <w:t>对系统排气、管道保温</w:t>
      </w:r>
      <w:r>
        <w:rPr>
          <w:rFonts w:hint="eastAsia" w:ascii="宋体" w:hAnsi="宋体"/>
          <w:color w:val="000000" w:themeColor="text1"/>
          <w:sz w:val="24"/>
          <w14:textFill>
            <w14:solidFill>
              <w14:schemeClr w14:val="tx1"/>
            </w14:solidFill>
          </w14:textFill>
        </w:rPr>
        <w:t>等的维护保养、检查</w:t>
      </w:r>
      <w:r>
        <w:rPr>
          <w:rFonts w:hint="eastAsia" w:ascii="宋体" w:hAnsi="宋体"/>
          <w:color w:val="000000" w:themeColor="text1"/>
          <w:sz w:val="24"/>
          <w:lang w:val="en-US" w:eastAsia="zh-CN"/>
          <w14:textFill>
            <w14:solidFill>
              <w14:schemeClr w14:val="tx1"/>
            </w14:solidFill>
          </w14:textFill>
        </w:rPr>
        <w:t>及更换。</w:t>
      </w:r>
    </w:p>
    <w:p w14:paraId="70858230">
      <w:pPr>
        <w:keepNext w:val="0"/>
        <w:keepLines w:val="0"/>
        <w:pageBreakBefore w:val="0"/>
        <w:numPr>
          <w:ilvl w:val="0"/>
          <w:numId w:val="0"/>
        </w:numPr>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Times New Roman"/>
          <w:color w:val="000000" w:themeColor="text1"/>
          <w:sz w:val="24"/>
          <w:lang w:val="en-US" w:eastAsia="zh-CN" w:bidi="ar-SA"/>
          <w14:textFill>
            <w14:solidFill>
              <w14:schemeClr w14:val="tx1"/>
            </w14:solidFill>
          </w14:textFill>
        </w:rPr>
      </w:pPr>
      <w:r>
        <w:rPr>
          <w:rFonts w:hint="eastAsia" w:ascii="宋体" w:hAnsi="宋体" w:eastAsia="宋体" w:cs="Times New Roman"/>
          <w:color w:val="000000" w:themeColor="text1"/>
          <w:sz w:val="24"/>
          <w:lang w:val="en-US" w:eastAsia="zh-CN" w:bidi="ar-SA"/>
          <w14:textFill>
            <w14:solidFill>
              <w14:schemeClr w14:val="tx1"/>
            </w14:solidFill>
          </w14:textFill>
        </w:rPr>
        <w:t>3.2具体要求：室外管网重新刷红色防锈漆；空调机房及管道井的水管保温破损的重新保温；所有的水过滤器拆下清洗结垢物、铁屑、泥沙、生物污泥；对</w:t>
      </w:r>
      <w:r>
        <w:rPr>
          <w:rFonts w:hint="eastAsia" w:ascii="宋体" w:hAnsi="宋体"/>
          <w:color w:val="000000" w:themeColor="text1"/>
          <w:sz w:val="24"/>
          <w14:textFill>
            <w14:solidFill>
              <w14:schemeClr w14:val="tx1"/>
            </w14:solidFill>
          </w14:textFill>
        </w:rPr>
        <w:t>各种阀门、压力表检查</w:t>
      </w:r>
      <w:r>
        <w:rPr>
          <w:rFonts w:hint="eastAsia" w:ascii="宋体" w:hAnsi="宋体"/>
          <w:color w:val="000000" w:themeColor="text1"/>
          <w:sz w:val="24"/>
          <w:lang w:eastAsia="zh-CN"/>
          <w14:textFill>
            <w14:solidFill>
              <w14:schemeClr w14:val="tx1"/>
            </w14:solidFill>
          </w14:textFill>
        </w:rPr>
        <w:t>、坏的</w:t>
      </w:r>
      <w:r>
        <w:rPr>
          <w:rFonts w:hint="eastAsia" w:ascii="宋体" w:hAnsi="宋体"/>
          <w:color w:val="000000" w:themeColor="text1"/>
          <w:sz w:val="24"/>
          <w:lang w:val="en-US" w:eastAsia="zh-CN"/>
          <w14:textFill>
            <w14:solidFill>
              <w14:schemeClr w14:val="tx1"/>
            </w14:solidFill>
          </w14:textFill>
        </w:rPr>
        <w:t>更换。</w:t>
      </w:r>
    </w:p>
    <w:p w14:paraId="63E79EC2">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电机水泵的维护保养</w:t>
      </w:r>
    </w:p>
    <w:p w14:paraId="1CDD5365">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冷却</w:t>
      </w:r>
      <w:r>
        <w:rPr>
          <w:rFonts w:hint="eastAsia"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冷冻泵等与电机的联轴器、填料、轴承加油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水泵维修</w:t>
      </w:r>
      <w:r>
        <w:rPr>
          <w:rFonts w:hint="eastAsia" w:ascii="宋体" w:hAnsi="宋体"/>
          <w:color w:val="000000" w:themeColor="text1"/>
          <w:sz w:val="24"/>
          <w14:textFill>
            <w14:solidFill>
              <w14:schemeClr w14:val="tx1"/>
            </w14:solidFill>
          </w14:textFill>
        </w:rPr>
        <w:t>等，以及电机安检方面维护保养、检查</w:t>
      </w:r>
      <w:r>
        <w:rPr>
          <w:rFonts w:hint="eastAsia" w:ascii="宋体" w:hAnsi="宋体"/>
          <w:color w:val="000000" w:themeColor="text1"/>
          <w:sz w:val="24"/>
          <w:lang w:eastAsia="zh-CN"/>
          <w14:textFill>
            <w14:solidFill>
              <w14:schemeClr w14:val="tx1"/>
            </w14:solidFill>
          </w14:textFill>
        </w:rPr>
        <w:t>、维修。</w:t>
      </w:r>
    </w:p>
    <w:p w14:paraId="3B76EF64">
      <w:pPr>
        <w:keepNext w:val="0"/>
        <w:keepLines w:val="0"/>
        <w:pageBreakBefore w:val="0"/>
        <w:numPr>
          <w:ilvl w:val="0"/>
          <w:numId w:val="8"/>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电控部分的维护保养</w:t>
      </w:r>
    </w:p>
    <w:p w14:paraId="49D52854">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空调设备相关电气、自控部分的日常维护、检查</w:t>
      </w:r>
      <w:r>
        <w:rPr>
          <w:rFonts w:hint="eastAsia" w:hAnsi="宋体"/>
          <w:color w:val="000000" w:themeColor="text1"/>
          <w:sz w:val="24"/>
          <w:lang w:eastAsia="zh-CN"/>
          <w14:textFill>
            <w14:solidFill>
              <w14:schemeClr w14:val="tx1"/>
            </w14:solidFill>
          </w14:textFill>
        </w:rPr>
        <w:t>，更换有问题的电气元件。</w:t>
      </w:r>
    </w:p>
    <w:p w14:paraId="23B1D800">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冷水机组</w:t>
      </w:r>
      <w:r>
        <w:rPr>
          <w:rFonts w:hint="eastAsia" w:ascii="宋体" w:hAnsi="宋体"/>
          <w:color w:val="000000" w:themeColor="text1"/>
          <w:sz w:val="24"/>
          <w:lang w:val="en-US" w:eastAsia="zh-CN"/>
          <w14:textFill>
            <w14:solidFill>
              <w14:schemeClr w14:val="tx1"/>
            </w14:solidFill>
          </w14:textFill>
        </w:rPr>
        <w:t>主机</w:t>
      </w:r>
      <w:r>
        <w:rPr>
          <w:rFonts w:hint="eastAsia" w:ascii="宋体" w:hAnsi="宋体"/>
          <w:color w:val="000000" w:themeColor="text1"/>
          <w:sz w:val="24"/>
          <w14:textFill>
            <w14:solidFill>
              <w14:schemeClr w14:val="tx1"/>
            </w14:solidFill>
          </w14:textFill>
        </w:rPr>
        <w:t>的维护保养</w:t>
      </w:r>
      <w:r>
        <w:rPr>
          <w:rFonts w:hint="eastAsia" w:ascii="宋体" w:hAnsi="宋体"/>
          <w:color w:val="000000" w:themeColor="text1"/>
          <w:sz w:val="24"/>
          <w:lang w:eastAsia="zh-CN"/>
          <w14:textFill>
            <w14:solidFill>
              <w14:schemeClr w14:val="tx1"/>
            </w14:solidFill>
          </w14:textFill>
        </w:rPr>
        <w:t>：</w:t>
      </w:r>
    </w:p>
    <w:p w14:paraId="5E0D1A45">
      <w:pPr>
        <w:pStyle w:val="113"/>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冷水机组</w:t>
      </w:r>
      <w:r>
        <w:rPr>
          <w:rFonts w:hint="eastAsia" w:ascii="宋体" w:hAnsi="宋体"/>
          <w:color w:val="000000" w:themeColor="text1"/>
          <w:sz w:val="24"/>
          <w:lang w:val="en-US" w:eastAsia="zh-CN"/>
          <w14:textFill>
            <w14:solidFill>
              <w14:schemeClr w14:val="tx1"/>
            </w14:solidFill>
          </w14:textFill>
        </w:rPr>
        <w:t>主机大保养：包含更换原装的专用压缩机冷冻油、油滤密封垫片、以及压缩机油枪油路清洗；更换冷媒干燥过滤器、按需添加制冷剂；冷凝器/蒸发器壳管清洗，使用专用的除垢剂循环清洗管道，去除水垢、生物黏泥，并采用通炮工具物理清理，注意避免损伤管壁，对坏的铜管免费更换，清洗后做气密性测试，确保无渗漏；以及机组各个压力及控制点位检查、调试等。</w:t>
      </w:r>
    </w:p>
    <w:p w14:paraId="11241AA2">
      <w:pPr>
        <w:pStyle w:val="113"/>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eastAsia" w:hAnsi="宋体"/>
          <w:color w:val="000000" w:themeColor="text1"/>
          <w:sz w:val="24"/>
          <w:szCs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2）常驻工程师每日</w:t>
      </w:r>
      <w:r>
        <w:rPr>
          <w:rFonts w:hint="eastAsia" w:hAnsi="宋体"/>
          <w:color w:val="000000" w:themeColor="text1"/>
          <w:sz w:val="24"/>
          <w:szCs w:val="24"/>
          <w14:textFill>
            <w14:solidFill>
              <w14:schemeClr w14:val="tx1"/>
            </w14:solidFill>
          </w14:textFill>
        </w:rPr>
        <w:t>检查及记录主机运转时水温、水压、冷媒温度、蒸发器及冷凝器的温度压力及主机电压、电流等。</w:t>
      </w:r>
    </w:p>
    <w:p w14:paraId="6632270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hAnsi="宋体"/>
          <w:sz w:val="24"/>
          <w:szCs w:val="24"/>
        </w:rPr>
      </w:pPr>
      <w:r>
        <w:rPr>
          <w:rFonts w:hint="eastAsia" w:hAnsi="宋体"/>
          <w:color w:val="000000" w:themeColor="text1"/>
          <w:sz w:val="24"/>
          <w:szCs w:val="24"/>
          <w:lang w:val="en-US" w:eastAsia="zh-CN"/>
          <w14:textFill>
            <w14:solidFill>
              <w14:schemeClr w14:val="tx1"/>
            </w14:solidFill>
          </w14:textFill>
        </w:rPr>
        <w:t>3）</w:t>
      </w:r>
      <w:r>
        <w:rPr>
          <w:rFonts w:hint="eastAsia" w:hAnsi="宋体"/>
          <w:color w:val="000000" w:themeColor="text1"/>
          <w:sz w:val="24"/>
          <w:szCs w:val="24"/>
          <w14:textFill>
            <w14:solidFill>
              <w14:schemeClr w14:val="tx1"/>
            </w14:solidFill>
          </w14:textFill>
        </w:rPr>
        <w:t>检查</w:t>
      </w:r>
      <w:r>
        <w:rPr>
          <w:rFonts w:hint="eastAsia" w:hAnsi="宋体"/>
          <w:color w:val="000000" w:themeColor="text1"/>
          <w:sz w:val="24"/>
          <w:szCs w:val="24"/>
          <w:lang w:val="en-US" w:eastAsia="zh-CN"/>
          <w14:textFill>
            <w14:solidFill>
              <w14:schemeClr w14:val="tx1"/>
            </w14:solidFill>
          </w14:textFill>
        </w:rPr>
        <w:t>主机</w:t>
      </w:r>
      <w:r>
        <w:rPr>
          <w:rFonts w:hint="eastAsia" w:hAnsi="宋体"/>
          <w:color w:val="000000" w:themeColor="text1"/>
          <w:sz w:val="24"/>
          <w:szCs w:val="24"/>
          <w14:textFill>
            <w14:solidFill>
              <w14:schemeClr w14:val="tx1"/>
            </w14:solidFill>
          </w14:textFill>
        </w:rPr>
        <w:t>各安全及运转控制器是否正常</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冷媒管路系统是否正常（特别是干燥器、膨胀阀、电磁阀、视窗及各处接头）</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检查冷冻油</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安全放气阀</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油过滤网</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配电动力系统及设备绝缘安</w:t>
      </w:r>
      <w:r>
        <w:rPr>
          <w:rFonts w:hint="eastAsia" w:hAnsi="宋体"/>
          <w:sz w:val="24"/>
          <w:szCs w:val="24"/>
        </w:rPr>
        <w:t>全检查</w:t>
      </w:r>
      <w:r>
        <w:rPr>
          <w:rFonts w:hint="eastAsia" w:hAnsi="宋体"/>
          <w:sz w:val="24"/>
          <w:szCs w:val="24"/>
          <w:lang w:val="en-US" w:eastAsia="zh-CN"/>
        </w:rPr>
        <w:t>等维护保养</w:t>
      </w:r>
      <w:r>
        <w:rPr>
          <w:rFonts w:hint="eastAsia" w:hAnsi="宋体"/>
          <w:sz w:val="24"/>
          <w:szCs w:val="24"/>
        </w:rPr>
        <w:t>。</w:t>
      </w:r>
    </w:p>
    <w:p w14:paraId="62BF2EDD">
      <w:pPr>
        <w:pStyle w:val="2"/>
        <w:keepNext w:val="0"/>
        <w:keepLines w:val="0"/>
        <w:pageBreakBefore w:val="0"/>
        <w:kinsoku/>
        <w:wordWrap/>
        <w:overflowPunct/>
        <w:topLinePunct w:val="0"/>
        <w:autoSpaceDE/>
        <w:autoSpaceDN/>
        <w:bidi w:val="0"/>
        <w:adjustRightInd/>
        <w:snapToGrid/>
        <w:spacing w:after="0"/>
        <w:ind w:left="0" w:leftChars="0" w:right="0" w:rightChars="0" w:firstLine="480" w:firstLineChars="200"/>
        <w:textAlignment w:val="auto"/>
        <w:rPr>
          <w:rFonts w:hint="default" w:eastAsia="宋体"/>
          <w:lang w:val="en-US" w:eastAsia="zh-CN"/>
        </w:rPr>
      </w:pPr>
      <w:r>
        <w:rPr>
          <w:rFonts w:hint="eastAsia" w:hAnsi="宋体"/>
          <w:sz w:val="24"/>
          <w:szCs w:val="24"/>
          <w:lang w:val="en-US" w:eastAsia="zh-CN"/>
        </w:rPr>
        <w:t>4）机组采用的是动态密码，需要设备厂家配合完成设备调试、运行。</w:t>
      </w:r>
    </w:p>
    <w:p w14:paraId="6647D65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default" w:ascii="宋体" w:hAnsi="宋体" w:eastAsia="宋体" w:cs="Times New Roman"/>
          <w:sz w:val="24"/>
          <w:lang w:val="en-US" w:eastAsia="zh-CN" w:bidi="ar-SA"/>
        </w:rPr>
      </w:pPr>
      <w:r>
        <w:rPr>
          <w:rFonts w:hint="eastAsia" w:ascii="宋体" w:hAnsi="宋体" w:cs="Times New Roman"/>
          <w:sz w:val="24"/>
          <w:lang w:val="en-US" w:eastAsia="zh-CN" w:bidi="ar-SA"/>
        </w:rPr>
        <w:t>7.</w:t>
      </w:r>
      <w:r>
        <w:rPr>
          <w:rFonts w:hint="eastAsia" w:ascii="宋体" w:hAnsi="宋体" w:eastAsia="宋体" w:cs="Times New Roman"/>
          <w:sz w:val="24"/>
          <w:lang w:val="en-US" w:eastAsia="zh-CN" w:bidi="ar-SA"/>
        </w:rPr>
        <w:t>维保项目及内容用水印相机拍照，维保过程全程由院方派专人监管，并整理成影像档案供院方保管查阅。</w:t>
      </w:r>
    </w:p>
    <w:p w14:paraId="669D6F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00" w:lineRule="exact"/>
        <w:ind w:left="0" w:right="0" w:rightChars="0" w:firstLine="482" w:firstLineChars="200"/>
        <w:jc w:val="left"/>
        <w:textAlignment w:val="auto"/>
        <w:rPr>
          <w:rFonts w:hint="default"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四、</w:t>
      </w:r>
      <w:r>
        <w:rPr>
          <w:rFonts w:hint="default" w:ascii="宋体" w:hAnsi="宋体" w:cs="宋体"/>
          <w:b/>
          <w:bCs/>
          <w:color w:val="auto"/>
          <w:kern w:val="0"/>
          <w:sz w:val="24"/>
          <w:szCs w:val="24"/>
          <w:lang w:val="en-US" w:eastAsia="zh-CN" w:bidi="ar"/>
        </w:rPr>
        <w:t>保修及保养质量及要求</w:t>
      </w:r>
    </w:p>
    <w:p w14:paraId="3581EE6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w:t>
      </w:r>
      <w:r>
        <w:rPr>
          <w:rFonts w:hint="default" w:ascii="宋体" w:hAnsi="宋体" w:cs="宋体"/>
          <w:color w:val="auto"/>
          <w:kern w:val="0"/>
          <w:sz w:val="24"/>
          <w:szCs w:val="24"/>
          <w:lang w:val="en-US" w:eastAsia="zh-CN" w:bidi="ar"/>
        </w:rPr>
        <w:t>乙方采购的材料、设备必须是合格产品。</w:t>
      </w:r>
    </w:p>
    <w:p w14:paraId="4D35A4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default" w:ascii="宋体" w:hAnsi="宋体" w:cs="宋体"/>
          <w:color w:val="auto"/>
          <w:kern w:val="0"/>
          <w:sz w:val="24"/>
          <w:szCs w:val="24"/>
          <w:lang w:val="en-US" w:eastAsia="zh-CN" w:bidi="ar"/>
        </w:rPr>
        <w:t>在合同期限内，乙方保证</w:t>
      </w:r>
      <w:r>
        <w:rPr>
          <w:rFonts w:hint="eastAsia" w:ascii="宋体" w:hAnsi="宋体"/>
          <w:sz w:val="24"/>
        </w:rPr>
        <w:t>中央空调设备及装置夏季制冷</w:t>
      </w:r>
      <w:r>
        <w:rPr>
          <w:rFonts w:hint="eastAsia" w:hAnsi="宋体"/>
          <w:sz w:val="24"/>
          <w:lang w:val="en-US" w:eastAsia="zh-CN"/>
        </w:rPr>
        <w:t>时</w:t>
      </w:r>
      <w:r>
        <w:rPr>
          <w:rFonts w:hint="eastAsia" w:ascii="宋体" w:hAnsi="宋体"/>
          <w:sz w:val="24"/>
        </w:rPr>
        <w:t>在良好状态下运行</w:t>
      </w:r>
      <w:r>
        <w:rPr>
          <w:rFonts w:hint="default" w:ascii="宋体" w:hAnsi="宋体" w:cs="宋体"/>
          <w:color w:val="auto"/>
          <w:kern w:val="0"/>
          <w:sz w:val="24"/>
          <w:szCs w:val="24"/>
          <w:lang w:val="en-US" w:eastAsia="zh-CN" w:bidi="ar"/>
        </w:rPr>
        <w:t>。</w:t>
      </w:r>
    </w:p>
    <w:p w14:paraId="5A3A44A7">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Ansi="宋体"/>
          <w:b/>
          <w:sz w:val="24"/>
          <w:szCs w:val="24"/>
        </w:rPr>
      </w:pPr>
      <w:r>
        <w:rPr>
          <w:rFonts w:hint="eastAsia" w:hAnsi="宋体"/>
          <w:b/>
          <w:sz w:val="24"/>
          <w:szCs w:val="24"/>
          <w:lang w:val="en-US" w:eastAsia="zh-CN"/>
        </w:rPr>
        <w:t>五</w:t>
      </w:r>
      <w:r>
        <w:rPr>
          <w:rFonts w:hint="eastAsia" w:hAnsi="宋体"/>
          <w:b/>
          <w:sz w:val="24"/>
          <w:szCs w:val="24"/>
        </w:rPr>
        <w:t>、商务要求</w:t>
      </w:r>
    </w:p>
    <w:p w14:paraId="0845C3D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Ansi="宋体"/>
          <w:sz w:val="24"/>
          <w:szCs w:val="24"/>
        </w:rPr>
      </w:pPr>
      <w:r>
        <w:rPr>
          <w:rFonts w:hint="eastAsia" w:hAnsi="宋体"/>
          <w:sz w:val="24"/>
          <w:szCs w:val="24"/>
        </w:rPr>
        <w:t>1</w:t>
      </w:r>
      <w:r>
        <w:rPr>
          <w:rFonts w:hint="eastAsia" w:ascii="宋体" w:hAnsi="宋体" w:cs="宋体"/>
          <w:color w:val="auto"/>
          <w:kern w:val="0"/>
          <w:sz w:val="24"/>
          <w:szCs w:val="24"/>
          <w:lang w:val="en-US" w:eastAsia="zh-CN" w:bidi="ar"/>
        </w:rPr>
        <w:t>.</w:t>
      </w:r>
      <w:r>
        <w:rPr>
          <w:rFonts w:hint="eastAsia" w:ascii="宋体" w:hAnsi="宋体" w:cs="宋体"/>
          <w:color w:val="000000"/>
          <w:kern w:val="0"/>
          <w:sz w:val="24"/>
          <w:szCs w:val="24"/>
          <w:lang w:val="en-US" w:eastAsia="zh-CN" w:bidi="ar"/>
        </w:rPr>
        <w:t>合同履行期</w:t>
      </w:r>
      <w:r>
        <w:rPr>
          <w:rFonts w:hint="eastAsia" w:hAnsi="宋体"/>
          <w:sz w:val="24"/>
          <w:szCs w:val="24"/>
        </w:rPr>
        <w:t>：1个制冷季。</w:t>
      </w:r>
    </w:p>
    <w:p w14:paraId="652BE68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hAnsi="宋体" w:eastAsia="宋体"/>
          <w:sz w:val="24"/>
          <w:szCs w:val="24"/>
        </w:rPr>
      </w:pPr>
      <w:r>
        <w:rPr>
          <w:rFonts w:hint="eastAsia" w:hAnsi="宋体" w:eastAsia="宋体"/>
          <w:sz w:val="24"/>
          <w:szCs w:val="24"/>
        </w:rPr>
        <w:t>2</w:t>
      </w:r>
      <w:r>
        <w:rPr>
          <w:rFonts w:hint="eastAsia" w:ascii="宋体" w:hAnsi="宋体" w:cs="宋体"/>
          <w:color w:val="auto"/>
          <w:kern w:val="0"/>
          <w:sz w:val="24"/>
          <w:szCs w:val="24"/>
          <w:lang w:val="en-US" w:eastAsia="zh-CN" w:bidi="ar"/>
        </w:rPr>
        <w:t>.</w:t>
      </w:r>
      <w:r>
        <w:rPr>
          <w:rFonts w:hint="eastAsia" w:hAnsi="宋体" w:eastAsia="宋体"/>
          <w:sz w:val="24"/>
          <w:szCs w:val="24"/>
        </w:rPr>
        <w:t>合同价款：</w:t>
      </w:r>
      <w:r>
        <w:rPr>
          <w:rFonts w:hint="eastAsia" w:ascii="宋体" w:hAnsi="宋体" w:eastAsia="宋体" w:cs="Times New Roman"/>
          <w:sz w:val="24"/>
          <w:szCs w:val="24"/>
          <w:lang w:val="en-US" w:eastAsia="zh-CN"/>
        </w:rPr>
        <w:t>合同总价即成交价，为一次性报价，不受市场价变化或实际工作量变化的影响。</w:t>
      </w:r>
      <w:r>
        <w:rPr>
          <w:rFonts w:hint="eastAsia" w:hAnsi="宋体" w:eastAsia="宋体"/>
          <w:sz w:val="24"/>
          <w:szCs w:val="24"/>
        </w:rPr>
        <w:t>合同总价包括：维修保养费、人工费</w:t>
      </w:r>
      <w:r>
        <w:rPr>
          <w:rFonts w:hint="eastAsia" w:hAnsi="宋体" w:eastAsia="宋体"/>
          <w:sz w:val="24"/>
          <w:szCs w:val="24"/>
          <w:lang w:eastAsia="zh-CN"/>
        </w:rPr>
        <w:t>、</w:t>
      </w:r>
      <w:r>
        <w:rPr>
          <w:rFonts w:hint="eastAsia" w:hAnsi="宋体" w:eastAsia="宋体"/>
          <w:sz w:val="24"/>
          <w:szCs w:val="24"/>
          <w:lang w:val="en-US" w:eastAsia="zh-CN"/>
        </w:rPr>
        <w:t>冷水机组的大保养</w:t>
      </w:r>
      <w:r>
        <w:rPr>
          <w:rFonts w:hint="eastAsia" w:hAnsi="宋体" w:eastAsia="宋体"/>
          <w:sz w:val="24"/>
          <w:szCs w:val="24"/>
        </w:rPr>
        <w:t>等相关费用。维修配件300元以下由中标公司承担，300元以上由甲方承担，需更换的配件应与院方负责人确认，否则更换的费用由乙方负责。在维护作业期间，如有需维修更换的零部件材料费由乙方报价（报价不高于市场价），院方确认；乙方应先保证质量合格，完工后再向甲方结算，以确保中央空调设备系统正常运行。</w:t>
      </w:r>
    </w:p>
    <w:p w14:paraId="5521A08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3</w:t>
      </w:r>
      <w:r>
        <w:rPr>
          <w:rFonts w:hint="eastAsia" w:ascii="宋体" w:hAnsi="宋体" w:cs="宋体"/>
          <w:color w:val="auto"/>
          <w:kern w:val="0"/>
          <w:sz w:val="24"/>
          <w:szCs w:val="24"/>
          <w:lang w:val="en-US" w:eastAsia="zh-CN" w:bidi="ar"/>
        </w:rPr>
        <w:t>.</w:t>
      </w:r>
      <w:r>
        <w:rPr>
          <w:rFonts w:hint="eastAsia" w:ascii="宋体" w:hAnsi="宋体" w:eastAsia="宋体" w:cs="Times New Roman"/>
          <w:color w:val="auto"/>
          <w:sz w:val="24"/>
          <w:szCs w:val="24"/>
          <w:lang w:val="en-US" w:eastAsia="zh-CN"/>
        </w:rPr>
        <w:t>付款方式：合同签订生效后，主机大保养完成，设备运行正常，甲方验收合格后，支付合同总价款的50%；维保期结束甲方验收合格后，10日内支付剩余的50%合同总价款。</w:t>
      </w:r>
    </w:p>
    <w:p w14:paraId="17A162FC">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六、维修响应时间要求及人员要求</w:t>
      </w:r>
    </w:p>
    <w:p w14:paraId="6AE24123">
      <w:pPr>
        <w:keepNext w:val="0"/>
        <w:keepLines w:val="0"/>
        <w:pageBreakBefore w:val="0"/>
        <w:widowControl w:val="0"/>
        <w:tabs>
          <w:tab w:val="left" w:pos="900"/>
        </w:tabs>
        <w:kinsoku/>
        <w:wordWrap/>
        <w:overflowPunct/>
        <w:topLinePunct w:val="0"/>
        <w:autoSpaceDE/>
        <w:autoSpaceDN/>
        <w:bidi w:val="0"/>
        <w:adjustRightInd/>
        <w:snapToGrid/>
        <w:spacing w:line="360" w:lineRule="auto"/>
        <w:ind w:right="0" w:rightChars="0" w:firstLine="480" w:firstLineChars="200"/>
        <w:textAlignment w:val="auto"/>
        <w:rPr>
          <w:rFonts w:hAnsi="宋体"/>
          <w:sz w:val="24"/>
          <w:szCs w:val="24"/>
        </w:rPr>
      </w:pPr>
      <w:r>
        <w:rPr>
          <w:rFonts w:hint="eastAsia" w:hAnsi="宋体"/>
          <w:sz w:val="24"/>
          <w:szCs w:val="24"/>
        </w:rPr>
        <w:t>1</w:t>
      </w:r>
      <w:r>
        <w:rPr>
          <w:rFonts w:hint="eastAsia" w:ascii="宋体" w:hAnsi="宋体" w:cs="宋体"/>
          <w:color w:val="auto"/>
          <w:kern w:val="0"/>
          <w:sz w:val="24"/>
          <w:szCs w:val="24"/>
          <w:lang w:val="en-US" w:eastAsia="zh-CN" w:bidi="ar"/>
        </w:rPr>
        <w:t>.</w:t>
      </w:r>
      <w:r>
        <w:rPr>
          <w:rFonts w:hint="eastAsia" w:hAnsi="宋体"/>
          <w:sz w:val="24"/>
          <w:szCs w:val="24"/>
          <w:lang w:val="en-US" w:eastAsia="zh-CN"/>
        </w:rPr>
        <w:t>对</w:t>
      </w:r>
      <w:r>
        <w:rPr>
          <w:rFonts w:hint="eastAsia" w:hAnsi="宋体"/>
          <w:sz w:val="24"/>
          <w:szCs w:val="24"/>
        </w:rPr>
        <w:t>不需更换配件的故障，</w:t>
      </w:r>
      <w:r>
        <w:rPr>
          <w:rFonts w:hint="eastAsia" w:hAnsi="宋体"/>
          <w:sz w:val="24"/>
          <w:szCs w:val="24"/>
          <w:lang w:val="en-US" w:eastAsia="zh-CN"/>
        </w:rPr>
        <w:t>5</w:t>
      </w:r>
      <w:r>
        <w:rPr>
          <w:rFonts w:hint="eastAsia" w:hAnsi="宋体"/>
          <w:sz w:val="24"/>
          <w:szCs w:val="24"/>
        </w:rPr>
        <w:t>分钟内到达故障现场，进行故障排查处理。</w:t>
      </w:r>
    </w:p>
    <w:p w14:paraId="005795DC">
      <w:pPr>
        <w:keepNext w:val="0"/>
        <w:keepLines w:val="0"/>
        <w:pageBreakBefore w:val="0"/>
        <w:widowControl w:val="0"/>
        <w:tabs>
          <w:tab w:val="left" w:pos="900"/>
        </w:tabs>
        <w:kinsoku/>
        <w:wordWrap/>
        <w:overflowPunct/>
        <w:topLinePunct w:val="0"/>
        <w:autoSpaceDE/>
        <w:autoSpaceDN/>
        <w:bidi w:val="0"/>
        <w:adjustRightInd/>
        <w:snapToGrid/>
        <w:spacing w:line="360" w:lineRule="auto"/>
        <w:ind w:right="0" w:rightChars="0" w:firstLine="480" w:firstLineChars="200"/>
        <w:textAlignment w:val="auto"/>
        <w:rPr>
          <w:rFonts w:hAnsi="宋体"/>
          <w:sz w:val="24"/>
          <w:szCs w:val="24"/>
        </w:rPr>
      </w:pPr>
      <w:r>
        <w:rPr>
          <w:rFonts w:hint="eastAsia" w:hAnsi="宋体"/>
          <w:sz w:val="24"/>
          <w:szCs w:val="24"/>
        </w:rPr>
        <w:t>2</w:t>
      </w:r>
      <w:r>
        <w:rPr>
          <w:rFonts w:hint="eastAsia" w:ascii="宋体" w:hAnsi="宋体" w:cs="宋体"/>
          <w:color w:val="auto"/>
          <w:kern w:val="0"/>
          <w:sz w:val="24"/>
          <w:szCs w:val="24"/>
          <w:lang w:val="en-US" w:eastAsia="zh-CN" w:bidi="ar"/>
        </w:rPr>
        <w:t>.</w:t>
      </w:r>
      <w:r>
        <w:rPr>
          <w:rFonts w:hint="eastAsia" w:hAnsi="宋体"/>
          <w:sz w:val="24"/>
          <w:szCs w:val="24"/>
        </w:rPr>
        <w:t>对需要更换配件的故障：</w:t>
      </w:r>
    </w:p>
    <w:p w14:paraId="2B458D6D">
      <w:pPr>
        <w:keepNext w:val="0"/>
        <w:keepLines w:val="0"/>
        <w:pageBreakBefore w:val="0"/>
        <w:widowControl w:val="0"/>
        <w:tabs>
          <w:tab w:val="left" w:pos="900"/>
        </w:tabs>
        <w:kinsoku/>
        <w:wordWrap/>
        <w:overflowPunct/>
        <w:topLinePunct w:val="0"/>
        <w:autoSpaceDE/>
        <w:autoSpaceDN/>
        <w:bidi w:val="0"/>
        <w:adjustRightInd/>
        <w:snapToGrid/>
        <w:spacing w:line="360" w:lineRule="auto"/>
        <w:ind w:right="0" w:rightChars="0" w:firstLine="480" w:firstLineChars="200"/>
        <w:textAlignment w:val="auto"/>
        <w:rPr>
          <w:rFonts w:hAnsi="宋体"/>
          <w:sz w:val="24"/>
          <w:szCs w:val="24"/>
        </w:rPr>
      </w:pPr>
      <w:r>
        <w:rPr>
          <w:rFonts w:hint="eastAsia" w:hAnsi="宋体"/>
          <w:sz w:val="24"/>
          <w:szCs w:val="24"/>
        </w:rPr>
        <w:t>（1）若该配件是市场上可以购买到的通用配件，则故障要求在2个小时内得到解决。</w:t>
      </w:r>
    </w:p>
    <w:p w14:paraId="3B4A0E27">
      <w:pPr>
        <w:keepNext w:val="0"/>
        <w:keepLines w:val="0"/>
        <w:pageBreakBefore w:val="0"/>
        <w:widowControl w:val="0"/>
        <w:tabs>
          <w:tab w:val="left" w:pos="900"/>
        </w:tabs>
        <w:kinsoku/>
        <w:wordWrap/>
        <w:overflowPunct/>
        <w:topLinePunct w:val="0"/>
        <w:autoSpaceDE/>
        <w:autoSpaceDN/>
        <w:bidi w:val="0"/>
        <w:adjustRightInd/>
        <w:snapToGrid/>
        <w:spacing w:line="360" w:lineRule="auto"/>
        <w:ind w:right="0" w:rightChars="0" w:firstLine="480" w:firstLineChars="200"/>
        <w:textAlignment w:val="auto"/>
        <w:rPr>
          <w:rFonts w:hAnsi="宋体"/>
          <w:sz w:val="24"/>
          <w:szCs w:val="24"/>
        </w:rPr>
      </w:pPr>
      <w:r>
        <w:rPr>
          <w:rFonts w:hint="eastAsia" w:hAnsi="宋体"/>
          <w:sz w:val="24"/>
          <w:szCs w:val="24"/>
        </w:rPr>
        <w:t>（2）需要更换设备厂家的专用配件，在配件到达现场后2个小时内解决。</w:t>
      </w:r>
    </w:p>
    <w:p w14:paraId="39602CE8">
      <w:pPr>
        <w:keepNext w:val="0"/>
        <w:keepLines w:val="0"/>
        <w:pageBreakBefore w:val="0"/>
        <w:widowControl w:val="0"/>
        <w:tabs>
          <w:tab w:val="left" w:pos="900"/>
        </w:tabs>
        <w:kinsoku/>
        <w:wordWrap/>
        <w:overflowPunct/>
        <w:topLinePunct w:val="0"/>
        <w:autoSpaceDE/>
        <w:autoSpaceDN/>
        <w:bidi w:val="0"/>
        <w:adjustRightInd/>
        <w:snapToGrid/>
        <w:spacing w:line="360" w:lineRule="auto"/>
        <w:ind w:right="0" w:rightChars="0" w:firstLine="480" w:firstLineChars="200"/>
        <w:textAlignment w:val="auto"/>
        <w:rPr>
          <w:rFonts w:hint="eastAsia" w:hAnsi="宋体"/>
          <w:sz w:val="24"/>
          <w:szCs w:val="24"/>
        </w:rPr>
      </w:pPr>
      <w:r>
        <w:rPr>
          <w:rFonts w:hint="eastAsia" w:hAnsi="宋体"/>
          <w:sz w:val="24"/>
          <w:szCs w:val="24"/>
        </w:rPr>
        <w:t>（3）需要更换厂家的专用配件，在配件到达现场起72个小时内解决（注：该故障为特大故障）。</w:t>
      </w:r>
    </w:p>
    <w:p w14:paraId="525379D9">
      <w:pPr>
        <w:keepNext w:val="0"/>
        <w:keepLines w:val="0"/>
        <w:pageBreakBefore w:val="0"/>
        <w:widowControl w:val="0"/>
        <w:tabs>
          <w:tab w:val="left" w:pos="900"/>
        </w:tabs>
        <w:kinsoku/>
        <w:wordWrap/>
        <w:overflowPunct/>
        <w:topLinePunct w:val="0"/>
        <w:autoSpaceDE/>
        <w:autoSpaceDN/>
        <w:bidi w:val="0"/>
        <w:adjustRightInd/>
        <w:snapToGrid/>
        <w:spacing w:line="360" w:lineRule="auto"/>
        <w:ind w:right="0" w:rightChars="0" w:firstLine="480" w:firstLineChars="200"/>
        <w:textAlignment w:val="auto"/>
        <w:rPr>
          <w:rFonts w:hint="eastAsia" w:hAnsi="宋体"/>
          <w:sz w:val="24"/>
          <w:szCs w:val="24"/>
        </w:rPr>
      </w:pPr>
      <w:r>
        <w:rPr>
          <w:rFonts w:hint="eastAsia" w:hAnsi="宋体"/>
          <w:sz w:val="24"/>
          <w:szCs w:val="24"/>
        </w:rPr>
        <w:t>3</w:t>
      </w:r>
      <w:r>
        <w:rPr>
          <w:rFonts w:hint="eastAsia" w:ascii="宋体" w:hAnsi="宋体" w:cs="宋体"/>
          <w:color w:val="auto"/>
          <w:kern w:val="0"/>
          <w:sz w:val="24"/>
          <w:szCs w:val="24"/>
          <w:lang w:val="en-US" w:eastAsia="zh-CN" w:bidi="ar"/>
        </w:rPr>
        <w:t>.</w:t>
      </w:r>
      <w:r>
        <w:rPr>
          <w:rFonts w:hint="eastAsia" w:hAnsi="宋体"/>
          <w:sz w:val="24"/>
          <w:szCs w:val="24"/>
        </w:rPr>
        <w:t>人员要求：必须安排至少2名维修人员驻场，</w:t>
      </w:r>
      <w:r>
        <w:rPr>
          <w:rFonts w:hint="eastAsia" w:hAnsi="宋体"/>
          <w:sz w:val="24"/>
          <w:szCs w:val="24"/>
          <w:lang w:val="en-US" w:eastAsia="zh-CN"/>
        </w:rPr>
        <w:t>每日每间隔3小时记录设备运行情况，</w:t>
      </w:r>
      <w:r>
        <w:rPr>
          <w:rFonts w:hint="eastAsia" w:hAnsi="宋体"/>
          <w:sz w:val="24"/>
          <w:szCs w:val="24"/>
        </w:rPr>
        <w:t>24小时随时处理维修问题；如遇医院重大医疗活动（检查、应急演练、重要手术等），乙方需按照甲方要求，进行配合。</w:t>
      </w:r>
    </w:p>
    <w:p w14:paraId="56EF2E79">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hAnsi="宋体"/>
          <w:b/>
          <w:sz w:val="24"/>
          <w:szCs w:val="24"/>
        </w:rPr>
      </w:pPr>
      <w:r>
        <w:rPr>
          <w:rFonts w:hint="eastAsia" w:hAnsi="宋体"/>
          <w:b/>
          <w:sz w:val="24"/>
          <w:szCs w:val="24"/>
          <w:lang w:val="en-US" w:eastAsia="zh-CN"/>
        </w:rPr>
        <w:t>七</w:t>
      </w:r>
      <w:r>
        <w:rPr>
          <w:rFonts w:hint="eastAsia" w:hAnsi="宋体"/>
          <w:b/>
          <w:sz w:val="24"/>
          <w:szCs w:val="24"/>
        </w:rPr>
        <w:t>、踏勘现场</w:t>
      </w:r>
    </w:p>
    <w:p w14:paraId="5AF9664F">
      <w:pPr>
        <w:keepNext w:val="0"/>
        <w:keepLines w:val="0"/>
        <w:pageBreakBefore w:val="0"/>
        <w:widowControl w:val="0"/>
        <w:tabs>
          <w:tab w:val="left" w:pos="90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hAnsi="宋体"/>
          <w:sz w:val="24"/>
          <w:szCs w:val="24"/>
        </w:rPr>
        <w:t>投标前</w:t>
      </w:r>
      <w:r>
        <w:rPr>
          <w:rFonts w:hint="eastAsia" w:hAnsi="宋体"/>
          <w:sz w:val="24"/>
          <w:szCs w:val="24"/>
          <w:lang w:val="en-US" w:eastAsia="zh-CN"/>
        </w:rPr>
        <w:t>必须</w:t>
      </w:r>
      <w:r>
        <w:rPr>
          <w:rFonts w:hint="eastAsia" w:hAnsi="宋体"/>
          <w:sz w:val="24"/>
          <w:szCs w:val="24"/>
        </w:rPr>
        <w:t>现场自行勘察，各供应商派技术、预算等相关人员进行现场踏勘和答疑，需充分了解现场设备及系统情况，未勘察现场造成的一切后果由投标人自行承担（一切费用自理）。</w:t>
      </w:r>
    </w:p>
    <w:bookmarkEnd w:id="143"/>
    <w:p w14:paraId="72CCBFC4">
      <w:pPr>
        <w:pStyle w:val="4"/>
        <w:pageBreakBefore/>
        <w:numPr>
          <w:ilvl w:val="0"/>
          <w:numId w:val="6"/>
        </w:numPr>
        <w:rPr>
          <w:rFonts w:ascii="宋体" w:hAnsi="宋体" w:cs="宋体"/>
          <w:color w:val="auto"/>
        </w:rPr>
      </w:pPr>
      <w:r>
        <w:rPr>
          <w:rFonts w:hint="eastAsia" w:ascii="宋体" w:hAnsi="宋体" w:cs="宋体"/>
          <w:color w:val="auto"/>
        </w:rPr>
        <w:t xml:space="preserve">   </w:t>
      </w:r>
      <w:bookmarkEnd w:id="141"/>
      <w:bookmarkEnd w:id="142"/>
      <w:bookmarkEnd w:id="144"/>
      <w:bookmarkEnd w:id="145"/>
      <w:bookmarkEnd w:id="146"/>
      <w:bookmarkEnd w:id="147"/>
      <w:bookmarkEnd w:id="148"/>
      <w:bookmarkStart w:id="150" w:name="_Toc3837039"/>
      <w:bookmarkStart w:id="151" w:name="_Toc30964"/>
      <w:r>
        <w:rPr>
          <w:rFonts w:hint="eastAsia" w:ascii="宋体" w:hAnsi="宋体" w:cs="宋体"/>
          <w:color w:val="auto"/>
        </w:rPr>
        <w:t>商务及合同主要条款</w:t>
      </w:r>
      <w:bookmarkEnd w:id="149"/>
      <w:bookmarkEnd w:id="150"/>
      <w:bookmarkEnd w:id="151"/>
    </w:p>
    <w:p w14:paraId="54066CE6">
      <w:pPr>
        <w:spacing w:line="360" w:lineRule="auto"/>
        <w:jc w:val="center"/>
        <w:rPr>
          <w:rFonts w:hint="eastAsia" w:ascii="宋体" w:hAnsi="宋体" w:eastAsia="宋体" w:cs="宋体"/>
          <w:b/>
          <w:bCs/>
          <w:color w:val="auto"/>
          <w:sz w:val="24"/>
          <w:szCs w:val="24"/>
        </w:rPr>
      </w:pPr>
    </w:p>
    <w:p w14:paraId="7BC36942">
      <w:pPr>
        <w:spacing w:before="140" w:line="225" w:lineRule="auto"/>
        <w:jc w:val="center"/>
        <w:rPr>
          <w:rFonts w:hint="eastAsia" w:ascii="宋体" w:hAnsi="宋体" w:cs="宋体"/>
          <w:color w:val="auto"/>
          <w:sz w:val="43"/>
          <w:szCs w:val="43"/>
          <w:lang w:eastAsia="zh-CN"/>
        </w:rPr>
      </w:pPr>
      <w:r>
        <w:rPr>
          <w:rFonts w:hint="eastAsia" w:ascii="宋体" w:hAnsi="宋体" w:cs="宋体"/>
          <w:color w:val="auto"/>
          <w:sz w:val="43"/>
          <w:szCs w:val="43"/>
          <w:lang w:eastAsia="zh-CN"/>
        </w:rPr>
        <w:t>安康市中医医院高新分院夏季空调维保服务</w:t>
      </w:r>
    </w:p>
    <w:p w14:paraId="5ECA7F73">
      <w:pPr>
        <w:spacing w:before="140" w:line="225" w:lineRule="auto"/>
        <w:jc w:val="center"/>
        <w:rPr>
          <w:rFonts w:ascii="黑体" w:hAnsi="黑体" w:eastAsia="黑体" w:cs="黑体"/>
          <w:color w:val="auto"/>
          <w:sz w:val="43"/>
          <w:szCs w:val="43"/>
        </w:rPr>
      </w:pPr>
      <w:r>
        <w:rPr>
          <w:rFonts w:hint="eastAsia" w:ascii="宋体" w:hAnsi="宋体" w:cs="宋体"/>
          <w:color w:val="auto"/>
          <w:sz w:val="43"/>
          <w:szCs w:val="43"/>
          <w:lang w:eastAsia="zh-CN"/>
        </w:rPr>
        <w:t>采购项目</w:t>
      </w:r>
    </w:p>
    <w:p w14:paraId="0A5E2E14">
      <w:pPr>
        <w:pStyle w:val="14"/>
        <w:spacing w:line="245" w:lineRule="auto"/>
        <w:rPr>
          <w:color w:val="auto"/>
        </w:rPr>
      </w:pPr>
    </w:p>
    <w:p w14:paraId="1520D943">
      <w:pPr>
        <w:pStyle w:val="14"/>
        <w:spacing w:line="245" w:lineRule="auto"/>
        <w:rPr>
          <w:color w:val="auto"/>
        </w:rPr>
      </w:pPr>
    </w:p>
    <w:p w14:paraId="57A42C56">
      <w:pPr>
        <w:pStyle w:val="14"/>
        <w:spacing w:line="245" w:lineRule="auto"/>
        <w:rPr>
          <w:color w:val="auto"/>
        </w:rPr>
      </w:pPr>
    </w:p>
    <w:p w14:paraId="75139607">
      <w:pPr>
        <w:pStyle w:val="14"/>
        <w:spacing w:line="245" w:lineRule="auto"/>
        <w:rPr>
          <w:color w:val="auto"/>
        </w:rPr>
      </w:pPr>
    </w:p>
    <w:p w14:paraId="391AFF3B">
      <w:pPr>
        <w:pStyle w:val="14"/>
        <w:spacing w:line="245" w:lineRule="auto"/>
        <w:rPr>
          <w:color w:val="auto"/>
        </w:rPr>
      </w:pPr>
    </w:p>
    <w:p w14:paraId="0C2F3098">
      <w:pPr>
        <w:pStyle w:val="14"/>
        <w:spacing w:line="246" w:lineRule="auto"/>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2449195</wp:posOffset>
                </wp:positionH>
                <wp:positionV relativeFrom="paragraph">
                  <wp:posOffset>60325</wp:posOffset>
                </wp:positionV>
                <wp:extent cx="347345" cy="333946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7345" cy="3339465"/>
                        </a:xfrm>
                        <a:prstGeom prst="rect">
                          <a:avLst/>
                        </a:prstGeom>
                        <a:noFill/>
                        <a:ln>
                          <a:noFill/>
                        </a:ln>
                      </wps:spPr>
                      <wps:txbx>
                        <w:txbxContent>
                          <w:p w14:paraId="53520DC2">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wps:txbx>
                      <wps:bodyPr vert="eaVert" lIns="0" tIns="0" rIns="0" bIns="0" upright="1"/>
                    </wps:wsp>
                  </a:graphicData>
                </a:graphic>
              </wp:anchor>
            </w:drawing>
          </mc:Choice>
          <mc:Fallback>
            <w:pict>
              <v:shape id="_x0000_s1026" o:spid="_x0000_s1026" o:spt="202" type="#_x0000_t202" style="position:absolute;left:0pt;margin-left:192.85pt;margin-top:4.75pt;height:262.95pt;width:27.35pt;z-index:251664384;mso-width-relative:page;mso-height-relative:page;" filled="f" stroked="f" coordsize="21600,21600" o:gfxdata="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SFBGNYAAAAJAQAADwAAAAAAAAABACAAAAAiAAAAZHJzL2Rvd25yZXYu&#10;eG1sUEsBAhQAFAAAAAgAh07iQA2YnAnEAQAAggMAAA4AAAAAAAAAAQAgAAAAJQEAAGRycy9lMm9E&#10;b2MueG1sUEsFBgAAAAAGAAYAWQEAAFsFAAAAAA==&#10;">
                <v:fill on="f" focussize="0,0"/>
                <v:stroke on="f"/>
                <v:imagedata o:title=""/>
                <o:lock v:ext="edit" aspectratio="f"/>
                <v:textbox inset="0mm,0mm,0mm,0mm" style="layout-flow:vertical-ideographic;">
                  <w:txbxContent>
                    <w:p w14:paraId="53520DC2">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v:textbox>
              </v:shape>
            </w:pict>
          </mc:Fallback>
        </mc:AlternateContent>
      </w:r>
    </w:p>
    <w:p w14:paraId="2D731EC6">
      <w:pPr>
        <w:pStyle w:val="14"/>
        <w:spacing w:line="246" w:lineRule="auto"/>
        <w:rPr>
          <w:color w:val="auto"/>
        </w:rPr>
      </w:pPr>
    </w:p>
    <w:p w14:paraId="62798B46">
      <w:pPr>
        <w:pStyle w:val="14"/>
        <w:spacing w:line="246" w:lineRule="auto"/>
        <w:rPr>
          <w:color w:val="auto"/>
        </w:rPr>
      </w:pPr>
    </w:p>
    <w:p w14:paraId="1B060454">
      <w:pPr>
        <w:pStyle w:val="14"/>
        <w:spacing w:line="246" w:lineRule="auto"/>
        <w:rPr>
          <w:color w:val="auto"/>
        </w:rPr>
      </w:pPr>
    </w:p>
    <w:p w14:paraId="5E41CF9D">
      <w:pPr>
        <w:pStyle w:val="14"/>
        <w:spacing w:line="246" w:lineRule="auto"/>
        <w:rPr>
          <w:color w:val="auto"/>
        </w:rPr>
      </w:pPr>
    </w:p>
    <w:p w14:paraId="40CF24E5">
      <w:pPr>
        <w:pStyle w:val="14"/>
        <w:spacing w:line="246" w:lineRule="auto"/>
        <w:rPr>
          <w:color w:val="auto"/>
        </w:rPr>
      </w:pPr>
    </w:p>
    <w:p w14:paraId="7D900536">
      <w:pPr>
        <w:pStyle w:val="14"/>
        <w:spacing w:line="246" w:lineRule="auto"/>
        <w:rPr>
          <w:color w:val="auto"/>
        </w:rPr>
      </w:pPr>
    </w:p>
    <w:p w14:paraId="2EF96771">
      <w:pPr>
        <w:pStyle w:val="14"/>
        <w:spacing w:line="246" w:lineRule="auto"/>
        <w:rPr>
          <w:color w:val="auto"/>
        </w:rPr>
      </w:pPr>
    </w:p>
    <w:p w14:paraId="654BBA34">
      <w:pPr>
        <w:pStyle w:val="14"/>
        <w:spacing w:line="246" w:lineRule="auto"/>
        <w:rPr>
          <w:color w:val="auto"/>
        </w:rPr>
      </w:pPr>
    </w:p>
    <w:p w14:paraId="63F3032B">
      <w:pPr>
        <w:pStyle w:val="14"/>
        <w:spacing w:line="246" w:lineRule="auto"/>
        <w:rPr>
          <w:color w:val="auto"/>
        </w:rPr>
      </w:pPr>
    </w:p>
    <w:p w14:paraId="0F4C59E4">
      <w:pPr>
        <w:pStyle w:val="14"/>
        <w:spacing w:line="246" w:lineRule="auto"/>
        <w:rPr>
          <w:color w:val="auto"/>
        </w:rPr>
      </w:pPr>
    </w:p>
    <w:p w14:paraId="24D63251">
      <w:pPr>
        <w:pStyle w:val="14"/>
        <w:spacing w:line="246" w:lineRule="auto"/>
        <w:rPr>
          <w:color w:val="auto"/>
        </w:rPr>
      </w:pPr>
    </w:p>
    <w:p w14:paraId="18ABC1E7">
      <w:pPr>
        <w:pStyle w:val="14"/>
        <w:spacing w:line="246" w:lineRule="auto"/>
        <w:rPr>
          <w:color w:val="auto"/>
        </w:rPr>
      </w:pPr>
    </w:p>
    <w:p w14:paraId="78A3AFBC">
      <w:pPr>
        <w:pStyle w:val="14"/>
        <w:spacing w:line="246" w:lineRule="auto"/>
        <w:rPr>
          <w:color w:val="auto"/>
        </w:rPr>
      </w:pPr>
    </w:p>
    <w:p w14:paraId="0DC033EA">
      <w:pPr>
        <w:pStyle w:val="14"/>
        <w:spacing w:line="246" w:lineRule="auto"/>
        <w:rPr>
          <w:color w:val="auto"/>
        </w:rPr>
      </w:pPr>
    </w:p>
    <w:p w14:paraId="22968879">
      <w:pPr>
        <w:pStyle w:val="14"/>
        <w:spacing w:line="246" w:lineRule="auto"/>
        <w:rPr>
          <w:rFonts w:hint="eastAsia" w:eastAsia="宋体"/>
          <w:color w:val="auto"/>
          <w:lang w:val="en-US" w:eastAsia="zh-CN"/>
        </w:rPr>
      </w:pPr>
    </w:p>
    <w:p w14:paraId="1D021F67">
      <w:pPr>
        <w:pStyle w:val="14"/>
        <w:spacing w:line="246" w:lineRule="auto"/>
        <w:rPr>
          <w:color w:val="auto"/>
        </w:rPr>
      </w:pPr>
    </w:p>
    <w:p w14:paraId="19BE3331">
      <w:pPr>
        <w:pStyle w:val="14"/>
        <w:spacing w:line="246" w:lineRule="auto"/>
        <w:rPr>
          <w:color w:val="auto"/>
        </w:rPr>
      </w:pPr>
    </w:p>
    <w:p w14:paraId="5F6B97AF">
      <w:pPr>
        <w:pStyle w:val="14"/>
        <w:spacing w:line="246" w:lineRule="auto"/>
        <w:rPr>
          <w:color w:val="auto"/>
        </w:rPr>
      </w:pPr>
    </w:p>
    <w:p w14:paraId="4079AB83">
      <w:pPr>
        <w:pStyle w:val="14"/>
        <w:spacing w:line="246" w:lineRule="auto"/>
        <w:rPr>
          <w:color w:val="auto"/>
        </w:rPr>
      </w:pPr>
    </w:p>
    <w:p w14:paraId="4C148923">
      <w:pPr>
        <w:pStyle w:val="14"/>
        <w:spacing w:line="246" w:lineRule="auto"/>
        <w:rPr>
          <w:color w:val="auto"/>
        </w:rPr>
      </w:pPr>
    </w:p>
    <w:p w14:paraId="015966D7">
      <w:pPr>
        <w:keepNext w:val="0"/>
        <w:keepLines w:val="0"/>
        <w:pageBreakBefore w:val="0"/>
        <w:widowControl w:val="0"/>
        <w:kinsoku/>
        <w:wordWrap/>
        <w:overflowPunct/>
        <w:topLinePunct w:val="0"/>
        <w:autoSpaceDE/>
        <w:autoSpaceDN/>
        <w:bidi w:val="0"/>
        <w:adjustRightInd/>
        <w:snapToGrid/>
        <w:spacing w:before="101" w:line="230" w:lineRule="auto"/>
        <w:ind w:left="840" w:leftChars="400"/>
        <w:textAlignment w:val="auto"/>
        <w:rPr>
          <w:rFonts w:hint="default" w:ascii="宋体" w:hAnsi="宋体" w:eastAsia="宋体" w:cs="宋体"/>
          <w:color w:val="auto"/>
          <w:sz w:val="31"/>
          <w:szCs w:val="31"/>
          <w:lang w:val="en-US" w:eastAsia="zh-CN"/>
        </w:rPr>
      </w:pPr>
      <w:r>
        <w:rPr>
          <w:rFonts w:hint="eastAsia" w:ascii="宋体" w:hAnsi="宋体" w:eastAsia="宋体" w:cs="宋体"/>
          <w:color w:val="auto"/>
          <w:spacing w:val="2"/>
          <w:sz w:val="31"/>
          <w:szCs w:val="31"/>
        </w:rPr>
        <w:t>甲</w:t>
      </w:r>
      <w:r>
        <w:rPr>
          <w:rFonts w:hint="eastAsia" w:ascii="宋体" w:hAnsi="宋体" w:eastAsia="宋体" w:cs="宋体"/>
          <w:color w:val="auto"/>
          <w:spacing w:val="13"/>
          <w:sz w:val="31"/>
          <w:szCs w:val="31"/>
        </w:rPr>
        <w:t xml:space="preserve">    </w:t>
      </w:r>
      <w:r>
        <w:rPr>
          <w:rFonts w:hint="eastAsia" w:ascii="宋体" w:hAnsi="宋体" w:eastAsia="宋体" w:cs="宋体"/>
          <w:color w:val="auto"/>
          <w:spacing w:val="2"/>
          <w:sz w:val="31"/>
          <w:szCs w:val="31"/>
        </w:rPr>
        <w:t>方：</w:t>
      </w:r>
      <w:r>
        <w:rPr>
          <w:rFonts w:hint="eastAsia" w:ascii="宋体" w:hAnsi="宋体" w:cs="宋体"/>
          <w:color w:val="auto"/>
          <w:spacing w:val="2"/>
          <w:sz w:val="31"/>
          <w:szCs w:val="31"/>
          <w:u w:val="single"/>
          <w:lang w:val="en-US" w:eastAsia="zh-CN"/>
        </w:rPr>
        <w:t xml:space="preserve">    </w:t>
      </w:r>
      <w:r>
        <w:rPr>
          <w:rFonts w:hint="eastAsia" w:ascii="宋体" w:hAnsi="宋体" w:cs="宋体"/>
          <w:color w:val="auto"/>
          <w:spacing w:val="2"/>
          <w:sz w:val="31"/>
          <w:szCs w:val="31"/>
          <w:u w:val="single" w:color="auto"/>
          <w:lang w:val="en-US" w:eastAsia="zh-CN"/>
        </w:rPr>
        <w:t xml:space="preserve">安康市中医医院    </w:t>
      </w:r>
    </w:p>
    <w:p w14:paraId="176EC9C8">
      <w:pPr>
        <w:keepNext w:val="0"/>
        <w:keepLines w:val="0"/>
        <w:pageBreakBefore w:val="0"/>
        <w:widowControl w:val="0"/>
        <w:kinsoku/>
        <w:wordWrap/>
        <w:overflowPunct/>
        <w:topLinePunct w:val="0"/>
        <w:autoSpaceDE/>
        <w:autoSpaceDN/>
        <w:bidi w:val="0"/>
        <w:adjustRightInd/>
        <w:snapToGrid/>
        <w:spacing w:line="360" w:lineRule="auto"/>
        <w:ind w:left="840" w:leftChars="400"/>
        <w:jc w:val="both"/>
        <w:textAlignment w:val="auto"/>
        <w:rPr>
          <w:rFonts w:hint="eastAsia" w:ascii="宋体" w:hAnsi="宋体" w:eastAsia="宋体" w:cs="宋体"/>
          <w:color w:val="auto"/>
          <w:spacing w:val="16"/>
          <w:sz w:val="31"/>
          <w:szCs w:val="31"/>
        </w:rPr>
      </w:pPr>
      <w:r>
        <w:rPr>
          <w:rFonts w:hint="eastAsia" w:ascii="宋体" w:hAnsi="宋体" w:eastAsia="宋体" w:cs="宋体"/>
          <w:color w:val="auto"/>
          <w:spacing w:val="6"/>
          <w:sz w:val="31"/>
          <w:szCs w:val="31"/>
        </w:rPr>
        <w:t>乙    方：</w:t>
      </w:r>
      <w:r>
        <w:rPr>
          <w:rFonts w:hint="eastAsia" w:ascii="宋体" w:hAnsi="宋体" w:eastAsia="宋体" w:cs="宋体"/>
          <w:color w:val="auto"/>
          <w:spacing w:val="6"/>
          <w:sz w:val="31"/>
          <w:szCs w:val="31"/>
          <w:u w:val="single"/>
          <w:lang w:val="en-US" w:eastAsia="zh-CN"/>
        </w:rPr>
        <w:t xml:space="preserve">                     </w:t>
      </w:r>
    </w:p>
    <w:p w14:paraId="7B493F2D">
      <w:pPr>
        <w:keepNext w:val="0"/>
        <w:keepLines w:val="0"/>
        <w:pageBreakBefore w:val="0"/>
        <w:widowControl w:val="0"/>
        <w:kinsoku/>
        <w:wordWrap/>
        <w:overflowPunct/>
        <w:topLinePunct w:val="0"/>
        <w:autoSpaceDE/>
        <w:autoSpaceDN/>
        <w:bidi w:val="0"/>
        <w:adjustRightInd/>
        <w:snapToGrid/>
        <w:spacing w:line="360" w:lineRule="auto"/>
        <w:ind w:left="840" w:leftChars="400"/>
        <w:jc w:val="both"/>
        <w:textAlignment w:val="auto"/>
        <w:rPr>
          <w:rFonts w:hint="eastAsia" w:ascii="宋体" w:hAnsi="宋体" w:eastAsia="宋体" w:cs="宋体"/>
          <w:b/>
          <w:bCs/>
          <w:color w:val="auto"/>
          <w:sz w:val="24"/>
          <w:szCs w:val="24"/>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eastAsia="宋体" w:cs="宋体"/>
          <w:color w:val="auto"/>
          <w:spacing w:val="8"/>
          <w:sz w:val="31"/>
          <w:szCs w:val="31"/>
        </w:rPr>
        <w:t>签订地点：</w:t>
      </w:r>
      <w:r>
        <w:rPr>
          <w:rFonts w:hint="eastAsia" w:ascii="宋体" w:hAnsi="宋体" w:eastAsia="宋体" w:cs="宋体"/>
          <w:color w:val="auto"/>
          <w:spacing w:val="8"/>
          <w:sz w:val="31"/>
          <w:szCs w:val="31"/>
          <w:u w:val="single"/>
          <w:lang w:val="en-US" w:eastAsia="zh-CN"/>
        </w:rPr>
        <w:t xml:space="preserve">                    </w:t>
      </w:r>
      <w:r>
        <w:rPr>
          <w:rFonts w:hint="eastAsia" w:ascii="宋体" w:hAnsi="宋体" w:eastAsia="宋体" w:cs="宋体"/>
          <w:color w:val="auto"/>
          <w:spacing w:val="2"/>
          <w:sz w:val="31"/>
          <w:szCs w:val="31"/>
          <w:u w:val="single" w:color="auto"/>
        </w:rPr>
        <w:t xml:space="preserve"> </w:t>
      </w:r>
    </w:p>
    <w:p w14:paraId="54FE74B1">
      <w:pPr>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32"/>
          <w:szCs w:val="32"/>
        </w:rPr>
        <w:t>合同</w:t>
      </w:r>
      <w:r>
        <w:rPr>
          <w:rFonts w:hint="eastAsia" w:ascii="宋体" w:hAnsi="宋体" w:cs="宋体"/>
          <w:b/>
          <w:bCs/>
          <w:color w:val="auto"/>
          <w:sz w:val="32"/>
          <w:szCs w:val="32"/>
          <w:lang w:val="en-US" w:eastAsia="zh-CN"/>
        </w:rPr>
        <w:t>主要条款</w:t>
      </w:r>
    </w:p>
    <w:p w14:paraId="2DD5DFE6">
      <w:pPr>
        <w:spacing w:line="360" w:lineRule="auto"/>
        <w:ind w:firstLine="482" w:firstLineChars="200"/>
        <w:rPr>
          <w:rFonts w:ascii="宋体" w:hAnsi="宋体"/>
          <w:b/>
          <w:bCs/>
          <w:color w:val="auto"/>
          <w:sz w:val="28"/>
          <w:szCs w:val="32"/>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42D6590A">
      <w:pPr>
        <w:keepNext w:val="0"/>
        <w:keepLines w:val="0"/>
        <w:pageBreakBefore w:val="0"/>
        <w:widowControl w:val="0"/>
        <w:kinsoku/>
        <w:wordWrap/>
        <w:overflowPunct/>
        <w:topLinePunct w:val="0"/>
        <w:bidi w:val="0"/>
        <w:adjustRightInd w:val="0"/>
        <w:snapToGrid w:val="0"/>
        <w:spacing w:line="560" w:lineRule="exact"/>
        <w:ind w:firstLine="241" w:firstLineChars="1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lang w:val="en-US" w:eastAsia="zh-CN"/>
        </w:rPr>
        <w:t>采购单位</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甲方</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安康市中医医院</w:t>
      </w:r>
      <w:r>
        <w:rPr>
          <w:rFonts w:hint="eastAsia" w:ascii="宋体" w:hAnsi="宋体" w:eastAsia="宋体" w:cs="宋体"/>
          <w:color w:val="auto"/>
          <w:kern w:val="0"/>
          <w:sz w:val="24"/>
          <w:szCs w:val="24"/>
          <w:highlight w:val="none"/>
          <w:u w:val="single"/>
          <w:lang w:val="en-US" w:eastAsia="zh-CN"/>
        </w:rPr>
        <w:t xml:space="preserve">      </w:t>
      </w:r>
    </w:p>
    <w:p w14:paraId="11F73310">
      <w:pPr>
        <w:keepNext w:val="0"/>
        <w:keepLines w:val="0"/>
        <w:pageBreakBefore w:val="0"/>
        <w:widowControl w:val="0"/>
        <w:kinsoku/>
        <w:wordWrap/>
        <w:overflowPunct/>
        <w:topLinePunct w:val="0"/>
        <w:autoSpaceDN/>
        <w:bidi w:val="0"/>
        <w:spacing w:line="600" w:lineRule="exact"/>
        <w:ind w:right="0" w:rightChars="0" w:firstLine="241" w:firstLineChars="100"/>
        <w:rPr>
          <w:rFonts w:hint="eastAsia" w:ascii="宋体" w:hAnsi="宋体" w:eastAsia="宋体" w:cs="宋体"/>
          <w:color w:val="auto"/>
          <w:kern w:val="0"/>
          <w:sz w:val="24"/>
          <w:szCs w:val="24"/>
          <w:highlight w:val="none"/>
          <w:u w:val="single"/>
          <w:lang w:eastAsia="zh-CN"/>
        </w:rPr>
      </w:pPr>
      <w:r>
        <w:rPr>
          <w:rFonts w:hint="eastAsia" w:ascii="宋体" w:hAnsi="宋体" w:eastAsia="宋体" w:cs="宋体"/>
          <w:b/>
          <w:color w:val="auto"/>
          <w:kern w:val="0"/>
          <w:sz w:val="24"/>
          <w:szCs w:val="24"/>
          <w:highlight w:val="none"/>
          <w:lang w:val="en-US" w:eastAsia="zh-CN"/>
        </w:rPr>
        <w:t>维保单位</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乙方</w:t>
      </w:r>
      <w:r>
        <w:rPr>
          <w:rFonts w:hint="eastAsia" w:ascii="宋体" w:hAnsi="宋体" w:eastAsia="宋体" w:cs="宋体"/>
          <w:b/>
          <w:color w:val="auto"/>
          <w:kern w:val="0"/>
          <w:sz w:val="24"/>
          <w:szCs w:val="24"/>
          <w:highlight w:val="none"/>
        </w:rPr>
        <w:t>）：</w:t>
      </w:r>
    </w:p>
    <w:p w14:paraId="5FD78A20">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甲乙双方根据《中华人民共和国民典法》、《中华人民共和国政府采购法》及其他法律、 法规的规定，就甲方委托乙方中央空调系统维护保养服务事宜，在平等自愿、协商一致的基础上，签订本合同，以资共鉴。</w:t>
      </w:r>
    </w:p>
    <w:p w14:paraId="2DD364A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一、合同期限</w:t>
      </w:r>
    </w:p>
    <w:p w14:paraId="1643911D">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bidi="ar-SA"/>
        </w:rPr>
        <w:t>服务时间为自合同签订之日起1个制冷季</w:t>
      </w:r>
      <w:r>
        <w:rPr>
          <w:rFonts w:hint="eastAsia" w:ascii="宋体" w:hAnsi="宋体" w:eastAsia="宋体" w:cs="宋体"/>
          <w:color w:val="auto"/>
          <w:kern w:val="2"/>
          <w:sz w:val="24"/>
          <w:szCs w:val="24"/>
          <w:lang w:val="en-US" w:eastAsia="zh-CN" w:bidi="ar-SA"/>
        </w:rPr>
        <w:t>。</w:t>
      </w:r>
    </w:p>
    <w:p w14:paraId="0B466F50">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二、服务内容</w:t>
      </w:r>
    </w:p>
    <w:p w14:paraId="6FB295BB">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详见本项目“服务采购内容”，后附服务清单。</w:t>
      </w:r>
    </w:p>
    <w:p w14:paraId="7112AC8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三、服务要求</w:t>
      </w:r>
    </w:p>
    <w:p w14:paraId="7C179F1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负责甲方中央空调水冷螺杆机组、冷却塔、水泵系统、水管系统、及末端风机盘管、新风机组的维护保养，运行观察及控制检查，电气电机维修检查，送风口清洁，回风过滤网、表冷器、接水盘等清洗、保养零件更换以及其他常规检查等保养。通过对甲方设备的日常巡检、保养以及维修等服务手段，使甲方设备正常、安全的运行。</w:t>
      </w:r>
    </w:p>
    <w:p w14:paraId="2A4947EC">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四、合同价款及支付方式</w:t>
      </w:r>
    </w:p>
    <w:p w14:paraId="7DB4BA5A">
      <w:pPr>
        <w:adjustRightInd w:val="0"/>
        <w:snapToGrid w:val="0"/>
        <w:spacing w:line="480" w:lineRule="exact"/>
        <w:ind w:firstLine="480" w:firstLineChars="200"/>
        <w:rPr>
          <w:rFonts w:hint="eastAsia" w:ascii="宋体" w:hAnsi="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中标价：</w:t>
      </w:r>
      <w:r>
        <w:rPr>
          <w:rFonts w:hint="eastAsia" w:ascii="宋体" w:hAnsi="宋体" w:cs="宋体"/>
          <w:color w:val="auto"/>
          <w:kern w:val="2"/>
          <w:sz w:val="24"/>
          <w:szCs w:val="24"/>
          <w:lang w:val="en-US" w:eastAsia="zh-CN" w:bidi="ar-SA"/>
        </w:rPr>
        <w:t>大写</w:t>
      </w:r>
      <w:r>
        <w:rPr>
          <w:rFonts w:hint="eastAsia" w:ascii="宋体" w:hAnsi="宋体" w:cs="宋体"/>
          <w:color w:val="auto"/>
          <w:kern w:val="2"/>
          <w:sz w:val="24"/>
          <w:szCs w:val="24"/>
          <w:u w:val="none"/>
          <w:lang w:val="en-US" w:eastAsia="zh-CN" w:bidi="ar-SA"/>
        </w:rPr>
        <w:t>：</w:t>
      </w:r>
      <w:r>
        <w:rPr>
          <w:rFonts w:hint="eastAsia" w:ascii="宋体" w:hAnsi="宋体" w:cs="宋体"/>
          <w:color w:val="auto"/>
          <w:kern w:val="2"/>
          <w:sz w:val="24"/>
          <w:szCs w:val="24"/>
          <w:u w:val="single"/>
          <w:lang w:val="en-US" w:eastAsia="zh-CN" w:bidi="ar-SA"/>
        </w:rPr>
        <w:t xml:space="preserve">        </w:t>
      </w:r>
      <w:r>
        <w:rPr>
          <w:rFonts w:hint="eastAsia" w:ascii="宋体" w:hAnsi="宋体" w:cs="宋体"/>
          <w:color w:val="auto"/>
          <w:kern w:val="2"/>
          <w:sz w:val="24"/>
          <w:szCs w:val="24"/>
          <w:lang w:val="en-US" w:eastAsia="zh-CN" w:bidi="ar-SA"/>
        </w:rPr>
        <w:t>小写：</w:t>
      </w:r>
      <w:r>
        <w:rPr>
          <w:rFonts w:hint="eastAsia" w:ascii="宋体" w:hAnsi="宋体" w:cs="宋体"/>
          <w:color w:val="auto"/>
          <w:kern w:val="2"/>
          <w:sz w:val="24"/>
          <w:szCs w:val="24"/>
          <w:u w:val="single"/>
          <w:lang w:val="en-US" w:eastAsia="zh-CN" w:bidi="ar-SA"/>
        </w:rPr>
        <w:t xml:space="preserve">        </w:t>
      </w:r>
    </w:p>
    <w:p w14:paraId="658852B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付款方式：</w:t>
      </w:r>
      <w:r>
        <w:rPr>
          <w:rFonts w:hint="eastAsia" w:ascii="宋体" w:hAnsi="宋体" w:eastAsia="宋体" w:cs="Times New Roman"/>
          <w:color w:val="auto"/>
          <w:sz w:val="24"/>
          <w:szCs w:val="24"/>
          <w:lang w:val="en-US" w:eastAsia="zh-CN"/>
        </w:rPr>
        <w:t>合同签订生效后，主机大保养完成，设备运行正常，甲方验收合格后，支付合同总价款的50%；维保期结束甲方验收合格后，10日内支付剩余的50%合同总价款。</w:t>
      </w:r>
    </w:p>
    <w:p w14:paraId="47D28B04">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服务过程中更换配件或增项，以甲方签字确认的数据结算。</w:t>
      </w:r>
    </w:p>
    <w:p w14:paraId="3C2EE23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五、双方的权利和义务</w:t>
      </w:r>
    </w:p>
    <w:p w14:paraId="2499156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甲方的权利和义务</w:t>
      </w:r>
    </w:p>
    <w:p w14:paraId="1067E61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甲方应及时按合同向乙方支付维保费。</w:t>
      </w:r>
    </w:p>
    <w:p w14:paraId="18C52CFC">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向乙方提供空调设备相关资料、图纸和工作记录档案。</w:t>
      </w:r>
    </w:p>
    <w:p w14:paraId="51D0BAF0">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向乙方维护人员提供相应工作条件。</w:t>
      </w:r>
    </w:p>
    <w:p w14:paraId="548711A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在故障处理中，甲方向乙方提出报修，乙方应根据投标响应时间进行处理，如乙方未及时进行维修，违反规定3次，甲方有权对乙方进行经济处罚。</w:t>
      </w:r>
    </w:p>
    <w:p w14:paraId="35C8279B">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甲方有权在乙方在的作业期间对乙方的工作进行监督、核查。</w:t>
      </w:r>
    </w:p>
    <w:p w14:paraId="228167AB">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甲方承担维修需更换的耗材、易损件及正常损坏的零部件单价300元以上的费用。 </w:t>
      </w:r>
    </w:p>
    <w:p w14:paraId="79D261CA">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乙方的权利和义务</w:t>
      </w:r>
    </w:p>
    <w:p w14:paraId="418DD30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乙方按照甲方认可的以上条款对空调机组进行定期维护、检修。</w:t>
      </w:r>
    </w:p>
    <w:p w14:paraId="5468474D">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乙方按甲方认可的以上条款进行作业，每次定期作业完后填写报告单，双方签字并存档， 作为考核依据。</w:t>
      </w:r>
    </w:p>
    <w:p w14:paraId="3A579662">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维护作业期间，如有需维修更换的零部件材料费，乙方向甲方提供配件报价单，甲方同意后进行更换，乙方应先保证质量合格，完工后再向甲方结算，以确保空调机组正常运行。单个配件300元以下，由乙方承担更换费用，单个配件300元以上，由甲方承担更换费用。</w:t>
      </w:r>
    </w:p>
    <w:p w14:paraId="666FE41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若乙方人员在保养或维修设备工作过程中因疏忽或失职，或者提供的服务发生其他不符合本合同规定要求的情况，造成甲方设施、设备、其他财产或任何人身损害，乙方负责赔偿及最终解释。对因不可抗力因素造成的损失或延误，乙方不负责任，但有义务尽最大努力和最快速度协助甲方处理设备故障，使之尽快恢复正常使用。</w:t>
      </w:r>
    </w:p>
    <w:p w14:paraId="135B8C0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乙方维护人员必须严格遵守工作现场安全，保密和技术安全规范。</w:t>
      </w:r>
    </w:p>
    <w:p w14:paraId="2995D4DE">
      <w:pPr>
        <w:keepNext w:val="0"/>
        <w:keepLines w:val="0"/>
        <w:pageBreakBefore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故障抢修：在合同维保期的正常工作时间接到抢修通知，乙方须在不需更换配件的故障，</w:t>
      </w:r>
      <w:r>
        <w:rPr>
          <w:rFonts w:hint="eastAsia" w:ascii="宋体" w:hAnsi="宋体" w:eastAsia="宋体" w:cs="宋体"/>
          <w:b w:val="0"/>
          <w:bCs w:val="0"/>
          <w:color w:val="auto"/>
          <w:kern w:val="2"/>
          <w:sz w:val="24"/>
          <w:szCs w:val="24"/>
          <w:lang w:val="en-US" w:eastAsia="zh-CN" w:bidi="ar-SA"/>
        </w:rPr>
        <w:t>在故障出现后5分钟内到达故障现场，进行故障排查处理。</w:t>
      </w:r>
      <w:r>
        <w:rPr>
          <w:rFonts w:hint="eastAsia" w:ascii="宋体" w:hAnsi="宋体" w:eastAsia="宋体" w:cs="宋体"/>
          <w:color w:val="auto"/>
          <w:kern w:val="2"/>
          <w:sz w:val="24"/>
          <w:szCs w:val="24"/>
          <w:lang w:val="en-US" w:eastAsia="zh-CN" w:bidi="ar-SA"/>
        </w:rPr>
        <w:t>对需要更换配件的故障：</w:t>
      </w:r>
      <w:r>
        <w:rPr>
          <w:rFonts w:hint="eastAsia" w:hAnsi="宋体"/>
          <w:sz w:val="24"/>
          <w:szCs w:val="24"/>
        </w:rPr>
        <w:t>若该配件是市场上可以购买到的通用配件，则故障要求在2个小时内得到解决。需要更换设备厂家的专用配件，在配件到达现场后2个小时内解决。需要更换厂家的专用配件，在配件到达现场起72个小时内解决（注：该故障为特大故障）。</w:t>
      </w:r>
    </w:p>
    <w:p w14:paraId="5461E951">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对空调机组设备进行合同规定的维修、维护后，及时向甲方提交报告。</w:t>
      </w:r>
    </w:p>
    <w:p w14:paraId="205285C2">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hAnsi="宋体"/>
          <w:sz w:val="24"/>
          <w:szCs w:val="24"/>
        </w:rPr>
        <w:t>必须安排至少2名维修人员驻场，</w:t>
      </w:r>
      <w:r>
        <w:rPr>
          <w:rFonts w:hint="eastAsia" w:hAnsi="宋体"/>
          <w:sz w:val="24"/>
          <w:szCs w:val="24"/>
          <w:lang w:val="en-US" w:eastAsia="zh-CN"/>
        </w:rPr>
        <w:t>每日每间隔3小时记录设备运行情况，</w:t>
      </w:r>
      <w:r>
        <w:rPr>
          <w:rFonts w:hint="eastAsia" w:hAnsi="宋体"/>
          <w:sz w:val="24"/>
          <w:szCs w:val="24"/>
        </w:rPr>
        <w:t>24小时随时处理维修问题；如遇医院重大医疗活动（检查、应急演练、重要手术等），乙方需按照甲方要求，进行配合。</w:t>
      </w:r>
    </w:p>
    <w:p w14:paraId="6E5F1F0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如遇医院重大医疗活动（检查、应急演练、重要手术等），乙方需按照甲方要求，进行配合。</w:t>
      </w:r>
    </w:p>
    <w:p w14:paraId="4318A17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双方签字</w:t>
      </w:r>
      <w:r>
        <w:rPr>
          <w:rFonts w:hint="eastAsia" w:ascii="宋体" w:hAnsi="宋体" w:cs="宋体"/>
          <w:color w:val="auto"/>
          <w:kern w:val="2"/>
          <w:sz w:val="24"/>
          <w:szCs w:val="24"/>
          <w:lang w:val="en-US" w:eastAsia="zh-CN" w:bidi="ar-SA"/>
        </w:rPr>
        <w:t>盖章</w:t>
      </w:r>
      <w:r>
        <w:rPr>
          <w:rFonts w:hint="eastAsia" w:ascii="宋体" w:hAnsi="宋体" w:eastAsia="宋体" w:cs="宋体"/>
          <w:color w:val="auto"/>
          <w:kern w:val="2"/>
          <w:sz w:val="24"/>
          <w:szCs w:val="24"/>
          <w:lang w:val="en-US" w:eastAsia="zh-CN" w:bidi="ar-SA"/>
        </w:rPr>
        <w:t>此协议生效后，乙方将在一周内开始合同中的第一次巡检，对巡检发现的故障进行处理。所涉及的在第一次巡检时发现损坏的配件经甲方人员在场确认后，配件及维修费由甲方承担，乙方保证巡检报告的真实性。</w:t>
      </w:r>
    </w:p>
    <w:p w14:paraId="04BBD9B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六、违约责任</w:t>
      </w:r>
    </w:p>
    <w:p w14:paraId="3E131DC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1.签约双方的任意一方，由于严重的火灾、水灾、地震等其他不可抗拒的情况影响合同执行的，不算违约，但应出具相关证明。</w:t>
      </w:r>
    </w:p>
    <w:p w14:paraId="4040FD2B">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2.甲方如未按合同约定时间向乙方支付维护保养费，甲方应按银行同期利率向乙方支付应付款的利息。</w:t>
      </w:r>
    </w:p>
    <w:p w14:paraId="5FE05DB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3.机房为设备重地，须严禁烟火！为确保甲方设备安全运行，在乙方承担维保期间，不允许任何第三方或闲杂人员进入机房重地，以免引起不必要纠纷和安全隐患，乙方不承担由此引发的后果及责任</w:t>
      </w:r>
    </w:p>
    <w:p w14:paraId="56FF433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七、其它约定：</w:t>
      </w:r>
    </w:p>
    <w:p w14:paraId="59D1DE0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自然灾害、火灾等不可抗拒原因引起的整修不属本维保合同范围；        </w:t>
      </w:r>
    </w:p>
    <w:p w14:paraId="574DB14D">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本合同维保如涉及到新增维保范围内容另行协商；</w:t>
      </w:r>
    </w:p>
    <w:p w14:paraId="79DE810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本合同一式陆份。甲方伍份，乙方壹份。未尽事宜双方协商解决，补充协议具有同等法律效力</w:t>
      </w:r>
    </w:p>
    <w:p w14:paraId="3CE4D50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合同附件：《服务采购内容》、《安全责任承诺书》、《中标通知书》</w:t>
      </w:r>
    </w:p>
    <w:p w14:paraId="0819B09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14:paraId="5F93DFC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p>
    <w:p w14:paraId="711BCF4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甲方</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安康市中医医院高新分院       乙方</w:t>
      </w:r>
      <w:r>
        <w:rPr>
          <w:rFonts w:hint="eastAsia" w:ascii="宋体" w:hAnsi="宋体" w:cs="宋体"/>
          <w:color w:val="auto"/>
          <w:kern w:val="2"/>
          <w:sz w:val="24"/>
          <w:szCs w:val="24"/>
          <w:lang w:val="en-US" w:eastAsia="zh-CN" w:bidi="ar-SA"/>
        </w:rPr>
        <w:t>：</w:t>
      </w:r>
    </w:p>
    <w:p w14:paraId="686ADA41">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p>
    <w:p w14:paraId="715933C1">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p>
    <w:p w14:paraId="558611FD">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甲方法人</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                         乙方法人</w:t>
      </w:r>
      <w:r>
        <w:rPr>
          <w:rFonts w:hint="eastAsia" w:ascii="宋体" w:hAnsi="宋体" w:cs="宋体"/>
          <w:color w:val="auto"/>
          <w:kern w:val="2"/>
          <w:sz w:val="24"/>
          <w:szCs w:val="24"/>
          <w:lang w:val="en-US" w:eastAsia="zh-CN" w:bidi="ar-SA"/>
        </w:rPr>
        <w:t>：</w:t>
      </w:r>
    </w:p>
    <w:p w14:paraId="0C39B5C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p>
    <w:p w14:paraId="725F5B1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p>
    <w:p w14:paraId="444BB7C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甲方授权人                        乙方授权人</w:t>
      </w:r>
    </w:p>
    <w:p w14:paraId="0F21E82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p>
    <w:p w14:paraId="6D7993A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p>
    <w:p w14:paraId="3926FC32">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2025年  月  日              日期</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2025年  月  日</w:t>
      </w:r>
    </w:p>
    <w:p w14:paraId="00E5738A">
      <w:pPr>
        <w:pStyle w:val="45"/>
        <w:rPr>
          <w:rFonts w:hint="eastAsia" w:ascii="宋体" w:hAnsi="宋体" w:eastAsia="宋体" w:cs="宋体"/>
          <w:color w:val="auto"/>
          <w:kern w:val="2"/>
          <w:sz w:val="24"/>
          <w:szCs w:val="24"/>
          <w:lang w:val="en-US" w:eastAsia="zh-CN" w:bidi="ar-SA"/>
        </w:rPr>
      </w:pPr>
    </w:p>
    <w:p w14:paraId="5D416806">
      <w:pPr>
        <w:adjustRightInd w:val="0"/>
        <w:snapToGrid w:val="0"/>
        <w:spacing w:line="480" w:lineRule="exact"/>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《安全生产责任协议书》</w:t>
      </w:r>
    </w:p>
    <w:p w14:paraId="6FE86890">
      <w:pPr>
        <w:adjustRightInd w:val="0"/>
        <w:snapToGrid w:val="0"/>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甲方（采购方）：安康市中医医院</w:t>
      </w:r>
    </w:p>
    <w:p w14:paraId="7459895C">
      <w:pPr>
        <w:adjustRightInd w:val="0"/>
        <w:snapToGrid w:val="0"/>
        <w:spacing w:line="480" w:lineRule="exac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乙方 (维保方)：</w:t>
      </w:r>
      <w:r>
        <w:rPr>
          <w:rFonts w:hint="eastAsia" w:ascii="宋体" w:hAnsi="宋体" w:eastAsia="宋体" w:cs="宋体"/>
          <w:color w:val="auto"/>
          <w:kern w:val="2"/>
          <w:sz w:val="24"/>
          <w:szCs w:val="24"/>
          <w:u w:val="single"/>
          <w:lang w:val="en-US" w:eastAsia="zh-CN" w:bidi="ar-SA"/>
        </w:rPr>
        <w:t xml:space="preserve">               </w:t>
      </w:r>
    </w:p>
    <w:p w14:paraId="541D4B5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为了加强承发包工程和临时工的安全管理，深入贯彻“安全第一，预防为主、综合治理”安全生产方针，保证人身、设备安全，确保 期间甲方发包给乙方的工程和临时性工作顺利进行。根据国家有关法律规定，经甲乙双方平等协商、意见一致，自愿签订如下安全生产协议，并作为工程外包合同的必要补充条件：</w:t>
      </w:r>
    </w:p>
    <w:p w14:paraId="55DB7ED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第一条：甲乙双方必须认真贯彻执行国家制定的安全生产政策、法律、法规。</w:t>
      </w:r>
    </w:p>
    <w:p w14:paraId="31A2B491">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第二条：甲方承担的安全责任、权利；</w:t>
      </w:r>
    </w:p>
    <w:p w14:paraId="3DF302B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 甲方有权要求乙方必须严格遵守安全生产法律、法规、标准、安全生产规章制度和操作规程，熟练掌握事故防范措施和事故应急处理预案；</w:t>
      </w:r>
    </w:p>
    <w:p w14:paraId="6C41CC1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 甲方管理人员有权制止乙方人员违纪作业，并按规定给予处罚；</w:t>
      </w:r>
    </w:p>
    <w:p w14:paraId="0800214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 甲方有权对安全意识差、不听安全生产指挥的乙方人员责令退场。</w:t>
      </w:r>
    </w:p>
    <w:p w14:paraId="00E1E06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第三条：乙方承担的安全责任、权利；</w:t>
      </w:r>
    </w:p>
    <w:p w14:paraId="0A5499B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 乙方是外包工程、临时工作的安全生产的直接责任人，必须严格执行甲方的有关安全生产的规定、制度；</w:t>
      </w:r>
    </w:p>
    <w:p w14:paraId="36360C0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 乙方应对工作现场的行为完全负责，乙方工作人员不得违章作业，冒险作业，不能疲劳作业，并按规定做好保护工作；</w:t>
      </w:r>
    </w:p>
    <w:p w14:paraId="184ABD5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 乙方在工程现场人员必须有配备齐全的安全防护用品，不能满足安全工程需要时，人员不得进入工程现场。</w:t>
      </w:r>
    </w:p>
    <w:p w14:paraId="7DBFFC94">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第四条：乙方工作人员必须严格遵守和服从现场安全规定及安全管理，在施工现场必须做到：</w:t>
      </w:r>
    </w:p>
    <w:p w14:paraId="5A572DF3">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 操作前不得喝酒，在禁止吸烟的区域不得吸烟；</w:t>
      </w:r>
    </w:p>
    <w:p w14:paraId="25A1A108">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 现场内不得赤脚，不得穿拖鞋、高跟鞋，高空作业不得穿皮鞋；</w:t>
      </w:r>
    </w:p>
    <w:p w14:paraId="63D4D990">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 未经甲方施工负责人批准，不得随便拆除已架设的安全防护设施及安全装置和安全标牌；</w:t>
      </w:r>
    </w:p>
    <w:p w14:paraId="3A9487F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 不得私自乱接乱拉电线，保护工地上临时用电电缆及配电箱的完好，不得用材料、工具等压砸电缆电线，确保用电安全；</w:t>
      </w:r>
    </w:p>
    <w:p w14:paraId="600F278D">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 不得在工程现场使用明火，如施工必须使用，必须得到甲方书面审批，并安排专人监护，现场放置灭火器材；</w:t>
      </w:r>
    </w:p>
    <w:p w14:paraId="325E72D5">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 不得从高处向下抛扔任何物资、材料，堆放材料时不得超过支撑限重的70%；</w:t>
      </w:r>
    </w:p>
    <w:p w14:paraId="3375EE09">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 不得在高处临边一米范围内堆放活动材料；</w:t>
      </w:r>
    </w:p>
    <w:p w14:paraId="2D2A966F">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 不得在操作面上及高处临边竖立放置工具和线材；</w:t>
      </w:r>
    </w:p>
    <w:p w14:paraId="5A89906E">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 使用电动工具，必须按操作规程和说明书要求正确佩戴防护用品；</w:t>
      </w:r>
    </w:p>
    <w:p w14:paraId="2F583B80">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 施工过程中必须严格遵守安全操作规程，穿戴好防护用具。</w:t>
      </w:r>
    </w:p>
    <w:p w14:paraId="34680446">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（十一）在施工中乙方应遵章守纪，安全施工。施工中所发生的一切安全事故，其责任、经济损失均由乙方自负，甲方概不负责。</w:t>
      </w:r>
    </w:p>
    <w:p w14:paraId="7501C9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center"/>
        <w:textAlignment w:val="auto"/>
        <w:outlineLvl w:val="0"/>
        <w:rPr>
          <w:rFonts w:hint="default" w:eastAsia="宋体"/>
          <w:color w:val="auto"/>
          <w:sz w:val="32"/>
          <w:szCs w:val="32"/>
          <w:lang w:val="en-US" w:eastAsia="zh-CN"/>
        </w:rPr>
      </w:pPr>
      <w:bookmarkStart w:id="152" w:name="_Toc6574"/>
      <w:r>
        <w:rPr>
          <w:rFonts w:hint="eastAsia" w:ascii="宋体" w:hAnsi="宋体" w:eastAsia="宋体" w:cs="宋体"/>
          <w:color w:val="auto"/>
          <w:kern w:val="2"/>
          <w:sz w:val="24"/>
          <w:szCs w:val="24"/>
          <w:lang w:val="en-US" w:eastAsia="zh-CN" w:bidi="ar-SA"/>
        </w:rPr>
        <w:br w:type="column"/>
      </w:r>
      <w:r>
        <w:rPr>
          <w:rFonts w:hint="eastAsia"/>
          <w:b/>
          <w:bCs/>
          <w:color w:val="auto"/>
          <w:sz w:val="36"/>
          <w:szCs w:val="36"/>
          <w:lang w:val="en-US" w:eastAsia="zh-CN"/>
        </w:rPr>
        <w:t>第七部分  响应文件格式</w:t>
      </w:r>
      <w:bookmarkEnd w:id="152"/>
    </w:p>
    <w:p w14:paraId="114D1037">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p>
    <w:p w14:paraId="6D0BE19A">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7C92E603">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65D0356C">
      <w:pPr>
        <w:widowControl/>
        <w:spacing w:line="600" w:lineRule="exact"/>
        <w:rPr>
          <w:rFonts w:cs="仿宋" w:asciiTheme="minorEastAsia" w:hAnsiTheme="minorEastAsia" w:eastAsiaTheme="minorEastAsia"/>
          <w:bCs/>
          <w:color w:val="auto"/>
          <w:spacing w:val="20"/>
          <w:kern w:val="0"/>
          <w:sz w:val="84"/>
          <w:szCs w:val="84"/>
        </w:rPr>
      </w:pPr>
    </w:p>
    <w:p w14:paraId="163EB016">
      <w:pPr>
        <w:pStyle w:val="7"/>
        <w:rPr>
          <w:color w:val="auto"/>
        </w:rPr>
      </w:pPr>
    </w:p>
    <w:p w14:paraId="6B56535D">
      <w:pPr>
        <w:rPr>
          <w:color w:val="auto"/>
        </w:rPr>
      </w:pPr>
    </w:p>
    <w:p w14:paraId="4204DD75">
      <w:pPr>
        <w:pStyle w:val="7"/>
        <w:rPr>
          <w:color w:val="auto"/>
        </w:rPr>
      </w:pPr>
    </w:p>
    <w:p w14:paraId="61CC9B32">
      <w:pPr>
        <w:rPr>
          <w:color w:val="auto"/>
        </w:rPr>
      </w:pPr>
    </w:p>
    <w:p w14:paraId="2CB84EFB">
      <w:pPr>
        <w:pStyle w:val="23"/>
        <w:jc w:val="center"/>
        <w:rPr>
          <w:rFonts w:hint="eastAsia" w:ascii="宋体" w:hAnsi="宋体" w:eastAsia="宋体" w:cs="宋体"/>
          <w:b/>
          <w:bCs/>
          <w:color w:val="auto"/>
          <w:sz w:val="48"/>
          <w:szCs w:val="48"/>
          <w:lang w:eastAsia="zh-CN"/>
        </w:rPr>
      </w:pPr>
      <w:r>
        <w:rPr>
          <w:rFonts w:hint="eastAsia" w:ascii="宋体" w:hAnsi="宋体" w:cs="宋体"/>
          <w:b/>
          <w:bCs/>
          <w:color w:val="auto"/>
          <w:sz w:val="56"/>
          <w:szCs w:val="56"/>
          <w:u w:val="single"/>
        </w:rPr>
        <w:t xml:space="preserve">                  </w:t>
      </w:r>
      <w:r>
        <w:rPr>
          <w:rFonts w:hint="eastAsia" w:ascii="宋体" w:hAnsi="宋体" w:cs="宋体"/>
          <w:b/>
          <w:bCs/>
          <w:color w:val="auto"/>
          <w:sz w:val="56"/>
          <w:szCs w:val="56"/>
        </w:rPr>
        <w:t>项目</w:t>
      </w:r>
      <w:bookmarkStart w:id="153" w:name="OLE_LINK13"/>
    </w:p>
    <w:bookmarkEnd w:id="153"/>
    <w:p w14:paraId="2855DFD8">
      <w:pPr>
        <w:pStyle w:val="23"/>
        <w:jc w:val="center"/>
        <w:rPr>
          <w:rFonts w:ascii="宋体" w:hAnsi="宋体" w:cs="宋体"/>
          <w:b/>
          <w:bCs/>
          <w:color w:val="auto"/>
          <w:sz w:val="56"/>
          <w:szCs w:val="56"/>
        </w:rPr>
      </w:pPr>
    </w:p>
    <w:p w14:paraId="026AB55D">
      <w:pPr>
        <w:pStyle w:val="23"/>
        <w:rPr>
          <w:color w:val="auto"/>
        </w:rPr>
      </w:pPr>
    </w:p>
    <w:p w14:paraId="17C8BD7E">
      <w:pPr>
        <w:pStyle w:val="23"/>
        <w:rPr>
          <w:color w:val="auto"/>
        </w:rPr>
      </w:pPr>
    </w:p>
    <w:p w14:paraId="5F9D0EB1">
      <w:pPr>
        <w:pStyle w:val="23"/>
        <w:rPr>
          <w:color w:val="auto"/>
        </w:rPr>
      </w:pPr>
    </w:p>
    <w:p w14:paraId="0C6FFA9B">
      <w:pPr>
        <w:pStyle w:val="23"/>
        <w:rPr>
          <w:color w:val="auto"/>
        </w:rPr>
      </w:pPr>
    </w:p>
    <w:p w14:paraId="00CBABD2">
      <w:pPr>
        <w:widowControl/>
        <w:spacing w:before="163" w:beforeLines="50" w:line="800" w:lineRule="exact"/>
        <w:jc w:val="center"/>
        <w:rPr>
          <w:rFonts w:cs="仿宋" w:asciiTheme="minorEastAsia" w:hAnsiTheme="minorEastAsia" w:eastAsiaTheme="minorEastAsia"/>
          <w:b/>
          <w:color w:val="auto"/>
          <w:spacing w:val="20"/>
          <w:kern w:val="0"/>
          <w:sz w:val="84"/>
          <w:szCs w:val="84"/>
        </w:rPr>
      </w:pPr>
      <w:r>
        <w:rPr>
          <w:rFonts w:hint="eastAsia" w:cs="仿宋" w:asciiTheme="minorEastAsia" w:hAnsiTheme="minorEastAsia" w:eastAsiaTheme="minorEastAsia"/>
          <w:b/>
          <w:color w:val="auto"/>
          <w:spacing w:val="20"/>
          <w:kern w:val="0"/>
          <w:sz w:val="84"/>
          <w:szCs w:val="84"/>
        </w:rPr>
        <w:t>响应文件</w:t>
      </w:r>
    </w:p>
    <w:p w14:paraId="2B3BBCD7">
      <w:pPr>
        <w:pStyle w:val="23"/>
        <w:rPr>
          <w:color w:val="auto"/>
        </w:rPr>
      </w:pPr>
    </w:p>
    <w:p w14:paraId="02575AA1">
      <w:pPr>
        <w:widowControl/>
        <w:spacing w:line="480" w:lineRule="exact"/>
        <w:rPr>
          <w:rFonts w:cs="仿宋" w:asciiTheme="minorEastAsia" w:hAnsiTheme="minorEastAsia" w:eastAsiaTheme="minorEastAsia"/>
          <w:bCs/>
          <w:color w:val="auto"/>
          <w:sz w:val="44"/>
          <w:szCs w:val="44"/>
        </w:rPr>
      </w:pPr>
      <w:r>
        <w:rPr>
          <w:rFonts w:hint="eastAsia" w:cs="仿宋" w:asciiTheme="minorEastAsia" w:hAnsiTheme="minorEastAsia" w:eastAsiaTheme="minorEastAsia"/>
          <w:bCs/>
          <w:color w:val="auto"/>
          <w:sz w:val="32"/>
          <w:szCs w:val="28"/>
        </w:rPr>
        <w:t xml:space="preserve">                     </w:t>
      </w:r>
      <w:r>
        <w:rPr>
          <w:rFonts w:hint="eastAsia" w:cs="仿宋" w:asciiTheme="minorEastAsia" w:hAnsiTheme="minorEastAsia" w:eastAsiaTheme="minorEastAsia"/>
          <w:bCs/>
          <w:color w:val="auto"/>
          <w:sz w:val="44"/>
          <w:szCs w:val="44"/>
        </w:rPr>
        <w:t>（正/副本）</w:t>
      </w:r>
    </w:p>
    <w:p w14:paraId="663219AE">
      <w:pPr>
        <w:widowControl/>
        <w:spacing w:line="400" w:lineRule="exact"/>
        <w:rPr>
          <w:rFonts w:cs="仿宋" w:asciiTheme="minorEastAsia" w:hAnsiTheme="minorEastAsia" w:eastAsiaTheme="minorEastAsia"/>
          <w:bCs/>
          <w:color w:val="auto"/>
          <w:sz w:val="18"/>
          <w:szCs w:val="18"/>
        </w:rPr>
      </w:pPr>
    </w:p>
    <w:p w14:paraId="75A98166">
      <w:pPr>
        <w:widowControl/>
        <w:spacing w:line="400" w:lineRule="exact"/>
        <w:rPr>
          <w:rFonts w:cs="仿宋" w:asciiTheme="minorEastAsia" w:hAnsiTheme="minorEastAsia" w:eastAsiaTheme="minorEastAsia"/>
          <w:bCs/>
          <w:color w:val="auto"/>
          <w:sz w:val="18"/>
          <w:szCs w:val="18"/>
        </w:rPr>
      </w:pPr>
    </w:p>
    <w:p w14:paraId="1E327433">
      <w:pPr>
        <w:widowControl/>
        <w:spacing w:line="400" w:lineRule="exact"/>
        <w:rPr>
          <w:rFonts w:cs="仿宋" w:asciiTheme="minorEastAsia" w:hAnsiTheme="minorEastAsia" w:eastAsiaTheme="minorEastAsia"/>
          <w:bCs/>
          <w:color w:val="auto"/>
          <w:sz w:val="18"/>
          <w:szCs w:val="18"/>
        </w:rPr>
      </w:pPr>
    </w:p>
    <w:p w14:paraId="3281FED2">
      <w:pPr>
        <w:widowControl/>
        <w:spacing w:line="480" w:lineRule="auto"/>
        <w:rPr>
          <w:rFonts w:cs="仿宋" w:asciiTheme="minorEastAsia" w:hAnsiTheme="minorEastAsia" w:eastAsiaTheme="minorEastAsia"/>
          <w:bCs/>
          <w:color w:val="auto"/>
          <w:sz w:val="36"/>
          <w:szCs w:val="36"/>
        </w:rPr>
      </w:pPr>
    </w:p>
    <w:p w14:paraId="366D17AC">
      <w:pPr>
        <w:widowControl/>
        <w:spacing w:line="480" w:lineRule="auto"/>
        <w:rPr>
          <w:rFonts w:cs="仿宋" w:asciiTheme="minorEastAsia" w:hAnsiTheme="minorEastAsia" w:eastAsiaTheme="minorEastAsia"/>
          <w:bCs/>
          <w:color w:val="auto"/>
          <w:sz w:val="36"/>
          <w:szCs w:val="36"/>
        </w:rPr>
      </w:pPr>
    </w:p>
    <w:p w14:paraId="650BEFC9">
      <w:pPr>
        <w:pStyle w:val="14"/>
        <w:rPr>
          <w:color w:val="auto"/>
        </w:rPr>
      </w:pPr>
    </w:p>
    <w:p w14:paraId="5F1EFEF5">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lang w:val="zh-CN"/>
        </w:rPr>
        <w:t>供应商（单位名称及公章）：</w:t>
      </w:r>
      <w:r>
        <w:rPr>
          <w:rFonts w:hint="eastAsia" w:ascii="宋体" w:hAnsi="宋体" w:cs="宋体"/>
          <w:color w:val="auto"/>
          <w:sz w:val="24"/>
          <w:szCs w:val="24"/>
        </w:rPr>
        <w:t xml:space="preserve">____________________________ </w:t>
      </w:r>
    </w:p>
    <w:p w14:paraId="3D8E16AD">
      <w:pPr>
        <w:snapToGrid w:val="0"/>
        <w:spacing w:line="560" w:lineRule="exact"/>
        <w:ind w:firstLine="480" w:firstLineChars="200"/>
        <w:jc w:val="left"/>
        <w:rPr>
          <w:rFonts w:cs="Times New Roman"/>
          <w:color w:val="auto"/>
          <w:sz w:val="24"/>
          <w:szCs w:val="24"/>
        </w:rPr>
      </w:pPr>
      <w:r>
        <w:rPr>
          <w:rFonts w:hint="eastAsia" w:ascii="宋体" w:hAnsi="宋体" w:cs="宋体"/>
          <w:color w:val="auto"/>
          <w:sz w:val="24"/>
          <w:szCs w:val="24"/>
          <w:lang w:val="zh-CN"/>
        </w:rPr>
        <w:t>法定代表人或被授权人（签字</w:t>
      </w:r>
      <w:r>
        <w:rPr>
          <w:rFonts w:hint="eastAsia" w:ascii="宋体" w:hAnsi="宋体" w:cs="宋体"/>
          <w:color w:val="auto"/>
          <w:sz w:val="24"/>
          <w:szCs w:val="24"/>
        </w:rPr>
        <w:t>或盖章</w:t>
      </w:r>
      <w:r>
        <w:rPr>
          <w:rFonts w:hint="eastAsia" w:ascii="宋体" w:hAnsi="宋体" w:cs="宋体"/>
          <w:color w:val="auto"/>
          <w:sz w:val="24"/>
          <w:szCs w:val="24"/>
          <w:lang w:val="zh-CN"/>
        </w:rPr>
        <w:t>）：</w:t>
      </w:r>
      <w:r>
        <w:rPr>
          <w:rFonts w:hint="eastAsia" w:ascii="宋体" w:hAnsi="宋体" w:cs="宋体"/>
          <w:color w:val="auto"/>
          <w:sz w:val="24"/>
          <w:szCs w:val="24"/>
        </w:rPr>
        <w:t>______________________</w:t>
      </w:r>
    </w:p>
    <w:p w14:paraId="3C111293">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日期</w:t>
      </w:r>
      <w:r>
        <w:rPr>
          <w:rFonts w:hint="eastAsia" w:ascii="宋体" w:hAnsi="宋体" w:cs="宋体"/>
          <w:color w:val="auto"/>
          <w:sz w:val="24"/>
          <w:szCs w:val="24"/>
          <w:lang w:val="zh-CN"/>
        </w:rPr>
        <w:t>：</w:t>
      </w:r>
      <w:r>
        <w:rPr>
          <w:rFonts w:hint="eastAsia" w:ascii="宋体" w:hAnsi="宋体" w:cs="宋体"/>
          <w:color w:val="auto"/>
          <w:sz w:val="24"/>
          <w:szCs w:val="24"/>
        </w:rPr>
        <w:t>____________________________________________________</w:t>
      </w:r>
    </w:p>
    <w:p w14:paraId="4F803CAF">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目录</w:t>
      </w:r>
    </w:p>
    <w:p w14:paraId="0BC1F6D3">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05259D0C">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3FA74500">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供应商资质证明文件</w:t>
      </w:r>
    </w:p>
    <w:p w14:paraId="709006E6">
      <w:pPr>
        <w:pStyle w:val="23"/>
        <w:spacing w:line="360" w:lineRule="auto"/>
        <w:ind w:left="1155" w:leftChars="550"/>
        <w:rPr>
          <w:rFonts w:hint="default" w:ascii="宋体" w:hAnsi="宋体" w:eastAsia="宋体"/>
          <w:color w:val="auto"/>
          <w:sz w:val="32"/>
          <w:szCs w:val="28"/>
          <w:lang w:val="en-US" w:eastAsia="zh-CN"/>
        </w:rPr>
      </w:pPr>
      <w:r>
        <w:rPr>
          <w:rFonts w:hint="eastAsia" w:ascii="宋体" w:hAnsi="宋体"/>
          <w:color w:val="auto"/>
          <w:sz w:val="32"/>
          <w:szCs w:val="28"/>
        </w:rPr>
        <w:t xml:space="preserve">第四章   </w:t>
      </w:r>
      <w:r>
        <w:rPr>
          <w:rFonts w:hint="eastAsia" w:ascii="宋体" w:hAnsi="宋体"/>
          <w:color w:val="auto"/>
          <w:sz w:val="32"/>
          <w:szCs w:val="28"/>
          <w:lang w:val="en-US" w:eastAsia="zh-CN"/>
        </w:rPr>
        <w:t>技术及</w:t>
      </w:r>
      <w:r>
        <w:rPr>
          <w:rFonts w:hint="eastAsia" w:ascii="宋体" w:hAnsi="宋体"/>
          <w:color w:val="auto"/>
          <w:sz w:val="32"/>
          <w:szCs w:val="28"/>
          <w:lang w:eastAsia="zh-CN"/>
        </w:rPr>
        <w:t>商务</w:t>
      </w:r>
      <w:r>
        <w:rPr>
          <w:rFonts w:hint="eastAsia" w:ascii="宋体" w:hAnsi="宋体"/>
          <w:color w:val="auto"/>
          <w:sz w:val="32"/>
          <w:szCs w:val="28"/>
          <w:lang w:val="en-US" w:eastAsia="zh-CN"/>
        </w:rPr>
        <w:t>响应</w:t>
      </w:r>
      <w:r>
        <w:rPr>
          <w:rFonts w:hint="eastAsia" w:ascii="宋体" w:hAnsi="宋体"/>
          <w:color w:val="auto"/>
          <w:sz w:val="32"/>
          <w:szCs w:val="28"/>
          <w:lang w:eastAsia="zh-CN"/>
        </w:rPr>
        <w:t>偏离表</w:t>
      </w:r>
    </w:p>
    <w:p w14:paraId="4DE8C1F3">
      <w:pPr>
        <w:pStyle w:val="23"/>
        <w:spacing w:line="360" w:lineRule="auto"/>
        <w:ind w:left="1155" w:leftChars="550"/>
        <w:rPr>
          <w:rFonts w:ascii="宋体" w:hAnsi="宋体"/>
          <w:color w:val="auto"/>
          <w:sz w:val="32"/>
          <w:szCs w:val="28"/>
        </w:rPr>
      </w:pPr>
      <w:r>
        <w:rPr>
          <w:rFonts w:hint="eastAsia" w:ascii="宋体" w:hAnsi="宋体"/>
          <w:color w:val="auto"/>
          <w:sz w:val="32"/>
          <w:szCs w:val="28"/>
        </w:rPr>
        <w:t>第五章</w:t>
      </w:r>
      <w:r>
        <w:rPr>
          <w:rFonts w:hint="eastAsia" w:ascii="宋体" w:hAnsi="宋体"/>
          <w:color w:val="auto"/>
          <w:sz w:val="32"/>
          <w:szCs w:val="28"/>
          <w:lang w:val="en-US" w:eastAsia="zh-CN"/>
        </w:rPr>
        <w:t xml:space="preserve">   响应</w:t>
      </w:r>
      <w:r>
        <w:rPr>
          <w:rFonts w:hint="eastAsia" w:ascii="宋体" w:hAnsi="宋体"/>
          <w:color w:val="auto"/>
          <w:sz w:val="32"/>
          <w:szCs w:val="28"/>
        </w:rPr>
        <w:t>方案</w:t>
      </w:r>
    </w:p>
    <w:p w14:paraId="00A3307E">
      <w:pPr>
        <w:pStyle w:val="23"/>
        <w:spacing w:line="360" w:lineRule="auto"/>
        <w:ind w:left="1155" w:leftChars="550"/>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val="en-US" w:eastAsia="zh-CN"/>
        </w:rPr>
        <w:t>六</w:t>
      </w:r>
      <w:r>
        <w:rPr>
          <w:rFonts w:hint="eastAsia" w:ascii="宋体" w:hAnsi="宋体"/>
          <w:color w:val="auto"/>
          <w:sz w:val="32"/>
          <w:szCs w:val="28"/>
        </w:rPr>
        <w:t>章   供应商承诺书</w:t>
      </w:r>
    </w:p>
    <w:p w14:paraId="6C37BA6D">
      <w:pPr>
        <w:pStyle w:val="23"/>
        <w:spacing w:line="360" w:lineRule="auto"/>
        <w:ind w:left="1155" w:leftChars="550"/>
        <w:rPr>
          <w:rFonts w:ascii="宋体" w:hAnsi="宋体"/>
          <w:color w:val="auto"/>
          <w:sz w:val="32"/>
          <w:szCs w:val="28"/>
        </w:rPr>
      </w:pPr>
    </w:p>
    <w:p w14:paraId="287C118E">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   </w:t>
      </w:r>
    </w:p>
    <w:p w14:paraId="2FFAA879">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5D067DEA">
      <w:pPr>
        <w:pStyle w:val="23"/>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33C49625">
      <w:pPr>
        <w:pStyle w:val="23"/>
        <w:spacing w:line="360" w:lineRule="auto"/>
        <w:ind w:left="1155" w:leftChars="550"/>
        <w:rPr>
          <w:rFonts w:ascii="宋体" w:hAnsi="宋体"/>
          <w:color w:val="auto"/>
          <w:sz w:val="32"/>
          <w:szCs w:val="28"/>
        </w:rPr>
      </w:pPr>
      <w:r>
        <w:rPr>
          <w:rFonts w:ascii="宋体" w:hAnsi="宋体"/>
          <w:color w:val="auto"/>
          <w:sz w:val="32"/>
          <w:szCs w:val="28"/>
        </w:rPr>
        <w:t xml:space="preserve">  </w:t>
      </w:r>
    </w:p>
    <w:p w14:paraId="6A60312B"/>
    <w:p w14:paraId="7517C92E">
      <w:pPr>
        <w:pStyle w:val="23"/>
        <w:spacing w:line="480" w:lineRule="auto"/>
        <w:ind w:left="945" w:leftChars="450"/>
        <w:rPr>
          <w:color w:val="auto"/>
        </w:rPr>
      </w:pPr>
      <w:r>
        <w:rPr>
          <w:rFonts w:hint="eastAsia"/>
          <w:color w:val="auto"/>
          <w:sz w:val="30"/>
          <w:szCs w:val="30"/>
        </w:rPr>
        <w:tab/>
      </w:r>
    </w:p>
    <w:p w14:paraId="63B87481">
      <w:pPr>
        <w:pStyle w:val="5"/>
        <w:pageBreakBefore/>
        <w:rPr>
          <w:rFonts w:ascii="宋体" w:cs="Times New Roman"/>
          <w:color w:val="auto"/>
          <w:sz w:val="32"/>
          <w:szCs w:val="32"/>
        </w:rPr>
      </w:pPr>
      <w:bookmarkStart w:id="154" w:name="_Toc2536"/>
      <w:bookmarkStart w:id="155" w:name="_Toc536202393"/>
      <w:bookmarkStart w:id="156" w:name="_Toc10356"/>
      <w:bookmarkStart w:id="157" w:name="_Toc536429333"/>
      <w:bookmarkStart w:id="158" w:name="_Toc19543349"/>
      <w:bookmarkStart w:id="159" w:name="_Toc536202324"/>
      <w:bookmarkStart w:id="160" w:name="_Toc536429386"/>
      <w:r>
        <w:rPr>
          <w:rFonts w:hint="eastAsia" w:ascii="宋体" w:hAnsi="宋体" w:cs="宋体"/>
          <w:color w:val="auto"/>
          <w:sz w:val="32"/>
          <w:szCs w:val="32"/>
        </w:rPr>
        <w:t>第一</w:t>
      </w:r>
      <w:bookmarkEnd w:id="154"/>
      <w:r>
        <w:rPr>
          <w:rFonts w:hint="eastAsia" w:ascii="宋体" w:hAnsi="宋体" w:cs="宋体"/>
          <w:color w:val="auto"/>
          <w:sz w:val="32"/>
          <w:szCs w:val="32"/>
        </w:rPr>
        <w:t>章</w:t>
      </w:r>
      <w:r>
        <w:rPr>
          <w:rFonts w:ascii="宋体" w:hAnsi="宋体" w:cs="宋体"/>
          <w:color w:val="auto"/>
          <w:sz w:val="32"/>
          <w:szCs w:val="32"/>
        </w:rPr>
        <w:t xml:space="preserve">  </w:t>
      </w:r>
      <w:r>
        <w:rPr>
          <w:rFonts w:hint="eastAsia" w:ascii="宋体" w:hAnsi="宋体" w:cs="宋体"/>
          <w:color w:val="auto"/>
          <w:sz w:val="32"/>
          <w:szCs w:val="32"/>
        </w:rPr>
        <w:t>响应函</w:t>
      </w:r>
      <w:bookmarkEnd w:id="155"/>
      <w:bookmarkEnd w:id="156"/>
      <w:bookmarkEnd w:id="157"/>
      <w:bookmarkEnd w:id="158"/>
      <w:bookmarkEnd w:id="159"/>
      <w:bookmarkEnd w:id="160"/>
    </w:p>
    <w:p w14:paraId="53101261">
      <w:pPr>
        <w:adjustRightInd w:val="0"/>
        <w:snapToGrid w:val="0"/>
        <w:spacing w:line="480" w:lineRule="exact"/>
        <w:jc w:val="left"/>
        <w:rPr>
          <w:rFonts w:ascii="宋体" w:cs="Times New Roman"/>
          <w:color w:val="auto"/>
          <w:sz w:val="24"/>
          <w:szCs w:val="24"/>
        </w:rPr>
      </w:pPr>
      <w:r>
        <w:rPr>
          <w:rFonts w:hint="eastAsia" w:ascii="宋体" w:hAnsi="宋体" w:cs="宋体"/>
          <w:color w:val="auto"/>
          <w:sz w:val="24"/>
          <w:szCs w:val="24"/>
        </w:rPr>
        <w:t>安康尚昊招标代理有限公司：</w:t>
      </w:r>
    </w:p>
    <w:p w14:paraId="4AAE6303">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olor w:val="auto"/>
          <w:sz w:val="24"/>
          <w:szCs w:val="24"/>
        </w:rPr>
        <w:t>我单位收到贵公司</w:t>
      </w:r>
      <w:r>
        <w:rPr>
          <w:rFonts w:hint="eastAsia" w:ascii="宋体" w:hAnsi="宋体"/>
          <w:color w:val="auto"/>
          <w:sz w:val="24"/>
          <w:szCs w:val="24"/>
          <w:u w:val="single"/>
        </w:rPr>
        <w:t xml:space="preserve">  （项目名称） （项目编号）    </w:t>
      </w:r>
      <w:r>
        <w:rPr>
          <w:rFonts w:hint="eastAsia" w:ascii="宋体" w:hAnsi="宋体" w:cs="宋体"/>
          <w:color w:val="auto"/>
          <w:sz w:val="24"/>
          <w:szCs w:val="24"/>
        </w:rPr>
        <w:t>竞争性磋商文件，经详细研究，我公司决</w:t>
      </w:r>
      <w:r>
        <w:rPr>
          <w:rFonts w:hint="eastAsia" w:ascii="宋体" w:hAnsi="宋体" w:cs="宋体"/>
          <w:color w:val="auto"/>
          <w:sz w:val="24"/>
          <w:szCs w:val="24"/>
          <w:shd w:val="clear"/>
        </w:rPr>
        <w:t>定参加本</w:t>
      </w:r>
      <w:r>
        <w:rPr>
          <w:rFonts w:hint="eastAsia" w:ascii="宋体" w:hAnsi="宋体" w:cs="宋体"/>
          <w:color w:val="auto"/>
          <w:sz w:val="24"/>
          <w:szCs w:val="24"/>
        </w:rPr>
        <w:t>次磋商活动。为此，我方郑重承诺以下诸点，并负法律责任。</w:t>
      </w:r>
    </w:p>
    <w:p w14:paraId="0F35E8C9">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愿意按照竞争性磋商文件中的全部要求，提供合格的产品及完善的技术服务，履行合同的责任和义务。</w:t>
      </w:r>
    </w:p>
    <w:p w14:paraId="237FFEFB">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按照竞争性磋商文件的规定，我公司的响应总报价为：</w:t>
      </w:r>
    </w:p>
    <w:p w14:paraId="59782492">
      <w:pPr>
        <w:spacing w:line="360" w:lineRule="auto"/>
        <w:ind w:firstLine="480" w:firstLineChars="200"/>
        <w:rPr>
          <w:color w:val="auto"/>
        </w:rPr>
      </w:pPr>
      <w:r>
        <w:rPr>
          <w:rFonts w:hint="eastAsia" w:ascii="宋体" w:hAnsi="宋体" w:cs="宋体"/>
          <w:color w:val="auto"/>
          <w:sz w:val="24"/>
          <w:szCs w:val="24"/>
        </w:rPr>
        <w:t>人民币（大写）：______________元；（小写）￥：______元；</w:t>
      </w:r>
    </w:p>
    <w:p w14:paraId="755F7201">
      <w:pPr>
        <w:adjustRightInd w:val="0"/>
        <w:snapToGrid w:val="0"/>
        <w:spacing w:line="480" w:lineRule="exact"/>
        <w:ind w:firstLine="480" w:firstLineChars="200"/>
        <w:jc w:val="left"/>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我方提交的响应文件正本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份，电子文件</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w:t>
      </w:r>
    </w:p>
    <w:p w14:paraId="0B836A12">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我们已详细阅读了竞争性磋商文件，完全理解并同意放弃提出含糊不清和误解问题的权力。</w:t>
      </w:r>
    </w:p>
    <w:p w14:paraId="2AD4697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如果我方在磋商后到规定的响应有效期内撤回响应文件及承诺，我们将承担相关法律责任。</w:t>
      </w:r>
    </w:p>
    <w:p w14:paraId="5ED5F460">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同意向贵方提供贵方可能要求的、与本次磋商有关的任何证据资料。</w:t>
      </w:r>
    </w:p>
    <w:p w14:paraId="1F249AE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我方承诺响应有效期为磋商后______日历日内有效。</w:t>
      </w:r>
    </w:p>
    <w:p w14:paraId="6E980EC5">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8.</w:t>
      </w:r>
      <w:r>
        <w:rPr>
          <w:rFonts w:hint="eastAsia" w:ascii="宋体" w:hAnsi="宋体" w:cs="宋体"/>
          <w:color w:val="auto"/>
          <w:sz w:val="24"/>
          <w:szCs w:val="24"/>
        </w:rPr>
        <w:t>所有关于本次磋商的函电，请按下列地址联系：</w:t>
      </w:r>
    </w:p>
    <w:p w14:paraId="5916BC06">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供应商（单位名称及公章）：_____________________</w:t>
      </w:r>
    </w:p>
    <w:p w14:paraId="3DCB250A">
      <w:pPr>
        <w:adjustRightInd w:val="0"/>
        <w:snapToGrid w:val="0"/>
        <w:spacing w:line="480" w:lineRule="exact"/>
        <w:ind w:firstLine="480" w:firstLineChars="200"/>
        <w:rPr>
          <w:rFonts w:ascii="宋体" w:cs="Times New Roman"/>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或盖章）：_____________________</w:t>
      </w:r>
    </w:p>
    <w:p w14:paraId="6669771C">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址：___________________________________</w:t>
      </w:r>
    </w:p>
    <w:p w14:paraId="388861AA">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开户银行：___________________________________</w:t>
      </w:r>
    </w:p>
    <w:p w14:paraId="04DE065F">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号：___________________________________</w:t>
      </w:r>
    </w:p>
    <w:p w14:paraId="0D4DFBF4">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话：___________________________________</w:t>
      </w:r>
    </w:p>
    <w:p w14:paraId="4801DBFD">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编：___________________________________</w:t>
      </w:r>
    </w:p>
    <w:p w14:paraId="7595CA51">
      <w:pPr>
        <w:adjustRightInd w:val="0"/>
        <w:snapToGrid w:val="0"/>
        <w:spacing w:line="480" w:lineRule="exact"/>
        <w:ind w:firstLine="480" w:firstLineChars="200"/>
        <w:rPr>
          <w:rFonts w:ascii="宋体" w:cs="Times New Roman"/>
          <w:color w:val="auto"/>
          <w:sz w:val="24"/>
          <w:szCs w:val="24"/>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bookmarkStart w:id="161" w:name="_Toc28494"/>
    </w:p>
    <w:bookmarkEnd w:id="161"/>
    <w:p w14:paraId="1A75FD13">
      <w:pPr>
        <w:autoSpaceDE w:val="0"/>
        <w:autoSpaceDN w:val="0"/>
        <w:adjustRightInd w:val="0"/>
        <w:snapToGrid w:val="0"/>
        <w:spacing w:line="360" w:lineRule="auto"/>
        <w:jc w:val="center"/>
        <w:rPr>
          <w:b/>
          <w:color w:val="auto"/>
          <w:sz w:val="24"/>
        </w:rPr>
      </w:pPr>
      <w:bookmarkStart w:id="162" w:name="_Toc11309"/>
      <w:r>
        <w:rPr>
          <w:rFonts w:hint="eastAsia" w:hAnsi="宋体"/>
          <w:b/>
          <w:color w:val="auto"/>
          <w:sz w:val="32"/>
          <w:szCs w:val="32"/>
        </w:rPr>
        <w:t>第二章 响应报价表</w:t>
      </w:r>
    </w:p>
    <w:p w14:paraId="5CBFF5F4">
      <w:pPr>
        <w:autoSpaceDE w:val="0"/>
        <w:autoSpaceDN w:val="0"/>
        <w:adjustRightInd w:val="0"/>
        <w:snapToGrid w:val="0"/>
        <w:spacing w:line="360" w:lineRule="auto"/>
        <w:rPr>
          <w:rFonts w:ascii="宋体" w:hAnsi="宋体" w:cs="宋体"/>
          <w:b/>
          <w:color w:val="auto"/>
          <w:sz w:val="24"/>
          <w:szCs w:val="24"/>
        </w:rPr>
      </w:pPr>
      <w:r>
        <w:rPr>
          <w:rFonts w:hint="eastAsia" w:ascii="宋体" w:hAnsi="宋体" w:cs="宋体"/>
          <w:b/>
          <w:color w:val="auto"/>
          <w:sz w:val="24"/>
          <w:szCs w:val="24"/>
        </w:rPr>
        <w:t xml:space="preserve"> </w:t>
      </w:r>
    </w:p>
    <w:p w14:paraId="2A83EF32">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供应商名称：                                        </w:t>
      </w:r>
    </w:p>
    <w:p w14:paraId="7B21F95E">
      <w:pPr>
        <w:adjustRightInd w:val="0"/>
        <w:snapToGrid w:val="0"/>
        <w:spacing w:line="360" w:lineRule="auto"/>
        <w:ind w:firstLine="480" w:firstLineChars="200"/>
        <w:jc w:val="left"/>
        <w:rPr>
          <w:rFonts w:hint="default" w:ascii="宋体" w:cs="Times New Roman" w:eastAsiaTheme="minorEastAsia"/>
          <w:color w:val="auto"/>
          <w:sz w:val="24"/>
          <w:szCs w:val="24"/>
          <w:lang w:val="en-US" w:eastAsia="zh-CN"/>
        </w:rPr>
      </w:pPr>
      <w:r>
        <w:rPr>
          <w:rFonts w:hint="eastAsia" w:ascii="宋体" w:hAnsi="宋体" w:cs="宋体"/>
          <w:color w:val="auto"/>
          <w:sz w:val="24"/>
          <w:szCs w:val="24"/>
        </w:rPr>
        <w:t xml:space="preserve">项目名称：  </w:t>
      </w:r>
      <w:r>
        <w:rPr>
          <w:rFonts w:hint="eastAsia" w:cs="Times New Roman" w:asciiTheme="minorEastAsia" w:hAnsiTheme="minorEastAsia" w:eastAsiaTheme="minorEastAsia"/>
          <w:color w:val="auto"/>
          <w:sz w:val="28"/>
          <w:szCs w:val="28"/>
        </w:rPr>
        <w:t xml:space="preserve">                             </w:t>
      </w:r>
      <w:r>
        <w:rPr>
          <w:rFonts w:hint="eastAsia" w:cs="Times New Roman" w:asciiTheme="minorEastAsia" w:hAnsiTheme="minorEastAsia" w:eastAsiaTheme="minorEastAsia"/>
          <w:color w:val="auto"/>
          <w:sz w:val="28"/>
          <w:szCs w:val="28"/>
          <w:lang w:val="en-US" w:eastAsia="zh-CN"/>
        </w:rPr>
        <w:t xml:space="preserve">  </w:t>
      </w:r>
    </w:p>
    <w:tbl>
      <w:tblPr>
        <w:tblStyle w:val="3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953"/>
        <w:gridCol w:w="1978"/>
        <w:gridCol w:w="2038"/>
      </w:tblGrid>
      <w:tr w14:paraId="4365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2649" w:type="dxa"/>
            <w:tcBorders>
              <w:tl2br w:val="single" w:color="auto" w:sz="4" w:space="0"/>
            </w:tcBorders>
          </w:tcPr>
          <w:p w14:paraId="5EA6B98A">
            <w:pPr>
              <w:kinsoku w:val="0"/>
              <w:spacing w:line="500" w:lineRule="exact"/>
              <w:ind w:firstLine="720" w:firstLineChars="300"/>
              <w:rPr>
                <w:rFonts w:ascii="宋体" w:hAnsi="宋体" w:cs="Times New Roman"/>
                <w:color w:val="auto"/>
                <w:sz w:val="24"/>
                <w:szCs w:val="24"/>
              </w:rPr>
            </w:pPr>
            <w:r>
              <w:rPr>
                <w:rFonts w:hint="eastAsia" w:ascii="宋体" w:hAnsi="宋体" w:cs="Times New Roman"/>
                <w:color w:val="auto"/>
                <w:sz w:val="24"/>
                <w:szCs w:val="24"/>
              </w:rPr>
              <w:t>报价内容</w:t>
            </w:r>
          </w:p>
          <w:p w14:paraId="2104F0EC">
            <w:pPr>
              <w:kinsoku w:val="0"/>
              <w:spacing w:line="500" w:lineRule="exact"/>
              <w:rPr>
                <w:rFonts w:ascii="宋体" w:hAnsi="宋体" w:cs="Times New Roman"/>
                <w:color w:val="auto"/>
                <w:sz w:val="24"/>
                <w:szCs w:val="24"/>
              </w:rPr>
            </w:pPr>
          </w:p>
          <w:p w14:paraId="5CBE8ADD">
            <w:pPr>
              <w:kinsoku w:val="0"/>
              <w:spacing w:line="500" w:lineRule="exact"/>
              <w:rPr>
                <w:rFonts w:ascii="宋体" w:hAnsi="宋体" w:cs="Times New Roman"/>
                <w:color w:val="auto"/>
                <w:sz w:val="24"/>
                <w:szCs w:val="24"/>
              </w:rPr>
            </w:pPr>
          </w:p>
          <w:p w14:paraId="22FDFA9E">
            <w:pPr>
              <w:kinsoku w:val="0"/>
              <w:spacing w:line="500" w:lineRule="exact"/>
              <w:rPr>
                <w:rFonts w:ascii="宋体" w:hAnsi="宋体" w:cs="Times New Roman"/>
                <w:color w:val="auto"/>
                <w:sz w:val="24"/>
                <w:szCs w:val="24"/>
              </w:rPr>
            </w:pPr>
          </w:p>
          <w:p w14:paraId="7716EC03">
            <w:pPr>
              <w:kinsoku w:val="0"/>
              <w:spacing w:line="500" w:lineRule="exact"/>
              <w:rPr>
                <w:rFonts w:ascii="宋体" w:hAnsi="宋体" w:cs="Times New Roman"/>
                <w:color w:val="auto"/>
                <w:sz w:val="24"/>
                <w:szCs w:val="24"/>
              </w:rPr>
            </w:pPr>
            <w:r>
              <w:rPr>
                <w:rFonts w:hint="eastAsia" w:ascii="宋体" w:hAnsi="宋体" w:cs="Times New Roman"/>
                <w:color w:val="auto"/>
                <w:sz w:val="24"/>
                <w:szCs w:val="24"/>
              </w:rPr>
              <w:t>投标内容</w:t>
            </w:r>
          </w:p>
        </w:tc>
        <w:tc>
          <w:tcPr>
            <w:tcW w:w="2953" w:type="dxa"/>
            <w:vAlign w:val="center"/>
          </w:tcPr>
          <w:p w14:paraId="161F5446">
            <w:pPr>
              <w:kinsoku w:val="0"/>
              <w:spacing w:line="500" w:lineRule="exact"/>
              <w:ind w:firstLine="141" w:firstLineChars="59"/>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投标总价</w:t>
            </w:r>
          </w:p>
          <w:p w14:paraId="1A99F9C9">
            <w:pPr>
              <w:kinsoku w:val="0"/>
              <w:spacing w:line="500" w:lineRule="exact"/>
              <w:ind w:firstLine="141" w:firstLineChars="59"/>
              <w:jc w:val="center"/>
              <w:rPr>
                <w:rFonts w:hint="default" w:eastAsia="宋体"/>
                <w:color w:val="auto"/>
                <w:lang w:val="en-US" w:eastAsia="zh-CN"/>
              </w:rPr>
            </w:pPr>
            <w:r>
              <w:rPr>
                <w:rFonts w:hint="eastAsia" w:ascii="宋体" w:hAnsi="宋体"/>
                <w:color w:val="auto"/>
                <w:sz w:val="24"/>
                <w:szCs w:val="24"/>
                <w:lang w:val="en-US" w:eastAsia="zh-CN"/>
              </w:rPr>
              <w:t>（元）</w:t>
            </w:r>
          </w:p>
        </w:tc>
        <w:tc>
          <w:tcPr>
            <w:tcW w:w="1978" w:type="dxa"/>
            <w:vAlign w:val="center"/>
          </w:tcPr>
          <w:p w14:paraId="342F0776">
            <w:pPr>
              <w:kinsoku w:val="0"/>
              <w:spacing w:line="500" w:lineRule="exact"/>
              <w:ind w:firstLine="141" w:firstLineChars="59"/>
              <w:jc w:val="center"/>
              <w:rPr>
                <w:rFonts w:hint="eastAsia" w:ascii="宋体" w:hAnsi="宋体" w:eastAsia="宋体" w:cs="Times New Roman"/>
                <w:color w:val="auto"/>
                <w:sz w:val="24"/>
                <w:szCs w:val="24"/>
                <w:lang w:eastAsia="zh-CN"/>
              </w:rPr>
            </w:pPr>
            <w:r>
              <w:rPr>
                <w:rFonts w:hint="eastAsia" w:ascii="宋体" w:hAnsi="宋体" w:cs="宋体"/>
                <w:color w:val="auto"/>
                <w:kern w:val="0"/>
                <w:sz w:val="24"/>
                <w:szCs w:val="24"/>
              </w:rPr>
              <w:t>合同履行期限</w:t>
            </w:r>
          </w:p>
        </w:tc>
        <w:tc>
          <w:tcPr>
            <w:tcW w:w="2038" w:type="dxa"/>
            <w:vAlign w:val="center"/>
          </w:tcPr>
          <w:p w14:paraId="0E0A2A4C">
            <w:pPr>
              <w:kinsoku w:val="0"/>
              <w:spacing w:line="500" w:lineRule="exact"/>
              <w:jc w:val="center"/>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备注</w:t>
            </w:r>
          </w:p>
        </w:tc>
      </w:tr>
      <w:tr w14:paraId="08CD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649" w:type="dxa"/>
            <w:vAlign w:val="center"/>
          </w:tcPr>
          <w:p w14:paraId="531CC9B6">
            <w:pPr>
              <w:pStyle w:val="46"/>
              <w:spacing w:line="360" w:lineRule="auto"/>
              <w:ind w:firstLine="0"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安康市中医医院高新分院夏季空调维保服务采购项目（二次）</w:t>
            </w:r>
          </w:p>
          <w:p w14:paraId="5E74AB75">
            <w:pPr>
              <w:kinsoku w:val="0"/>
              <w:spacing w:line="500" w:lineRule="exact"/>
              <w:jc w:val="center"/>
              <w:rPr>
                <w:rFonts w:ascii="宋体" w:hAnsi="宋体" w:cs="Times New Roman"/>
                <w:color w:val="auto"/>
                <w:sz w:val="24"/>
                <w:szCs w:val="24"/>
              </w:rPr>
            </w:pPr>
          </w:p>
        </w:tc>
        <w:tc>
          <w:tcPr>
            <w:tcW w:w="2953" w:type="dxa"/>
            <w:vAlign w:val="center"/>
          </w:tcPr>
          <w:p w14:paraId="79206D04">
            <w:pPr>
              <w:kinsoku w:val="0"/>
              <w:spacing w:line="500" w:lineRule="exact"/>
              <w:rPr>
                <w:rFonts w:ascii="宋体" w:hAnsi="宋体" w:cs="Times New Roman"/>
                <w:color w:val="auto"/>
                <w:sz w:val="24"/>
                <w:szCs w:val="24"/>
              </w:rPr>
            </w:pPr>
          </w:p>
        </w:tc>
        <w:tc>
          <w:tcPr>
            <w:tcW w:w="1978" w:type="dxa"/>
            <w:vAlign w:val="center"/>
          </w:tcPr>
          <w:p w14:paraId="0F085AF2">
            <w:pPr>
              <w:kinsoku w:val="0"/>
              <w:spacing w:line="500" w:lineRule="exact"/>
              <w:jc w:val="center"/>
              <w:rPr>
                <w:rFonts w:ascii="宋体" w:hAnsi="宋体" w:cs="Times New Roman"/>
                <w:color w:val="auto"/>
                <w:sz w:val="24"/>
                <w:szCs w:val="24"/>
              </w:rPr>
            </w:pPr>
          </w:p>
        </w:tc>
        <w:tc>
          <w:tcPr>
            <w:tcW w:w="2038" w:type="dxa"/>
            <w:vAlign w:val="center"/>
          </w:tcPr>
          <w:p w14:paraId="4AA09EDF">
            <w:pPr>
              <w:kinsoku w:val="0"/>
              <w:spacing w:line="500" w:lineRule="exact"/>
              <w:jc w:val="center"/>
              <w:rPr>
                <w:rFonts w:ascii="宋体" w:hAnsi="宋体" w:cs="Times New Roman"/>
                <w:color w:val="auto"/>
                <w:sz w:val="24"/>
                <w:szCs w:val="24"/>
              </w:rPr>
            </w:pPr>
          </w:p>
        </w:tc>
      </w:tr>
    </w:tbl>
    <w:p w14:paraId="4A547802">
      <w:pPr>
        <w:spacing w:line="360" w:lineRule="auto"/>
        <w:jc w:val="left"/>
        <w:rPr>
          <w:rFonts w:ascii="宋体" w:hAnsi="宋体" w:cs="仿宋"/>
          <w:color w:val="auto"/>
          <w:sz w:val="24"/>
          <w:szCs w:val="24"/>
        </w:rPr>
      </w:pPr>
    </w:p>
    <w:p w14:paraId="411C78CB">
      <w:pPr>
        <w:spacing w:line="360" w:lineRule="auto"/>
        <w:jc w:val="left"/>
        <w:rPr>
          <w:rFonts w:ascii="宋体" w:hAnsi="宋体" w:cs="仿宋"/>
          <w:b/>
          <w:bCs/>
          <w:color w:val="auto"/>
          <w:sz w:val="24"/>
          <w:szCs w:val="24"/>
        </w:rPr>
      </w:pPr>
      <w:r>
        <w:rPr>
          <w:rFonts w:hint="eastAsia" w:ascii="宋体" w:hAnsi="宋体" w:cs="仿宋"/>
          <w:b/>
          <w:bCs/>
          <w:color w:val="auto"/>
          <w:sz w:val="24"/>
          <w:szCs w:val="24"/>
        </w:rPr>
        <w:t>备注</w:t>
      </w:r>
      <w:r>
        <w:rPr>
          <w:rFonts w:ascii="宋体" w:hAnsi="宋体" w:cs="仿宋"/>
          <w:b/>
          <w:bCs/>
          <w:color w:val="auto"/>
          <w:sz w:val="24"/>
          <w:szCs w:val="24"/>
        </w:rPr>
        <w:t>：</w:t>
      </w:r>
    </w:p>
    <w:p w14:paraId="0D7CD988">
      <w:pPr>
        <w:spacing w:line="360" w:lineRule="auto"/>
        <w:ind w:firstLine="361" w:firstLineChars="150"/>
        <w:jc w:val="left"/>
        <w:rPr>
          <w:rFonts w:ascii="宋体" w:hAnsi="宋体" w:cs="仿宋"/>
          <w:b/>
          <w:bCs/>
          <w:color w:val="auto"/>
          <w:sz w:val="24"/>
          <w:szCs w:val="24"/>
        </w:rPr>
      </w:pPr>
      <w:r>
        <w:rPr>
          <w:rFonts w:hint="eastAsia" w:ascii="宋体" w:hAnsi="宋体" w:cs="仿宋"/>
          <w:b/>
          <w:bCs/>
          <w:color w:val="auto"/>
          <w:sz w:val="24"/>
          <w:szCs w:val="24"/>
        </w:rPr>
        <w:t>投标人所报的价格应考虑到可能发生的所有与完成本项目相关服务及履行合同义务有关的一切费用。</w:t>
      </w:r>
    </w:p>
    <w:p w14:paraId="1DE50C0E">
      <w:pPr>
        <w:kinsoku w:val="0"/>
        <w:spacing w:line="360" w:lineRule="auto"/>
        <w:jc w:val="left"/>
        <w:rPr>
          <w:rFonts w:ascii="宋体" w:cs="Times New Roman"/>
          <w:color w:val="auto"/>
          <w:sz w:val="24"/>
          <w:szCs w:val="24"/>
        </w:rPr>
      </w:pPr>
    </w:p>
    <w:p w14:paraId="1B077F36">
      <w:pPr>
        <w:adjustRightInd w:val="0"/>
        <w:snapToGrid w:val="0"/>
        <w:spacing w:line="480" w:lineRule="auto"/>
        <w:jc w:val="left"/>
        <w:rPr>
          <w:color w:val="auto"/>
        </w:rPr>
      </w:pPr>
      <w:r>
        <w:rPr>
          <w:rFonts w:hint="eastAsia" w:ascii="宋体" w:hAnsi="宋体" w:cs="宋体"/>
          <w:color w:val="auto"/>
          <w:sz w:val="24"/>
          <w:szCs w:val="24"/>
        </w:rPr>
        <w:t xml:space="preserve">供应商（单位名称及公章）：____________________________  </w:t>
      </w:r>
    </w:p>
    <w:p w14:paraId="0CC2D610">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pacing w:val="4"/>
          <w:sz w:val="24"/>
        </w:rPr>
        <w:t>签字或盖章</w:t>
      </w:r>
      <w:r>
        <w:rPr>
          <w:rFonts w:hint="eastAsia" w:ascii="宋体" w:hAnsi="宋体" w:cs="宋体"/>
          <w:color w:val="auto"/>
          <w:sz w:val="24"/>
          <w:szCs w:val="24"/>
        </w:rPr>
        <w:t>）：________________________</w:t>
      </w:r>
    </w:p>
    <w:p w14:paraId="108F9C71">
      <w:pPr>
        <w:adjustRightInd w:val="0"/>
        <w:snapToGrid w:val="0"/>
        <w:spacing w:line="480" w:lineRule="auto"/>
        <w:rPr>
          <w:rFonts w:ascii="宋体" w:hAnsi="宋体" w:cs="宋体"/>
          <w:color w:val="auto"/>
          <w:sz w:val="24"/>
          <w:szCs w:val="24"/>
        </w:rPr>
        <w:sectPr>
          <w:pgSz w:w="11906" w:h="16838"/>
          <w:pgMar w:top="1361" w:right="1423" w:bottom="1361" w:left="1423" w:header="1134" w:footer="992" w:gutter="0"/>
          <w:pgNumType w:fmt="decimal"/>
          <w:cols w:space="0" w:num="1"/>
          <w:titlePg/>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期：_______年_______月______日</w:t>
      </w:r>
    </w:p>
    <w:p w14:paraId="5B634A40">
      <w:pPr>
        <w:pStyle w:val="5"/>
        <w:jc w:val="center"/>
        <w:rPr>
          <w:rFonts w:ascii="Calibri Light" w:hAnsi="Calibri Light" w:cs="Times New Roman"/>
          <w:color w:val="auto"/>
          <w:sz w:val="32"/>
          <w:szCs w:val="32"/>
        </w:rPr>
      </w:pPr>
      <w:r>
        <w:rPr>
          <w:rFonts w:hint="eastAsia" w:ascii="Calibri Light" w:hAnsi="Calibri Light" w:cs="Times New Roman"/>
          <w:color w:val="auto"/>
          <w:sz w:val="32"/>
          <w:szCs w:val="32"/>
        </w:rPr>
        <w:t>投标分项报价表</w:t>
      </w:r>
    </w:p>
    <w:p w14:paraId="390CE905">
      <w:pPr>
        <w:tabs>
          <w:tab w:val="right" w:pos="8435"/>
        </w:tabs>
        <w:ind w:firstLine="280" w:firstLineChars="100"/>
        <w:rPr>
          <w:rFonts w:hint="eastAsia" w:ascii="宋体" w:hAnsi="宋体" w:cs="Times New Roman"/>
          <w:color w:val="auto"/>
          <w:sz w:val="28"/>
          <w:szCs w:val="28"/>
          <w:lang w:val="en-US" w:eastAsia="zh-CN"/>
        </w:rPr>
      </w:pPr>
      <w:r>
        <w:rPr>
          <w:rFonts w:hint="eastAsia" w:ascii="宋体" w:hAnsi="宋体" w:eastAsia="宋体" w:cs="Times New Roman"/>
          <w:color w:val="auto"/>
          <w:sz w:val="28"/>
          <w:szCs w:val="28"/>
          <w:lang w:val="en-US" w:eastAsia="zh-CN"/>
        </w:rPr>
        <w:t>投标人</w:t>
      </w:r>
      <w:r>
        <w:rPr>
          <w:rFonts w:hint="eastAsia" w:ascii="宋体" w:hAnsi="宋体" w:eastAsia="宋体" w:cs="Times New Roman"/>
          <w:color w:val="auto"/>
          <w:sz w:val="28"/>
          <w:szCs w:val="28"/>
        </w:rPr>
        <w:t>名称：</w:t>
      </w:r>
      <w:r>
        <w:rPr>
          <w:rFonts w:hint="eastAsia" w:ascii="宋体" w:hAnsi="宋体" w:eastAsia="宋体" w:cs="Times New Roman"/>
          <w:color w:val="auto"/>
          <w:sz w:val="28"/>
          <w:szCs w:val="28"/>
        </w:rPr>
        <w:tab/>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rPr>
        <w:t>金额单位：人民币 （元</w:t>
      </w:r>
      <w:r>
        <w:rPr>
          <w:rFonts w:hint="default" w:ascii="宋体" w:hAnsi="宋体" w:eastAsia="宋体" w:cs="Times New Roman"/>
          <w:color w:val="auto"/>
          <w:sz w:val="28"/>
          <w:szCs w:val="28"/>
        </w:rPr>
        <w:t>）</w:t>
      </w:r>
      <w:r>
        <w:rPr>
          <w:rFonts w:hint="eastAsia" w:ascii="宋体" w:hAnsi="宋体" w:cs="Times New Roman"/>
          <w:color w:val="auto"/>
          <w:sz w:val="28"/>
          <w:szCs w:val="28"/>
          <w:lang w:val="en-US" w:eastAsia="zh-CN"/>
        </w:rPr>
        <w:t xml:space="preserve"> </w:t>
      </w:r>
    </w:p>
    <w:tbl>
      <w:tblPr>
        <w:tblStyle w:val="35"/>
        <w:tblW w:w="498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06"/>
        <w:gridCol w:w="2062"/>
        <w:gridCol w:w="1255"/>
        <w:gridCol w:w="1255"/>
        <w:gridCol w:w="1255"/>
        <w:gridCol w:w="463"/>
        <w:gridCol w:w="2347"/>
      </w:tblGrid>
      <w:tr w14:paraId="38372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328" w:type="pct"/>
            <w:vAlign w:val="center"/>
          </w:tcPr>
          <w:p w14:paraId="535E467C">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序号</w:t>
            </w:r>
          </w:p>
        </w:tc>
        <w:tc>
          <w:tcPr>
            <w:tcW w:w="1115" w:type="pct"/>
            <w:vAlign w:val="center"/>
          </w:tcPr>
          <w:p w14:paraId="6F036F1D">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服务内容</w:t>
            </w:r>
          </w:p>
        </w:tc>
        <w:tc>
          <w:tcPr>
            <w:tcW w:w="679" w:type="pct"/>
            <w:vAlign w:val="center"/>
          </w:tcPr>
          <w:p w14:paraId="16330DA5">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数量</w:t>
            </w:r>
          </w:p>
        </w:tc>
        <w:tc>
          <w:tcPr>
            <w:tcW w:w="679" w:type="pct"/>
            <w:vAlign w:val="center"/>
          </w:tcPr>
          <w:p w14:paraId="3E66EFEB">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单价</w:t>
            </w:r>
          </w:p>
        </w:tc>
        <w:tc>
          <w:tcPr>
            <w:tcW w:w="679" w:type="pct"/>
            <w:vAlign w:val="center"/>
          </w:tcPr>
          <w:p w14:paraId="4DC6E168">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总价</w:t>
            </w:r>
          </w:p>
        </w:tc>
        <w:tc>
          <w:tcPr>
            <w:tcW w:w="1515" w:type="pct"/>
            <w:gridSpan w:val="2"/>
            <w:vAlign w:val="center"/>
          </w:tcPr>
          <w:p w14:paraId="404D7B74">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p>
          <w:p w14:paraId="07B29F1A">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备注</w:t>
            </w:r>
          </w:p>
          <w:p w14:paraId="2279EEB6">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p>
        </w:tc>
      </w:tr>
      <w:tr w14:paraId="33641D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44155F4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1</w:t>
            </w:r>
          </w:p>
        </w:tc>
        <w:tc>
          <w:tcPr>
            <w:tcW w:w="1115" w:type="pct"/>
            <w:vAlign w:val="center"/>
          </w:tcPr>
          <w:p w14:paraId="676EEF44">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29AD25E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1200CEE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6A0778C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5DBB2C8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7116BF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4E39E92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p>
        </w:tc>
        <w:tc>
          <w:tcPr>
            <w:tcW w:w="1115" w:type="pct"/>
            <w:vAlign w:val="center"/>
          </w:tcPr>
          <w:p w14:paraId="1DAEC679">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4FE05E1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6E90E12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61EBB30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5DC2DD8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1CFA2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75CAE52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3</w:t>
            </w:r>
          </w:p>
        </w:tc>
        <w:tc>
          <w:tcPr>
            <w:tcW w:w="1115" w:type="pct"/>
            <w:vAlign w:val="center"/>
          </w:tcPr>
          <w:p w14:paraId="1184EE03">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7133A8D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375978B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358B464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6CD9547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308C1A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356132E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4</w:t>
            </w:r>
          </w:p>
        </w:tc>
        <w:tc>
          <w:tcPr>
            <w:tcW w:w="1115" w:type="pct"/>
            <w:vAlign w:val="center"/>
          </w:tcPr>
          <w:p w14:paraId="0DD18A8C">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0B08634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2657C95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2A5ACEC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6690EAC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1D2628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36C0581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5</w:t>
            </w:r>
          </w:p>
        </w:tc>
        <w:tc>
          <w:tcPr>
            <w:tcW w:w="1115" w:type="pct"/>
            <w:vAlign w:val="center"/>
          </w:tcPr>
          <w:p w14:paraId="52BF929D">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225E7D6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4FA7A58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152FA97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52B4D2F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374E64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3E88942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115" w:type="pct"/>
            <w:vAlign w:val="center"/>
          </w:tcPr>
          <w:p w14:paraId="070B10D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15013C5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4F2C136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4AA8955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77F0E3C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32F818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3730" w:type="pct"/>
            <w:gridSpan w:val="6"/>
            <w:vAlign w:val="center"/>
          </w:tcPr>
          <w:p w14:paraId="28242728">
            <w:pPr>
              <w:keepNext w:val="0"/>
              <w:keepLines w:val="0"/>
              <w:suppressLineNumbers w:val="0"/>
              <w:spacing w:before="0" w:beforeAutospacing="0" w:after="0" w:afterAutospacing="0"/>
              <w:ind w:left="0" w:right="0"/>
              <w:rPr>
                <w:rFonts w:hint="eastAsia" w:ascii="宋体" w:hAnsi="宋体" w:eastAsia="宋体" w:cs="Times New Roman"/>
                <w:color w:val="auto"/>
                <w:sz w:val="28"/>
                <w:szCs w:val="28"/>
              </w:rPr>
            </w:pPr>
            <w:r>
              <w:rPr>
                <w:rFonts w:hint="eastAsia" w:ascii="宋体" w:hAnsi="宋体" w:eastAsia="宋体" w:cs="Times New Roman"/>
                <w:color w:val="auto"/>
                <w:sz w:val="28"/>
                <w:szCs w:val="28"/>
              </w:rPr>
              <w:t>总计（大写</w:t>
            </w:r>
            <w:r>
              <w:rPr>
                <w:rFonts w:hint="default" w:ascii="宋体" w:hAnsi="宋体" w:eastAsia="宋体" w:cs="Times New Roman"/>
                <w:color w:val="auto"/>
                <w:sz w:val="28"/>
                <w:szCs w:val="28"/>
              </w:rPr>
              <w:t>）</w:t>
            </w:r>
            <w:r>
              <w:rPr>
                <w:rFonts w:hint="eastAsia" w:ascii="宋体" w:hAnsi="宋体" w:eastAsia="宋体" w:cs="Times New Roman"/>
                <w:color w:val="auto"/>
                <w:sz w:val="28"/>
                <w:szCs w:val="28"/>
              </w:rPr>
              <w:t>：</w:t>
            </w:r>
          </w:p>
        </w:tc>
        <w:tc>
          <w:tcPr>
            <w:tcW w:w="1269" w:type="pct"/>
            <w:vAlign w:val="center"/>
          </w:tcPr>
          <w:p w14:paraId="4A093C8E">
            <w:pPr>
              <w:keepNext w:val="0"/>
              <w:keepLines w:val="0"/>
              <w:suppressLineNumbers w:val="0"/>
              <w:spacing w:before="0" w:beforeAutospacing="0" w:after="0" w:afterAutospacing="0"/>
              <w:ind w:left="0" w:right="0"/>
              <w:rPr>
                <w:rFonts w:hint="eastAsia" w:ascii="宋体" w:hAnsi="宋体" w:eastAsia="宋体" w:cs="Times New Roman"/>
                <w:color w:val="auto"/>
                <w:sz w:val="28"/>
                <w:szCs w:val="28"/>
              </w:rPr>
            </w:pPr>
            <w:r>
              <w:rPr>
                <w:rFonts w:hint="eastAsia" w:ascii="宋体" w:hAnsi="宋体" w:eastAsia="宋体" w:cs="Times New Roman"/>
                <w:color w:val="auto"/>
                <w:sz w:val="28"/>
                <w:szCs w:val="28"/>
              </w:rPr>
              <w:t>小写</w:t>
            </w:r>
            <w:r>
              <w:rPr>
                <w:rFonts w:hint="default" w:ascii="宋体" w:hAnsi="宋体" w:eastAsia="宋体" w:cs="Times New Roman"/>
                <w:color w:val="auto"/>
                <w:sz w:val="28"/>
                <w:szCs w:val="28"/>
              </w:rPr>
              <w:t>：</w:t>
            </w:r>
          </w:p>
        </w:tc>
      </w:tr>
    </w:tbl>
    <w:p w14:paraId="3339A574">
      <w:pPr>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注：1.投标人可根据实际情况自行扩展表格细项。</w:t>
      </w:r>
    </w:p>
    <w:p w14:paraId="6B4616CE">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2.如果分项报价合计与投标总报价不一致，以分项报价合计为准进行结算。</w:t>
      </w:r>
    </w:p>
    <w:p w14:paraId="71562874">
      <w:pPr>
        <w:spacing w:line="360" w:lineRule="auto"/>
        <w:ind w:firstLine="480" w:firstLineChars="200"/>
        <w:rPr>
          <w:rFonts w:hint="eastAsia" w:ascii="宋体" w:hAnsi="宋体" w:cs="仿宋"/>
          <w:color w:val="auto"/>
          <w:sz w:val="24"/>
          <w:szCs w:val="24"/>
          <w:highlight w:val="none"/>
        </w:rPr>
      </w:pPr>
      <w:r>
        <w:rPr>
          <w:rFonts w:ascii="宋体" w:hAnsi="宋体" w:cs="仿宋"/>
          <w:color w:val="auto"/>
          <w:sz w:val="24"/>
          <w:szCs w:val="24"/>
          <w:highlight w:val="none"/>
        </w:rPr>
        <w:t>3.</w:t>
      </w:r>
      <w:r>
        <w:rPr>
          <w:rFonts w:hint="eastAsia" w:ascii="宋体" w:hAnsi="宋体" w:cs="仿宋"/>
          <w:color w:val="auto"/>
          <w:sz w:val="24"/>
          <w:szCs w:val="24"/>
          <w:highlight w:val="none"/>
        </w:rPr>
        <w:t>如果不提供详细分项报价将视为没有实质性响应</w:t>
      </w:r>
      <w:r>
        <w:rPr>
          <w:rFonts w:hint="eastAsia" w:ascii="宋体" w:hAnsi="宋体" w:cs="仿宋"/>
          <w:color w:val="auto"/>
          <w:sz w:val="24"/>
          <w:szCs w:val="24"/>
          <w:highlight w:val="none"/>
          <w:lang w:val="en-US" w:eastAsia="zh-CN"/>
        </w:rPr>
        <w:t>磋商</w:t>
      </w:r>
      <w:r>
        <w:rPr>
          <w:rFonts w:hint="eastAsia" w:ascii="宋体" w:hAnsi="宋体" w:cs="仿宋"/>
          <w:color w:val="auto"/>
          <w:sz w:val="24"/>
          <w:szCs w:val="24"/>
          <w:highlight w:val="none"/>
        </w:rPr>
        <w:t>文件。</w:t>
      </w:r>
    </w:p>
    <w:p w14:paraId="7F99DAFF">
      <w:pPr>
        <w:numPr>
          <w:ilvl w:val="0"/>
          <w:numId w:val="0"/>
        </w:numPr>
        <w:spacing w:line="360" w:lineRule="auto"/>
        <w:ind w:leftChars="200"/>
        <w:rPr>
          <w:rFonts w:hint="eastAsia" w:ascii="宋体" w:hAnsi="宋体" w:cs="仿宋"/>
          <w:color w:val="auto"/>
          <w:sz w:val="24"/>
          <w:szCs w:val="24"/>
        </w:rPr>
      </w:pPr>
      <w:r>
        <w:rPr>
          <w:rFonts w:hint="eastAsia" w:ascii="宋体" w:hAnsi="宋体" w:eastAsia="宋体" w:cs="仿宋"/>
          <w:color w:val="auto"/>
          <w:kern w:val="2"/>
          <w:sz w:val="24"/>
          <w:szCs w:val="24"/>
          <w:highlight w:val="none"/>
          <w:lang w:val="en-US" w:eastAsia="zh-CN" w:bidi="ar-SA"/>
        </w:rPr>
        <w:t>4.如中标，本表内容将作为采购人验收、查找内容之一。</w:t>
      </w:r>
    </w:p>
    <w:p w14:paraId="01AA458B">
      <w:pPr>
        <w:pStyle w:val="23"/>
        <w:rPr>
          <w:color w:val="auto"/>
        </w:rPr>
      </w:pPr>
    </w:p>
    <w:p w14:paraId="174B02A9">
      <w:pPr>
        <w:pStyle w:val="23"/>
        <w:rPr>
          <w:color w:val="auto"/>
        </w:rPr>
      </w:pPr>
    </w:p>
    <w:p w14:paraId="5F9AFC4A">
      <w:pPr>
        <w:adjustRightInd w:val="0"/>
        <w:snapToGrid w:val="0"/>
        <w:spacing w:line="480" w:lineRule="auto"/>
        <w:jc w:val="left"/>
        <w:rPr>
          <w:rFonts w:ascii="宋体" w:cs="Times New Roman"/>
          <w:color w:val="auto"/>
          <w:sz w:val="24"/>
          <w:szCs w:val="24"/>
          <w:u w:val="single"/>
        </w:rPr>
      </w:pPr>
      <w:r>
        <w:rPr>
          <w:rFonts w:hint="eastAsia" w:ascii="宋体" w:hAnsi="宋体" w:cs="宋体"/>
          <w:color w:val="auto"/>
          <w:sz w:val="24"/>
          <w:szCs w:val="24"/>
          <w:lang w:val="en-US" w:eastAsia="zh-CN"/>
        </w:rPr>
        <w:t>投标人</w:t>
      </w:r>
      <w:r>
        <w:rPr>
          <w:rFonts w:hint="eastAsia" w:ascii="宋体" w:hAnsi="宋体" w:cs="宋体"/>
          <w:color w:val="auto"/>
          <w:sz w:val="24"/>
          <w:szCs w:val="24"/>
        </w:rPr>
        <w:t>（单位名称及公章）：____________________________</w:t>
      </w:r>
    </w:p>
    <w:p w14:paraId="514240DF">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）：____________________________</w:t>
      </w:r>
    </w:p>
    <w:p w14:paraId="7D7D7369">
      <w:pPr>
        <w:adjustRightInd w:val="0"/>
        <w:snapToGrid w:val="0"/>
        <w:spacing w:line="480" w:lineRule="auto"/>
        <w:rPr>
          <w:rFonts w:hint="eastAsia" w:ascii="宋体" w:hAnsi="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146E8AC9">
      <w:pPr>
        <w:pStyle w:val="5"/>
        <w:pageBreakBefore/>
        <w:rPr>
          <w:rFonts w:ascii="宋体" w:hAnsi="宋体" w:cs="宋体"/>
          <w:color w:val="auto"/>
        </w:rPr>
      </w:pPr>
      <w:r>
        <w:rPr>
          <w:rFonts w:hint="eastAsia" w:ascii="Calibri Light" w:hAnsi="Calibri Light" w:cs="Times New Roman"/>
          <w:color w:val="auto"/>
          <w:sz w:val="32"/>
          <w:szCs w:val="32"/>
        </w:rPr>
        <w:t>第三章 供应商资质证明文件</w:t>
      </w:r>
    </w:p>
    <w:p w14:paraId="5A86DB13">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4661ED7A">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rPr>
        <w:t>法定代表人授权书及被授权人身份证（法定代表人直接投标</w:t>
      </w:r>
      <w:r>
        <w:rPr>
          <w:rFonts w:hint="eastAsia" w:ascii="宋体" w:hAnsi="宋体" w:cs="宋体"/>
          <w:color w:val="auto"/>
          <w:kern w:val="0"/>
          <w:sz w:val="24"/>
          <w:szCs w:val="24"/>
          <w:lang w:eastAsia="zh-CN"/>
        </w:rPr>
        <w:t>只需</w:t>
      </w:r>
      <w:r>
        <w:rPr>
          <w:rFonts w:hint="eastAsia" w:ascii="宋体" w:hAnsi="宋体" w:cs="宋体"/>
          <w:color w:val="auto"/>
          <w:kern w:val="0"/>
          <w:sz w:val="24"/>
          <w:szCs w:val="24"/>
        </w:rPr>
        <w:t>提交其身份证原件）</w:t>
      </w:r>
      <w:r>
        <w:rPr>
          <w:rFonts w:hint="eastAsia" w:ascii="宋体" w:hAnsi="宋体" w:cs="宋体"/>
          <w:color w:val="auto"/>
          <w:kern w:val="0"/>
          <w:sz w:val="24"/>
          <w:szCs w:val="24"/>
          <w:lang w:eastAsia="zh-CN"/>
        </w:rPr>
        <w:t>。</w:t>
      </w:r>
    </w:p>
    <w:p w14:paraId="32F11CFF">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6F7D8C5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16B0CAB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月至今任意</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21FD393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w:t>
      </w:r>
      <w:r>
        <w:rPr>
          <w:rFonts w:hint="eastAsia" w:ascii="宋体" w:hAnsi="宋体" w:cs="宋体"/>
          <w:color w:val="auto"/>
          <w:sz w:val="24"/>
          <w:szCs w:val="24"/>
          <w:lang w:val="en-US" w:eastAsia="zh-CN"/>
        </w:rPr>
        <w:t>或2024年度</w:t>
      </w:r>
      <w:r>
        <w:rPr>
          <w:rFonts w:hint="eastAsia" w:ascii="宋体" w:hAnsi="宋体" w:cs="宋体"/>
          <w:color w:val="auto"/>
          <w:sz w:val="24"/>
          <w:szCs w:val="24"/>
          <w:lang w:eastAsia="zh-CN"/>
        </w:rPr>
        <w:t>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5FF1AAE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提供2024年5月至今任意一个月社会保障资金缴存单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603C362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6CA04A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kern w:val="0"/>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649EE06A">
      <w:pPr>
        <w:tabs>
          <w:tab w:val="center" w:pos="4153"/>
          <w:tab w:val="right" w:pos="8306"/>
        </w:tabs>
        <w:snapToGrid w:val="0"/>
        <w:spacing w:line="360" w:lineRule="auto"/>
        <w:ind w:firstLine="480" w:firstLineChars="200"/>
        <w:jc w:val="left"/>
        <w:rPr>
          <w:rFonts w:hint="eastAsia" w:ascii="宋体" w:hAnsi="宋体" w:cs="宋体"/>
          <w:color w:val="auto"/>
          <w:kern w:val="0"/>
          <w:sz w:val="24"/>
          <w:szCs w:val="24"/>
        </w:rPr>
      </w:pPr>
    </w:p>
    <w:p w14:paraId="54C50509">
      <w:pPr>
        <w:tabs>
          <w:tab w:val="center" w:pos="4153"/>
          <w:tab w:val="right" w:pos="8306"/>
        </w:tabs>
        <w:snapToGrid w:val="0"/>
        <w:spacing w:line="360" w:lineRule="auto"/>
        <w:ind w:firstLine="480" w:firstLineChars="200"/>
        <w:jc w:val="left"/>
        <w:rPr>
          <w:rFonts w:hint="eastAsia" w:ascii="宋体" w:hAnsi="宋体" w:cs="宋体"/>
          <w:color w:val="auto"/>
          <w:kern w:val="0"/>
          <w:sz w:val="24"/>
          <w:szCs w:val="24"/>
        </w:rPr>
      </w:pPr>
    </w:p>
    <w:p w14:paraId="331B2F2D">
      <w:pPr>
        <w:pStyle w:val="45"/>
        <w:rPr>
          <w:rFonts w:hint="eastAsia" w:ascii="宋体" w:hAnsi="宋体" w:cs="宋体"/>
          <w:color w:val="auto"/>
          <w:kern w:val="0"/>
          <w:sz w:val="24"/>
          <w:szCs w:val="24"/>
        </w:rPr>
      </w:pPr>
    </w:p>
    <w:p w14:paraId="61A5F4B0">
      <w:pPr>
        <w:pStyle w:val="45"/>
        <w:rPr>
          <w:rFonts w:hint="eastAsia" w:ascii="宋体" w:hAnsi="宋体" w:cs="宋体"/>
          <w:color w:val="auto"/>
          <w:kern w:val="0"/>
          <w:sz w:val="24"/>
          <w:szCs w:val="24"/>
        </w:rPr>
      </w:pPr>
    </w:p>
    <w:p w14:paraId="52542548">
      <w:pPr>
        <w:pStyle w:val="45"/>
        <w:rPr>
          <w:rFonts w:hint="eastAsia" w:ascii="宋体" w:hAnsi="宋体" w:cs="宋体"/>
          <w:color w:val="auto"/>
          <w:kern w:val="0"/>
          <w:sz w:val="24"/>
          <w:szCs w:val="24"/>
        </w:rPr>
      </w:pPr>
    </w:p>
    <w:p w14:paraId="3293F023">
      <w:pPr>
        <w:pStyle w:val="45"/>
        <w:rPr>
          <w:rFonts w:hint="eastAsia" w:ascii="宋体" w:hAnsi="宋体" w:cs="宋体"/>
          <w:color w:val="auto"/>
          <w:kern w:val="0"/>
          <w:sz w:val="24"/>
          <w:szCs w:val="24"/>
        </w:rPr>
      </w:pPr>
    </w:p>
    <w:p w14:paraId="5F1DD148">
      <w:pPr>
        <w:pStyle w:val="45"/>
        <w:rPr>
          <w:rFonts w:hint="eastAsia" w:ascii="宋体" w:hAnsi="宋体" w:cs="宋体"/>
          <w:color w:val="auto"/>
          <w:kern w:val="0"/>
          <w:sz w:val="24"/>
          <w:szCs w:val="24"/>
        </w:rPr>
      </w:pPr>
    </w:p>
    <w:p w14:paraId="487BDCA9">
      <w:pPr>
        <w:pStyle w:val="26"/>
        <w:rPr>
          <w:rFonts w:hint="eastAsia" w:eastAsia="宋体"/>
          <w:color w:val="auto"/>
          <w:lang w:val="en-US" w:eastAsia="zh-CN"/>
        </w:rPr>
      </w:pPr>
    </w:p>
    <w:p w14:paraId="18C1B73C">
      <w:pPr>
        <w:tabs>
          <w:tab w:val="left" w:pos="210"/>
        </w:tabs>
        <w:spacing w:line="420" w:lineRule="exact"/>
        <w:jc w:val="center"/>
        <w:rPr>
          <w:rFonts w:ascii="宋体" w:hAnsi="宋体" w:cs="Arial"/>
          <w:b/>
          <w:color w:val="auto"/>
          <w:kern w:val="0"/>
          <w:sz w:val="32"/>
          <w:szCs w:val="32"/>
        </w:rPr>
      </w:pPr>
      <w:r>
        <w:rPr>
          <w:rFonts w:hint="eastAsia" w:ascii="宋体" w:hAnsi="宋体" w:cs="Arial"/>
          <w:b/>
          <w:color w:val="auto"/>
          <w:kern w:val="0"/>
          <w:sz w:val="32"/>
          <w:szCs w:val="32"/>
        </w:rPr>
        <w:t xml:space="preserve">   </w:t>
      </w:r>
      <w:r>
        <w:rPr>
          <w:rFonts w:hint="eastAsia" w:ascii="宋体" w:hAnsi="宋体" w:cs="Arial"/>
          <w:b/>
          <w:color w:val="auto"/>
          <w:kern w:val="0"/>
          <w:sz w:val="28"/>
          <w:szCs w:val="28"/>
        </w:rPr>
        <w:t xml:space="preserve"> 法定代表人证明书</w:t>
      </w:r>
    </w:p>
    <w:p w14:paraId="3278A074">
      <w:pPr>
        <w:tabs>
          <w:tab w:val="left" w:pos="210"/>
        </w:tabs>
        <w:spacing w:line="320" w:lineRule="exact"/>
        <w:jc w:val="center"/>
        <w:rPr>
          <w:rFonts w:ascii="宋体" w:hAnsi="宋体" w:cs="Arial"/>
          <w:b/>
          <w:color w:val="auto"/>
          <w:kern w:val="0"/>
          <w:sz w:val="32"/>
          <w:szCs w:val="32"/>
        </w:rPr>
      </w:pPr>
    </w:p>
    <w:tbl>
      <w:tblPr>
        <w:tblStyle w:val="3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2866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2DA21DB">
            <w:pPr>
              <w:tabs>
                <w:tab w:val="left" w:pos="210"/>
              </w:tabs>
              <w:spacing w:line="320" w:lineRule="exact"/>
              <w:rPr>
                <w:rFonts w:ascii="宋体" w:hAnsi="宋体" w:cs="Arial"/>
                <w:color w:val="auto"/>
                <w:kern w:val="0"/>
                <w:sz w:val="24"/>
                <w:szCs w:val="24"/>
              </w:rPr>
            </w:pPr>
            <w:r>
              <w:rPr>
                <w:rFonts w:hint="eastAsia" w:ascii="宋体" w:hAnsi="宋体" w:cs="Arial"/>
                <w:color w:val="auto"/>
                <w:kern w:val="0"/>
                <w:sz w:val="24"/>
                <w:szCs w:val="24"/>
              </w:rPr>
              <w:t>致：</w:t>
            </w:r>
          </w:p>
        </w:tc>
      </w:tr>
      <w:tr w14:paraId="32F2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F05DBF4">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企</w:t>
            </w:r>
          </w:p>
          <w:p w14:paraId="60E1B171">
            <w:pPr>
              <w:tabs>
                <w:tab w:val="left" w:pos="210"/>
              </w:tabs>
              <w:spacing w:line="320" w:lineRule="exact"/>
              <w:jc w:val="center"/>
              <w:rPr>
                <w:rFonts w:ascii="宋体" w:hAnsi="宋体" w:cs="Arial"/>
                <w:color w:val="auto"/>
                <w:kern w:val="0"/>
                <w:sz w:val="24"/>
                <w:szCs w:val="24"/>
              </w:rPr>
            </w:pPr>
          </w:p>
          <w:p w14:paraId="13A36D01">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业</w:t>
            </w:r>
          </w:p>
          <w:p w14:paraId="60047DB4">
            <w:pPr>
              <w:tabs>
                <w:tab w:val="left" w:pos="210"/>
              </w:tabs>
              <w:spacing w:line="320" w:lineRule="exact"/>
              <w:jc w:val="center"/>
              <w:rPr>
                <w:rFonts w:ascii="宋体" w:hAnsi="宋体" w:cs="Arial"/>
                <w:color w:val="auto"/>
                <w:kern w:val="0"/>
                <w:sz w:val="24"/>
                <w:szCs w:val="24"/>
              </w:rPr>
            </w:pPr>
          </w:p>
          <w:p w14:paraId="2FA8C8E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w:t>
            </w:r>
          </w:p>
          <w:p w14:paraId="0F61DBBA">
            <w:pPr>
              <w:tabs>
                <w:tab w:val="left" w:pos="210"/>
              </w:tabs>
              <w:spacing w:line="320" w:lineRule="exact"/>
              <w:jc w:val="center"/>
              <w:rPr>
                <w:rFonts w:ascii="宋体" w:hAnsi="宋体" w:cs="Arial"/>
                <w:color w:val="auto"/>
                <w:kern w:val="0"/>
                <w:sz w:val="24"/>
                <w:szCs w:val="24"/>
              </w:rPr>
            </w:pPr>
          </w:p>
          <w:p w14:paraId="184B204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6AE30C5B">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3D415C7B">
            <w:pPr>
              <w:tabs>
                <w:tab w:val="left" w:pos="210"/>
              </w:tabs>
              <w:spacing w:line="320" w:lineRule="exact"/>
              <w:jc w:val="center"/>
              <w:rPr>
                <w:rFonts w:ascii="宋体" w:hAnsi="宋体" w:cs="Arial"/>
                <w:color w:val="auto"/>
                <w:kern w:val="0"/>
                <w:sz w:val="24"/>
                <w:szCs w:val="24"/>
              </w:rPr>
            </w:pPr>
          </w:p>
        </w:tc>
      </w:tr>
      <w:tr w14:paraId="269F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0D778A4">
            <w:pPr>
              <w:tabs>
                <w:tab w:val="left" w:pos="210"/>
              </w:tabs>
              <w:spacing w:line="320" w:lineRule="exact"/>
              <w:jc w:val="center"/>
              <w:rPr>
                <w:rFonts w:ascii="宋体" w:hAnsi="宋体" w:cs="Arial"/>
                <w:color w:val="auto"/>
                <w:kern w:val="0"/>
                <w:sz w:val="24"/>
                <w:szCs w:val="24"/>
              </w:rPr>
            </w:pPr>
          </w:p>
        </w:tc>
        <w:tc>
          <w:tcPr>
            <w:tcW w:w="2223" w:type="dxa"/>
            <w:vAlign w:val="center"/>
          </w:tcPr>
          <w:p w14:paraId="04E3502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468779F7">
            <w:pPr>
              <w:tabs>
                <w:tab w:val="left" w:pos="210"/>
              </w:tabs>
              <w:spacing w:line="320" w:lineRule="exact"/>
              <w:jc w:val="center"/>
              <w:rPr>
                <w:rFonts w:ascii="宋体" w:hAnsi="宋体" w:cs="Arial"/>
                <w:color w:val="auto"/>
                <w:kern w:val="0"/>
                <w:sz w:val="24"/>
                <w:szCs w:val="24"/>
              </w:rPr>
            </w:pPr>
          </w:p>
        </w:tc>
      </w:tr>
      <w:tr w14:paraId="622E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00AA639">
            <w:pPr>
              <w:tabs>
                <w:tab w:val="left" w:pos="210"/>
              </w:tabs>
              <w:spacing w:line="320" w:lineRule="exact"/>
              <w:jc w:val="center"/>
              <w:rPr>
                <w:rFonts w:ascii="宋体" w:hAnsi="宋体" w:cs="Arial"/>
                <w:color w:val="auto"/>
                <w:kern w:val="0"/>
                <w:sz w:val="24"/>
                <w:szCs w:val="24"/>
              </w:rPr>
            </w:pPr>
          </w:p>
        </w:tc>
        <w:tc>
          <w:tcPr>
            <w:tcW w:w="2223" w:type="dxa"/>
            <w:vAlign w:val="center"/>
          </w:tcPr>
          <w:p w14:paraId="5557EEEF">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761A1881">
            <w:pPr>
              <w:tabs>
                <w:tab w:val="left" w:pos="210"/>
              </w:tabs>
              <w:spacing w:line="320" w:lineRule="exact"/>
              <w:jc w:val="center"/>
              <w:rPr>
                <w:rFonts w:ascii="宋体" w:hAnsi="宋体" w:cs="Arial"/>
                <w:color w:val="auto"/>
                <w:kern w:val="0"/>
                <w:sz w:val="24"/>
                <w:szCs w:val="24"/>
              </w:rPr>
            </w:pPr>
          </w:p>
        </w:tc>
      </w:tr>
      <w:tr w14:paraId="3695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C62F86F">
            <w:pPr>
              <w:tabs>
                <w:tab w:val="left" w:pos="210"/>
              </w:tabs>
              <w:spacing w:line="320" w:lineRule="exact"/>
              <w:jc w:val="center"/>
              <w:rPr>
                <w:rFonts w:ascii="宋体" w:hAnsi="宋体" w:cs="Arial"/>
                <w:color w:val="auto"/>
                <w:kern w:val="0"/>
                <w:sz w:val="24"/>
                <w:szCs w:val="24"/>
              </w:rPr>
            </w:pPr>
          </w:p>
        </w:tc>
        <w:tc>
          <w:tcPr>
            <w:tcW w:w="2223" w:type="dxa"/>
            <w:vAlign w:val="center"/>
          </w:tcPr>
          <w:p w14:paraId="0E29CEEE">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6B6A7FE6">
            <w:pPr>
              <w:tabs>
                <w:tab w:val="left" w:pos="210"/>
              </w:tabs>
              <w:spacing w:line="320" w:lineRule="exact"/>
              <w:jc w:val="center"/>
              <w:rPr>
                <w:rFonts w:ascii="宋体" w:hAnsi="宋体" w:cs="Arial"/>
                <w:color w:val="auto"/>
                <w:kern w:val="0"/>
                <w:sz w:val="24"/>
                <w:szCs w:val="24"/>
              </w:rPr>
            </w:pPr>
          </w:p>
        </w:tc>
      </w:tr>
      <w:tr w14:paraId="123A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5DADD0B5">
            <w:pPr>
              <w:tabs>
                <w:tab w:val="left" w:pos="210"/>
              </w:tabs>
              <w:spacing w:line="320" w:lineRule="exact"/>
              <w:jc w:val="center"/>
              <w:rPr>
                <w:rFonts w:ascii="宋体" w:hAnsi="宋体" w:cs="Arial"/>
                <w:color w:val="auto"/>
                <w:kern w:val="0"/>
                <w:sz w:val="24"/>
                <w:szCs w:val="24"/>
              </w:rPr>
            </w:pPr>
          </w:p>
        </w:tc>
        <w:tc>
          <w:tcPr>
            <w:tcW w:w="2223" w:type="dxa"/>
            <w:vAlign w:val="center"/>
          </w:tcPr>
          <w:p w14:paraId="254C3D72">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3854697E">
            <w:pPr>
              <w:tabs>
                <w:tab w:val="left" w:pos="210"/>
              </w:tabs>
              <w:spacing w:line="320" w:lineRule="exact"/>
              <w:rPr>
                <w:rFonts w:ascii="宋体" w:hAnsi="宋体" w:cs="Arial"/>
                <w:color w:val="auto"/>
                <w:kern w:val="0"/>
                <w:sz w:val="24"/>
                <w:szCs w:val="24"/>
              </w:rPr>
            </w:pPr>
          </w:p>
        </w:tc>
      </w:tr>
      <w:tr w14:paraId="6BD6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EA4B313">
            <w:pPr>
              <w:tabs>
                <w:tab w:val="left" w:pos="210"/>
              </w:tabs>
              <w:spacing w:line="320" w:lineRule="exact"/>
              <w:jc w:val="center"/>
              <w:rPr>
                <w:rFonts w:ascii="宋体" w:hAnsi="宋体" w:cs="Arial"/>
                <w:color w:val="auto"/>
                <w:kern w:val="0"/>
                <w:sz w:val="24"/>
                <w:szCs w:val="24"/>
              </w:rPr>
            </w:pPr>
          </w:p>
        </w:tc>
        <w:tc>
          <w:tcPr>
            <w:tcW w:w="2223" w:type="dxa"/>
            <w:vAlign w:val="center"/>
          </w:tcPr>
          <w:p w14:paraId="39ACCE0D">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559F30C8">
            <w:pPr>
              <w:tabs>
                <w:tab w:val="left" w:pos="210"/>
              </w:tabs>
              <w:spacing w:line="320" w:lineRule="exact"/>
              <w:jc w:val="center"/>
              <w:rPr>
                <w:rFonts w:ascii="宋体" w:hAnsi="宋体" w:cs="Arial"/>
                <w:color w:val="auto"/>
                <w:kern w:val="0"/>
                <w:sz w:val="24"/>
                <w:szCs w:val="24"/>
              </w:rPr>
            </w:pPr>
          </w:p>
        </w:tc>
      </w:tr>
      <w:tr w14:paraId="271B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2055F86">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531BB341">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794CA98F">
            <w:pPr>
              <w:tabs>
                <w:tab w:val="left" w:pos="210"/>
              </w:tabs>
              <w:spacing w:line="320" w:lineRule="exact"/>
              <w:jc w:val="center"/>
              <w:rPr>
                <w:rFonts w:ascii="宋体" w:hAnsi="宋体" w:cs="Arial"/>
                <w:color w:val="auto"/>
                <w:kern w:val="0"/>
                <w:sz w:val="24"/>
                <w:szCs w:val="24"/>
              </w:rPr>
            </w:pPr>
          </w:p>
        </w:tc>
        <w:tc>
          <w:tcPr>
            <w:tcW w:w="2218" w:type="dxa"/>
            <w:vAlign w:val="center"/>
          </w:tcPr>
          <w:p w14:paraId="42B13EB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3CAA103D">
            <w:pPr>
              <w:tabs>
                <w:tab w:val="left" w:pos="210"/>
              </w:tabs>
              <w:spacing w:line="320" w:lineRule="exact"/>
              <w:jc w:val="center"/>
              <w:rPr>
                <w:rFonts w:ascii="宋体" w:hAnsi="宋体" w:cs="Arial"/>
                <w:color w:val="auto"/>
                <w:kern w:val="0"/>
                <w:sz w:val="24"/>
                <w:szCs w:val="24"/>
              </w:rPr>
            </w:pPr>
          </w:p>
        </w:tc>
      </w:tr>
      <w:tr w14:paraId="42F0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21CC3D25">
            <w:pPr>
              <w:tabs>
                <w:tab w:val="left" w:pos="210"/>
              </w:tabs>
              <w:spacing w:line="320" w:lineRule="exact"/>
              <w:jc w:val="center"/>
              <w:rPr>
                <w:rFonts w:ascii="宋体" w:hAnsi="宋体" w:cs="Arial"/>
                <w:color w:val="auto"/>
                <w:kern w:val="0"/>
                <w:sz w:val="24"/>
                <w:szCs w:val="24"/>
              </w:rPr>
            </w:pPr>
          </w:p>
        </w:tc>
        <w:tc>
          <w:tcPr>
            <w:tcW w:w="2223" w:type="dxa"/>
            <w:vAlign w:val="center"/>
          </w:tcPr>
          <w:p w14:paraId="6835EC84">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66EB80FB">
            <w:pPr>
              <w:tabs>
                <w:tab w:val="left" w:pos="210"/>
              </w:tabs>
              <w:spacing w:line="320" w:lineRule="exact"/>
              <w:jc w:val="center"/>
              <w:rPr>
                <w:rFonts w:ascii="宋体" w:hAnsi="宋体" w:cs="Arial"/>
                <w:color w:val="auto"/>
                <w:kern w:val="0"/>
                <w:sz w:val="24"/>
                <w:szCs w:val="24"/>
              </w:rPr>
            </w:pPr>
          </w:p>
        </w:tc>
        <w:tc>
          <w:tcPr>
            <w:tcW w:w="2218" w:type="dxa"/>
            <w:vAlign w:val="center"/>
          </w:tcPr>
          <w:p w14:paraId="5B2715B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297A2E20">
            <w:pPr>
              <w:tabs>
                <w:tab w:val="left" w:pos="210"/>
              </w:tabs>
              <w:spacing w:line="320" w:lineRule="exact"/>
              <w:jc w:val="center"/>
              <w:rPr>
                <w:rFonts w:ascii="宋体" w:hAnsi="宋体" w:cs="Arial"/>
                <w:color w:val="auto"/>
                <w:kern w:val="0"/>
                <w:sz w:val="24"/>
                <w:szCs w:val="24"/>
              </w:rPr>
            </w:pPr>
          </w:p>
        </w:tc>
      </w:tr>
      <w:tr w14:paraId="7000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69476D5">
            <w:pPr>
              <w:tabs>
                <w:tab w:val="left" w:pos="210"/>
              </w:tabs>
              <w:spacing w:line="320" w:lineRule="exact"/>
              <w:jc w:val="center"/>
              <w:rPr>
                <w:rFonts w:ascii="宋体" w:hAnsi="宋体" w:cs="Arial"/>
                <w:color w:val="auto"/>
                <w:kern w:val="0"/>
                <w:sz w:val="24"/>
                <w:szCs w:val="24"/>
              </w:rPr>
            </w:pPr>
          </w:p>
        </w:tc>
        <w:tc>
          <w:tcPr>
            <w:tcW w:w="2223" w:type="dxa"/>
            <w:vAlign w:val="center"/>
          </w:tcPr>
          <w:p w14:paraId="6A65D0BA">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1715EA8E">
            <w:pPr>
              <w:tabs>
                <w:tab w:val="left" w:pos="210"/>
              </w:tabs>
              <w:spacing w:line="320" w:lineRule="exact"/>
              <w:jc w:val="center"/>
              <w:rPr>
                <w:rFonts w:ascii="宋体" w:hAnsi="宋体" w:cs="Arial"/>
                <w:color w:val="auto"/>
                <w:kern w:val="0"/>
                <w:sz w:val="24"/>
                <w:szCs w:val="24"/>
              </w:rPr>
            </w:pPr>
          </w:p>
        </w:tc>
      </w:tr>
      <w:tr w14:paraId="2F2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E3DAE9B">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002422DF">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36C427F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40CD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6184D551">
            <w:pPr>
              <w:tabs>
                <w:tab w:val="left" w:pos="210"/>
              </w:tabs>
              <w:spacing w:line="320" w:lineRule="exact"/>
              <w:jc w:val="center"/>
              <w:rPr>
                <w:rFonts w:ascii="宋体" w:hAnsi="宋体" w:cs="Arial"/>
                <w:color w:val="auto"/>
                <w:kern w:val="0"/>
                <w:sz w:val="24"/>
                <w:szCs w:val="24"/>
              </w:rPr>
            </w:pPr>
          </w:p>
        </w:tc>
        <w:tc>
          <w:tcPr>
            <w:tcW w:w="4441" w:type="dxa"/>
            <w:gridSpan w:val="2"/>
            <w:vMerge w:val="continue"/>
            <w:vAlign w:val="center"/>
          </w:tcPr>
          <w:p w14:paraId="2CD0672D">
            <w:pPr>
              <w:tabs>
                <w:tab w:val="left" w:pos="210"/>
              </w:tabs>
              <w:spacing w:line="320" w:lineRule="exact"/>
              <w:jc w:val="center"/>
              <w:rPr>
                <w:rFonts w:ascii="宋体" w:hAnsi="宋体" w:cs="Arial"/>
                <w:color w:val="auto"/>
                <w:kern w:val="0"/>
                <w:sz w:val="24"/>
                <w:szCs w:val="24"/>
              </w:rPr>
            </w:pPr>
          </w:p>
        </w:tc>
        <w:tc>
          <w:tcPr>
            <w:tcW w:w="4579" w:type="dxa"/>
            <w:gridSpan w:val="3"/>
            <w:vAlign w:val="bottom"/>
          </w:tcPr>
          <w:p w14:paraId="1C423AB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（公章）</w:t>
            </w:r>
          </w:p>
          <w:p w14:paraId="6FD6B3EC">
            <w:pPr>
              <w:tabs>
                <w:tab w:val="left" w:pos="210"/>
              </w:tabs>
              <w:spacing w:line="320" w:lineRule="exact"/>
              <w:jc w:val="center"/>
              <w:rPr>
                <w:rFonts w:ascii="宋体" w:hAnsi="宋体" w:cs="Arial"/>
                <w:color w:val="auto"/>
                <w:kern w:val="0"/>
                <w:sz w:val="24"/>
                <w:szCs w:val="24"/>
              </w:rPr>
            </w:pPr>
          </w:p>
          <w:p w14:paraId="2734A896">
            <w:pPr>
              <w:tabs>
                <w:tab w:val="left" w:pos="210"/>
              </w:tabs>
              <w:spacing w:line="320" w:lineRule="exact"/>
              <w:jc w:val="center"/>
              <w:rPr>
                <w:rFonts w:ascii="宋体" w:hAnsi="宋体" w:cs="Arial"/>
                <w:color w:val="auto"/>
                <w:kern w:val="0"/>
                <w:sz w:val="24"/>
                <w:szCs w:val="24"/>
              </w:rPr>
            </w:pPr>
          </w:p>
          <w:p w14:paraId="102BE8C4">
            <w:pPr>
              <w:tabs>
                <w:tab w:val="left" w:pos="210"/>
              </w:tabs>
              <w:spacing w:line="320" w:lineRule="exact"/>
              <w:jc w:val="center"/>
              <w:rPr>
                <w:rFonts w:ascii="宋体" w:hAnsi="宋体" w:cs="Arial"/>
                <w:color w:val="auto"/>
                <w:kern w:val="0"/>
                <w:sz w:val="24"/>
                <w:szCs w:val="24"/>
              </w:rPr>
            </w:pPr>
          </w:p>
          <w:p w14:paraId="386F641B">
            <w:pPr>
              <w:tabs>
                <w:tab w:val="left" w:pos="210"/>
              </w:tabs>
              <w:spacing w:line="320" w:lineRule="exact"/>
              <w:jc w:val="right"/>
              <w:rPr>
                <w:rFonts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074315A0">
      <w:pPr>
        <w:pStyle w:val="5"/>
        <w:pageBreakBefore/>
        <w:rPr>
          <w:rFonts w:ascii="宋体" w:hAnsi="宋体" w:cs="宋体"/>
          <w:color w:val="auto"/>
        </w:rPr>
      </w:pPr>
      <w:bookmarkStart w:id="163" w:name="_Toc19543356"/>
      <w:r>
        <w:rPr>
          <w:rFonts w:hint="eastAsia" w:ascii="宋体" w:hAnsi="宋体" w:cs="宋体"/>
          <w:color w:val="auto"/>
        </w:rPr>
        <w:t>法定代表人授权书</w:t>
      </w:r>
      <w:bookmarkEnd w:id="163"/>
    </w:p>
    <w:p w14:paraId="0956D082">
      <w:pPr>
        <w:pStyle w:val="18"/>
        <w:spacing w:line="400" w:lineRule="exact"/>
        <w:jc w:val="left"/>
        <w:rPr>
          <w:rFonts w:hAnsi="宋体" w:cs="Times New Roman"/>
          <w:color w:val="auto"/>
          <w:sz w:val="24"/>
          <w:szCs w:val="24"/>
        </w:rPr>
      </w:pPr>
      <w:r>
        <w:rPr>
          <w:rFonts w:hint="eastAsia" w:hAnsi="宋体"/>
          <w:color w:val="auto"/>
          <w:sz w:val="24"/>
          <w:szCs w:val="24"/>
        </w:rPr>
        <w:t>安康尚昊招标代理有限公司：</w:t>
      </w:r>
    </w:p>
    <w:p w14:paraId="61CFFD49">
      <w:pPr>
        <w:tabs>
          <w:tab w:val="left" w:pos="8820"/>
        </w:tabs>
        <w:spacing w:line="400" w:lineRule="exact"/>
        <w:ind w:firstLine="570"/>
        <w:rPr>
          <w:rFonts w:ascii="宋体" w:cs="Times New Roman"/>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（法定代表人姓名）</w:t>
      </w:r>
      <w:r>
        <w:rPr>
          <w:rFonts w:ascii="宋体" w:hAnsi="宋体" w:cs="宋体"/>
          <w:color w:val="auto"/>
          <w:sz w:val="24"/>
          <w:szCs w:val="24"/>
          <w:u w:val="single"/>
        </w:rPr>
        <w:t xml:space="preserve">   </w:t>
      </w:r>
      <w:r>
        <w:rPr>
          <w:rFonts w:hint="eastAsia" w:ascii="宋体" w:hAnsi="宋体" w:cs="宋体"/>
          <w:color w:val="auto"/>
          <w:sz w:val="24"/>
          <w:szCs w:val="24"/>
        </w:rPr>
        <w:t>系注册于</w:t>
      </w:r>
      <w:r>
        <w:rPr>
          <w:rFonts w:ascii="宋体" w:hAnsi="宋体" w:cs="宋体"/>
          <w:color w:val="auto"/>
          <w:sz w:val="24"/>
          <w:szCs w:val="24"/>
          <w:u w:val="single"/>
        </w:rPr>
        <w:t xml:space="preserve">  </w:t>
      </w:r>
      <w:r>
        <w:rPr>
          <w:rFonts w:hint="eastAsia" w:ascii="宋体" w:hAnsi="宋体" w:cs="宋体"/>
          <w:color w:val="auto"/>
          <w:sz w:val="24"/>
          <w:szCs w:val="24"/>
          <w:u w:val="single"/>
        </w:rPr>
        <w:t>（供应商地址）</w:t>
      </w:r>
      <w:r>
        <w:rPr>
          <w:rFonts w:hint="eastAsia" w:ascii="宋体" w:hAnsi="宋体" w:cs="宋体"/>
          <w:color w:val="auto"/>
          <w:sz w:val="24"/>
          <w:szCs w:val="24"/>
        </w:rPr>
        <w:t>的</w:t>
      </w:r>
      <w:r>
        <w:rPr>
          <w:rFonts w:hint="eastAsia" w:ascii="宋体" w:hAnsi="宋体" w:cs="宋体"/>
          <w:color w:val="auto"/>
          <w:sz w:val="24"/>
          <w:szCs w:val="24"/>
          <w:u w:val="single"/>
        </w:rPr>
        <w:t>（供应商名称）</w:t>
      </w:r>
      <w:r>
        <w:rPr>
          <w:rFonts w:ascii="宋体" w:hAnsi="宋体" w:cs="宋体"/>
          <w:color w:val="auto"/>
          <w:sz w:val="24"/>
          <w:szCs w:val="24"/>
          <w:u w:val="single"/>
        </w:rPr>
        <w:t xml:space="preserve">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rPr>
        <w:t>（被授权人的姓名、职务）</w:t>
      </w:r>
      <w:r>
        <w:rPr>
          <w:rFonts w:ascii="宋体" w:hAnsi="宋体" w:cs="宋体"/>
          <w:color w:val="auto"/>
          <w:sz w:val="24"/>
          <w:szCs w:val="24"/>
          <w:u w:val="single"/>
        </w:rPr>
        <w:t xml:space="preserve">   </w:t>
      </w:r>
      <w:r>
        <w:rPr>
          <w:rFonts w:hint="eastAsia" w:ascii="宋体" w:hAnsi="宋体" w:cs="宋体"/>
          <w:color w:val="auto"/>
          <w:sz w:val="24"/>
          <w:szCs w:val="24"/>
        </w:rPr>
        <w:t>为我公司合法代理人，代表本公司参加</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（项目名称）  </w:t>
      </w:r>
      <w:r>
        <w:rPr>
          <w:rFonts w:hint="eastAsia" w:ascii="宋体" w:hAnsi="宋体" w:cs="宋体"/>
          <w:color w:val="auto"/>
          <w:sz w:val="24"/>
          <w:szCs w:val="24"/>
        </w:rPr>
        <w:t>采购项目编号为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的采购活动。以我方名义全权处理该项目有关磋商、签订合同以及执行合同等一切事宜。</w:t>
      </w:r>
    </w:p>
    <w:p w14:paraId="1AF88CC1">
      <w:pPr>
        <w:spacing w:line="400" w:lineRule="exact"/>
        <w:ind w:firstLine="480" w:firstLineChars="200"/>
        <w:rPr>
          <w:rFonts w:ascii="宋体" w:cs="Times New Roman"/>
          <w:color w:val="auto"/>
          <w:sz w:val="24"/>
          <w:szCs w:val="24"/>
        </w:rPr>
      </w:pPr>
      <w:r>
        <w:rPr>
          <w:rFonts w:hint="eastAsia" w:ascii="宋体" w:hAnsi="宋体" w:cs="宋体"/>
          <w:color w:val="auto"/>
          <w:sz w:val="24"/>
          <w:szCs w:val="24"/>
        </w:rPr>
        <w:t>有效期自磋商之日起</w:t>
      </w:r>
      <w:r>
        <w:rPr>
          <w:rFonts w:hint="eastAsia" w:ascii="宋体" w:hAnsi="宋体" w:cs="宋体"/>
          <w:color w:val="auto"/>
          <w:sz w:val="24"/>
          <w:szCs w:val="24"/>
          <w:u w:val="single"/>
        </w:rPr>
        <w:t xml:space="preserve">    </w:t>
      </w:r>
      <w:r>
        <w:rPr>
          <w:rFonts w:hint="eastAsia" w:ascii="宋体" w:hAnsi="宋体" w:cs="宋体"/>
          <w:color w:val="auto"/>
          <w:sz w:val="24"/>
          <w:szCs w:val="24"/>
        </w:rPr>
        <w:t>日历日，特此声明。</w:t>
      </w:r>
    </w:p>
    <w:p w14:paraId="544BB5DE">
      <w:pPr>
        <w:pStyle w:val="18"/>
        <w:spacing w:line="400" w:lineRule="exact"/>
        <w:ind w:firstLine="480" w:firstLineChars="200"/>
        <w:jc w:val="left"/>
        <w:rPr>
          <w:rFonts w:hAnsi="宋体"/>
          <w:color w:val="auto"/>
          <w:sz w:val="24"/>
          <w:szCs w:val="24"/>
        </w:rPr>
      </w:pPr>
      <w:r>
        <w:rPr>
          <w:rFonts w:hint="eastAsia" w:hAnsi="宋体"/>
          <w:color w:val="auto"/>
          <w:sz w:val="24"/>
          <w:szCs w:val="24"/>
        </w:rPr>
        <w:t>供应商（单位名称及公章）：</w:t>
      </w:r>
      <w:r>
        <w:rPr>
          <w:rFonts w:hAnsi="宋体"/>
          <w:color w:val="auto"/>
          <w:sz w:val="24"/>
          <w:szCs w:val="24"/>
        </w:rPr>
        <w:t>________</w:t>
      </w:r>
    </w:p>
    <w:p w14:paraId="4912CDEF">
      <w:pPr>
        <w:pStyle w:val="18"/>
        <w:spacing w:line="400" w:lineRule="exact"/>
        <w:ind w:firstLine="480" w:firstLineChars="200"/>
        <w:jc w:val="left"/>
        <w:rPr>
          <w:rFonts w:hAnsi="宋体"/>
          <w:color w:val="auto"/>
          <w:sz w:val="24"/>
          <w:szCs w:val="24"/>
          <w:u w:val="single"/>
        </w:rPr>
      </w:pPr>
      <w:r>
        <w:rPr>
          <w:rFonts w:hint="eastAsia" w:hAnsi="宋体"/>
          <w:color w:val="auto"/>
          <w:sz w:val="24"/>
          <w:szCs w:val="24"/>
        </w:rPr>
        <w:t>法定代表人（签字或盖章）：</w:t>
      </w:r>
      <w:r>
        <w:rPr>
          <w:rFonts w:hAnsi="宋体"/>
          <w:color w:val="auto"/>
          <w:sz w:val="24"/>
          <w:szCs w:val="24"/>
        </w:rPr>
        <w:t>________</w:t>
      </w:r>
    </w:p>
    <w:p w14:paraId="587D2846">
      <w:pPr>
        <w:pStyle w:val="18"/>
        <w:spacing w:line="400" w:lineRule="exact"/>
        <w:ind w:firstLine="480" w:firstLineChars="200"/>
        <w:jc w:val="left"/>
        <w:rPr>
          <w:rFonts w:hAnsi="宋体" w:cs="Times New Roman"/>
          <w:color w:val="auto"/>
          <w:sz w:val="24"/>
          <w:szCs w:val="24"/>
        </w:rPr>
      </w:pPr>
      <w:r>
        <w:rPr>
          <w:rFonts w:hint="eastAsia" w:hAnsi="宋体"/>
          <w:color w:val="auto"/>
          <w:sz w:val="24"/>
          <w:szCs w:val="24"/>
        </w:rPr>
        <w:t>被授权人（签字）：</w:t>
      </w:r>
      <w:r>
        <w:rPr>
          <w:rFonts w:hAnsi="宋体"/>
          <w:color w:val="auto"/>
          <w:sz w:val="24"/>
          <w:szCs w:val="24"/>
        </w:rPr>
        <w:t>________</w:t>
      </w:r>
      <w:r>
        <w:rPr>
          <w:rFonts w:hint="eastAsia" w:hAnsi="宋体"/>
          <w:color w:val="auto"/>
          <w:sz w:val="24"/>
          <w:szCs w:val="24"/>
        </w:rPr>
        <w:t>性别：</w:t>
      </w:r>
      <w:r>
        <w:rPr>
          <w:rFonts w:hAnsi="宋体"/>
          <w:color w:val="auto"/>
          <w:sz w:val="24"/>
          <w:szCs w:val="24"/>
        </w:rPr>
        <w:t>________</w:t>
      </w:r>
    </w:p>
    <w:p w14:paraId="52AEF32C">
      <w:pPr>
        <w:pStyle w:val="18"/>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联系地址：</w:t>
      </w:r>
      <w:r>
        <w:rPr>
          <w:rFonts w:hAnsi="宋体"/>
          <w:color w:val="auto"/>
          <w:sz w:val="24"/>
          <w:szCs w:val="24"/>
        </w:rPr>
        <w:t>________________</w:t>
      </w:r>
    </w:p>
    <w:p w14:paraId="056DA94F">
      <w:pPr>
        <w:pStyle w:val="18"/>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联系电话：</w:t>
      </w:r>
      <w:r>
        <w:rPr>
          <w:rFonts w:hAnsi="宋体"/>
          <w:color w:val="auto"/>
          <w:sz w:val="24"/>
          <w:szCs w:val="24"/>
        </w:rPr>
        <w:t>________________</w:t>
      </w:r>
    </w:p>
    <w:p w14:paraId="78B79C5A">
      <w:pPr>
        <w:pStyle w:val="18"/>
        <w:spacing w:line="400" w:lineRule="exact"/>
        <w:ind w:firstLine="480" w:firstLineChars="200"/>
        <w:jc w:val="left"/>
        <w:rPr>
          <w:rFonts w:hAnsi="宋体" w:cs="Times New Roman"/>
          <w:color w:val="auto"/>
          <w:sz w:val="24"/>
          <w:szCs w:val="24"/>
        </w:rPr>
      </w:pPr>
      <w:r>
        <w:rPr>
          <w:rFonts w:hint="eastAsia" w:hAnsi="宋体"/>
          <w:color w:val="auto"/>
          <w:sz w:val="24"/>
          <w:szCs w:val="24"/>
        </w:rPr>
        <w:t>法定代表人及被授权人身份证复印件（注：身份证复印件须加盖企业公章）</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3EF0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2C4B839">
            <w:pPr>
              <w:pStyle w:val="18"/>
              <w:spacing w:line="500" w:lineRule="exact"/>
              <w:jc w:val="left"/>
              <w:rPr>
                <w:rFonts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法定代表人身份证复印件（正面）</w:t>
            </w:r>
          </w:p>
        </w:tc>
        <w:tc>
          <w:tcPr>
            <w:tcW w:w="4531" w:type="dxa"/>
            <w:shd w:val="clear" w:color="auto" w:fill="D9D9D9"/>
            <w:vAlign w:val="center"/>
          </w:tcPr>
          <w:p w14:paraId="07D5D77F">
            <w:pPr>
              <w:pStyle w:val="18"/>
              <w:spacing w:line="500" w:lineRule="exact"/>
              <w:ind w:firstLine="440" w:firstLineChars="200"/>
              <w:jc w:val="left"/>
              <w:rPr>
                <w:rFonts w:hAnsi="宋体" w:cs="Times New Roman"/>
                <w:color w:val="auto"/>
                <w:sz w:val="22"/>
                <w:szCs w:val="24"/>
                <w:shd w:val="pct10" w:color="auto" w:fill="FFFFFF"/>
              </w:rPr>
            </w:pPr>
            <w:r>
              <w:rPr>
                <w:rFonts w:hint="eastAsia" w:hAnsi="宋体"/>
                <w:color w:val="auto"/>
                <w:sz w:val="22"/>
                <w:szCs w:val="24"/>
                <w:shd w:val="pct10" w:color="auto" w:fill="FFFFFF"/>
              </w:rPr>
              <w:t>被授权人身份证复印件（正面）</w:t>
            </w:r>
          </w:p>
        </w:tc>
      </w:tr>
      <w:tr w14:paraId="2B8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46741FB9">
            <w:pPr>
              <w:pStyle w:val="18"/>
              <w:spacing w:line="500" w:lineRule="exact"/>
              <w:jc w:val="left"/>
              <w:rPr>
                <w:rFonts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法定代表人身份证复印件（反面）</w:t>
            </w:r>
          </w:p>
        </w:tc>
        <w:tc>
          <w:tcPr>
            <w:tcW w:w="4531" w:type="dxa"/>
            <w:shd w:val="clear" w:color="auto" w:fill="D9D9D9"/>
            <w:vAlign w:val="center"/>
          </w:tcPr>
          <w:p w14:paraId="13DC2C6F">
            <w:pPr>
              <w:pStyle w:val="18"/>
              <w:spacing w:line="500" w:lineRule="exact"/>
              <w:ind w:firstLine="440" w:firstLineChars="200"/>
              <w:jc w:val="left"/>
              <w:rPr>
                <w:rFonts w:hAnsi="宋体" w:cs="Times New Roman"/>
                <w:color w:val="auto"/>
                <w:sz w:val="22"/>
                <w:szCs w:val="24"/>
                <w:shd w:val="pct10" w:color="auto" w:fill="FFFFFF"/>
              </w:rPr>
            </w:pPr>
            <w:r>
              <w:rPr>
                <w:rFonts w:hint="eastAsia" w:hAnsi="宋体"/>
                <w:color w:val="auto"/>
                <w:sz w:val="22"/>
                <w:szCs w:val="24"/>
                <w:shd w:val="pct10" w:color="auto" w:fill="FFFFFF"/>
              </w:rPr>
              <w:t>被授权人身份证复印件（反面）</w:t>
            </w:r>
          </w:p>
        </w:tc>
      </w:tr>
    </w:tbl>
    <w:p w14:paraId="08762037">
      <w:pPr>
        <w:pStyle w:val="18"/>
        <w:spacing w:line="500" w:lineRule="exact"/>
        <w:ind w:firstLine="480" w:firstLineChars="200"/>
        <w:jc w:val="left"/>
        <w:rPr>
          <w:rFonts w:hAnsi="宋体"/>
          <w:color w:val="auto"/>
          <w:sz w:val="24"/>
          <w:szCs w:val="24"/>
        </w:rPr>
      </w:pPr>
      <w:r>
        <w:rPr>
          <w:rFonts w:hint="eastAsia" w:hAnsi="宋体"/>
          <w:color w:val="auto"/>
          <w:sz w:val="24"/>
          <w:szCs w:val="24"/>
        </w:rPr>
        <w:t>说明：</w:t>
      </w:r>
    </w:p>
    <w:p w14:paraId="47DAA718">
      <w:pPr>
        <w:pStyle w:val="18"/>
        <w:spacing w:line="500" w:lineRule="exact"/>
        <w:ind w:firstLine="480" w:firstLineChars="200"/>
        <w:jc w:val="left"/>
        <w:rPr>
          <w:rFonts w:hAnsi="宋体"/>
          <w:color w:val="auto"/>
          <w:sz w:val="24"/>
          <w:szCs w:val="24"/>
        </w:rPr>
      </w:pPr>
      <w:r>
        <w:rPr>
          <w:rFonts w:hAnsi="宋体"/>
          <w:color w:val="auto"/>
          <w:sz w:val="24"/>
          <w:szCs w:val="24"/>
        </w:rPr>
        <w:t>1</w:t>
      </w:r>
      <w:r>
        <w:rPr>
          <w:rFonts w:hint="eastAsia" w:hAnsi="宋体"/>
          <w:color w:val="auto"/>
          <w:sz w:val="24"/>
          <w:szCs w:val="24"/>
        </w:rPr>
        <w:t>．本授权书有效期自招标大会之日计算不得少于</w:t>
      </w:r>
      <w:r>
        <w:rPr>
          <w:rFonts w:hAnsi="宋体"/>
          <w:color w:val="auto"/>
          <w:sz w:val="24"/>
          <w:szCs w:val="24"/>
        </w:rPr>
        <w:t>90</w:t>
      </w:r>
      <w:r>
        <w:rPr>
          <w:rFonts w:hint="eastAsia" w:hAnsi="宋体"/>
          <w:color w:val="auto"/>
          <w:sz w:val="24"/>
          <w:szCs w:val="24"/>
        </w:rPr>
        <w:t>日历日。</w:t>
      </w:r>
    </w:p>
    <w:p w14:paraId="440356BF">
      <w:pPr>
        <w:pStyle w:val="18"/>
        <w:spacing w:line="500" w:lineRule="exact"/>
        <w:ind w:firstLine="480" w:firstLineChars="200"/>
        <w:jc w:val="left"/>
        <w:rPr>
          <w:rFonts w:hAnsi="宋体"/>
          <w:b/>
          <w:bCs/>
          <w:color w:val="auto"/>
          <w:sz w:val="24"/>
          <w:szCs w:val="24"/>
        </w:rPr>
      </w:pPr>
      <w:r>
        <w:rPr>
          <w:rFonts w:hAnsi="宋体"/>
          <w:color w:val="auto"/>
          <w:sz w:val="24"/>
          <w:szCs w:val="24"/>
        </w:rPr>
        <w:t>2</w:t>
      </w:r>
      <w:r>
        <w:rPr>
          <w:rFonts w:hint="eastAsia" w:hAnsi="宋体"/>
          <w:color w:val="auto"/>
          <w:sz w:val="24"/>
          <w:szCs w:val="24"/>
        </w:rPr>
        <w:t>．授权书内容填写要明确，文字要工整清楚，涂改无效。</w:t>
      </w:r>
      <w:r>
        <w:rPr>
          <w:rFonts w:hint="eastAsia" w:hAnsi="宋体"/>
          <w:color w:val="auto"/>
        </w:rPr>
        <w:br w:type="page"/>
      </w:r>
    </w:p>
    <w:p w14:paraId="3D2D4D30">
      <w:pPr>
        <w:pStyle w:val="5"/>
        <w:jc w:val="center"/>
        <w:rPr>
          <w:rFonts w:hint="eastAsia" w:ascii="宋体" w:hAnsi="宋体" w:eastAsia="宋体" w:cs="宋体"/>
          <w:color w:val="auto"/>
        </w:rPr>
      </w:pPr>
      <w:bookmarkStart w:id="164" w:name="_Toc24284"/>
      <w:bookmarkStart w:id="165" w:name="_Toc7526"/>
      <w:bookmarkStart w:id="166" w:name="_Toc19543357"/>
      <w:bookmarkStart w:id="167" w:name="_Toc536429337"/>
      <w:bookmarkStart w:id="168" w:name="_Toc536202397"/>
      <w:bookmarkStart w:id="169" w:name="_Toc536429390"/>
      <w:bookmarkStart w:id="170" w:name="_Toc536202328"/>
      <w:r>
        <w:rPr>
          <w:rFonts w:hint="eastAsia" w:ascii="宋体" w:hAnsi="宋体" w:eastAsia="宋体" w:cs="宋体"/>
          <w:color w:val="auto"/>
        </w:rPr>
        <w:t>无重大违法记录声明</w:t>
      </w:r>
      <w:bookmarkEnd w:id="164"/>
    </w:p>
    <w:p w14:paraId="471A1BE7">
      <w:pPr>
        <w:snapToGrid w:val="0"/>
        <w:spacing w:line="480" w:lineRule="auto"/>
        <w:ind w:firstLine="480" w:firstLineChars="200"/>
        <w:jc w:val="left"/>
        <w:rPr>
          <w:rFonts w:hint="eastAsia" w:ascii="宋体" w:hAnsi="宋体" w:eastAsia="宋体" w:cs="宋体"/>
          <w:color w:val="auto"/>
          <w:kern w:val="0"/>
          <w:sz w:val="24"/>
          <w:szCs w:val="24"/>
        </w:rPr>
      </w:pPr>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val="en-US" w:eastAsia="zh-CN"/>
        </w:rPr>
        <w:t>磋商采购活动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08943A0E">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0C4B8B6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cs="宋体"/>
          <w:color w:val="auto"/>
          <w:sz w:val="24"/>
          <w:szCs w:val="24"/>
          <w:u w:val="single"/>
          <w:lang w:val="en-US" w:eastAsia="zh-CN"/>
        </w:rPr>
        <w:t xml:space="preserve">                   </w:t>
      </w:r>
    </w:p>
    <w:p w14:paraId="695D1BB4">
      <w:pPr>
        <w:adjustRightInd w:val="0"/>
        <w:snapToGrid w:val="0"/>
        <w:spacing w:line="360" w:lineRule="auto"/>
        <w:rPr>
          <w:color w:val="auto"/>
        </w:rPr>
        <w:sectPr>
          <w:headerReference r:id="rId15" w:type="first"/>
          <w:footerReference r:id="rId17" w:type="first"/>
          <w:headerReference r:id="rId14" w:type="default"/>
          <w:footerReference r:id="rId16" w:type="default"/>
          <w:pgSz w:w="11906" w:h="16838"/>
          <w:pgMar w:top="1417" w:right="1417" w:bottom="1417" w:left="1417" w:header="1134" w:footer="992" w:gutter="0"/>
          <w:pgNumType w:fmt="decimal"/>
          <w:cols w:space="0" w:num="1"/>
          <w:titlePg/>
          <w:docGrid w:type="lines" w:linePitch="326" w:charSpace="0"/>
        </w:sectPr>
      </w:pPr>
      <w:r>
        <w:rPr>
          <w:rFonts w:hint="eastAsia" w:ascii="宋体" w:hAnsi="宋体" w:eastAsia="宋体" w:cs="宋体"/>
          <w:color w:val="auto"/>
          <w:sz w:val="24"/>
          <w:szCs w:val="24"/>
        </w:rPr>
        <w:t>日    期：</w:t>
      </w:r>
      <w:r>
        <w:rPr>
          <w:rFonts w:hint="eastAsia" w:ascii="宋体" w:hAnsi="宋体" w:cs="宋体"/>
          <w:color w:val="auto"/>
          <w:sz w:val="24"/>
          <w:szCs w:val="24"/>
          <w:u w:val="single"/>
          <w:lang w:val="en-US" w:eastAsia="zh-CN"/>
        </w:rPr>
        <w:t xml:space="preserve">                   </w:t>
      </w:r>
    </w:p>
    <w:p w14:paraId="149FB12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投标人非联合体投标声明</w:t>
      </w:r>
    </w:p>
    <w:p w14:paraId="479D4833">
      <w:pPr>
        <w:adjustRightInd w:val="0"/>
        <w:snapToGrid w:val="0"/>
        <w:spacing w:line="360" w:lineRule="auto"/>
        <w:rPr>
          <w:rFonts w:ascii="仿宋" w:hAnsi="仿宋" w:eastAsia="仿宋" w:cs="黑体"/>
          <w:bCs/>
          <w:color w:val="auto"/>
          <w:sz w:val="28"/>
          <w:szCs w:val="28"/>
        </w:rPr>
      </w:pPr>
    </w:p>
    <w:p w14:paraId="1AFAD58F">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0DC6491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41DDC50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64F2AACA">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0563EEA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1E35049E">
      <w:pPr>
        <w:adjustRightInd w:val="0"/>
        <w:snapToGrid w:val="0"/>
        <w:spacing w:line="408" w:lineRule="auto"/>
        <w:ind w:firstLine="480"/>
        <w:rPr>
          <w:rFonts w:ascii="宋体" w:hAnsi="宋体" w:cs="宋体"/>
          <w:bCs/>
          <w:color w:val="auto"/>
          <w:sz w:val="24"/>
          <w:szCs w:val="24"/>
        </w:rPr>
      </w:pPr>
      <w:r>
        <w:rPr>
          <w:rFonts w:hint="eastAsia" w:ascii="宋体" w:hAnsi="宋体" w:cs="宋体"/>
          <w:bCs/>
          <w:color w:val="auto"/>
          <w:sz w:val="24"/>
          <w:szCs w:val="24"/>
        </w:rPr>
        <w:t>特此声明。</w:t>
      </w:r>
    </w:p>
    <w:p w14:paraId="412BA115">
      <w:pPr>
        <w:pStyle w:val="31"/>
        <w:ind w:firstLine="480"/>
        <w:rPr>
          <w:color w:val="auto"/>
        </w:rPr>
      </w:pPr>
    </w:p>
    <w:p w14:paraId="5A2BEFE7">
      <w:pPr>
        <w:spacing w:line="360" w:lineRule="auto"/>
        <w:rPr>
          <w:rFonts w:ascii="宋体"/>
          <w:color w:val="auto"/>
          <w:sz w:val="24"/>
          <w:szCs w:val="24"/>
          <w:u w:val="single"/>
        </w:rPr>
      </w:pPr>
      <w:r>
        <w:rPr>
          <w:rFonts w:hint="eastAsia" w:ascii="宋体" w:hAnsi="宋体" w:cs="宋体"/>
          <w:color w:val="auto"/>
          <w:sz w:val="24"/>
          <w:szCs w:val="24"/>
        </w:rPr>
        <w:t>供应商（单位名称及公章）：</w:t>
      </w:r>
      <w:r>
        <w:rPr>
          <w:rFonts w:ascii="宋体" w:hAnsi="宋体" w:cs="宋体"/>
          <w:color w:val="auto"/>
          <w:sz w:val="24"/>
          <w:szCs w:val="24"/>
        </w:rPr>
        <w:t>____________________</w:t>
      </w:r>
    </w:p>
    <w:p w14:paraId="03BA3B2C">
      <w:pPr>
        <w:adjustRightInd w:val="0"/>
        <w:snapToGrid w:val="0"/>
        <w:spacing w:line="360" w:lineRule="auto"/>
        <w:rPr>
          <w:rFonts w:ascii="宋体"/>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ascii="宋体" w:hAnsi="宋体" w:cs="宋体"/>
          <w:color w:val="auto"/>
          <w:sz w:val="24"/>
          <w:szCs w:val="24"/>
        </w:rPr>
        <w:t>____________________</w:t>
      </w:r>
    </w:p>
    <w:p w14:paraId="3CA329FE">
      <w:pPr>
        <w:adjustRightInd w:val="0"/>
        <w:snapToGrid w:val="0"/>
        <w:spacing w:line="360" w:lineRule="auto"/>
        <w:rPr>
          <w:color w:val="auto"/>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ascii="宋体" w:hAnsi="宋体" w:cs="宋体"/>
          <w:color w:val="auto"/>
          <w:sz w:val="24"/>
          <w:szCs w:val="24"/>
        </w:rPr>
        <w:t>________</w:t>
      </w:r>
      <w:r>
        <w:rPr>
          <w:rFonts w:hint="eastAsia" w:ascii="宋体" w:hAnsi="宋体" w:cs="宋体"/>
          <w:color w:val="auto"/>
          <w:sz w:val="24"/>
          <w:szCs w:val="24"/>
        </w:rPr>
        <w:t>年</w:t>
      </w:r>
      <w:r>
        <w:rPr>
          <w:rFonts w:ascii="宋体" w:hAnsi="宋体" w:cs="宋体"/>
          <w:color w:val="auto"/>
          <w:sz w:val="24"/>
          <w:szCs w:val="24"/>
        </w:rPr>
        <w:t>________</w:t>
      </w:r>
      <w:r>
        <w:rPr>
          <w:rFonts w:hint="eastAsia" w:ascii="宋体" w:hAnsi="宋体" w:cs="宋体"/>
          <w:color w:val="auto"/>
          <w:sz w:val="24"/>
          <w:szCs w:val="24"/>
        </w:rPr>
        <w:t>月</w:t>
      </w:r>
      <w:r>
        <w:rPr>
          <w:rFonts w:ascii="宋体" w:hAnsi="宋体" w:cs="宋体"/>
          <w:color w:val="auto"/>
          <w:sz w:val="24"/>
          <w:szCs w:val="24"/>
        </w:rPr>
        <w:t>________</w:t>
      </w:r>
      <w:r>
        <w:rPr>
          <w:rFonts w:hint="eastAsia" w:ascii="宋体" w:hAnsi="宋体" w:cs="宋体"/>
          <w:color w:val="auto"/>
          <w:sz w:val="24"/>
          <w:szCs w:val="24"/>
        </w:rPr>
        <w:t>日</w:t>
      </w:r>
    </w:p>
    <w:p w14:paraId="70DFC608">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中小微企业声明函（</w:t>
      </w:r>
      <w:r>
        <w:rPr>
          <w:rFonts w:hint="eastAsia" w:ascii="宋体" w:hAnsi="宋体" w:cs="宋体"/>
          <w:b/>
          <w:bCs/>
          <w:color w:val="auto"/>
          <w:sz w:val="28"/>
          <w:szCs w:val="28"/>
          <w:lang w:val="en-US" w:eastAsia="zh-CN"/>
        </w:rPr>
        <w:t>货物</w:t>
      </w:r>
      <w:r>
        <w:rPr>
          <w:rFonts w:hint="eastAsia" w:ascii="宋体" w:hAnsi="宋体" w:cs="宋体"/>
          <w:b/>
          <w:bCs/>
          <w:color w:val="auto"/>
          <w:sz w:val="28"/>
          <w:szCs w:val="28"/>
        </w:rPr>
        <w:t>）（如是）</w:t>
      </w:r>
    </w:p>
    <w:p w14:paraId="257D32E2">
      <w:pPr>
        <w:adjustRightInd w:val="0"/>
        <w:snapToGrid w:val="0"/>
        <w:spacing w:line="360" w:lineRule="auto"/>
        <w:jc w:val="center"/>
        <w:rPr>
          <w:rFonts w:ascii="仿宋" w:hAnsi="仿宋" w:eastAsia="仿宋" w:cs="黑体"/>
          <w:bCs/>
          <w:color w:val="auto"/>
          <w:sz w:val="28"/>
          <w:szCs w:val="28"/>
        </w:rPr>
      </w:pPr>
    </w:p>
    <w:p w14:paraId="2EE1BBCE">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本公司郑重声明，根据《政府采购促进中小企业发展管理办法》（财库[2020]46 号）的规定，本公司参加</w:t>
      </w:r>
      <w:r>
        <w:rPr>
          <w:rFonts w:hint="eastAsia" w:ascii="宋体" w:hAnsi="宋体" w:cs="宋体"/>
          <w:bCs/>
          <w:color w:val="auto"/>
          <w:sz w:val="24"/>
          <w:szCs w:val="24"/>
          <w:u w:val="single"/>
        </w:rPr>
        <w:t>（单位名称）</w:t>
      </w:r>
      <w:r>
        <w:rPr>
          <w:rFonts w:hint="eastAsia" w:ascii="宋体" w:hAnsi="宋体" w:cs="宋体"/>
          <w:bCs/>
          <w:color w:val="auto"/>
          <w:sz w:val="24"/>
          <w:szCs w:val="24"/>
        </w:rPr>
        <w:t>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项目名称：</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（项目编号：</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采购活动，提供的货物全部由符合政策要求的中小企业制造。相关企业的具体情况如下：</w:t>
      </w:r>
    </w:p>
    <w:p w14:paraId="48223507">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63CF369E">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72CAE4E6">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w:t>
      </w:r>
    </w:p>
    <w:p w14:paraId="27D49A69">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0C03797C">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524E7920">
      <w:pPr>
        <w:wordWrap w:val="0"/>
        <w:snapToGrid w:val="0"/>
        <w:spacing w:line="360" w:lineRule="auto"/>
        <w:ind w:firstLine="480" w:firstLineChars="200"/>
        <w:rPr>
          <w:rFonts w:hint="eastAsia" w:ascii="宋体" w:hAnsi="宋体" w:eastAsia="宋体" w:cs="宋体"/>
          <w:bCs/>
          <w:color w:val="auto"/>
          <w:sz w:val="24"/>
          <w:szCs w:val="24"/>
        </w:rPr>
      </w:pPr>
    </w:p>
    <w:p w14:paraId="6F82FEBE">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3C191CC">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7963B1C4">
      <w:pPr>
        <w:pStyle w:val="109"/>
        <w:rPr>
          <w:rFonts w:hint="eastAsia"/>
          <w:color w:val="auto"/>
          <w:lang w:val="en-US" w:eastAsia="zh-CN"/>
        </w:rPr>
      </w:pPr>
    </w:p>
    <w:p w14:paraId="619D2DE2">
      <w:pPr>
        <w:pStyle w:val="3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431D971">
      <w:pPr>
        <w:pStyle w:val="14"/>
        <w:rPr>
          <w:rFonts w:hint="eastAsia" w:ascii="宋体" w:hAnsi="宋体" w:eastAsia="宋体" w:cs="宋体"/>
          <w:color w:val="auto"/>
          <w:sz w:val="24"/>
          <w:szCs w:val="24"/>
        </w:rPr>
        <w:sectPr>
          <w:footerReference r:id="rId19" w:type="first"/>
          <w:footerReference r:id="rId18" w:type="default"/>
          <w:pgSz w:w="11906" w:h="16838"/>
          <w:pgMar w:top="1361" w:right="1423" w:bottom="1361" w:left="1423" w:header="1134" w:footer="992" w:gutter="0"/>
          <w:pgNumType w:fmt="decimal"/>
          <w:cols w:space="0" w:num="1"/>
          <w:titlePg/>
          <w:rtlGutter w:val="0"/>
          <w:docGrid w:type="lines" w:linePitch="317" w:charSpace="0"/>
        </w:sectPr>
      </w:pPr>
    </w:p>
    <w:p w14:paraId="6827F85E">
      <w:pPr>
        <w:spacing w:after="190" w:afterLines="50" w:line="480" w:lineRule="exact"/>
        <w:jc w:val="center"/>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中小企业声明函（工程、服务）（如是）</w:t>
      </w:r>
    </w:p>
    <w:p w14:paraId="050A0A7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377349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4FF8AA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4630D28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1618087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59AA329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A166999">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BF1BA60">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411EFD49">
      <w:pPr>
        <w:autoSpaceDE w:val="0"/>
        <w:autoSpaceDN w:val="0"/>
        <w:adjustRightInd w:val="0"/>
        <w:spacing w:line="600" w:lineRule="auto"/>
        <w:rPr>
          <w:rFonts w:ascii="宋体" w:hAnsi="宋体" w:cs="宋体"/>
          <w:color w:val="auto"/>
          <w:sz w:val="24"/>
          <w:szCs w:val="24"/>
          <w:u w:val="single"/>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29CB349">
      <w:pPr>
        <w:keepNext/>
        <w:keepLines/>
        <w:spacing w:line="415" w:lineRule="auto"/>
        <w:jc w:val="center"/>
        <w:outlineLvl w:val="1"/>
        <w:rPr>
          <w:rFonts w:ascii="Calibri Light" w:hAnsi="Calibri Light" w:cs="Times New Roman"/>
          <w:b/>
          <w:bCs/>
          <w:color w:val="auto"/>
          <w:sz w:val="32"/>
          <w:szCs w:val="32"/>
        </w:rPr>
        <w:sectPr>
          <w:pgSz w:w="11906" w:h="16838"/>
          <w:pgMar w:top="1417" w:right="1417" w:bottom="1417" w:left="1417" w:header="1134" w:footer="992" w:gutter="0"/>
          <w:pgNumType w:fmt="decimal"/>
          <w:cols w:space="0" w:num="1"/>
          <w:titlePg/>
          <w:docGrid w:type="lines" w:linePitch="326" w:charSpace="0"/>
        </w:sectPr>
      </w:pPr>
    </w:p>
    <w:p w14:paraId="0FB85AEA">
      <w:pPr>
        <w:pStyle w:val="5"/>
        <w:numPr>
          <w:ilvl w:val="0"/>
          <w:numId w:val="9"/>
        </w:numPr>
        <w:ind w:firstLine="482" w:firstLineChars="150"/>
        <w:jc w:val="center"/>
        <w:rPr>
          <w:rFonts w:hint="eastAsia" w:ascii="Calibri Light" w:hAnsi="Calibri Light" w:cs="Times New Roman"/>
          <w:b/>
          <w:bCs/>
          <w:color w:val="auto"/>
          <w:sz w:val="32"/>
          <w:szCs w:val="32"/>
          <w:lang w:eastAsia="zh-CN"/>
        </w:rPr>
      </w:pPr>
      <w:bookmarkStart w:id="171" w:name="_Toc19543354"/>
      <w:r>
        <w:rPr>
          <w:rFonts w:hint="eastAsia" w:ascii="Calibri Light" w:hAnsi="Calibri Light" w:cs="Times New Roman"/>
          <w:b/>
          <w:bCs/>
          <w:color w:val="auto"/>
          <w:sz w:val="32"/>
          <w:szCs w:val="32"/>
        </w:rPr>
        <w:t xml:space="preserve">  </w:t>
      </w:r>
      <w:bookmarkEnd w:id="171"/>
      <w:bookmarkStart w:id="172" w:name="OLE_LINK28"/>
      <w:r>
        <w:rPr>
          <w:rFonts w:hint="eastAsia" w:ascii="Calibri Light" w:hAnsi="Calibri Light" w:cs="Times New Roman"/>
          <w:b/>
          <w:bCs/>
          <w:color w:val="auto"/>
          <w:sz w:val="32"/>
          <w:szCs w:val="32"/>
          <w:lang w:val="en-US" w:eastAsia="zh-CN"/>
        </w:rPr>
        <w:t>技术及</w:t>
      </w:r>
      <w:r>
        <w:rPr>
          <w:rFonts w:hint="eastAsia" w:ascii="Calibri Light" w:hAnsi="Calibri Light" w:cs="Times New Roman"/>
          <w:b/>
          <w:bCs/>
          <w:color w:val="auto"/>
          <w:sz w:val="32"/>
          <w:szCs w:val="32"/>
          <w:lang w:eastAsia="zh-CN"/>
        </w:rPr>
        <w:t>商务</w:t>
      </w:r>
      <w:r>
        <w:rPr>
          <w:rFonts w:hint="eastAsia" w:ascii="Calibri Light" w:hAnsi="Calibri Light" w:cs="Times New Roman"/>
          <w:b/>
          <w:bCs/>
          <w:color w:val="auto"/>
          <w:sz w:val="32"/>
          <w:szCs w:val="32"/>
          <w:lang w:val="en-US" w:eastAsia="zh-CN"/>
        </w:rPr>
        <w:t>响应</w:t>
      </w:r>
      <w:r>
        <w:rPr>
          <w:rFonts w:hint="eastAsia" w:ascii="Calibri Light" w:hAnsi="Calibri Light" w:cs="Times New Roman"/>
          <w:b/>
          <w:bCs/>
          <w:color w:val="auto"/>
          <w:sz w:val="32"/>
          <w:szCs w:val="32"/>
          <w:lang w:eastAsia="zh-CN"/>
        </w:rPr>
        <w:t>偏离表</w:t>
      </w:r>
      <w:bookmarkEnd w:id="172"/>
    </w:p>
    <w:p w14:paraId="745877E1">
      <w:pPr>
        <w:pStyle w:val="5"/>
        <w:spacing w:before="0" w:after="0"/>
        <w:ind w:firstLine="422" w:firstLineChars="150"/>
        <w:jc w:val="center"/>
        <w:rPr>
          <w:color w:val="auto"/>
          <w:sz w:val="28"/>
          <w:szCs w:val="28"/>
        </w:rPr>
      </w:pPr>
      <w:r>
        <w:rPr>
          <w:rFonts w:hint="eastAsia"/>
          <w:color w:val="auto"/>
          <w:sz w:val="28"/>
          <w:szCs w:val="28"/>
        </w:rPr>
        <w:t>技术</w:t>
      </w:r>
      <w:r>
        <w:rPr>
          <w:rFonts w:hint="eastAsia"/>
          <w:color w:val="auto"/>
          <w:sz w:val="28"/>
          <w:szCs w:val="28"/>
          <w:lang w:val="en-US" w:eastAsia="zh-CN"/>
        </w:rPr>
        <w:t>响应</w:t>
      </w:r>
      <w:r>
        <w:rPr>
          <w:rFonts w:hint="eastAsia"/>
          <w:color w:val="auto"/>
          <w:sz w:val="28"/>
          <w:szCs w:val="28"/>
        </w:rPr>
        <w:t>偏离表</w:t>
      </w:r>
    </w:p>
    <w:tbl>
      <w:tblPr>
        <w:tblStyle w:val="3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484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7BCDF34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5B48B9D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lang w:eastAsia="zh-CN"/>
              </w:rPr>
              <w:t>磋商文件</w:t>
            </w:r>
            <w:r>
              <w:rPr>
                <w:rFonts w:hint="eastAsia" w:ascii="宋体" w:hAnsi="宋体" w:cs="宋体"/>
                <w:b/>
                <w:color w:val="auto"/>
                <w:szCs w:val="21"/>
              </w:rPr>
              <w:t>技术要求</w:t>
            </w:r>
          </w:p>
        </w:tc>
        <w:tc>
          <w:tcPr>
            <w:tcW w:w="3934" w:type="dxa"/>
            <w:vAlign w:val="center"/>
          </w:tcPr>
          <w:p w14:paraId="564AEB7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rPr>
              <w:t>投标文件技术参数</w:t>
            </w:r>
            <w:r>
              <w:rPr>
                <w:rFonts w:hint="eastAsia" w:ascii="宋体" w:hAnsi="宋体" w:cs="宋体"/>
                <w:b/>
                <w:color w:val="auto"/>
                <w:szCs w:val="21"/>
                <w:lang w:val="en-US" w:eastAsia="zh-CN"/>
              </w:rPr>
              <w:t>应答</w:t>
            </w:r>
          </w:p>
        </w:tc>
        <w:tc>
          <w:tcPr>
            <w:tcW w:w="1583" w:type="dxa"/>
            <w:vAlign w:val="center"/>
          </w:tcPr>
          <w:p w14:paraId="1991158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7886D18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3794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E5AA38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2CA8E64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287F662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41A6342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37C392B">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7AD7A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E75F2F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6A80880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13FD17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6A5E3C4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3FB31AF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1D6C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84D20F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6463FCA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51D1518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158A3C9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B33E95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912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AB1EECE">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2639518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1D1D1DC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412456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8ED952D">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B6ED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5D3FF4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04E8F35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9F1A11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5CF2486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7EDFA10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6DCA4F88">
      <w:pPr>
        <w:pStyle w:val="26"/>
        <w:rPr>
          <w:color w:val="auto"/>
        </w:rPr>
      </w:pPr>
      <w:r>
        <w:rPr>
          <w:rFonts w:hint="eastAsia" w:ascii="宋体" w:hAnsi="宋体" w:cs="仿宋"/>
          <w:color w:val="auto"/>
          <w:sz w:val="24"/>
          <w:szCs w:val="24"/>
        </w:rPr>
        <w:t>注：投标人可根据实际情况自行扩展表格细项。</w:t>
      </w:r>
    </w:p>
    <w:p w14:paraId="600601D2">
      <w:pPr>
        <w:jc w:val="center"/>
        <w:rPr>
          <w:rFonts w:ascii="宋体" w:hAnsi="宋体"/>
          <w:b/>
          <w:color w:val="auto"/>
          <w:sz w:val="24"/>
          <w:szCs w:val="24"/>
        </w:rPr>
      </w:pPr>
    </w:p>
    <w:p w14:paraId="03923991">
      <w:pPr>
        <w:jc w:val="center"/>
        <w:rPr>
          <w:rFonts w:ascii="宋体" w:hAnsi="宋体"/>
          <w:b/>
          <w:color w:val="auto"/>
          <w:sz w:val="24"/>
          <w:szCs w:val="24"/>
        </w:rPr>
      </w:pPr>
    </w:p>
    <w:p w14:paraId="30005368">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2A7C24BB">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11508D09">
      <w:pPr>
        <w:ind w:firstLine="240" w:firstLineChars="100"/>
        <w:rPr>
          <w:rFonts w:hint="eastAsia" w:ascii="Calibri Light" w:hAnsi="Calibri Light" w:cs="Times New Roman"/>
          <w:b/>
          <w:bCs/>
          <w:color w:val="auto"/>
          <w:sz w:val="32"/>
          <w:szCs w:val="32"/>
          <w:lang w:eastAsia="zh-CN"/>
        </w:rPr>
        <w:sectPr>
          <w:footerReference r:id="rId20" w:type="default"/>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olor w:val="auto"/>
          <w:sz w:val="24"/>
          <w:szCs w:val="24"/>
        </w:rPr>
        <w:t>日      期：</w:t>
      </w:r>
    </w:p>
    <w:p w14:paraId="722BD4DF">
      <w:pPr>
        <w:rPr>
          <w:rFonts w:hint="eastAsia"/>
          <w:color w:val="auto"/>
          <w:lang w:eastAsia="zh-CN"/>
        </w:rPr>
      </w:pPr>
    </w:p>
    <w:p w14:paraId="63710E0F">
      <w:pPr>
        <w:numPr>
          <w:ilvl w:val="0"/>
          <w:numId w:val="0"/>
        </w:numPr>
        <w:jc w:val="center"/>
        <w:rPr>
          <w:rFonts w:hint="eastAsia" w:ascii="Arial" w:hAnsi="Arial" w:eastAsia="宋体" w:cs="Arial"/>
          <w:b/>
          <w:bCs/>
          <w:color w:val="auto"/>
          <w:kern w:val="2"/>
          <w:sz w:val="24"/>
          <w:szCs w:val="24"/>
          <w:lang w:val="en-US" w:eastAsia="zh-CN" w:bidi="ar-SA"/>
        </w:rPr>
      </w:pPr>
    </w:p>
    <w:p w14:paraId="55F2C028">
      <w:pPr>
        <w:numPr>
          <w:ilvl w:val="0"/>
          <w:numId w:val="0"/>
        </w:numPr>
        <w:jc w:val="center"/>
        <w:rPr>
          <w:rFonts w:hint="eastAsia" w:ascii="Arial" w:hAnsi="Arial" w:eastAsia="宋体" w:cs="Arial"/>
          <w:b/>
          <w:bCs/>
          <w:color w:val="auto"/>
          <w:kern w:val="2"/>
          <w:sz w:val="28"/>
          <w:szCs w:val="28"/>
          <w:lang w:val="en-US" w:eastAsia="zh-CN" w:bidi="ar-SA"/>
        </w:rPr>
      </w:pPr>
      <w:r>
        <w:rPr>
          <w:rFonts w:hint="eastAsia" w:ascii="Arial" w:hAnsi="Arial" w:eastAsia="宋体" w:cs="Arial"/>
          <w:b/>
          <w:bCs/>
          <w:color w:val="auto"/>
          <w:kern w:val="2"/>
          <w:sz w:val="28"/>
          <w:szCs w:val="28"/>
          <w:lang w:val="en-US" w:eastAsia="zh-CN" w:bidi="ar-SA"/>
        </w:rPr>
        <w:t>商务响应偏离表</w:t>
      </w:r>
    </w:p>
    <w:p w14:paraId="76DC15C6">
      <w:pPr>
        <w:numPr>
          <w:ilvl w:val="0"/>
          <w:numId w:val="0"/>
        </w:numPr>
        <w:jc w:val="center"/>
        <w:rPr>
          <w:rFonts w:hint="eastAsia" w:ascii="Arial" w:hAnsi="Arial" w:eastAsia="宋体" w:cs="Arial"/>
          <w:b/>
          <w:bCs/>
          <w:color w:val="auto"/>
          <w:kern w:val="2"/>
          <w:sz w:val="24"/>
          <w:szCs w:val="24"/>
          <w:lang w:val="en-US" w:eastAsia="zh-CN" w:bidi="ar-SA"/>
        </w:rPr>
      </w:pPr>
    </w:p>
    <w:tbl>
      <w:tblPr>
        <w:tblStyle w:val="3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B42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375AD8C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default"/>
                <w:color w:val="auto"/>
              </w:rPr>
              <w:br w:type="page"/>
            </w:r>
            <w:r>
              <w:rPr>
                <w:rFonts w:hint="eastAsia" w:ascii="宋体" w:hAnsi="宋体" w:eastAsia="宋体" w:cs="宋体"/>
                <w:b/>
                <w:color w:val="auto"/>
                <w:szCs w:val="21"/>
                <w:lang w:val="en-US" w:eastAsia="zh-CN"/>
              </w:rPr>
              <w:t>序号</w:t>
            </w:r>
          </w:p>
        </w:tc>
        <w:tc>
          <w:tcPr>
            <w:tcW w:w="2835" w:type="dxa"/>
            <w:vAlign w:val="center"/>
          </w:tcPr>
          <w:p w14:paraId="3F8368C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cs="宋体"/>
                <w:b/>
                <w:color w:val="auto"/>
                <w:szCs w:val="21"/>
                <w:lang w:eastAsia="zh-CN"/>
              </w:rPr>
              <w:t>磋商文件</w:t>
            </w:r>
            <w:r>
              <w:rPr>
                <w:rFonts w:hint="eastAsia" w:ascii="宋体" w:hAnsi="宋体" w:eastAsia="宋体" w:cs="宋体"/>
                <w:b/>
                <w:color w:val="auto"/>
                <w:szCs w:val="21"/>
              </w:rPr>
              <w:t>商务要求</w:t>
            </w:r>
          </w:p>
        </w:tc>
        <w:tc>
          <w:tcPr>
            <w:tcW w:w="2552" w:type="dxa"/>
            <w:vAlign w:val="center"/>
          </w:tcPr>
          <w:p w14:paraId="43E2366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Cs w:val="21"/>
              </w:rPr>
              <w:t>投标文件商务应答</w:t>
            </w:r>
          </w:p>
        </w:tc>
        <w:tc>
          <w:tcPr>
            <w:tcW w:w="1516" w:type="dxa"/>
            <w:vAlign w:val="center"/>
          </w:tcPr>
          <w:p w14:paraId="284866A9">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b/>
                <w:color w:val="auto"/>
                <w:szCs w:val="21"/>
                <w:lang w:val="en-US" w:eastAsia="zh-CN"/>
              </w:rPr>
              <w:t>响应/偏离</w:t>
            </w:r>
          </w:p>
        </w:tc>
        <w:tc>
          <w:tcPr>
            <w:tcW w:w="1516" w:type="dxa"/>
            <w:vAlign w:val="center"/>
          </w:tcPr>
          <w:p w14:paraId="2A97E35F">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偏离简述</w:t>
            </w:r>
          </w:p>
        </w:tc>
      </w:tr>
      <w:tr w14:paraId="3541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1C714A">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w:t>
            </w:r>
          </w:p>
        </w:tc>
        <w:tc>
          <w:tcPr>
            <w:tcW w:w="2835" w:type="dxa"/>
            <w:vAlign w:val="center"/>
          </w:tcPr>
          <w:p w14:paraId="65189C4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F0E0D4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EF09333">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FC39D6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111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6B929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p>
        </w:tc>
        <w:tc>
          <w:tcPr>
            <w:tcW w:w="2835" w:type="dxa"/>
            <w:vAlign w:val="center"/>
          </w:tcPr>
          <w:p w14:paraId="63649DC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6A18DF7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4917B87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D00C2B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675F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EE9F76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3</w:t>
            </w:r>
          </w:p>
        </w:tc>
        <w:tc>
          <w:tcPr>
            <w:tcW w:w="2835" w:type="dxa"/>
            <w:vAlign w:val="center"/>
          </w:tcPr>
          <w:p w14:paraId="31F281B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4CC7D6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A2AC91A">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6B81FD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BB0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CFFA42C">
            <w:pPr>
              <w:keepNext w:val="0"/>
              <w:keepLines w:val="0"/>
              <w:suppressLineNumbers w:val="0"/>
              <w:wordWrap w:val="0"/>
              <w:spacing w:before="0" w:beforeAutospacing="0" w:after="0" w:afterAutospacing="0"/>
              <w:ind w:left="0" w:right="0"/>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w:t>
            </w:r>
          </w:p>
        </w:tc>
        <w:tc>
          <w:tcPr>
            <w:tcW w:w="2835" w:type="dxa"/>
            <w:vAlign w:val="center"/>
          </w:tcPr>
          <w:p w14:paraId="4BA485D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A09BB9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5FB3BE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7DE501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63E044A6">
      <w:pPr>
        <w:spacing w:line="360" w:lineRule="auto"/>
        <w:ind w:firstLine="482" w:firstLineChars="200"/>
        <w:rPr>
          <w:b/>
          <w:bCs/>
          <w:color w:val="auto"/>
          <w:sz w:val="24"/>
          <w:szCs w:val="24"/>
        </w:rPr>
      </w:pPr>
      <w:r>
        <w:rPr>
          <w:rFonts w:hint="eastAsia" w:ascii="宋体" w:hAnsi="宋体"/>
          <w:b/>
          <w:bCs/>
          <w:color w:val="auto"/>
          <w:sz w:val="24"/>
          <w:szCs w:val="24"/>
        </w:rPr>
        <w:t>注：对</w:t>
      </w:r>
      <w:r>
        <w:rPr>
          <w:rFonts w:hint="eastAsia" w:ascii="宋体" w:hAnsi="宋体"/>
          <w:b/>
          <w:bCs/>
          <w:color w:val="auto"/>
          <w:sz w:val="24"/>
          <w:szCs w:val="24"/>
          <w:lang w:eastAsia="zh-CN"/>
        </w:rPr>
        <w:t>磋商文件</w:t>
      </w:r>
      <w:r>
        <w:rPr>
          <w:rFonts w:hint="eastAsia" w:ascii="宋体" w:hAnsi="宋体"/>
          <w:b/>
          <w:bCs/>
          <w:color w:val="auto"/>
          <w:sz w:val="24"/>
          <w:szCs w:val="24"/>
        </w:rPr>
        <w:t>中要求的商务条款逐条响应并详细说明。</w:t>
      </w:r>
    </w:p>
    <w:p w14:paraId="5C42B219">
      <w:pPr>
        <w:rPr>
          <w:color w:val="auto"/>
          <w:sz w:val="24"/>
          <w:szCs w:val="24"/>
        </w:rPr>
      </w:pPr>
    </w:p>
    <w:p w14:paraId="74D85CD8">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C9117F4">
      <w:pPr>
        <w:spacing w:line="360" w:lineRule="auto"/>
        <w:ind w:firstLine="420" w:firstLineChars="175"/>
        <w:rPr>
          <w:rFonts w:hint="eastAsia" w:ascii="宋体" w:hAnsi="宋体" w:cs="Times New Roman"/>
          <w:b/>
          <w:bCs/>
          <w:color w:val="auto"/>
          <w:sz w:val="24"/>
          <w:szCs w:val="24"/>
        </w:rPr>
      </w:pPr>
      <w:r>
        <w:rPr>
          <w:rFonts w:hint="eastAsia" w:ascii="宋体" w:hAnsi="宋体"/>
          <w:color w:val="auto"/>
          <w:sz w:val="24"/>
          <w:szCs w:val="24"/>
        </w:rPr>
        <w:t xml:space="preserve">   </w:t>
      </w:r>
    </w:p>
    <w:p w14:paraId="0AB7D895">
      <w:pPr>
        <w:pStyle w:val="23"/>
        <w:rPr>
          <w:color w:val="auto"/>
        </w:rPr>
      </w:pPr>
    </w:p>
    <w:p w14:paraId="2BA58935">
      <w:pPr>
        <w:pStyle w:val="23"/>
        <w:rPr>
          <w:color w:val="auto"/>
        </w:rPr>
      </w:pPr>
    </w:p>
    <w:p w14:paraId="1C4722CB">
      <w:pPr>
        <w:pStyle w:val="23"/>
        <w:rPr>
          <w:color w:val="auto"/>
        </w:rPr>
      </w:pPr>
    </w:p>
    <w:p w14:paraId="329EFD67">
      <w:pPr>
        <w:adjustRightInd w:val="0"/>
        <w:snapToGrid w:val="0"/>
        <w:spacing w:line="480" w:lineRule="auto"/>
        <w:jc w:val="left"/>
        <w:rPr>
          <w:rFonts w:ascii="宋体" w:cs="Times New Roman"/>
          <w:color w:val="auto"/>
          <w:sz w:val="24"/>
          <w:szCs w:val="24"/>
          <w:u w:val="single"/>
        </w:rPr>
      </w:pPr>
      <w:r>
        <w:rPr>
          <w:rFonts w:hint="eastAsia" w:ascii="宋体" w:hAnsi="宋体" w:cs="宋体"/>
          <w:color w:val="auto"/>
          <w:sz w:val="24"/>
          <w:szCs w:val="24"/>
          <w:lang w:val="en-US" w:eastAsia="zh-CN"/>
        </w:rPr>
        <w:t>投标人</w:t>
      </w:r>
      <w:r>
        <w:rPr>
          <w:rFonts w:hint="eastAsia" w:ascii="宋体" w:hAnsi="宋体" w:cs="宋体"/>
          <w:color w:val="auto"/>
          <w:sz w:val="24"/>
          <w:szCs w:val="24"/>
        </w:rPr>
        <w:t>（单位名称及公章）：____________________________</w:t>
      </w:r>
    </w:p>
    <w:p w14:paraId="3FEB1308">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）：____________________________</w:t>
      </w:r>
    </w:p>
    <w:p w14:paraId="2E89C1D7">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1325C13C">
      <w:pPr>
        <w:widowControl/>
        <w:jc w:val="left"/>
        <w:rPr>
          <w:rFonts w:ascii="宋体" w:hAnsi="宋体" w:cs="宋体"/>
          <w:b/>
          <w:bCs/>
          <w:color w:val="auto"/>
          <w:sz w:val="28"/>
          <w:szCs w:val="28"/>
        </w:rPr>
      </w:pPr>
    </w:p>
    <w:bookmarkEnd w:id="162"/>
    <w:bookmarkEnd w:id="165"/>
    <w:bookmarkEnd w:id="166"/>
    <w:bookmarkEnd w:id="167"/>
    <w:bookmarkEnd w:id="168"/>
    <w:bookmarkEnd w:id="169"/>
    <w:bookmarkEnd w:id="170"/>
    <w:p w14:paraId="43B331B0">
      <w:pPr>
        <w:pStyle w:val="5"/>
        <w:pageBreakBefore/>
        <w:rPr>
          <w:rFonts w:ascii="宋体" w:cs="Times New Roman"/>
          <w:color w:val="auto"/>
          <w:sz w:val="24"/>
          <w:szCs w:val="24"/>
        </w:rPr>
        <w:sectPr>
          <w:pgSz w:w="11906" w:h="16838"/>
          <w:pgMar w:top="1417" w:right="1417" w:bottom="1417" w:left="1417" w:header="1134" w:footer="992" w:gutter="0"/>
          <w:pgNumType w:fmt="decimal"/>
          <w:cols w:space="0" w:num="1"/>
          <w:titlePg/>
          <w:docGrid w:type="lines" w:linePitch="326" w:charSpace="0"/>
        </w:sectPr>
      </w:pPr>
      <w:bookmarkStart w:id="173" w:name="_Toc1408"/>
    </w:p>
    <w:bookmarkEnd w:id="173"/>
    <w:p w14:paraId="68F52725">
      <w:pPr>
        <w:pStyle w:val="5"/>
        <w:keepNext/>
        <w:keepLines/>
        <w:pageBreakBefore/>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174" w:name="_Toc9172"/>
      <w:bookmarkStart w:id="175" w:name="_Toc536202399"/>
      <w:bookmarkStart w:id="176" w:name="_Toc536202330"/>
      <w:bookmarkStart w:id="177" w:name="_Toc14937"/>
      <w:bookmarkStart w:id="178" w:name="_Toc536429392"/>
      <w:bookmarkStart w:id="179" w:name="_Toc536429339"/>
      <w:bookmarkStart w:id="180" w:name="_Toc19543359"/>
      <w:bookmarkStart w:id="181" w:name="_Toc1803"/>
      <w:r>
        <w:rPr>
          <w:rFonts w:hint="eastAsia" w:ascii="宋体" w:hAnsi="宋体" w:cs="宋体"/>
          <w:color w:val="auto"/>
          <w:sz w:val="32"/>
          <w:szCs w:val="32"/>
        </w:rPr>
        <w:t>第</w:t>
      </w:r>
      <w:r>
        <w:rPr>
          <w:rFonts w:hint="eastAsia" w:ascii="宋体" w:hAnsi="宋体" w:cs="宋体"/>
          <w:color w:val="auto"/>
          <w:sz w:val="32"/>
          <w:szCs w:val="32"/>
          <w:lang w:val="en-US" w:eastAsia="zh-CN"/>
        </w:rPr>
        <w:t>五</w:t>
      </w:r>
      <w:r>
        <w:rPr>
          <w:rFonts w:hint="eastAsia" w:ascii="宋体" w:hAnsi="宋体" w:cs="宋体"/>
          <w:color w:val="auto"/>
          <w:sz w:val="32"/>
          <w:szCs w:val="32"/>
        </w:rPr>
        <w:t>章</w:t>
      </w:r>
      <w:r>
        <w:rPr>
          <w:rFonts w:ascii="宋体" w:hAnsi="宋体" w:cs="宋体"/>
          <w:color w:val="auto"/>
          <w:sz w:val="32"/>
          <w:szCs w:val="32"/>
        </w:rPr>
        <w:t xml:space="preserve">  </w:t>
      </w:r>
      <w:bookmarkEnd w:id="174"/>
      <w:r>
        <w:rPr>
          <w:rFonts w:hint="eastAsia" w:ascii="宋体" w:hAnsi="宋体" w:cs="宋体"/>
          <w:color w:val="auto"/>
          <w:sz w:val="32"/>
          <w:szCs w:val="32"/>
          <w:lang w:val="en-US" w:eastAsia="zh-CN"/>
        </w:rPr>
        <w:t>响应</w:t>
      </w:r>
      <w:r>
        <w:rPr>
          <w:rFonts w:hint="eastAsia" w:ascii="宋体" w:hAnsi="宋体" w:cs="宋体"/>
          <w:color w:val="auto"/>
          <w:sz w:val="32"/>
          <w:szCs w:val="32"/>
        </w:rPr>
        <w:t>方案</w:t>
      </w:r>
      <w:bookmarkEnd w:id="175"/>
      <w:bookmarkEnd w:id="176"/>
      <w:bookmarkEnd w:id="177"/>
      <w:bookmarkEnd w:id="178"/>
      <w:bookmarkEnd w:id="179"/>
      <w:bookmarkEnd w:id="180"/>
    </w:p>
    <w:p w14:paraId="2EC76B0B">
      <w:pPr>
        <w:spacing w:line="360" w:lineRule="auto"/>
        <w:ind w:firstLine="482" w:firstLineChars="200"/>
        <w:rPr>
          <w:rFonts w:ascii="宋体" w:cs="Times New Roman"/>
          <w:b/>
          <w:bCs/>
          <w:color w:val="auto"/>
          <w:sz w:val="28"/>
          <w:szCs w:val="24"/>
        </w:rPr>
      </w:pPr>
      <w:r>
        <w:rPr>
          <w:rFonts w:hint="eastAsia" w:ascii="宋体" w:hAnsi="宋体"/>
          <w:b/>
          <w:bCs/>
          <w:color w:val="auto"/>
          <w:sz w:val="24"/>
          <w:szCs w:val="24"/>
        </w:rPr>
        <w:t>按照磋商文件的要求编制的</w:t>
      </w:r>
      <w:r>
        <w:rPr>
          <w:rFonts w:hint="eastAsia" w:ascii="宋体" w:hAnsi="宋体"/>
          <w:b/>
          <w:bCs/>
          <w:color w:val="auto"/>
          <w:sz w:val="24"/>
          <w:szCs w:val="24"/>
          <w:lang w:val="en-US" w:eastAsia="zh-CN"/>
        </w:rPr>
        <w:t>响应</w:t>
      </w:r>
      <w:r>
        <w:rPr>
          <w:rFonts w:hint="eastAsia" w:ascii="宋体" w:hAnsi="宋体"/>
          <w:b/>
          <w:bCs/>
          <w:color w:val="auto"/>
          <w:sz w:val="24"/>
          <w:szCs w:val="24"/>
        </w:rPr>
        <w:t>方案说明书，</w:t>
      </w:r>
      <w:r>
        <w:rPr>
          <w:rFonts w:hint="eastAsia" w:ascii="宋体" w:hAnsi="宋体"/>
          <w:b/>
          <w:bCs/>
          <w:color w:val="auto"/>
          <w:sz w:val="24"/>
          <w:szCs w:val="24"/>
          <w:lang w:val="en-US" w:eastAsia="zh-CN"/>
        </w:rPr>
        <w:t>响应</w:t>
      </w:r>
      <w:r>
        <w:rPr>
          <w:rFonts w:hint="eastAsia" w:ascii="宋体" w:hAnsi="宋体"/>
          <w:b/>
          <w:bCs/>
          <w:color w:val="auto"/>
          <w:sz w:val="24"/>
          <w:szCs w:val="24"/>
        </w:rPr>
        <w:t>方案由供应商自行编写，无具体格式，包含但不限于以下内容：</w:t>
      </w:r>
    </w:p>
    <w:p w14:paraId="2F98BDC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bookmarkStart w:id="182" w:name="_Toc484198844"/>
      <w:bookmarkStart w:id="183" w:name="_Toc26541342"/>
      <w:bookmarkStart w:id="184" w:name="_Toc528240834"/>
      <w:bookmarkStart w:id="185" w:name="_Toc23258631"/>
      <w:bookmarkStart w:id="186" w:name="_Toc19543360"/>
      <w:r>
        <w:rPr>
          <w:rFonts w:hint="eastAsia" w:ascii="宋体" w:hAnsi="宋体" w:cs="宋体"/>
          <w:b w:val="0"/>
          <w:bCs/>
          <w:color w:val="auto"/>
          <w:kern w:val="0"/>
          <w:sz w:val="24"/>
          <w:szCs w:val="24"/>
          <w:lang w:val="en-US" w:eastAsia="zh-CN"/>
        </w:rPr>
        <w:t>1.总体实施方案</w:t>
      </w:r>
    </w:p>
    <w:p w14:paraId="2623934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2.人员配置及组织架构</w:t>
      </w:r>
    </w:p>
    <w:p w14:paraId="4B2700B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3.维保服务分析</w:t>
      </w:r>
    </w:p>
    <w:p w14:paraId="790F19C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4.企业内控制度</w:t>
      </w:r>
    </w:p>
    <w:p w14:paraId="6F1FFDF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5.应急事件处理预案</w:t>
      </w:r>
    </w:p>
    <w:p w14:paraId="2EEFEA0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6.工具仪器</w:t>
      </w:r>
    </w:p>
    <w:p w14:paraId="23F8509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7.类似项目业绩</w:t>
      </w:r>
    </w:p>
    <w:p w14:paraId="45081AF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8.备品配件质量保证及承诺</w:t>
      </w:r>
    </w:p>
    <w:p w14:paraId="6555F71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9.服务承诺和建议</w:t>
      </w:r>
    </w:p>
    <w:p w14:paraId="1F5A2DB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10.供应商认为有必要提供的其他证明材料及情况说明</w:t>
      </w:r>
    </w:p>
    <w:p w14:paraId="219EC004">
      <w:pPr>
        <w:spacing w:line="360" w:lineRule="auto"/>
        <w:ind w:firstLine="630" w:firstLineChars="300"/>
        <w:rPr>
          <w:rFonts w:ascii="宋体" w:hAnsi="宋体" w:cs="Times New Roman"/>
          <w:color w:val="auto"/>
          <w:sz w:val="24"/>
          <w:szCs w:val="24"/>
        </w:rPr>
      </w:pPr>
      <w:r>
        <w:rPr>
          <w:rFonts w:hint="eastAsia" w:ascii="微软雅黑" w:hAnsi="微软雅黑" w:eastAsia="微软雅黑" w:cs="微软雅黑"/>
          <w:b w:val="0"/>
          <w:bCs w:val="0"/>
          <w:color w:val="auto"/>
          <w:lang w:val="en-US" w:eastAsia="zh-CN"/>
        </w:rPr>
        <w:t>……</w:t>
      </w:r>
      <w:r>
        <w:rPr>
          <w:rFonts w:ascii="宋体" w:hAnsi="宋体" w:cs="Times New Roman"/>
          <w:color w:val="auto"/>
          <w:sz w:val="24"/>
          <w:szCs w:val="24"/>
        </w:rPr>
        <w:br w:type="page"/>
      </w:r>
    </w:p>
    <w:p w14:paraId="495EA792">
      <w:pPr>
        <w:keepNext/>
        <w:keepLines/>
        <w:spacing w:before="260" w:after="260" w:line="416" w:lineRule="auto"/>
        <w:ind w:firstLine="422" w:firstLineChars="150"/>
        <w:jc w:val="center"/>
        <w:outlineLvl w:val="1"/>
        <w:rPr>
          <w:rFonts w:ascii="宋体" w:hAnsi="宋体" w:cs="宋体"/>
          <w:b/>
          <w:bCs/>
          <w:color w:val="auto"/>
          <w:kern w:val="20"/>
          <w:sz w:val="22"/>
          <w:szCs w:val="22"/>
        </w:rPr>
      </w:pPr>
      <w:r>
        <w:rPr>
          <w:rFonts w:hint="eastAsia" w:ascii="Calibri Light" w:hAnsi="Calibri Light" w:cs="Times New Roman"/>
          <w:b/>
          <w:bCs/>
          <w:color w:val="auto"/>
          <w:sz w:val="28"/>
          <w:szCs w:val="28"/>
        </w:rPr>
        <w:t>拟投入人员情况表</w:t>
      </w:r>
      <w:bookmarkEnd w:id="182"/>
      <w:bookmarkEnd w:id="183"/>
      <w:bookmarkEnd w:id="184"/>
      <w:bookmarkEnd w:id="185"/>
    </w:p>
    <w:tbl>
      <w:tblPr>
        <w:tblStyle w:val="3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4F9D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52B75DA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序号</w:t>
            </w:r>
          </w:p>
        </w:tc>
        <w:tc>
          <w:tcPr>
            <w:tcW w:w="1740" w:type="dxa"/>
            <w:tcMar>
              <w:top w:w="15" w:type="dxa"/>
              <w:left w:w="15" w:type="dxa"/>
              <w:bottom w:w="0" w:type="dxa"/>
              <w:right w:w="15" w:type="dxa"/>
            </w:tcMar>
            <w:vAlign w:val="center"/>
          </w:tcPr>
          <w:p w14:paraId="543BE0AD">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姓  名</w:t>
            </w:r>
          </w:p>
        </w:tc>
        <w:tc>
          <w:tcPr>
            <w:tcW w:w="800" w:type="dxa"/>
            <w:tcMar>
              <w:top w:w="15" w:type="dxa"/>
              <w:left w:w="15" w:type="dxa"/>
              <w:bottom w:w="0" w:type="dxa"/>
              <w:right w:w="15" w:type="dxa"/>
            </w:tcMar>
            <w:vAlign w:val="center"/>
          </w:tcPr>
          <w:p w14:paraId="3DBD4BBF">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性别</w:t>
            </w:r>
          </w:p>
        </w:tc>
        <w:tc>
          <w:tcPr>
            <w:tcW w:w="800" w:type="dxa"/>
            <w:tcMar>
              <w:top w:w="15" w:type="dxa"/>
              <w:left w:w="15" w:type="dxa"/>
              <w:bottom w:w="0" w:type="dxa"/>
              <w:right w:w="15" w:type="dxa"/>
            </w:tcMar>
            <w:vAlign w:val="center"/>
          </w:tcPr>
          <w:p w14:paraId="23340954">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年龄</w:t>
            </w:r>
          </w:p>
        </w:tc>
        <w:tc>
          <w:tcPr>
            <w:tcW w:w="800" w:type="dxa"/>
            <w:tcMar>
              <w:top w:w="15" w:type="dxa"/>
              <w:left w:w="15" w:type="dxa"/>
              <w:bottom w:w="0" w:type="dxa"/>
              <w:right w:w="15" w:type="dxa"/>
            </w:tcMar>
            <w:vAlign w:val="center"/>
          </w:tcPr>
          <w:p w14:paraId="6A6DE53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学历</w:t>
            </w:r>
          </w:p>
        </w:tc>
        <w:tc>
          <w:tcPr>
            <w:tcW w:w="1049" w:type="dxa"/>
            <w:tcMar>
              <w:top w:w="15" w:type="dxa"/>
              <w:left w:w="15" w:type="dxa"/>
              <w:bottom w:w="0" w:type="dxa"/>
              <w:right w:w="15" w:type="dxa"/>
            </w:tcMar>
            <w:vAlign w:val="center"/>
          </w:tcPr>
          <w:p w14:paraId="12E41AA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工作</w:t>
            </w:r>
          </w:p>
          <w:p w14:paraId="0F7620A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年限</w:t>
            </w:r>
          </w:p>
        </w:tc>
        <w:tc>
          <w:tcPr>
            <w:tcW w:w="2635" w:type="dxa"/>
            <w:tcMar>
              <w:top w:w="15" w:type="dxa"/>
              <w:left w:w="15" w:type="dxa"/>
              <w:bottom w:w="0" w:type="dxa"/>
              <w:right w:w="15" w:type="dxa"/>
            </w:tcMar>
            <w:vAlign w:val="center"/>
          </w:tcPr>
          <w:p w14:paraId="5B6EB5D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拟担任的职务</w:t>
            </w:r>
          </w:p>
        </w:tc>
        <w:tc>
          <w:tcPr>
            <w:tcW w:w="954" w:type="dxa"/>
            <w:tcMar>
              <w:top w:w="15" w:type="dxa"/>
              <w:left w:w="15" w:type="dxa"/>
              <w:bottom w:w="0" w:type="dxa"/>
              <w:right w:w="15" w:type="dxa"/>
            </w:tcMar>
            <w:vAlign w:val="center"/>
          </w:tcPr>
          <w:p w14:paraId="6C612D77">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岗位</w:t>
            </w:r>
          </w:p>
          <w:p w14:paraId="3AA158A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情况</w:t>
            </w:r>
          </w:p>
        </w:tc>
      </w:tr>
      <w:tr w14:paraId="6E4F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4A3ACBB">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5172CB2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639D10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1747EC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7D0D70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7E634D9">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BB7A90E">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D01885D">
            <w:pPr>
              <w:adjustRightInd w:val="0"/>
              <w:snapToGrid w:val="0"/>
              <w:spacing w:line="400" w:lineRule="exact"/>
              <w:ind w:firstLine="480" w:firstLineChars="200"/>
              <w:rPr>
                <w:rFonts w:ascii="宋体" w:hAnsi="宋体" w:cs="宋体"/>
                <w:color w:val="auto"/>
                <w:kern w:val="0"/>
                <w:sz w:val="24"/>
              </w:rPr>
            </w:pPr>
          </w:p>
        </w:tc>
      </w:tr>
      <w:tr w14:paraId="1322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2A93CE3">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89B97C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FCE3EE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288FB9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56FC9C4">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8968030">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2FBE654">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60DCE54A">
            <w:pPr>
              <w:adjustRightInd w:val="0"/>
              <w:snapToGrid w:val="0"/>
              <w:spacing w:line="400" w:lineRule="exact"/>
              <w:ind w:firstLine="480" w:firstLineChars="200"/>
              <w:rPr>
                <w:rFonts w:ascii="宋体" w:hAnsi="宋体" w:cs="宋体"/>
                <w:color w:val="auto"/>
                <w:kern w:val="0"/>
                <w:sz w:val="24"/>
              </w:rPr>
            </w:pPr>
          </w:p>
        </w:tc>
      </w:tr>
      <w:tr w14:paraId="4940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85F67EC">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066EB64E">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1D07BB1">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3AD89D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74BE1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53CE9909">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B97CB45">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CBC63A3">
            <w:pPr>
              <w:adjustRightInd w:val="0"/>
              <w:snapToGrid w:val="0"/>
              <w:spacing w:line="400" w:lineRule="exact"/>
              <w:ind w:firstLine="480" w:firstLineChars="200"/>
              <w:rPr>
                <w:rFonts w:ascii="宋体" w:hAnsi="宋体" w:cs="宋体"/>
                <w:color w:val="auto"/>
                <w:kern w:val="0"/>
                <w:sz w:val="24"/>
              </w:rPr>
            </w:pPr>
          </w:p>
        </w:tc>
      </w:tr>
      <w:tr w14:paraId="06D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0B6F612">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1FA748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4BA6D0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FC6937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F150792">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0EFC3B4">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ABD7860">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455AB6F8">
            <w:pPr>
              <w:adjustRightInd w:val="0"/>
              <w:snapToGrid w:val="0"/>
              <w:spacing w:line="400" w:lineRule="exact"/>
              <w:ind w:firstLine="480" w:firstLineChars="200"/>
              <w:rPr>
                <w:rFonts w:ascii="宋体" w:hAnsi="宋体" w:cs="宋体"/>
                <w:color w:val="auto"/>
                <w:kern w:val="0"/>
                <w:sz w:val="24"/>
              </w:rPr>
            </w:pPr>
          </w:p>
        </w:tc>
      </w:tr>
      <w:tr w14:paraId="40F6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7FD10FE">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786C1B22">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98A3E8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F3B53B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7E7CAA6">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11C58E2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307D90B3">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DE0E76F">
            <w:pPr>
              <w:adjustRightInd w:val="0"/>
              <w:snapToGrid w:val="0"/>
              <w:spacing w:line="400" w:lineRule="exact"/>
              <w:ind w:firstLine="480" w:firstLineChars="200"/>
              <w:rPr>
                <w:rFonts w:ascii="宋体" w:hAnsi="宋体" w:cs="宋体"/>
                <w:color w:val="auto"/>
                <w:kern w:val="0"/>
                <w:sz w:val="24"/>
              </w:rPr>
            </w:pPr>
          </w:p>
        </w:tc>
      </w:tr>
      <w:tr w14:paraId="5935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1E2445F">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2F078E2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762460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8108D4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9F3EC03">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438EDB9A">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4879E7D8">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37D46193">
            <w:pPr>
              <w:adjustRightInd w:val="0"/>
              <w:snapToGrid w:val="0"/>
              <w:spacing w:line="400" w:lineRule="exact"/>
              <w:ind w:firstLine="480" w:firstLineChars="200"/>
              <w:rPr>
                <w:rFonts w:ascii="宋体" w:hAnsi="宋体" w:cs="宋体"/>
                <w:color w:val="auto"/>
                <w:kern w:val="0"/>
                <w:sz w:val="24"/>
              </w:rPr>
            </w:pPr>
          </w:p>
        </w:tc>
      </w:tr>
      <w:tr w14:paraId="2299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D1A2010">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174DF9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91BF1F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6953C3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EB42435">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76C297C">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C4F3872">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A0EA98C">
            <w:pPr>
              <w:adjustRightInd w:val="0"/>
              <w:snapToGrid w:val="0"/>
              <w:spacing w:line="400" w:lineRule="exact"/>
              <w:ind w:firstLine="480" w:firstLineChars="200"/>
              <w:rPr>
                <w:rFonts w:ascii="宋体" w:hAnsi="宋体" w:cs="宋体"/>
                <w:color w:val="auto"/>
                <w:kern w:val="0"/>
                <w:sz w:val="24"/>
              </w:rPr>
            </w:pPr>
          </w:p>
        </w:tc>
      </w:tr>
      <w:tr w14:paraId="7F8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B7924E">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0F89580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E056586">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1F8CAA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37A31CE">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601DE9D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47FF30E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F8C8A58">
            <w:pPr>
              <w:adjustRightInd w:val="0"/>
              <w:snapToGrid w:val="0"/>
              <w:spacing w:line="400" w:lineRule="exact"/>
              <w:ind w:firstLine="480" w:firstLineChars="200"/>
              <w:rPr>
                <w:rFonts w:ascii="宋体" w:hAnsi="宋体" w:cs="宋体"/>
                <w:color w:val="auto"/>
                <w:kern w:val="0"/>
                <w:sz w:val="24"/>
              </w:rPr>
            </w:pPr>
          </w:p>
        </w:tc>
      </w:tr>
      <w:tr w14:paraId="0C2C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2AF76C3A">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6773D11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594B8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BDBEBA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7B6646B">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4BE2D3B2">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8AD9A9E">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1EB56027">
            <w:pPr>
              <w:adjustRightInd w:val="0"/>
              <w:snapToGrid w:val="0"/>
              <w:spacing w:line="400" w:lineRule="exact"/>
              <w:ind w:firstLine="480" w:firstLineChars="200"/>
              <w:rPr>
                <w:rFonts w:ascii="宋体" w:hAnsi="宋体" w:cs="宋体"/>
                <w:color w:val="auto"/>
                <w:kern w:val="0"/>
                <w:sz w:val="24"/>
              </w:rPr>
            </w:pPr>
          </w:p>
        </w:tc>
      </w:tr>
      <w:tr w14:paraId="5B81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CA71A7">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5683A1DE">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3A560A2">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28CCF6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AB3FCE0">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42070E3">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662DFD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0B0AD0E">
            <w:pPr>
              <w:adjustRightInd w:val="0"/>
              <w:snapToGrid w:val="0"/>
              <w:spacing w:line="400" w:lineRule="exact"/>
              <w:ind w:firstLine="480" w:firstLineChars="200"/>
              <w:rPr>
                <w:rFonts w:ascii="宋体" w:hAnsi="宋体" w:cs="宋体"/>
                <w:color w:val="auto"/>
                <w:kern w:val="0"/>
                <w:sz w:val="24"/>
              </w:rPr>
            </w:pPr>
          </w:p>
        </w:tc>
      </w:tr>
      <w:tr w14:paraId="728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25A57A2">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4CA9F1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DFF06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66FAF76">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A79738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E7A28D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685EDE7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52559F0">
            <w:pPr>
              <w:adjustRightInd w:val="0"/>
              <w:snapToGrid w:val="0"/>
              <w:spacing w:line="400" w:lineRule="exact"/>
              <w:ind w:firstLine="480" w:firstLineChars="200"/>
              <w:rPr>
                <w:rFonts w:ascii="宋体" w:hAnsi="宋体" w:cs="宋体"/>
                <w:color w:val="auto"/>
                <w:kern w:val="0"/>
                <w:sz w:val="24"/>
              </w:rPr>
            </w:pPr>
          </w:p>
        </w:tc>
      </w:tr>
      <w:tr w14:paraId="7C90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28826CD">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F976999">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ED5AB81">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C1FEBA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6558C89">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5FF98667">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D713229">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0C4C1EF">
            <w:pPr>
              <w:adjustRightInd w:val="0"/>
              <w:snapToGrid w:val="0"/>
              <w:spacing w:line="400" w:lineRule="exact"/>
              <w:ind w:firstLine="480" w:firstLineChars="200"/>
              <w:rPr>
                <w:rFonts w:ascii="宋体" w:hAnsi="宋体" w:cs="宋体"/>
                <w:color w:val="auto"/>
                <w:kern w:val="0"/>
                <w:sz w:val="24"/>
              </w:rPr>
            </w:pPr>
          </w:p>
        </w:tc>
      </w:tr>
      <w:tr w14:paraId="3E84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8F9C4BB">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84A63A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2BF4BB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0C65E7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FED0004">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B1552CD">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11D2B7D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0D1399BA">
            <w:pPr>
              <w:adjustRightInd w:val="0"/>
              <w:snapToGrid w:val="0"/>
              <w:spacing w:line="400" w:lineRule="exact"/>
              <w:ind w:firstLine="480" w:firstLineChars="200"/>
              <w:rPr>
                <w:rFonts w:ascii="宋体" w:hAnsi="宋体" w:cs="宋体"/>
                <w:color w:val="auto"/>
                <w:kern w:val="0"/>
                <w:sz w:val="24"/>
              </w:rPr>
            </w:pPr>
          </w:p>
        </w:tc>
      </w:tr>
      <w:tr w14:paraId="238E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C7DF0B6">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74AF3B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CEC69B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B23312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944ACD8">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1AB6B8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5A0033B8">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C96E656">
            <w:pPr>
              <w:adjustRightInd w:val="0"/>
              <w:snapToGrid w:val="0"/>
              <w:spacing w:line="400" w:lineRule="exact"/>
              <w:ind w:firstLine="480" w:firstLineChars="200"/>
              <w:rPr>
                <w:rFonts w:ascii="宋体" w:hAnsi="宋体" w:cs="宋体"/>
                <w:color w:val="auto"/>
                <w:kern w:val="0"/>
                <w:sz w:val="24"/>
              </w:rPr>
            </w:pPr>
          </w:p>
        </w:tc>
      </w:tr>
      <w:tr w14:paraId="3F5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C1CBFE5">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4917122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9EE93F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B65893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1836B06">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EA44536">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67F1700">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617DB540">
            <w:pPr>
              <w:adjustRightInd w:val="0"/>
              <w:snapToGrid w:val="0"/>
              <w:spacing w:line="400" w:lineRule="exact"/>
              <w:ind w:firstLine="480" w:firstLineChars="200"/>
              <w:rPr>
                <w:rFonts w:ascii="宋体" w:hAnsi="宋体" w:cs="宋体"/>
                <w:color w:val="auto"/>
                <w:kern w:val="0"/>
                <w:sz w:val="24"/>
              </w:rPr>
            </w:pPr>
          </w:p>
        </w:tc>
      </w:tr>
      <w:tr w14:paraId="38F9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9651797">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22A8607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82282B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8049DB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6EA8B92">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1EC4E0FC">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E0883BC">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B90D59E">
            <w:pPr>
              <w:adjustRightInd w:val="0"/>
              <w:snapToGrid w:val="0"/>
              <w:spacing w:line="400" w:lineRule="exact"/>
              <w:ind w:firstLine="480" w:firstLineChars="200"/>
              <w:rPr>
                <w:rFonts w:ascii="宋体" w:hAnsi="宋体" w:cs="宋体"/>
                <w:color w:val="auto"/>
                <w:kern w:val="0"/>
                <w:sz w:val="24"/>
              </w:rPr>
            </w:pPr>
          </w:p>
        </w:tc>
      </w:tr>
      <w:tr w14:paraId="68B5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5D0ACC0D">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4F9F79A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27C30F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98F53D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14BB121">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F63EC17">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3EA20701">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75411DA">
            <w:pPr>
              <w:adjustRightInd w:val="0"/>
              <w:snapToGrid w:val="0"/>
              <w:spacing w:line="400" w:lineRule="exact"/>
              <w:ind w:firstLine="480" w:firstLineChars="200"/>
              <w:rPr>
                <w:rFonts w:ascii="宋体" w:hAnsi="宋体" w:cs="宋体"/>
                <w:color w:val="auto"/>
                <w:kern w:val="0"/>
                <w:sz w:val="24"/>
              </w:rPr>
            </w:pPr>
          </w:p>
        </w:tc>
      </w:tr>
    </w:tbl>
    <w:p w14:paraId="454BE937">
      <w:pPr>
        <w:rPr>
          <w:rFonts w:ascii="Times New Roman" w:hAnsi="Times New Roman" w:cs="Times New Roman"/>
          <w:color w:val="auto"/>
          <w:szCs w:val="22"/>
        </w:rPr>
      </w:pPr>
    </w:p>
    <w:p w14:paraId="61033E98">
      <w:pPr>
        <w:adjustRightInd w:val="0"/>
        <w:snapToGrid w:val="0"/>
        <w:spacing w:line="480" w:lineRule="auto"/>
        <w:jc w:val="left"/>
        <w:rPr>
          <w:rFonts w:hint="eastAsia" w:cs="宋体" w:asciiTheme="minorEastAsia" w:hAnsiTheme="minorEastAsia" w:eastAsiaTheme="minorEastAsia"/>
          <w:color w:val="auto"/>
          <w:sz w:val="24"/>
          <w:szCs w:val="24"/>
        </w:rPr>
      </w:pPr>
      <w:bookmarkStart w:id="187" w:name="_Hlt491766019"/>
      <w:bookmarkEnd w:id="187"/>
      <w:bookmarkStart w:id="188" w:name="_Hlt491573425"/>
      <w:bookmarkEnd w:id="188"/>
      <w:bookmarkStart w:id="189" w:name="_Hlt491765868"/>
      <w:bookmarkEnd w:id="189"/>
      <w:bookmarkStart w:id="190" w:name="_Hlt491572882"/>
      <w:bookmarkEnd w:id="190"/>
      <w:bookmarkStart w:id="191" w:name="_Hlt491765944"/>
      <w:bookmarkEnd w:id="191"/>
    </w:p>
    <w:p w14:paraId="663AF719">
      <w:pPr>
        <w:adjustRightInd w:val="0"/>
        <w:snapToGrid w:val="0"/>
        <w:spacing w:line="480" w:lineRule="auto"/>
        <w:jc w:val="left"/>
        <w:rPr>
          <w:rFonts w:cs="Times New Roman"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供应商（单位名称及公章）：</w:t>
      </w:r>
      <w:r>
        <w:rPr>
          <w:rFonts w:cs="宋体" w:asciiTheme="minorEastAsia" w:hAnsiTheme="minorEastAsia" w:eastAsiaTheme="minorEastAsia"/>
          <w:color w:val="auto"/>
          <w:sz w:val="24"/>
          <w:szCs w:val="24"/>
        </w:rPr>
        <w:t>____________________</w:t>
      </w:r>
    </w:p>
    <w:p w14:paraId="21E7A305">
      <w:pPr>
        <w:adjustRightInd w:val="0"/>
        <w:snapToGrid w:val="0"/>
        <w:spacing w:line="480" w:lineRule="auto"/>
        <w:rPr>
          <w:rFonts w:cs="Times New Roman"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____________________</w:t>
      </w:r>
    </w:p>
    <w:p w14:paraId="6255A2E5">
      <w:pPr>
        <w:adjustRightInd w:val="0"/>
        <w:snapToGrid w:val="0"/>
        <w:spacing w:line="480" w:lineRule="auto"/>
        <w:rPr>
          <w:rFonts w:ascii="宋体" w:cs="Times New Roman"/>
          <w:color w:val="auto"/>
        </w:rPr>
      </w:pPr>
      <w:r>
        <w:rPr>
          <w:rFonts w:hint="eastAsia" w:cs="宋体" w:asciiTheme="minorEastAsia" w:hAnsiTheme="minorEastAsia" w:eastAsiaTheme="minorEastAsia"/>
          <w:color w:val="auto"/>
          <w:sz w:val="24"/>
          <w:szCs w:val="24"/>
        </w:rPr>
        <w:t>日</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期：</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年</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月</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日</w:t>
      </w:r>
    </w:p>
    <w:p w14:paraId="31735FB5">
      <w:pPr>
        <w:rPr>
          <w:rFonts w:ascii="Times New Roman" w:hAnsi="Times New Roman" w:cs="Times New Roman"/>
          <w:color w:val="auto"/>
          <w:sz w:val="24"/>
          <w:szCs w:val="24"/>
        </w:rPr>
      </w:pPr>
    </w:p>
    <w:p w14:paraId="7108D3BB">
      <w:pPr>
        <w:spacing w:line="360" w:lineRule="auto"/>
        <w:ind w:firstLine="420" w:firstLineChars="175"/>
        <w:rPr>
          <w:rFonts w:ascii="宋体" w:hAnsi="宋体" w:cs="Times New Roman"/>
          <w:color w:val="auto"/>
          <w:sz w:val="24"/>
          <w:szCs w:val="24"/>
        </w:rPr>
      </w:pPr>
      <w:r>
        <w:rPr>
          <w:rFonts w:ascii="宋体" w:hAnsi="宋体" w:cs="Times New Roman"/>
          <w:color w:val="auto"/>
          <w:sz w:val="24"/>
          <w:szCs w:val="24"/>
        </w:rPr>
        <w:t xml:space="preserve">    </w:t>
      </w:r>
    </w:p>
    <w:p w14:paraId="0DB75104">
      <w:pPr>
        <w:spacing w:line="360" w:lineRule="auto"/>
        <w:rPr>
          <w:rFonts w:ascii="宋体" w:hAnsi="宋体" w:cs="宋体"/>
          <w:b/>
          <w:bCs/>
          <w:color w:val="auto"/>
          <w:sz w:val="28"/>
          <w:szCs w:val="28"/>
        </w:rPr>
      </w:pPr>
      <w:r>
        <w:rPr>
          <w:rFonts w:hint="eastAsia" w:ascii="宋体" w:hAnsi="宋体" w:cs="Times New Roman"/>
          <w:color w:val="auto"/>
          <w:sz w:val="24"/>
          <w:szCs w:val="24"/>
        </w:rPr>
        <w:t xml:space="preserve">   </w:t>
      </w:r>
    </w:p>
    <w:p w14:paraId="029A92DA">
      <w:pPr>
        <w:widowControl/>
        <w:jc w:val="center"/>
        <w:rPr>
          <w:rFonts w:ascii="宋体" w:hAnsi="宋体" w:cs="宋体"/>
          <w:b/>
          <w:bCs/>
          <w:color w:val="auto"/>
          <w:sz w:val="28"/>
          <w:szCs w:val="28"/>
        </w:rPr>
      </w:pPr>
      <w:r>
        <w:rPr>
          <w:rFonts w:hint="eastAsia" w:ascii="宋体" w:hAnsi="宋体" w:cs="宋体"/>
          <w:b/>
          <w:bCs/>
          <w:color w:val="auto"/>
          <w:sz w:val="28"/>
          <w:szCs w:val="28"/>
        </w:rPr>
        <w:t>业绩</w:t>
      </w:r>
      <w:bookmarkEnd w:id="186"/>
    </w:p>
    <w:tbl>
      <w:tblPr>
        <w:tblStyle w:val="35"/>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7941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5ACBB14">
            <w:pPr>
              <w:jc w:val="center"/>
              <w:rPr>
                <w:rFonts w:ascii="宋体" w:hAnsi="宋体" w:cs="Times New Roman"/>
                <w:color w:val="auto"/>
                <w:sz w:val="24"/>
                <w:szCs w:val="24"/>
              </w:rPr>
            </w:pPr>
            <w:r>
              <w:rPr>
                <w:rFonts w:hint="eastAsia" w:ascii="宋体" w:hAnsi="宋体" w:cs="Times New Roman"/>
                <w:color w:val="auto"/>
                <w:sz w:val="24"/>
                <w:szCs w:val="24"/>
              </w:rPr>
              <w:t>序号</w:t>
            </w:r>
          </w:p>
        </w:tc>
        <w:tc>
          <w:tcPr>
            <w:tcW w:w="1414" w:type="dxa"/>
            <w:vAlign w:val="center"/>
          </w:tcPr>
          <w:p w14:paraId="2A03F49D">
            <w:pPr>
              <w:jc w:val="center"/>
              <w:rPr>
                <w:rFonts w:ascii="宋体" w:hAnsi="宋体" w:cs="Times New Roman"/>
                <w:color w:val="auto"/>
                <w:sz w:val="24"/>
                <w:szCs w:val="24"/>
              </w:rPr>
            </w:pPr>
            <w:r>
              <w:rPr>
                <w:rFonts w:hint="eastAsia" w:ascii="宋体" w:hAnsi="宋体" w:cs="Times New Roman"/>
                <w:color w:val="auto"/>
                <w:sz w:val="24"/>
                <w:szCs w:val="24"/>
              </w:rPr>
              <w:t>项目名称</w:t>
            </w:r>
          </w:p>
        </w:tc>
        <w:tc>
          <w:tcPr>
            <w:tcW w:w="2364" w:type="dxa"/>
            <w:vAlign w:val="center"/>
          </w:tcPr>
          <w:p w14:paraId="4F9754AB">
            <w:pPr>
              <w:jc w:val="center"/>
              <w:rPr>
                <w:rFonts w:ascii="宋体" w:hAnsi="宋体" w:cs="Times New Roman"/>
                <w:color w:val="auto"/>
                <w:sz w:val="24"/>
                <w:szCs w:val="24"/>
              </w:rPr>
            </w:pPr>
            <w:r>
              <w:rPr>
                <w:rFonts w:hint="eastAsia" w:ascii="宋体" w:hAnsi="宋体" w:cs="Times New Roman"/>
                <w:color w:val="auto"/>
                <w:sz w:val="24"/>
                <w:szCs w:val="24"/>
              </w:rPr>
              <w:t>项目内容</w:t>
            </w:r>
          </w:p>
        </w:tc>
        <w:tc>
          <w:tcPr>
            <w:tcW w:w="2409" w:type="dxa"/>
            <w:vAlign w:val="center"/>
          </w:tcPr>
          <w:p w14:paraId="7F46FEFC">
            <w:pPr>
              <w:jc w:val="center"/>
              <w:rPr>
                <w:rFonts w:ascii="宋体" w:hAnsi="宋体" w:cs="Times New Roman"/>
                <w:color w:val="auto"/>
                <w:sz w:val="24"/>
                <w:szCs w:val="24"/>
              </w:rPr>
            </w:pPr>
            <w:r>
              <w:rPr>
                <w:rFonts w:hint="eastAsia" w:ascii="宋体" w:hAnsi="宋体" w:cs="Times New Roman"/>
                <w:color w:val="auto"/>
                <w:sz w:val="24"/>
                <w:szCs w:val="24"/>
              </w:rPr>
              <w:t>合同金额</w:t>
            </w:r>
          </w:p>
        </w:tc>
        <w:tc>
          <w:tcPr>
            <w:tcW w:w="2409" w:type="dxa"/>
            <w:vAlign w:val="center"/>
          </w:tcPr>
          <w:p w14:paraId="78344B5B">
            <w:pPr>
              <w:jc w:val="center"/>
              <w:rPr>
                <w:rFonts w:ascii="宋体" w:hAnsi="宋体" w:cs="Times New Roman"/>
                <w:color w:val="auto"/>
                <w:sz w:val="24"/>
                <w:szCs w:val="24"/>
              </w:rPr>
            </w:pPr>
            <w:r>
              <w:rPr>
                <w:rFonts w:hint="eastAsia" w:ascii="宋体" w:hAnsi="宋体" w:cs="Times New Roman"/>
                <w:color w:val="auto"/>
                <w:sz w:val="24"/>
                <w:szCs w:val="24"/>
              </w:rPr>
              <w:t>采购人名称</w:t>
            </w:r>
          </w:p>
        </w:tc>
      </w:tr>
      <w:tr w14:paraId="1C4E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3DF556">
            <w:pPr>
              <w:ind w:left="120"/>
              <w:jc w:val="center"/>
              <w:rPr>
                <w:rFonts w:ascii="宋体" w:hAnsi="宋体" w:cs="Times New Roman"/>
                <w:color w:val="auto"/>
                <w:sz w:val="24"/>
                <w:szCs w:val="24"/>
              </w:rPr>
            </w:pPr>
            <w:r>
              <w:rPr>
                <w:rFonts w:hint="eastAsia" w:ascii="宋体" w:hAnsi="宋体" w:cs="Times New Roman"/>
                <w:color w:val="auto"/>
                <w:sz w:val="24"/>
                <w:szCs w:val="24"/>
              </w:rPr>
              <w:t>1</w:t>
            </w:r>
          </w:p>
        </w:tc>
        <w:tc>
          <w:tcPr>
            <w:tcW w:w="1414" w:type="dxa"/>
            <w:vAlign w:val="center"/>
          </w:tcPr>
          <w:p w14:paraId="2D092290">
            <w:pPr>
              <w:jc w:val="center"/>
              <w:rPr>
                <w:rFonts w:ascii="宋体" w:hAnsi="宋体" w:cs="Times New Roman"/>
                <w:color w:val="auto"/>
                <w:sz w:val="24"/>
                <w:szCs w:val="24"/>
              </w:rPr>
            </w:pPr>
          </w:p>
        </w:tc>
        <w:tc>
          <w:tcPr>
            <w:tcW w:w="2364" w:type="dxa"/>
            <w:vAlign w:val="center"/>
          </w:tcPr>
          <w:p w14:paraId="11817E0E">
            <w:pPr>
              <w:jc w:val="center"/>
              <w:rPr>
                <w:rFonts w:ascii="宋体" w:hAnsi="宋体" w:cs="Times New Roman"/>
                <w:color w:val="auto"/>
                <w:sz w:val="24"/>
                <w:szCs w:val="24"/>
              </w:rPr>
            </w:pPr>
          </w:p>
        </w:tc>
        <w:tc>
          <w:tcPr>
            <w:tcW w:w="2409" w:type="dxa"/>
          </w:tcPr>
          <w:p w14:paraId="3765AE70">
            <w:pPr>
              <w:jc w:val="center"/>
              <w:rPr>
                <w:rFonts w:ascii="宋体" w:hAnsi="宋体" w:cs="Times New Roman"/>
                <w:color w:val="auto"/>
                <w:sz w:val="24"/>
                <w:szCs w:val="24"/>
              </w:rPr>
            </w:pPr>
          </w:p>
        </w:tc>
        <w:tc>
          <w:tcPr>
            <w:tcW w:w="2409" w:type="dxa"/>
          </w:tcPr>
          <w:p w14:paraId="7784F4B8">
            <w:pPr>
              <w:jc w:val="center"/>
              <w:rPr>
                <w:rFonts w:ascii="宋体" w:hAnsi="宋体" w:cs="Times New Roman"/>
                <w:color w:val="auto"/>
                <w:sz w:val="24"/>
                <w:szCs w:val="24"/>
              </w:rPr>
            </w:pPr>
          </w:p>
        </w:tc>
      </w:tr>
      <w:tr w14:paraId="1CE0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D5286C1">
            <w:pPr>
              <w:ind w:left="120"/>
              <w:jc w:val="center"/>
              <w:rPr>
                <w:rFonts w:ascii="宋体" w:hAnsi="宋体" w:cs="Times New Roman"/>
                <w:color w:val="auto"/>
                <w:sz w:val="24"/>
                <w:szCs w:val="24"/>
              </w:rPr>
            </w:pPr>
            <w:r>
              <w:rPr>
                <w:rFonts w:hint="eastAsia" w:ascii="宋体" w:hAnsi="宋体" w:cs="Times New Roman"/>
                <w:color w:val="auto"/>
                <w:sz w:val="24"/>
                <w:szCs w:val="24"/>
              </w:rPr>
              <w:t>2</w:t>
            </w:r>
          </w:p>
        </w:tc>
        <w:tc>
          <w:tcPr>
            <w:tcW w:w="1414" w:type="dxa"/>
            <w:vAlign w:val="center"/>
          </w:tcPr>
          <w:p w14:paraId="11C5E256">
            <w:pPr>
              <w:jc w:val="center"/>
              <w:rPr>
                <w:rFonts w:ascii="宋体" w:hAnsi="宋体" w:cs="Times New Roman"/>
                <w:color w:val="auto"/>
                <w:sz w:val="24"/>
                <w:szCs w:val="24"/>
              </w:rPr>
            </w:pPr>
          </w:p>
        </w:tc>
        <w:tc>
          <w:tcPr>
            <w:tcW w:w="2364" w:type="dxa"/>
            <w:vAlign w:val="center"/>
          </w:tcPr>
          <w:p w14:paraId="27D22DC6">
            <w:pPr>
              <w:jc w:val="center"/>
              <w:rPr>
                <w:rFonts w:ascii="宋体" w:hAnsi="宋体" w:cs="Times New Roman"/>
                <w:color w:val="auto"/>
                <w:sz w:val="24"/>
                <w:szCs w:val="24"/>
              </w:rPr>
            </w:pPr>
          </w:p>
        </w:tc>
        <w:tc>
          <w:tcPr>
            <w:tcW w:w="2409" w:type="dxa"/>
          </w:tcPr>
          <w:p w14:paraId="2FB64352">
            <w:pPr>
              <w:jc w:val="center"/>
              <w:rPr>
                <w:rFonts w:ascii="宋体" w:hAnsi="宋体" w:cs="Times New Roman"/>
                <w:color w:val="auto"/>
                <w:sz w:val="24"/>
                <w:szCs w:val="24"/>
              </w:rPr>
            </w:pPr>
          </w:p>
        </w:tc>
        <w:tc>
          <w:tcPr>
            <w:tcW w:w="2409" w:type="dxa"/>
          </w:tcPr>
          <w:p w14:paraId="501630F1">
            <w:pPr>
              <w:jc w:val="center"/>
              <w:rPr>
                <w:rFonts w:ascii="宋体" w:hAnsi="宋体" w:cs="Times New Roman"/>
                <w:color w:val="auto"/>
                <w:sz w:val="24"/>
                <w:szCs w:val="24"/>
              </w:rPr>
            </w:pPr>
          </w:p>
        </w:tc>
      </w:tr>
      <w:tr w14:paraId="2D7B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DA92CC">
            <w:pPr>
              <w:ind w:left="120"/>
              <w:jc w:val="center"/>
              <w:rPr>
                <w:rFonts w:ascii="宋体" w:hAnsi="宋体" w:cs="Times New Roman"/>
                <w:color w:val="auto"/>
                <w:sz w:val="24"/>
                <w:szCs w:val="24"/>
              </w:rPr>
            </w:pPr>
            <w:r>
              <w:rPr>
                <w:rFonts w:hint="eastAsia" w:ascii="宋体" w:hAnsi="宋体" w:cs="Times New Roman"/>
                <w:color w:val="auto"/>
                <w:sz w:val="24"/>
                <w:szCs w:val="24"/>
              </w:rPr>
              <w:t>3</w:t>
            </w:r>
          </w:p>
        </w:tc>
        <w:tc>
          <w:tcPr>
            <w:tcW w:w="1414" w:type="dxa"/>
            <w:vAlign w:val="center"/>
          </w:tcPr>
          <w:p w14:paraId="484A6E00">
            <w:pPr>
              <w:jc w:val="center"/>
              <w:rPr>
                <w:rFonts w:ascii="宋体" w:hAnsi="宋体" w:cs="Times New Roman"/>
                <w:color w:val="auto"/>
                <w:sz w:val="24"/>
                <w:szCs w:val="24"/>
              </w:rPr>
            </w:pPr>
          </w:p>
        </w:tc>
        <w:tc>
          <w:tcPr>
            <w:tcW w:w="2364" w:type="dxa"/>
            <w:vAlign w:val="center"/>
          </w:tcPr>
          <w:p w14:paraId="7A011910">
            <w:pPr>
              <w:jc w:val="center"/>
              <w:rPr>
                <w:rFonts w:ascii="宋体" w:hAnsi="宋体" w:cs="Times New Roman"/>
                <w:color w:val="auto"/>
                <w:sz w:val="24"/>
                <w:szCs w:val="24"/>
              </w:rPr>
            </w:pPr>
          </w:p>
        </w:tc>
        <w:tc>
          <w:tcPr>
            <w:tcW w:w="2409" w:type="dxa"/>
          </w:tcPr>
          <w:p w14:paraId="4106C756">
            <w:pPr>
              <w:jc w:val="center"/>
              <w:rPr>
                <w:rFonts w:ascii="宋体" w:hAnsi="宋体" w:cs="Times New Roman"/>
                <w:color w:val="auto"/>
                <w:sz w:val="24"/>
                <w:szCs w:val="24"/>
              </w:rPr>
            </w:pPr>
          </w:p>
        </w:tc>
        <w:tc>
          <w:tcPr>
            <w:tcW w:w="2409" w:type="dxa"/>
          </w:tcPr>
          <w:p w14:paraId="2B6953A3">
            <w:pPr>
              <w:jc w:val="center"/>
              <w:rPr>
                <w:rFonts w:ascii="宋体" w:hAnsi="宋体" w:cs="Times New Roman"/>
                <w:color w:val="auto"/>
                <w:sz w:val="24"/>
                <w:szCs w:val="24"/>
              </w:rPr>
            </w:pPr>
          </w:p>
        </w:tc>
      </w:tr>
      <w:tr w14:paraId="35F13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18C0A99">
            <w:pPr>
              <w:ind w:left="120"/>
              <w:jc w:val="center"/>
              <w:rPr>
                <w:rFonts w:ascii="宋体" w:hAnsi="宋体" w:cs="Times New Roman"/>
                <w:color w:val="auto"/>
                <w:sz w:val="24"/>
                <w:szCs w:val="24"/>
              </w:rPr>
            </w:pPr>
            <w:r>
              <w:rPr>
                <w:rFonts w:hint="eastAsia" w:ascii="宋体" w:hAnsi="宋体" w:cs="Times New Roman"/>
                <w:color w:val="auto"/>
                <w:sz w:val="24"/>
                <w:szCs w:val="24"/>
              </w:rPr>
              <w:t>4</w:t>
            </w:r>
          </w:p>
        </w:tc>
        <w:tc>
          <w:tcPr>
            <w:tcW w:w="1414" w:type="dxa"/>
            <w:vAlign w:val="center"/>
          </w:tcPr>
          <w:p w14:paraId="5CFB1508">
            <w:pPr>
              <w:jc w:val="center"/>
              <w:rPr>
                <w:rFonts w:ascii="宋体" w:hAnsi="宋体" w:cs="Times New Roman"/>
                <w:color w:val="auto"/>
                <w:sz w:val="24"/>
                <w:szCs w:val="24"/>
              </w:rPr>
            </w:pPr>
          </w:p>
        </w:tc>
        <w:tc>
          <w:tcPr>
            <w:tcW w:w="2364" w:type="dxa"/>
            <w:vAlign w:val="center"/>
          </w:tcPr>
          <w:p w14:paraId="6F77E213">
            <w:pPr>
              <w:jc w:val="center"/>
              <w:rPr>
                <w:rFonts w:ascii="宋体" w:hAnsi="宋体" w:cs="Times New Roman"/>
                <w:color w:val="auto"/>
                <w:sz w:val="24"/>
                <w:szCs w:val="24"/>
              </w:rPr>
            </w:pPr>
          </w:p>
        </w:tc>
        <w:tc>
          <w:tcPr>
            <w:tcW w:w="2409" w:type="dxa"/>
          </w:tcPr>
          <w:p w14:paraId="4166F5C4">
            <w:pPr>
              <w:jc w:val="center"/>
              <w:rPr>
                <w:rFonts w:ascii="宋体" w:hAnsi="宋体" w:cs="Times New Roman"/>
                <w:color w:val="auto"/>
                <w:sz w:val="24"/>
                <w:szCs w:val="24"/>
              </w:rPr>
            </w:pPr>
          </w:p>
        </w:tc>
        <w:tc>
          <w:tcPr>
            <w:tcW w:w="2409" w:type="dxa"/>
          </w:tcPr>
          <w:p w14:paraId="29460FA1">
            <w:pPr>
              <w:jc w:val="center"/>
              <w:rPr>
                <w:rFonts w:ascii="宋体" w:hAnsi="宋体" w:cs="Times New Roman"/>
                <w:color w:val="auto"/>
                <w:sz w:val="24"/>
                <w:szCs w:val="24"/>
              </w:rPr>
            </w:pPr>
          </w:p>
        </w:tc>
      </w:tr>
      <w:tr w14:paraId="10E3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B700E7F">
            <w:pPr>
              <w:ind w:left="120"/>
              <w:jc w:val="center"/>
              <w:rPr>
                <w:rFonts w:ascii="宋体" w:hAnsi="宋体" w:cs="Times New Roman"/>
                <w:color w:val="auto"/>
                <w:sz w:val="24"/>
                <w:szCs w:val="24"/>
              </w:rPr>
            </w:pPr>
            <w:r>
              <w:rPr>
                <w:rFonts w:hint="eastAsia" w:ascii="宋体" w:hAnsi="宋体" w:cs="Times New Roman"/>
                <w:color w:val="auto"/>
                <w:sz w:val="24"/>
                <w:szCs w:val="24"/>
              </w:rPr>
              <w:t>5</w:t>
            </w:r>
          </w:p>
        </w:tc>
        <w:tc>
          <w:tcPr>
            <w:tcW w:w="1414" w:type="dxa"/>
            <w:vAlign w:val="center"/>
          </w:tcPr>
          <w:p w14:paraId="687887E3">
            <w:pPr>
              <w:jc w:val="center"/>
              <w:rPr>
                <w:rFonts w:ascii="宋体" w:hAnsi="宋体" w:cs="Times New Roman"/>
                <w:color w:val="auto"/>
                <w:sz w:val="24"/>
                <w:szCs w:val="24"/>
              </w:rPr>
            </w:pPr>
          </w:p>
        </w:tc>
        <w:tc>
          <w:tcPr>
            <w:tcW w:w="2364" w:type="dxa"/>
            <w:vAlign w:val="center"/>
          </w:tcPr>
          <w:p w14:paraId="277164AE">
            <w:pPr>
              <w:jc w:val="center"/>
              <w:rPr>
                <w:rFonts w:ascii="宋体" w:hAnsi="宋体" w:cs="Times New Roman"/>
                <w:color w:val="auto"/>
                <w:sz w:val="24"/>
                <w:szCs w:val="24"/>
              </w:rPr>
            </w:pPr>
          </w:p>
        </w:tc>
        <w:tc>
          <w:tcPr>
            <w:tcW w:w="2409" w:type="dxa"/>
          </w:tcPr>
          <w:p w14:paraId="676330E5">
            <w:pPr>
              <w:jc w:val="center"/>
              <w:rPr>
                <w:rFonts w:ascii="宋体" w:hAnsi="宋体" w:cs="Times New Roman"/>
                <w:color w:val="auto"/>
                <w:sz w:val="24"/>
                <w:szCs w:val="24"/>
              </w:rPr>
            </w:pPr>
          </w:p>
        </w:tc>
        <w:tc>
          <w:tcPr>
            <w:tcW w:w="2409" w:type="dxa"/>
          </w:tcPr>
          <w:p w14:paraId="212040CB">
            <w:pPr>
              <w:jc w:val="center"/>
              <w:rPr>
                <w:rFonts w:ascii="宋体" w:hAnsi="宋体" w:cs="Times New Roman"/>
                <w:color w:val="auto"/>
                <w:sz w:val="24"/>
                <w:szCs w:val="24"/>
              </w:rPr>
            </w:pPr>
          </w:p>
        </w:tc>
      </w:tr>
      <w:tr w14:paraId="39D8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1F5BB73">
            <w:pPr>
              <w:jc w:val="center"/>
              <w:rPr>
                <w:rFonts w:ascii="宋体" w:hAnsi="宋体" w:cs="Times New Roman"/>
                <w:color w:val="auto"/>
                <w:sz w:val="24"/>
                <w:szCs w:val="24"/>
              </w:rPr>
            </w:pPr>
            <w:r>
              <w:rPr>
                <w:rFonts w:hint="eastAsia" w:ascii="宋体" w:hAnsi="宋体" w:cs="Times New Roman"/>
                <w:color w:val="auto"/>
                <w:sz w:val="24"/>
                <w:szCs w:val="24"/>
              </w:rPr>
              <w:t>…</w:t>
            </w:r>
          </w:p>
        </w:tc>
        <w:tc>
          <w:tcPr>
            <w:tcW w:w="1414" w:type="dxa"/>
            <w:vAlign w:val="center"/>
          </w:tcPr>
          <w:p w14:paraId="3240706A">
            <w:pPr>
              <w:jc w:val="center"/>
              <w:rPr>
                <w:rFonts w:ascii="宋体" w:hAnsi="宋体" w:cs="Times New Roman"/>
                <w:color w:val="auto"/>
                <w:sz w:val="24"/>
                <w:szCs w:val="24"/>
              </w:rPr>
            </w:pPr>
          </w:p>
        </w:tc>
        <w:tc>
          <w:tcPr>
            <w:tcW w:w="2364" w:type="dxa"/>
            <w:vAlign w:val="center"/>
          </w:tcPr>
          <w:p w14:paraId="1948861B">
            <w:pPr>
              <w:jc w:val="center"/>
              <w:rPr>
                <w:rFonts w:ascii="宋体" w:hAnsi="宋体" w:cs="Times New Roman"/>
                <w:color w:val="auto"/>
                <w:sz w:val="24"/>
                <w:szCs w:val="24"/>
              </w:rPr>
            </w:pPr>
          </w:p>
        </w:tc>
        <w:tc>
          <w:tcPr>
            <w:tcW w:w="2409" w:type="dxa"/>
          </w:tcPr>
          <w:p w14:paraId="757FC12C">
            <w:pPr>
              <w:jc w:val="center"/>
              <w:rPr>
                <w:rFonts w:ascii="宋体" w:hAnsi="宋体" w:cs="Times New Roman"/>
                <w:color w:val="auto"/>
                <w:sz w:val="24"/>
                <w:szCs w:val="24"/>
              </w:rPr>
            </w:pPr>
          </w:p>
        </w:tc>
        <w:tc>
          <w:tcPr>
            <w:tcW w:w="2409" w:type="dxa"/>
          </w:tcPr>
          <w:p w14:paraId="03F8B749">
            <w:pPr>
              <w:jc w:val="center"/>
              <w:rPr>
                <w:rFonts w:ascii="宋体" w:hAnsi="宋体" w:cs="Times New Roman"/>
                <w:color w:val="auto"/>
                <w:sz w:val="24"/>
                <w:szCs w:val="24"/>
              </w:rPr>
            </w:pPr>
          </w:p>
        </w:tc>
      </w:tr>
      <w:tr w14:paraId="2FA7E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F4CE417">
            <w:pPr>
              <w:jc w:val="center"/>
              <w:rPr>
                <w:rFonts w:ascii="宋体" w:hAnsi="宋体" w:cs="Times New Roman"/>
                <w:color w:val="auto"/>
                <w:sz w:val="24"/>
                <w:szCs w:val="24"/>
              </w:rPr>
            </w:pPr>
          </w:p>
        </w:tc>
        <w:tc>
          <w:tcPr>
            <w:tcW w:w="1414" w:type="dxa"/>
            <w:vAlign w:val="center"/>
          </w:tcPr>
          <w:p w14:paraId="48BB6227">
            <w:pPr>
              <w:jc w:val="center"/>
              <w:rPr>
                <w:rFonts w:ascii="宋体" w:hAnsi="宋体" w:cs="Times New Roman"/>
                <w:color w:val="auto"/>
                <w:sz w:val="24"/>
                <w:szCs w:val="24"/>
              </w:rPr>
            </w:pPr>
          </w:p>
        </w:tc>
        <w:tc>
          <w:tcPr>
            <w:tcW w:w="2364" w:type="dxa"/>
            <w:vAlign w:val="center"/>
          </w:tcPr>
          <w:p w14:paraId="0BBF8F74">
            <w:pPr>
              <w:jc w:val="center"/>
              <w:rPr>
                <w:rFonts w:ascii="宋体" w:hAnsi="宋体" w:cs="Times New Roman"/>
                <w:color w:val="auto"/>
                <w:sz w:val="24"/>
                <w:szCs w:val="24"/>
              </w:rPr>
            </w:pPr>
          </w:p>
        </w:tc>
        <w:tc>
          <w:tcPr>
            <w:tcW w:w="2409" w:type="dxa"/>
          </w:tcPr>
          <w:p w14:paraId="31BD91BD">
            <w:pPr>
              <w:jc w:val="center"/>
              <w:rPr>
                <w:rFonts w:ascii="宋体" w:hAnsi="宋体" w:cs="Times New Roman"/>
                <w:color w:val="auto"/>
                <w:sz w:val="24"/>
                <w:szCs w:val="24"/>
              </w:rPr>
            </w:pPr>
          </w:p>
        </w:tc>
        <w:tc>
          <w:tcPr>
            <w:tcW w:w="2409" w:type="dxa"/>
          </w:tcPr>
          <w:p w14:paraId="62530919">
            <w:pPr>
              <w:jc w:val="center"/>
              <w:rPr>
                <w:rFonts w:ascii="宋体" w:hAnsi="宋体" w:cs="Times New Roman"/>
                <w:color w:val="auto"/>
                <w:sz w:val="24"/>
                <w:szCs w:val="24"/>
              </w:rPr>
            </w:pPr>
          </w:p>
        </w:tc>
      </w:tr>
      <w:tr w14:paraId="35CC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F496668">
            <w:pPr>
              <w:jc w:val="center"/>
              <w:rPr>
                <w:rFonts w:ascii="宋体" w:hAnsi="宋体" w:cs="Times New Roman"/>
                <w:color w:val="auto"/>
                <w:sz w:val="24"/>
                <w:szCs w:val="24"/>
              </w:rPr>
            </w:pPr>
          </w:p>
        </w:tc>
        <w:tc>
          <w:tcPr>
            <w:tcW w:w="1414" w:type="dxa"/>
            <w:vAlign w:val="center"/>
          </w:tcPr>
          <w:p w14:paraId="4BE2E252">
            <w:pPr>
              <w:jc w:val="center"/>
              <w:rPr>
                <w:rFonts w:ascii="宋体" w:hAnsi="宋体" w:cs="Times New Roman"/>
                <w:color w:val="auto"/>
                <w:sz w:val="24"/>
                <w:szCs w:val="24"/>
              </w:rPr>
            </w:pPr>
          </w:p>
        </w:tc>
        <w:tc>
          <w:tcPr>
            <w:tcW w:w="2364" w:type="dxa"/>
            <w:vAlign w:val="center"/>
          </w:tcPr>
          <w:p w14:paraId="3B08B610">
            <w:pPr>
              <w:jc w:val="center"/>
              <w:rPr>
                <w:rFonts w:ascii="宋体" w:hAnsi="宋体" w:cs="Times New Roman"/>
                <w:color w:val="auto"/>
                <w:sz w:val="24"/>
                <w:szCs w:val="24"/>
              </w:rPr>
            </w:pPr>
          </w:p>
        </w:tc>
        <w:tc>
          <w:tcPr>
            <w:tcW w:w="2409" w:type="dxa"/>
          </w:tcPr>
          <w:p w14:paraId="1B0FE960">
            <w:pPr>
              <w:jc w:val="center"/>
              <w:rPr>
                <w:rFonts w:ascii="宋体" w:hAnsi="宋体" w:cs="Times New Roman"/>
                <w:color w:val="auto"/>
                <w:sz w:val="24"/>
                <w:szCs w:val="24"/>
              </w:rPr>
            </w:pPr>
          </w:p>
        </w:tc>
        <w:tc>
          <w:tcPr>
            <w:tcW w:w="2409" w:type="dxa"/>
          </w:tcPr>
          <w:p w14:paraId="5E858FF7">
            <w:pPr>
              <w:jc w:val="center"/>
              <w:rPr>
                <w:rFonts w:ascii="宋体" w:hAnsi="宋体" w:cs="Times New Roman"/>
                <w:color w:val="auto"/>
                <w:sz w:val="24"/>
                <w:szCs w:val="24"/>
              </w:rPr>
            </w:pPr>
          </w:p>
        </w:tc>
      </w:tr>
      <w:tr w14:paraId="08C7C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AF10428">
            <w:pPr>
              <w:jc w:val="center"/>
              <w:rPr>
                <w:rFonts w:ascii="宋体" w:hAnsi="宋体" w:cs="Times New Roman"/>
                <w:color w:val="auto"/>
                <w:sz w:val="24"/>
                <w:szCs w:val="24"/>
              </w:rPr>
            </w:pPr>
          </w:p>
        </w:tc>
        <w:tc>
          <w:tcPr>
            <w:tcW w:w="1414" w:type="dxa"/>
            <w:vAlign w:val="center"/>
          </w:tcPr>
          <w:p w14:paraId="25DB3088">
            <w:pPr>
              <w:jc w:val="center"/>
              <w:rPr>
                <w:rFonts w:ascii="宋体" w:hAnsi="宋体" w:cs="Times New Roman"/>
                <w:color w:val="auto"/>
                <w:sz w:val="24"/>
                <w:szCs w:val="24"/>
              </w:rPr>
            </w:pPr>
          </w:p>
        </w:tc>
        <w:tc>
          <w:tcPr>
            <w:tcW w:w="2364" w:type="dxa"/>
            <w:vAlign w:val="center"/>
          </w:tcPr>
          <w:p w14:paraId="19228087">
            <w:pPr>
              <w:jc w:val="center"/>
              <w:rPr>
                <w:rFonts w:ascii="宋体" w:hAnsi="宋体" w:cs="Times New Roman"/>
                <w:color w:val="auto"/>
                <w:sz w:val="24"/>
                <w:szCs w:val="24"/>
              </w:rPr>
            </w:pPr>
          </w:p>
        </w:tc>
        <w:tc>
          <w:tcPr>
            <w:tcW w:w="2409" w:type="dxa"/>
          </w:tcPr>
          <w:p w14:paraId="2EE7EA6B">
            <w:pPr>
              <w:jc w:val="center"/>
              <w:rPr>
                <w:rFonts w:ascii="宋体" w:hAnsi="宋体" w:cs="Times New Roman"/>
                <w:color w:val="auto"/>
                <w:sz w:val="24"/>
                <w:szCs w:val="24"/>
              </w:rPr>
            </w:pPr>
          </w:p>
        </w:tc>
        <w:tc>
          <w:tcPr>
            <w:tcW w:w="2409" w:type="dxa"/>
          </w:tcPr>
          <w:p w14:paraId="43F6A201">
            <w:pPr>
              <w:jc w:val="center"/>
              <w:rPr>
                <w:rFonts w:ascii="宋体" w:hAnsi="宋体" w:cs="Times New Roman"/>
                <w:color w:val="auto"/>
                <w:sz w:val="24"/>
                <w:szCs w:val="24"/>
              </w:rPr>
            </w:pPr>
          </w:p>
        </w:tc>
      </w:tr>
      <w:tr w14:paraId="74E7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AE5868A">
            <w:pPr>
              <w:ind w:left="120"/>
              <w:jc w:val="center"/>
              <w:rPr>
                <w:rFonts w:ascii="宋体" w:hAnsi="宋体" w:cs="Times New Roman"/>
                <w:color w:val="auto"/>
                <w:sz w:val="24"/>
                <w:szCs w:val="24"/>
              </w:rPr>
            </w:pPr>
          </w:p>
        </w:tc>
        <w:tc>
          <w:tcPr>
            <w:tcW w:w="1414" w:type="dxa"/>
            <w:vAlign w:val="center"/>
          </w:tcPr>
          <w:p w14:paraId="285630EE">
            <w:pPr>
              <w:jc w:val="center"/>
              <w:rPr>
                <w:rFonts w:ascii="宋体" w:hAnsi="宋体" w:cs="Times New Roman"/>
                <w:color w:val="auto"/>
                <w:sz w:val="24"/>
                <w:szCs w:val="24"/>
              </w:rPr>
            </w:pPr>
          </w:p>
        </w:tc>
        <w:tc>
          <w:tcPr>
            <w:tcW w:w="2364" w:type="dxa"/>
            <w:vAlign w:val="center"/>
          </w:tcPr>
          <w:p w14:paraId="305AA95F">
            <w:pPr>
              <w:jc w:val="center"/>
              <w:rPr>
                <w:rFonts w:ascii="宋体" w:hAnsi="宋体" w:cs="Times New Roman"/>
                <w:color w:val="auto"/>
                <w:sz w:val="24"/>
                <w:szCs w:val="24"/>
              </w:rPr>
            </w:pPr>
          </w:p>
        </w:tc>
        <w:tc>
          <w:tcPr>
            <w:tcW w:w="2409" w:type="dxa"/>
          </w:tcPr>
          <w:p w14:paraId="747B5331">
            <w:pPr>
              <w:jc w:val="center"/>
              <w:rPr>
                <w:rFonts w:ascii="宋体" w:hAnsi="宋体" w:cs="Times New Roman"/>
                <w:color w:val="auto"/>
                <w:sz w:val="24"/>
                <w:szCs w:val="24"/>
              </w:rPr>
            </w:pPr>
          </w:p>
        </w:tc>
        <w:tc>
          <w:tcPr>
            <w:tcW w:w="2409" w:type="dxa"/>
          </w:tcPr>
          <w:p w14:paraId="0DE70126">
            <w:pPr>
              <w:jc w:val="center"/>
              <w:rPr>
                <w:rFonts w:ascii="宋体" w:hAnsi="宋体" w:cs="Times New Roman"/>
                <w:color w:val="auto"/>
                <w:sz w:val="24"/>
                <w:szCs w:val="24"/>
              </w:rPr>
            </w:pPr>
          </w:p>
        </w:tc>
      </w:tr>
    </w:tbl>
    <w:p w14:paraId="5D566C2F">
      <w:pPr>
        <w:tabs>
          <w:tab w:val="left" w:pos="8782"/>
        </w:tabs>
        <w:snapToGrid w:val="0"/>
        <w:spacing w:line="360" w:lineRule="auto"/>
        <w:ind w:firstLine="480" w:firstLineChars="200"/>
        <w:rPr>
          <w:rFonts w:ascii="宋体" w:hAnsi="宋体" w:cs="Times New Roman"/>
          <w:color w:val="auto"/>
          <w:sz w:val="24"/>
          <w:szCs w:val="24"/>
        </w:rPr>
      </w:pPr>
    </w:p>
    <w:p w14:paraId="18F9DFEA">
      <w:pPr>
        <w:tabs>
          <w:tab w:val="left" w:pos="8782"/>
        </w:tabs>
        <w:snapToGrid w:val="0"/>
        <w:spacing w:line="360" w:lineRule="auto"/>
        <w:ind w:firstLine="480" w:firstLineChars="200"/>
        <w:rPr>
          <w:rFonts w:ascii="宋体" w:hAnsi="宋体" w:cs="Times New Roman"/>
          <w:color w:val="auto"/>
          <w:sz w:val="24"/>
          <w:szCs w:val="24"/>
        </w:rPr>
      </w:pPr>
      <w:r>
        <w:rPr>
          <w:rFonts w:hint="eastAsia" w:ascii="宋体" w:hAnsi="宋体" w:cs="Times New Roman"/>
          <w:color w:val="auto"/>
          <w:sz w:val="24"/>
          <w:szCs w:val="24"/>
        </w:rPr>
        <w:t>注：1.投标人应如实列出以上情况，如有隐瞒，一经查实将导致其报价申请被拒绝。</w:t>
      </w:r>
    </w:p>
    <w:p w14:paraId="45E44574">
      <w:pPr>
        <w:tabs>
          <w:tab w:val="left" w:pos="8782"/>
        </w:tabs>
        <w:snapToGrid w:val="0"/>
        <w:spacing w:line="360" w:lineRule="auto"/>
        <w:ind w:firstLine="960" w:firstLineChars="400"/>
        <w:rPr>
          <w:rFonts w:ascii="宋体" w:hAnsi="宋体" w:cs="Times New Roman"/>
          <w:color w:val="auto"/>
          <w:sz w:val="24"/>
          <w:szCs w:val="24"/>
        </w:rPr>
      </w:pPr>
      <w:r>
        <w:rPr>
          <w:rFonts w:hint="eastAsia" w:ascii="宋体" w:hAnsi="宋体" w:cs="Times New Roman"/>
          <w:color w:val="auto"/>
          <w:sz w:val="24"/>
          <w:szCs w:val="24"/>
        </w:rPr>
        <w:t xml:space="preserve">2.投标人应提供双方签订的合同（合同复印件加盖公章装订在投标文件中）。 </w:t>
      </w:r>
    </w:p>
    <w:p w14:paraId="74F85110">
      <w:pPr>
        <w:pStyle w:val="23"/>
        <w:rPr>
          <w:color w:val="auto"/>
        </w:rPr>
      </w:pPr>
    </w:p>
    <w:p w14:paraId="6245DB9E">
      <w:pPr>
        <w:pStyle w:val="23"/>
        <w:rPr>
          <w:color w:val="auto"/>
        </w:rPr>
      </w:pPr>
    </w:p>
    <w:p w14:paraId="13A54528">
      <w:pPr>
        <w:pStyle w:val="23"/>
        <w:rPr>
          <w:color w:val="auto"/>
        </w:rPr>
      </w:pPr>
    </w:p>
    <w:p w14:paraId="779D5DC1">
      <w:pPr>
        <w:adjustRightInd w:val="0"/>
        <w:snapToGrid w:val="0"/>
        <w:spacing w:line="480" w:lineRule="auto"/>
        <w:jc w:val="left"/>
        <w:rPr>
          <w:rFonts w:cs="Times New Roman"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供应商（单位名称及公章）：</w:t>
      </w:r>
      <w:r>
        <w:rPr>
          <w:rFonts w:cs="宋体" w:asciiTheme="minorEastAsia" w:hAnsiTheme="minorEastAsia" w:eastAsiaTheme="minorEastAsia"/>
          <w:color w:val="auto"/>
          <w:sz w:val="24"/>
          <w:szCs w:val="24"/>
        </w:rPr>
        <w:t>____________________</w:t>
      </w:r>
    </w:p>
    <w:p w14:paraId="749A6967">
      <w:pPr>
        <w:adjustRightInd w:val="0"/>
        <w:snapToGrid w:val="0"/>
        <w:spacing w:line="480" w:lineRule="auto"/>
        <w:rPr>
          <w:rFonts w:cs="Times New Roman"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____________________</w:t>
      </w:r>
    </w:p>
    <w:p w14:paraId="4D1B1FC7">
      <w:pPr>
        <w:adjustRightInd w:val="0"/>
        <w:snapToGrid w:val="0"/>
        <w:spacing w:line="480" w:lineRule="auto"/>
        <w:rPr>
          <w:rFonts w:ascii="宋体" w:cs="Times New Roman"/>
          <w:color w:val="auto"/>
        </w:rPr>
      </w:pPr>
      <w:r>
        <w:rPr>
          <w:rFonts w:hint="eastAsia" w:cs="宋体" w:asciiTheme="minorEastAsia" w:hAnsiTheme="minorEastAsia" w:eastAsiaTheme="minorEastAsia"/>
          <w:color w:val="auto"/>
          <w:sz w:val="24"/>
          <w:szCs w:val="24"/>
        </w:rPr>
        <w:t>日</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期：</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年</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月</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日</w:t>
      </w:r>
    </w:p>
    <w:bookmarkEnd w:id="181"/>
    <w:p w14:paraId="74044EE5">
      <w:pPr>
        <w:pStyle w:val="5"/>
        <w:keepNext/>
        <w:keepLines/>
        <w:pageBreakBefore w:val="0"/>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192" w:name="_Toc24683"/>
      <w:bookmarkStart w:id="193" w:name="_Toc536429395"/>
      <w:bookmarkStart w:id="194" w:name="_Toc10667"/>
      <w:bookmarkStart w:id="195" w:name="_Toc536202333"/>
      <w:bookmarkStart w:id="196" w:name="_Toc19543363"/>
      <w:bookmarkStart w:id="197" w:name="_Toc536202402"/>
      <w:bookmarkStart w:id="198" w:name="_Toc536429342"/>
      <w:r>
        <w:rPr>
          <w:rFonts w:hint="eastAsia" w:ascii="宋体" w:hAnsi="宋体" w:cs="宋体"/>
          <w:color w:val="auto"/>
          <w:sz w:val="32"/>
          <w:szCs w:val="32"/>
        </w:rPr>
        <w:t>第</w:t>
      </w:r>
      <w:r>
        <w:rPr>
          <w:rFonts w:hint="eastAsia" w:ascii="宋体" w:hAnsi="宋体" w:cs="宋体"/>
          <w:color w:val="auto"/>
          <w:sz w:val="32"/>
          <w:szCs w:val="32"/>
          <w:lang w:val="en-US" w:eastAsia="zh-CN"/>
        </w:rPr>
        <w:t>六</w:t>
      </w:r>
      <w:r>
        <w:rPr>
          <w:rFonts w:hint="eastAsia" w:ascii="宋体" w:hAnsi="宋体" w:cs="宋体"/>
          <w:color w:val="auto"/>
          <w:sz w:val="32"/>
          <w:szCs w:val="32"/>
        </w:rPr>
        <w:t>章</w:t>
      </w:r>
      <w:r>
        <w:rPr>
          <w:rFonts w:ascii="宋体" w:hAnsi="宋体" w:cs="宋体"/>
          <w:color w:val="auto"/>
          <w:sz w:val="32"/>
          <w:szCs w:val="32"/>
        </w:rPr>
        <w:t xml:space="preserve">  </w:t>
      </w:r>
      <w:r>
        <w:rPr>
          <w:rFonts w:hint="eastAsia" w:ascii="宋体" w:hAnsi="宋体" w:cs="宋体"/>
          <w:color w:val="auto"/>
          <w:sz w:val="32"/>
          <w:szCs w:val="32"/>
        </w:rPr>
        <w:t>供应商承诺书</w:t>
      </w:r>
      <w:bookmarkEnd w:id="192"/>
      <w:bookmarkEnd w:id="193"/>
      <w:bookmarkEnd w:id="194"/>
      <w:bookmarkEnd w:id="195"/>
      <w:bookmarkEnd w:id="196"/>
      <w:bookmarkEnd w:id="197"/>
      <w:bookmarkEnd w:id="198"/>
    </w:p>
    <w:p w14:paraId="00CD2DDF">
      <w:pPr>
        <w:widowControl/>
        <w:spacing w:line="480" w:lineRule="exact"/>
        <w:jc w:val="center"/>
        <w:rPr>
          <w:rFonts w:cs="仿宋" w:asciiTheme="minorEastAsia" w:hAnsiTheme="minorEastAsia" w:eastAsiaTheme="minorEastAsia"/>
          <w:b/>
          <w:bCs w:val="0"/>
          <w:color w:val="auto"/>
          <w:kern w:val="0"/>
          <w:sz w:val="28"/>
          <w:szCs w:val="32"/>
        </w:rPr>
      </w:pPr>
      <w:r>
        <w:rPr>
          <w:rFonts w:hint="eastAsia" w:cs="仿宋" w:asciiTheme="minorEastAsia" w:hAnsiTheme="minorEastAsia" w:eastAsiaTheme="minorEastAsia"/>
          <w:b/>
          <w:bCs w:val="0"/>
          <w:color w:val="auto"/>
          <w:kern w:val="0"/>
          <w:sz w:val="28"/>
          <w:szCs w:val="32"/>
        </w:rPr>
        <w:t>政府采购供应商拒绝政府采购领域商业贿赂承诺书</w:t>
      </w:r>
    </w:p>
    <w:p w14:paraId="37F3D8B4">
      <w:pPr>
        <w:widowControl/>
        <w:spacing w:line="240" w:lineRule="exact"/>
        <w:ind w:firstLine="420" w:firstLineChars="200"/>
        <w:jc w:val="left"/>
        <w:rPr>
          <w:rFonts w:cs="仿宋" w:asciiTheme="minorEastAsia" w:hAnsiTheme="minorEastAsia" w:eastAsiaTheme="minorEastAsia"/>
          <w:bCs/>
          <w:color w:val="auto"/>
          <w:kern w:val="0"/>
        </w:rPr>
      </w:pPr>
    </w:p>
    <w:p w14:paraId="1588FE9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 xml:space="preserve">为响应党中央、国务院关于治理政府采购领域商业贿赂行为的号召，我单位在此庄严承诺： </w:t>
      </w:r>
    </w:p>
    <w:p w14:paraId="059AE5C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1.</w:t>
      </w:r>
      <w:r>
        <w:rPr>
          <w:rFonts w:hint="eastAsia" w:cs="仿宋" w:asciiTheme="minorEastAsia" w:hAnsiTheme="minorEastAsia" w:eastAsiaTheme="minorEastAsia"/>
          <w:bCs/>
          <w:color w:val="auto"/>
          <w:kern w:val="0"/>
          <w:sz w:val="24"/>
          <w:szCs w:val="28"/>
        </w:rPr>
        <w:t xml:space="preserve">在参与政府采购活动中遵纪守法、诚信经营、公平竞标。 </w:t>
      </w:r>
    </w:p>
    <w:p w14:paraId="7E1A1E6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 xml:space="preserve">不向采购人、招标代理机构和政府采购评审专家进行任何形式的商业贿赂以谋取交易机会。 </w:t>
      </w:r>
    </w:p>
    <w:p w14:paraId="47FF4190">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 xml:space="preserve">不向政府采购招标代理机构和采购人提供虚假资质文件或采用虚假应标方式参与政府采购市场竞争并谋取成交、成交。 </w:t>
      </w:r>
    </w:p>
    <w:p w14:paraId="38C7DEA2">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不采取“围标、陪标”等商业欺诈手段获得政府采购</w:t>
      </w:r>
      <w:r>
        <w:rPr>
          <w:rFonts w:hint="eastAsia" w:cs="仿宋" w:asciiTheme="minorEastAsia" w:hAnsiTheme="minorEastAsia" w:eastAsiaTheme="minorEastAsia"/>
          <w:bCs/>
          <w:color w:val="auto"/>
          <w:kern w:val="0"/>
          <w:sz w:val="24"/>
          <w:szCs w:val="28"/>
          <w:lang w:eastAsia="zh-CN"/>
        </w:rPr>
        <w:t>订单</w:t>
      </w:r>
      <w:r>
        <w:rPr>
          <w:rFonts w:hint="eastAsia" w:cs="仿宋" w:asciiTheme="minorEastAsia" w:hAnsiTheme="minorEastAsia" w:eastAsiaTheme="minorEastAsia"/>
          <w:bCs/>
          <w:color w:val="auto"/>
          <w:kern w:val="0"/>
          <w:sz w:val="24"/>
          <w:szCs w:val="28"/>
        </w:rPr>
        <w:t xml:space="preserve">。 </w:t>
      </w:r>
    </w:p>
    <w:p w14:paraId="1AC41FFD">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不采取不正当手段</w:t>
      </w:r>
      <w:r>
        <w:rPr>
          <w:rFonts w:hint="eastAsia" w:cs="仿宋" w:asciiTheme="minorEastAsia" w:hAnsiTheme="minorEastAsia" w:eastAsiaTheme="minorEastAsia"/>
          <w:bCs/>
          <w:color w:val="auto"/>
          <w:kern w:val="0"/>
          <w:sz w:val="24"/>
          <w:szCs w:val="28"/>
          <w:lang w:eastAsia="zh-CN"/>
        </w:rPr>
        <w:t>诋毁</w:t>
      </w:r>
      <w:r>
        <w:rPr>
          <w:rFonts w:hint="eastAsia" w:cs="仿宋" w:asciiTheme="minorEastAsia" w:hAnsiTheme="minorEastAsia" w:eastAsiaTheme="minorEastAsia"/>
          <w:bCs/>
          <w:color w:val="auto"/>
          <w:kern w:val="0"/>
          <w:sz w:val="24"/>
          <w:szCs w:val="28"/>
        </w:rPr>
        <w:t xml:space="preserve">、排挤其他供应商。 </w:t>
      </w:r>
    </w:p>
    <w:p w14:paraId="6BE93C9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6.不再提供</w:t>
      </w:r>
      <w:r>
        <w:rPr>
          <w:rFonts w:hint="eastAsia" w:cs="仿宋" w:asciiTheme="minorEastAsia" w:hAnsiTheme="minorEastAsia" w:eastAsiaTheme="minorEastAsia"/>
          <w:bCs/>
          <w:color w:val="auto"/>
          <w:kern w:val="0"/>
          <w:sz w:val="24"/>
          <w:szCs w:val="28"/>
        </w:rPr>
        <w:t xml:space="preserve">商品和服务时“偷梁换柱、以次充好”损害采购人的合法权益。 </w:t>
      </w:r>
    </w:p>
    <w:p w14:paraId="3620EAC6">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不与采购人、招标代理机构政府采购评审专家</w:t>
      </w:r>
      <w:r>
        <w:rPr>
          <w:rFonts w:hint="eastAsia" w:cs="仿宋" w:asciiTheme="minorEastAsia" w:hAnsiTheme="minorEastAsia" w:eastAsiaTheme="minorEastAsia"/>
          <w:bCs/>
          <w:color w:val="auto"/>
          <w:kern w:val="0"/>
          <w:sz w:val="24"/>
          <w:szCs w:val="28"/>
          <w:lang w:eastAsia="zh-CN"/>
        </w:rPr>
        <w:t>或其他</w:t>
      </w:r>
      <w:r>
        <w:rPr>
          <w:rFonts w:hint="eastAsia" w:cs="仿宋" w:asciiTheme="minorEastAsia" w:hAnsiTheme="minorEastAsia" w:eastAsiaTheme="minorEastAsia"/>
          <w:bCs/>
          <w:color w:val="auto"/>
          <w:kern w:val="0"/>
          <w:sz w:val="24"/>
          <w:szCs w:val="28"/>
        </w:rPr>
        <w:t xml:space="preserve">供应商恶意串通，进行质疑和投诉，维护政府采购市场秩序。 </w:t>
      </w:r>
    </w:p>
    <w:p w14:paraId="7ECE6DB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 xml:space="preserve">尊重和接受政府采购监督管理部门的监督和政府招标代理机构招标要求，承担因违约行为给采购人造成的损失。 </w:t>
      </w:r>
    </w:p>
    <w:p w14:paraId="09C37753">
      <w:pPr>
        <w:widowControl/>
        <w:spacing w:line="440" w:lineRule="exact"/>
        <w:ind w:firstLine="480" w:firstLineChars="200"/>
        <w:rPr>
          <w:rFonts w:cs="仿宋" w:asciiTheme="minorEastAsia" w:hAnsiTheme="minorEastAsia" w:eastAsiaTheme="minorEastAsia"/>
          <w:bCs/>
          <w:color w:val="auto"/>
          <w:kern w:val="0"/>
          <w:sz w:val="22"/>
          <w:szCs w:val="24"/>
        </w:rPr>
      </w:pPr>
      <w:r>
        <w:rPr>
          <w:rFonts w:hint="eastAsia" w:cs="仿宋" w:asciiTheme="minorEastAsia" w:hAnsiTheme="minorEastAsia" w:eastAsiaTheme="minorEastAsia"/>
          <w:bCs/>
          <w:color w:val="auto"/>
          <w:kern w:val="0"/>
          <w:sz w:val="24"/>
          <w:szCs w:val="28"/>
          <w:lang w:eastAsia="zh-CN"/>
        </w:rPr>
        <w:t>9.</w:t>
      </w:r>
      <w:r>
        <w:rPr>
          <w:rFonts w:hint="eastAsia" w:cs="仿宋" w:asciiTheme="minorEastAsia" w:hAnsiTheme="minorEastAsia" w:eastAsiaTheme="minorEastAsia"/>
          <w:bCs/>
          <w:color w:val="auto"/>
          <w:kern w:val="0"/>
          <w:sz w:val="24"/>
          <w:szCs w:val="28"/>
        </w:rPr>
        <w:t xml:space="preserve">不发生其他有悖于政府采购公开、公平、公正和诚信原则的行为。 </w:t>
      </w:r>
    </w:p>
    <w:p w14:paraId="03857F17">
      <w:pPr>
        <w:widowControl/>
        <w:spacing w:line="440" w:lineRule="exact"/>
        <w:ind w:firstLine="960" w:firstLineChars="400"/>
        <w:rPr>
          <w:rFonts w:cs="仿宋" w:asciiTheme="minorEastAsia" w:hAnsiTheme="minorEastAsia" w:eastAsiaTheme="minorEastAsia"/>
          <w:bCs/>
          <w:color w:val="auto"/>
          <w:kern w:val="0"/>
          <w:sz w:val="24"/>
          <w:szCs w:val="28"/>
        </w:rPr>
      </w:pPr>
    </w:p>
    <w:p w14:paraId="0B296E04">
      <w:pPr>
        <w:widowControl/>
        <w:spacing w:line="440" w:lineRule="exact"/>
        <w:ind w:firstLine="960" w:firstLineChars="4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（盖章）</w:t>
      </w:r>
    </w:p>
    <w:p w14:paraId="4910565F">
      <w:pPr>
        <w:widowControl/>
        <w:spacing w:line="44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全权代表：</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 xml:space="preserve">） </w:t>
      </w:r>
    </w:p>
    <w:p w14:paraId="6D64F7C3">
      <w:pPr>
        <w:widowControl/>
        <w:spacing w:line="520" w:lineRule="exact"/>
        <w:ind w:firstLine="480" w:firstLineChars="200"/>
        <w:rPr>
          <w:rFonts w:cs="仿宋" w:asciiTheme="minorEastAsia" w:hAnsiTheme="minorEastAsia" w:eastAsiaTheme="minorEastAsia"/>
          <w:bCs/>
          <w:color w:val="auto"/>
          <w:kern w:val="0"/>
          <w:sz w:val="24"/>
          <w:szCs w:val="28"/>
          <w:u w:val="single"/>
        </w:rPr>
      </w:pPr>
      <w:r>
        <w:rPr>
          <w:rFonts w:hint="eastAsia" w:cs="仿宋" w:asciiTheme="minorEastAsia" w:hAnsiTheme="minorEastAsia" w:eastAsiaTheme="minorEastAsia"/>
          <w:bCs/>
          <w:color w:val="auto"/>
          <w:kern w:val="0"/>
          <w:sz w:val="24"/>
          <w:szCs w:val="28"/>
        </w:rPr>
        <w:t xml:space="preserve">    地　　址：</w:t>
      </w:r>
      <w:r>
        <w:rPr>
          <w:rFonts w:hint="eastAsia" w:cs="仿宋" w:asciiTheme="minorEastAsia" w:hAnsiTheme="minorEastAsia" w:eastAsiaTheme="minorEastAsia"/>
          <w:bCs/>
          <w:color w:val="auto"/>
          <w:kern w:val="0"/>
          <w:sz w:val="24"/>
          <w:szCs w:val="28"/>
          <w:u w:val="single"/>
        </w:rPr>
        <w:t xml:space="preserve">                              </w:t>
      </w:r>
    </w:p>
    <w:p w14:paraId="138B1006">
      <w:pPr>
        <w:widowControl/>
        <w:spacing w:line="52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xml:space="preserve">    邮    编：</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w:t>
      </w:r>
    </w:p>
    <w:p w14:paraId="0195E3A2">
      <w:pPr>
        <w:widowControl/>
        <w:spacing w:line="520" w:lineRule="exact"/>
        <w:ind w:firstLine="720" w:firstLineChars="3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电　　话：</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xml:space="preserve">　　 </w:t>
      </w:r>
    </w:p>
    <w:p w14:paraId="4A563F5D">
      <w:pPr>
        <w:widowControl/>
        <w:spacing w:line="340" w:lineRule="exact"/>
        <w:rPr>
          <w:rFonts w:cs="仿宋" w:asciiTheme="minorEastAsia" w:hAnsiTheme="minorEastAsia" w:eastAsiaTheme="minorEastAsia"/>
          <w:bCs/>
          <w:color w:val="auto"/>
          <w:kern w:val="0"/>
          <w:sz w:val="24"/>
          <w:szCs w:val="28"/>
        </w:rPr>
      </w:pPr>
    </w:p>
    <w:p w14:paraId="3500C9FD">
      <w:pPr>
        <w:widowControl/>
        <w:spacing w:line="340" w:lineRule="exact"/>
        <w:ind w:firstLine="4920" w:firstLineChars="2050"/>
        <w:rPr>
          <w:rFonts w:cs="仿宋" w:asciiTheme="minorEastAsia" w:hAnsiTheme="minorEastAsia" w:eastAsiaTheme="minorEastAsia"/>
          <w:bCs/>
          <w:color w:val="auto"/>
          <w:sz w:val="36"/>
          <w:szCs w:val="40"/>
        </w:rPr>
      </w:pPr>
      <w:r>
        <w:rPr>
          <w:rFonts w:hint="eastAsia" w:cs="仿宋" w:asciiTheme="minorEastAsia" w:hAnsiTheme="minorEastAsia" w:eastAsiaTheme="minorEastAsia"/>
          <w:bCs/>
          <w:color w:val="auto"/>
          <w:kern w:val="0"/>
          <w:sz w:val="24"/>
          <w:szCs w:val="28"/>
        </w:rPr>
        <w:t>年　　月　　日</w:t>
      </w:r>
    </w:p>
    <w:p w14:paraId="065475BE">
      <w:pPr>
        <w:widowControl/>
        <w:spacing w:line="640" w:lineRule="exact"/>
        <w:jc w:val="center"/>
        <w:rPr>
          <w:rFonts w:cs="仿宋" w:asciiTheme="minorEastAsia" w:hAnsiTheme="minorEastAsia" w:eastAsiaTheme="minorEastAsia"/>
          <w:bCs/>
          <w:color w:val="auto"/>
          <w:sz w:val="36"/>
          <w:szCs w:val="40"/>
        </w:rPr>
      </w:pPr>
    </w:p>
    <w:p w14:paraId="37C31C4B">
      <w:pPr>
        <w:widowControl/>
        <w:tabs>
          <w:tab w:val="left" w:pos="3930"/>
        </w:tabs>
        <w:spacing w:line="400" w:lineRule="exact"/>
        <w:jc w:val="left"/>
        <w:rPr>
          <w:rFonts w:cs="仿宋" w:asciiTheme="minorEastAsia" w:hAnsiTheme="minorEastAsia" w:eastAsiaTheme="minorEastAsia"/>
          <w:bCs/>
          <w:color w:val="auto"/>
          <w:sz w:val="40"/>
          <w:szCs w:val="40"/>
        </w:rPr>
      </w:pPr>
      <w:r>
        <w:rPr>
          <w:rFonts w:hint="eastAsia" w:cs="仿宋" w:asciiTheme="minorEastAsia" w:hAnsiTheme="minorEastAsia" w:eastAsiaTheme="minorEastAsia"/>
          <w:bCs/>
          <w:color w:val="auto"/>
          <w:sz w:val="40"/>
          <w:szCs w:val="40"/>
        </w:rPr>
        <w:tab/>
      </w:r>
    </w:p>
    <w:p w14:paraId="29A50DA2">
      <w:pPr>
        <w:widowControl/>
        <w:jc w:val="left"/>
        <w:rPr>
          <w:rFonts w:cs="仿宋" w:asciiTheme="minorEastAsia" w:hAnsiTheme="minorEastAsia" w:eastAsiaTheme="minorEastAsia"/>
          <w:bCs/>
          <w:color w:val="auto"/>
          <w:kern w:val="0"/>
          <w:sz w:val="32"/>
          <w:szCs w:val="32"/>
        </w:rPr>
      </w:pPr>
    </w:p>
    <w:p w14:paraId="51130DB3">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32"/>
          <w:szCs w:val="32"/>
        </w:rPr>
      </w:pPr>
    </w:p>
    <w:p w14:paraId="7289363C">
      <w:pPr>
        <w:widowControl/>
        <w:shd w:val="clear" w:color="auto" w:fill="FFFFFF"/>
        <w:spacing w:before="100" w:beforeAutospacing="1" w:after="100" w:afterAutospacing="1" w:line="400" w:lineRule="exact"/>
        <w:jc w:val="center"/>
        <w:rPr>
          <w:rFonts w:cs="仿宋" w:asciiTheme="minorEastAsia" w:hAnsiTheme="minorEastAsia" w:eastAsiaTheme="minorEastAsia"/>
          <w:b/>
          <w:color w:val="auto"/>
          <w:kern w:val="0"/>
          <w:sz w:val="22"/>
          <w:szCs w:val="22"/>
        </w:rPr>
      </w:pPr>
      <w:r>
        <w:rPr>
          <w:rFonts w:hint="eastAsia" w:cs="仿宋" w:asciiTheme="minorEastAsia" w:hAnsiTheme="minorEastAsia" w:eastAsiaTheme="minorEastAsia"/>
          <w:b/>
          <w:color w:val="auto"/>
          <w:kern w:val="0"/>
          <w:sz w:val="28"/>
          <w:szCs w:val="28"/>
        </w:rPr>
        <w:t>承诺书Ⅱ</w:t>
      </w:r>
    </w:p>
    <w:p w14:paraId="57B01AEE">
      <w:pPr>
        <w:widowControl/>
        <w:spacing w:line="440" w:lineRule="exact"/>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致：安康尚昊招标代理有限公司</w:t>
      </w:r>
    </w:p>
    <w:p w14:paraId="2C7394EF">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为了诚实、客观、有序地参与政府采购活动，愿就以下内容作出承诺：</w:t>
      </w:r>
    </w:p>
    <w:p w14:paraId="313740F0">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lang w:eastAsia="zh-CN"/>
        </w:rPr>
        <w:t>1.</w:t>
      </w:r>
      <w:r>
        <w:rPr>
          <w:rFonts w:hint="eastAsia" w:cs="Times New Roman" w:asciiTheme="minorEastAsia" w:hAnsiTheme="minorEastAsia" w:eastAsiaTheme="minorEastAsia"/>
          <w:color w:val="auto"/>
          <w:sz w:val="24"/>
          <w:szCs w:val="28"/>
        </w:rPr>
        <w:t>参加采购代理机构组织的政府采购活动时，严格按照磋商文件的规定和要求提供所需的相关材料，并对所提供的各类资料的真实性负责，不虚假应标，不虚列业绩。</w:t>
      </w:r>
    </w:p>
    <w:p w14:paraId="4908E04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尊重参与政府采购活动各相关方的合法行为，接受政府采购活动依法形成的意见、结果。</w:t>
      </w:r>
    </w:p>
    <w:p w14:paraId="42F9866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1CE661B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5A555C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近三年受到有关行政主管部门的行政处理、不良行为记录为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3BC8D1F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参加本次磋商提交的所有资质证明文件及业绩证明是真实的、有效的，如有隐瞒实情，愿承担一切责任及后果。</w:t>
      </w:r>
    </w:p>
    <w:p w14:paraId="4CFC98A7">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71FF43F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认真履行成交单位应承担的责任和义务，全面执行采购合同规定的各项内容，保质保量地按时提供采购物品。</w:t>
      </w:r>
    </w:p>
    <w:p w14:paraId="39AB471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若本企业（单位）发生有悖于上述承诺的行为，愿意接受《中华人民共和国政府采购法》和《中华人民共和国政府采购法实施条例》中对响应单位的相关处理。</w:t>
      </w:r>
    </w:p>
    <w:p w14:paraId="1DE402C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本承诺是采购项目响应文件的组成部分。</w:t>
      </w:r>
    </w:p>
    <w:p w14:paraId="7E916807">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（盖章）</w:t>
      </w:r>
    </w:p>
    <w:p w14:paraId="4FFFA6A6">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全权代表：</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w:t>
      </w:r>
    </w:p>
    <w:p w14:paraId="02929F93">
      <w:pPr>
        <w:widowControl/>
        <w:shd w:val="clear" w:color="auto" w:fill="FFFFFF"/>
        <w:spacing w:line="440" w:lineRule="exact"/>
        <w:ind w:firstLine="2152" w:firstLineChars="897"/>
        <w:rPr>
          <w:rFonts w:cs="仿宋" w:asciiTheme="minorEastAsia" w:hAnsiTheme="minorEastAsia" w:eastAsiaTheme="minorEastAsia"/>
          <w:bCs/>
          <w:color w:val="auto"/>
          <w:sz w:val="24"/>
          <w:szCs w:val="28"/>
        </w:rPr>
      </w:pPr>
      <w:r>
        <w:rPr>
          <w:rFonts w:hint="eastAsia" w:cs="仿宋" w:asciiTheme="minorEastAsia" w:hAnsiTheme="minorEastAsia" w:eastAsiaTheme="minorEastAsia"/>
          <w:bCs/>
          <w:color w:val="auto"/>
          <w:kern w:val="0"/>
          <w:sz w:val="24"/>
          <w:szCs w:val="28"/>
        </w:rPr>
        <w:t>日    期：</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年</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月</w:t>
      </w:r>
      <w:r>
        <w:rPr>
          <w:rFonts w:hint="eastAsia" w:cs="仿宋" w:asciiTheme="minorEastAsia" w:hAnsiTheme="minorEastAsia" w:eastAsiaTheme="minorEastAsia"/>
          <w:bCs/>
          <w:color w:val="auto"/>
          <w:sz w:val="28"/>
          <w:szCs w:val="32"/>
          <w:u w:val="single"/>
        </w:rPr>
        <w:t xml:space="preserve">    </w:t>
      </w:r>
      <w:r>
        <w:rPr>
          <w:rFonts w:hint="eastAsia" w:cs="仿宋" w:asciiTheme="minorEastAsia" w:hAnsiTheme="minorEastAsia" w:eastAsiaTheme="minorEastAsia"/>
          <w:bCs/>
          <w:color w:val="auto"/>
          <w:sz w:val="24"/>
          <w:szCs w:val="28"/>
        </w:rPr>
        <w:t>日</w:t>
      </w:r>
    </w:p>
    <w:p w14:paraId="09067856">
      <w:pPr>
        <w:pStyle w:val="5"/>
        <w:adjustRightInd w:val="0"/>
        <w:spacing w:line="416" w:lineRule="atLeast"/>
        <w:textAlignment w:val="baseline"/>
        <w:rPr>
          <w:rFonts w:ascii="宋体" w:hAnsi="宋体" w:cs="宋体"/>
          <w:color w:val="auto"/>
        </w:rPr>
      </w:pPr>
      <w:bookmarkStart w:id="199" w:name="_Toc25514"/>
      <w:bookmarkStart w:id="200" w:name="_Toc536202403"/>
      <w:bookmarkStart w:id="201" w:name="_Toc536429396"/>
      <w:bookmarkStart w:id="202" w:name="_Toc536202334"/>
      <w:bookmarkStart w:id="203" w:name="_Toc536429343"/>
    </w:p>
    <w:bookmarkEnd w:id="0"/>
    <w:bookmarkEnd w:id="199"/>
    <w:bookmarkEnd w:id="200"/>
    <w:bookmarkEnd w:id="201"/>
    <w:bookmarkEnd w:id="202"/>
    <w:bookmarkEnd w:id="203"/>
    <w:p w14:paraId="29B291BD">
      <w:pPr>
        <w:widowControl/>
        <w:jc w:val="left"/>
        <w:rPr>
          <w:color w:val="auto"/>
          <w:sz w:val="24"/>
          <w:szCs w:val="28"/>
        </w:rPr>
      </w:pPr>
    </w:p>
    <w:p w14:paraId="153B6C26">
      <w:pPr>
        <w:pStyle w:val="14"/>
        <w:rPr>
          <w:color w:val="auto"/>
          <w:sz w:val="24"/>
          <w:szCs w:val="28"/>
        </w:rPr>
      </w:pPr>
    </w:p>
    <w:p w14:paraId="2DF1B956">
      <w:pPr>
        <w:rPr>
          <w:color w:val="auto"/>
          <w:sz w:val="24"/>
          <w:szCs w:val="28"/>
        </w:rPr>
      </w:pPr>
    </w:p>
    <w:p w14:paraId="4D577E03">
      <w:pPr>
        <w:pStyle w:val="14"/>
        <w:rPr>
          <w:color w:val="auto"/>
          <w:sz w:val="24"/>
          <w:szCs w:val="28"/>
        </w:rPr>
        <w:sectPr>
          <w:footerReference r:id="rId22" w:type="first"/>
          <w:footerReference r:id="rId21" w:type="default"/>
          <w:pgSz w:w="11906" w:h="16838"/>
          <w:pgMar w:top="1417" w:right="1417" w:bottom="1417" w:left="1417" w:header="1134" w:footer="992" w:gutter="0"/>
          <w:pgNumType w:fmt="decimal"/>
          <w:cols w:space="0" w:num="1"/>
          <w:titlePg/>
          <w:docGrid w:type="lines" w:linePitch="326" w:charSpace="0"/>
        </w:sectPr>
      </w:pPr>
    </w:p>
    <w:p w14:paraId="788D1FFC">
      <w:pPr>
        <w:rPr>
          <w:color w:val="auto"/>
        </w:rPr>
      </w:pPr>
    </w:p>
    <w:p w14:paraId="2A06850F">
      <w:pPr>
        <w:pStyle w:val="23"/>
        <w:rPr>
          <w:color w:val="auto"/>
        </w:rPr>
      </w:pPr>
    </w:p>
    <w:p w14:paraId="6D536D9C">
      <w:pPr>
        <w:pStyle w:val="23"/>
        <w:rPr>
          <w:color w:val="auto"/>
        </w:rPr>
      </w:pPr>
    </w:p>
    <w:p w14:paraId="6E3EF1A8">
      <w:pPr>
        <w:pStyle w:val="23"/>
        <w:rPr>
          <w:color w:val="auto"/>
        </w:rPr>
      </w:pPr>
    </w:p>
    <w:p w14:paraId="1781D8FB">
      <w:pPr>
        <w:pStyle w:val="23"/>
        <w:rPr>
          <w:color w:val="auto"/>
        </w:rPr>
      </w:pPr>
    </w:p>
    <w:p w14:paraId="7B35E6A3">
      <w:pPr>
        <w:pStyle w:val="23"/>
        <w:rPr>
          <w:color w:val="auto"/>
        </w:rPr>
      </w:pPr>
    </w:p>
    <w:p w14:paraId="1676252C">
      <w:pPr>
        <w:pStyle w:val="23"/>
        <w:rPr>
          <w:color w:val="auto"/>
        </w:rPr>
      </w:pPr>
    </w:p>
    <w:p w14:paraId="13558132">
      <w:pPr>
        <w:pStyle w:val="23"/>
        <w:rPr>
          <w:color w:val="auto"/>
        </w:rPr>
      </w:pPr>
    </w:p>
    <w:p w14:paraId="7317F6CC">
      <w:pPr>
        <w:pStyle w:val="23"/>
        <w:rPr>
          <w:color w:val="auto"/>
        </w:rPr>
      </w:pPr>
    </w:p>
    <w:p w14:paraId="74299A6F">
      <w:pPr>
        <w:pStyle w:val="23"/>
        <w:rPr>
          <w:color w:val="auto"/>
        </w:rPr>
      </w:pPr>
    </w:p>
    <w:p w14:paraId="558E9CC7">
      <w:pPr>
        <w:pStyle w:val="23"/>
        <w:rPr>
          <w:color w:val="auto"/>
        </w:rPr>
      </w:pPr>
    </w:p>
    <w:p w14:paraId="6A4F7824">
      <w:pPr>
        <w:pStyle w:val="23"/>
        <w:rPr>
          <w:color w:val="auto"/>
        </w:rPr>
      </w:pPr>
    </w:p>
    <w:p w14:paraId="4EACD6EE">
      <w:pPr>
        <w:pStyle w:val="23"/>
        <w:rPr>
          <w:color w:val="auto"/>
        </w:rPr>
      </w:pPr>
    </w:p>
    <w:p w14:paraId="3EF830C7">
      <w:pPr>
        <w:pStyle w:val="23"/>
        <w:rPr>
          <w:color w:val="auto"/>
        </w:rPr>
      </w:pPr>
    </w:p>
    <w:p w14:paraId="3B60CCCD">
      <w:pPr>
        <w:pStyle w:val="23"/>
        <w:rPr>
          <w:color w:val="auto"/>
        </w:rPr>
      </w:pPr>
    </w:p>
    <w:p w14:paraId="7B790FF1">
      <w:pPr>
        <w:pStyle w:val="23"/>
        <w:rPr>
          <w:color w:val="auto"/>
        </w:rPr>
      </w:pPr>
    </w:p>
    <w:p w14:paraId="64A33E46">
      <w:pPr>
        <w:pStyle w:val="23"/>
        <w:rPr>
          <w:color w:val="auto"/>
        </w:rPr>
      </w:pPr>
    </w:p>
    <w:p w14:paraId="1C16210D">
      <w:pPr>
        <w:pStyle w:val="23"/>
        <w:rPr>
          <w:color w:val="auto"/>
        </w:rPr>
      </w:pPr>
    </w:p>
    <w:p w14:paraId="4252DED8">
      <w:pPr>
        <w:pStyle w:val="23"/>
        <w:rPr>
          <w:color w:val="auto"/>
        </w:rPr>
      </w:pPr>
    </w:p>
    <w:p w14:paraId="1618FAEB">
      <w:pPr>
        <w:pStyle w:val="23"/>
        <w:rPr>
          <w:color w:val="auto"/>
        </w:rPr>
      </w:pPr>
    </w:p>
    <w:p w14:paraId="3FF2123E">
      <w:pPr>
        <w:pStyle w:val="23"/>
        <w:rPr>
          <w:color w:val="auto"/>
        </w:rPr>
      </w:pPr>
    </w:p>
    <w:p w14:paraId="1A6CBE9A">
      <w:pPr>
        <w:pStyle w:val="23"/>
        <w:rPr>
          <w:color w:val="auto"/>
        </w:rPr>
      </w:pPr>
    </w:p>
    <w:p w14:paraId="3F43E0C8">
      <w:pPr>
        <w:pStyle w:val="23"/>
        <w:rPr>
          <w:color w:val="auto"/>
        </w:rPr>
      </w:pPr>
    </w:p>
    <w:p w14:paraId="33D8CD95">
      <w:pPr>
        <w:pStyle w:val="23"/>
        <w:rPr>
          <w:color w:val="auto"/>
        </w:rPr>
      </w:pPr>
    </w:p>
    <w:p w14:paraId="05BA5D89">
      <w:pPr>
        <w:pStyle w:val="23"/>
        <w:rPr>
          <w:color w:val="auto"/>
        </w:rPr>
      </w:pPr>
    </w:p>
    <w:p w14:paraId="59D7A27B">
      <w:pPr>
        <w:pStyle w:val="23"/>
        <w:rPr>
          <w:color w:val="auto"/>
        </w:rPr>
      </w:pPr>
    </w:p>
    <w:p w14:paraId="6A5EE0C2">
      <w:pPr>
        <w:pStyle w:val="23"/>
        <w:rPr>
          <w:color w:val="auto"/>
        </w:rPr>
      </w:pPr>
    </w:p>
    <w:p w14:paraId="463F3918">
      <w:pPr>
        <w:pStyle w:val="23"/>
        <w:rPr>
          <w:color w:val="auto"/>
        </w:rPr>
      </w:pPr>
    </w:p>
    <w:p w14:paraId="4B73C698">
      <w:pPr>
        <w:pStyle w:val="23"/>
        <w:rPr>
          <w:color w:val="auto"/>
        </w:rPr>
      </w:pPr>
    </w:p>
    <w:p w14:paraId="17991E62">
      <w:pPr>
        <w:pStyle w:val="23"/>
        <w:rPr>
          <w:color w:val="auto"/>
        </w:rPr>
      </w:pPr>
    </w:p>
    <w:p w14:paraId="29561E64">
      <w:pPr>
        <w:pStyle w:val="23"/>
        <w:rPr>
          <w:color w:val="auto"/>
        </w:rPr>
      </w:pPr>
    </w:p>
    <w:p w14:paraId="0A32F819">
      <w:pPr>
        <w:pStyle w:val="23"/>
        <w:rPr>
          <w:color w:val="auto"/>
        </w:rPr>
      </w:pPr>
    </w:p>
    <w:p w14:paraId="24CBB826">
      <w:pPr>
        <w:pStyle w:val="23"/>
        <w:rPr>
          <w:color w:val="auto"/>
        </w:rPr>
      </w:pPr>
    </w:p>
    <w:p w14:paraId="21E311D0">
      <w:pPr>
        <w:pStyle w:val="23"/>
        <w:rPr>
          <w:color w:val="auto"/>
        </w:rPr>
      </w:pPr>
    </w:p>
    <w:p w14:paraId="574FD4B8">
      <w:pPr>
        <w:pStyle w:val="23"/>
        <w:rPr>
          <w:color w:val="auto"/>
        </w:rPr>
      </w:pPr>
    </w:p>
    <w:p w14:paraId="0F6219CB">
      <w:pPr>
        <w:pStyle w:val="23"/>
        <w:rPr>
          <w:color w:val="auto"/>
        </w:rPr>
      </w:pPr>
    </w:p>
    <w:p w14:paraId="72EBDF60">
      <w:pPr>
        <w:pStyle w:val="23"/>
        <w:rPr>
          <w:color w:val="auto"/>
        </w:rPr>
      </w:pPr>
    </w:p>
    <w:p w14:paraId="56B6761C">
      <w:pPr>
        <w:pStyle w:val="23"/>
        <w:rPr>
          <w:color w:val="auto"/>
        </w:rPr>
      </w:pPr>
    </w:p>
    <w:p w14:paraId="7E7F16F3">
      <w:pPr>
        <w:pStyle w:val="23"/>
        <w:rPr>
          <w:color w:val="auto"/>
        </w:rPr>
      </w:pPr>
    </w:p>
    <w:p w14:paraId="28453B87">
      <w:pPr>
        <w:pStyle w:val="23"/>
        <w:rPr>
          <w:color w:val="auto"/>
        </w:rPr>
      </w:pPr>
    </w:p>
    <w:p w14:paraId="7781B137">
      <w:pPr>
        <w:pStyle w:val="23"/>
        <w:rPr>
          <w:color w:val="auto"/>
        </w:rPr>
      </w:pPr>
    </w:p>
    <w:p w14:paraId="11CC7E1B">
      <w:pPr>
        <w:pStyle w:val="23"/>
        <w:rPr>
          <w:color w:val="auto"/>
        </w:rPr>
      </w:pPr>
    </w:p>
    <w:p w14:paraId="340E5B11">
      <w:pPr>
        <w:pStyle w:val="23"/>
        <w:rPr>
          <w:color w:val="auto"/>
        </w:rPr>
      </w:pPr>
      <w:r>
        <w:rPr>
          <w:rFonts w:hint="eastAsia"/>
          <w:color w:val="auto"/>
        </w:rPr>
        <w:drawing>
          <wp:anchor distT="0" distB="0" distL="114300" distR="114300" simplePos="0" relativeHeight="251667456" behindDoc="0" locked="0" layoutInCell="1" allowOverlap="1">
            <wp:simplePos x="0" y="0"/>
            <wp:positionH relativeFrom="column">
              <wp:posOffset>2532380</wp:posOffset>
            </wp:positionH>
            <wp:positionV relativeFrom="paragraph">
              <wp:posOffset>47625</wp:posOffset>
            </wp:positionV>
            <wp:extent cx="657860" cy="476250"/>
            <wp:effectExtent l="0" t="0" r="8890" b="0"/>
            <wp:wrapNone/>
            <wp:docPr id="15" name="图片 15"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尚昊 标"/>
                    <pic:cNvPicPr>
                      <a:picLocks noChangeAspect="1"/>
                    </pic:cNvPicPr>
                  </pic:nvPicPr>
                  <pic:blipFill>
                    <a:blip r:embed="rId26"/>
                    <a:stretch>
                      <a:fillRect/>
                    </a:stretch>
                  </pic:blipFill>
                  <pic:spPr>
                    <a:xfrm>
                      <a:off x="0" y="0"/>
                      <a:ext cx="657860" cy="476250"/>
                    </a:xfrm>
                    <a:prstGeom prst="rect">
                      <a:avLst/>
                    </a:prstGeom>
                  </pic:spPr>
                </pic:pic>
              </a:graphicData>
            </a:graphic>
          </wp:anchor>
        </w:drawing>
      </w:r>
    </w:p>
    <w:p w14:paraId="27381CA8">
      <w:pPr>
        <w:pStyle w:val="23"/>
        <w:rPr>
          <w:color w:val="auto"/>
        </w:rPr>
      </w:pPr>
    </w:p>
    <w:p w14:paraId="572382E5">
      <w:pPr>
        <w:spacing w:line="440" w:lineRule="exact"/>
        <w:rPr>
          <w:color w:val="auto"/>
          <w:sz w:val="32"/>
          <w:szCs w:val="32"/>
        </w:rPr>
      </w:pPr>
      <w:r>
        <w:rPr>
          <w:rFonts w:hint="eastAsia"/>
          <w:color w:val="auto"/>
          <w:sz w:val="32"/>
          <w:szCs w:val="32"/>
        </w:rPr>
        <w:t>安康尚昊招标代理有限公司</w:t>
      </w:r>
    </w:p>
    <w:p w14:paraId="21286A54">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Kp9jT&#10;AAAABgEAAA8AAAAAAAAAAQAgAAAAIgAAAGRycy9kb3ducmV2LnhtbFBLAQIUABQAAAAIAIdO4kD7&#10;0hfG7AEAANkDAAAOAAAAAAAAAAEAIAAAACIBAABkcnMvZTJvRG9jLnhtbFBLBQYAAAAABgAGAFkB&#10;AACABQAAAAA=&#10;">
                <v:fill on="f" focussize="0,0"/>
                <v:stroke weight="1.5pt" color="#000000" joinstyle="round"/>
                <v:imagedata o:title=""/>
                <o:lock v:ext="edit" aspectratio="f"/>
              </v:line>
            </w:pict>
          </mc:Fallback>
        </mc:AlternateContent>
      </w:r>
    </w:p>
    <w:p w14:paraId="6EFB4668">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982331336"/>
        </w:rPr>
        <w:t xml:space="preserve">地    </w:t>
      </w:r>
      <w:r>
        <w:rPr>
          <w:rFonts w:hint="eastAsia" w:hAnsi="宋体"/>
          <w:color w:val="auto"/>
          <w:spacing w:val="0"/>
          <w:kern w:val="0"/>
          <w:sz w:val="24"/>
          <w:szCs w:val="24"/>
          <w:fitText w:val="1050" w:id="982331336"/>
        </w:rPr>
        <w:t>址</w:t>
      </w:r>
      <w:r>
        <w:rPr>
          <w:rFonts w:hint="eastAsia" w:hAnsi="宋体"/>
          <w:color w:val="auto"/>
          <w:spacing w:val="-6"/>
          <w:sz w:val="24"/>
          <w:szCs w:val="24"/>
        </w:rPr>
        <w:t>：安康市高新区高新观澜8幢2单元801室</w:t>
      </w:r>
    </w:p>
    <w:p w14:paraId="090A00DB">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1A72DAA">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：13991519725</w:t>
      </w:r>
    </w:p>
    <w:p w14:paraId="0FC97798">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21E776D7">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222FDA54">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MgqWErsAQAA2QMAAA4AAABkcnMvZTJvRG9jLnhtbK1TvY4TMRDu&#10;kXgHyz3ZTdA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unz2bTmjQXd2fVfWKI&#10;mF4pb1k2Wm60y5yhgd1rTFSMQu9Csts4NtDcvqgvMh7QBHZ082TaQCzQbUsyeqPltTYmp2Dcbq5M&#10;ZDvIU1C+zImA/wrLVVaA/RhXjsb56BXIl06ydAikj6NnwXMPVknOjKJXlC0ChCaBNudEUmnjqIMs&#10;6yhktjZeHoq+xU83Xno8TmceqT/3Jfv+R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1gLT&#10;AAAABgEAAA8AAAAAAAAAAQAgAAAAIgAAAGRycy9kb3ducmV2LnhtbFBLAQIUABQAAAAIAIdO4kDI&#10;KlhK7AEAANkDAAAOAAAAAAAAAAEAIAAAACIBAABkcnMvZTJvRG9jLnhtbFBLBQYAAAAABgAGAFkB&#10;AACABQAAAAA=&#10;">
                <v:fill on="f" focussize="0,0"/>
                <v:stroke weight="1.5pt" color="#000000" joinstyle="round"/>
                <v:imagedata o:title=""/>
                <o:lock v:ext="edit" aspectratio="f"/>
              </v:line>
            </w:pict>
          </mc:Fallback>
        </mc:AlternateContent>
      </w:r>
    </w:p>
    <w:p w14:paraId="33EC508C">
      <w:pPr>
        <w:pStyle w:val="103"/>
        <w:ind w:firstLine="420"/>
        <w:rPr>
          <w:color w:val="auto"/>
        </w:rPr>
      </w:pPr>
    </w:p>
    <w:p w14:paraId="0A6EDC4D">
      <w:pPr>
        <w:spacing w:line="20" w:lineRule="exact"/>
        <w:rPr>
          <w:color w:val="auto"/>
        </w:rPr>
      </w:pPr>
    </w:p>
    <w:sectPr>
      <w:footerReference r:id="rId24" w:type="first"/>
      <w:footerReference r:id="rId23" w:type="default"/>
      <w:pgSz w:w="11906" w:h="16838"/>
      <w:pgMar w:top="1417" w:right="1417" w:bottom="1417" w:left="1417" w:header="1134" w:footer="992" w:gutter="0"/>
      <w:pgNumType w:fmt="decimal"/>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CC96">
    <w:pPr>
      <w:pStyle w:val="23"/>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E6A3">
    <w:pPr>
      <w:pStyle w:val="23"/>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E5749">
                          <w:pPr>
                            <w:pStyle w:val="23"/>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4E5749">
                    <w:pPr>
                      <w:pStyle w:val="23"/>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v:textbox>
            </v:shape>
          </w:pict>
        </mc:Fallback>
      </mc:AlternateContent>
    </w:r>
    <w:r>
      <w:tab/>
    </w:r>
  </w:p>
  <w:p w14:paraId="348276B3">
    <w:pPr>
      <w:pStyle w:val="23"/>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DC1F">
    <w:pPr>
      <w:pStyle w:val="23"/>
      <w:tabs>
        <w:tab w:val="center" w:pos="4819"/>
        <w:tab w:val="left" w:pos="7440"/>
      </w:tabs>
      <w:jc w:val="center"/>
      <w:rPr>
        <w:rFonts w:ascii="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559D6">
                          <w:pPr>
                            <w:pStyle w:val="23"/>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559D6">
                    <w:pPr>
                      <w:pStyle w:val="23"/>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52</w:t>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2027">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BA4EE">
                          <w:pPr>
                            <w:pStyle w:val="23"/>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9BA4EE">
                    <w:pPr>
                      <w:pStyle w:val="23"/>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4222">
    <w:pPr>
      <w:pStyle w:val="23"/>
      <w:tabs>
        <w:tab w:val="center" w:pos="4819"/>
        <w:tab w:val="left" w:pos="7440"/>
      </w:tabs>
    </w:pPr>
    <w:r>
      <w:tab/>
    </w:r>
  </w:p>
  <w:p w14:paraId="7CBF6A3F">
    <w:pPr>
      <w:pStyle w:val="23"/>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0CEF">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00B1">
    <w:pPr>
      <w:pStyle w:val="23"/>
      <w:tabs>
        <w:tab w:val="center" w:pos="4819"/>
        <w:tab w:val="left" w:pos="7440"/>
      </w:tabs>
    </w:pPr>
    <w:r>
      <w:tab/>
    </w:r>
  </w:p>
  <w:p w14:paraId="3F7463FF">
    <w:pPr>
      <w:pStyle w:val="23"/>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56AD">
    <w:pPr>
      <w:pStyle w:val="23"/>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8EF6">
    <w:pPr>
      <w:pStyle w:val="23"/>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CDB96">
                          <w:pPr>
                            <w:pStyle w:val="2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CDB96">
                    <w:pPr>
                      <w:pStyle w:val="2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52</w:t>
                    </w:r>
                    <w:r>
                      <w:t xml:space="preserve"> 页</w:t>
                    </w:r>
                  </w:p>
                </w:txbxContent>
              </v:textbox>
            </v:shape>
          </w:pict>
        </mc:Fallback>
      </mc:AlternateContent>
    </w:r>
    <w:r>
      <w:tab/>
    </w:r>
  </w:p>
  <w:p w14:paraId="5ECC928F">
    <w:pPr>
      <w:pStyle w:val="23"/>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13F8">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8801A">
                          <w:pPr>
                            <w:pStyle w:val="2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C8801A">
                    <w:pPr>
                      <w:pStyle w:val="2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23C1">
    <w:pPr>
      <w:pStyle w:val="23"/>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7B4E5">
                          <w:pPr>
                            <w:pStyle w:val="23"/>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B7B4E5">
                    <w:pPr>
                      <w:pStyle w:val="23"/>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52</w:t>
                    </w:r>
                    <w:r>
                      <w:t xml:space="preserve"> 页</w:t>
                    </w:r>
                  </w:p>
                </w:txbxContent>
              </v:textbox>
            </v:shape>
          </w:pict>
        </mc:Fallback>
      </mc:AlternateContent>
    </w:r>
    <w:r>
      <w:tab/>
    </w:r>
  </w:p>
  <w:p w14:paraId="44C4023F">
    <w:pPr>
      <w:pStyle w:val="23"/>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CE32">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F8341">
                          <w:pPr>
                            <w:pStyle w:val="23"/>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3F8341">
                    <w:pPr>
                      <w:pStyle w:val="23"/>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52</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88A7">
    <w:pPr>
      <w:pStyle w:val="2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BD947">
                          <w:pPr>
                            <w:pStyle w:val="23"/>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2BD947">
                    <w:pPr>
                      <w:pStyle w:val="23"/>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7C79">
    <w:pPr>
      <w:pStyle w:val="2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E906D">
                          <w:pPr>
                            <w:pStyle w:val="23"/>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1E906D">
                    <w:pPr>
                      <w:pStyle w:val="23"/>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13DC">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73E4">
    <w:pPr>
      <w:pStyle w:val="24"/>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B448">
    <w:pPr>
      <w:pStyle w:val="24"/>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安康市中医医院高新分院夏季空调维保服务采购项目（二次）</w:t>
    </w:r>
    <w:r>
      <w:rPr>
        <w:rFonts w:hint="eastAsia" w:ascii="宋体" w:hAnsi="宋体" w:cs="宋体"/>
        <w:sz w:val="21"/>
        <w:szCs w:val="21"/>
        <w:u w:val="single"/>
      </w:rPr>
      <w:t xml:space="preserve">          项目编号：</w:t>
    </w:r>
    <w:r>
      <w:rPr>
        <w:rFonts w:hint="eastAsia" w:ascii="宋体" w:hAnsi="宋体" w:cs="宋体"/>
        <w:sz w:val="21"/>
        <w:szCs w:val="21"/>
        <w:u w:val="single"/>
        <w:lang w:eastAsia="zh-CN"/>
      </w:rPr>
      <w:t>AKSH2025-ZCS-044-2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84B2">
    <w:pPr>
      <w:pStyle w:val="24"/>
      <w:pBdr>
        <w:bottom w:val="none" w:color="auto" w:sz="0" w:space="1"/>
      </w:pBdr>
      <w:jc w:val="both"/>
      <w:rPr>
        <w:rFonts w:hint="default" w:ascii="宋体" w:hAnsi="宋体" w:cs="宋体"/>
        <w:sz w:val="21"/>
        <w:szCs w:val="21"/>
        <w:u w:val="single"/>
        <w:lang w:val="en-US"/>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安康市中医医院高新分院夏季空调维保服务采购项目（二次）</w:t>
    </w:r>
    <w:r>
      <w:rPr>
        <w:rFonts w:hint="eastAsia" w:ascii="宋体" w:hAnsi="宋体" w:cs="宋体"/>
        <w:sz w:val="21"/>
        <w:szCs w:val="21"/>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C6E9">
    <w:pPr>
      <w:pStyle w:val="24"/>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安康市中医医院高新分院夏季空调维保服务采购项目（二次）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F41D">
    <w:pPr>
      <w:pStyle w:val="24"/>
      <w:pBdr>
        <w:bottom w:val="none" w:color="auto" w:sz="0" w:space="1"/>
      </w:pBdr>
      <w:jc w:val="both"/>
      <w:rPr>
        <w:rFonts w:ascii="宋体" w:hAnsi="宋体" w:cs="宋体"/>
        <w:sz w:val="21"/>
        <w:szCs w:val="21"/>
        <w:u w:val="single"/>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安康市中医医院高新分院夏季空调维保服务采购项目（二次）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B91C">
    <w:pPr>
      <w:pStyle w:val="24"/>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安康市中医医院高新分院夏季空调维保服务采购项目（二次）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3EF0">
    <w:pPr>
      <w:pStyle w:val="24"/>
      <w:pBdr>
        <w:bottom w:val="none" w:color="auto" w:sz="0" w:space="1"/>
      </w:pBdr>
      <w:jc w:val="both"/>
      <w:rPr>
        <w:rFonts w:hint="eastAsia" w:eastAsia="宋体"/>
        <w:lang w:eastAsia="zh-CN"/>
      </w:rPr>
    </w:pPr>
    <w:bookmarkStart w:id="204" w:name="OLE_LINK2"/>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安康市中医医院高新分院夏季空调维保服务采购项目（二次）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bookmarkEnd w:id="20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E72C7A"/>
    <w:multiLevelType w:val="singleLevel"/>
    <w:tmpl w:val="29E72C7A"/>
    <w:lvl w:ilvl="0" w:tentative="0">
      <w:start w:val="4"/>
      <w:numFmt w:val="chineseCounting"/>
      <w:suff w:val="space"/>
      <w:lvlText w:val="第%1章"/>
      <w:lvlJc w:val="left"/>
      <w:rPr>
        <w:rFonts w:hint="eastAsia"/>
      </w:rPr>
    </w:lvl>
  </w:abstractNum>
  <w:abstractNum w:abstractNumId="3">
    <w:nsid w:val="4474AEEA"/>
    <w:multiLevelType w:val="singleLevel"/>
    <w:tmpl w:val="4474AEEA"/>
    <w:lvl w:ilvl="0" w:tentative="0">
      <w:start w:val="1"/>
      <w:numFmt w:val="chineseCounting"/>
      <w:suff w:val="nothing"/>
      <w:lvlText w:val="（%1）"/>
      <w:lvlJc w:val="left"/>
      <w:rPr>
        <w:rFonts w:hint="eastAsia"/>
      </w:rPr>
    </w:lvl>
  </w:abstractNum>
  <w:abstractNum w:abstractNumId="4">
    <w:nsid w:val="4B56F256"/>
    <w:multiLevelType w:val="singleLevel"/>
    <w:tmpl w:val="4B56F256"/>
    <w:lvl w:ilvl="0" w:tentative="0">
      <w:start w:val="5"/>
      <w:numFmt w:val="decimal"/>
      <w:lvlText w:val="%1."/>
      <w:lvlJc w:val="left"/>
      <w:pPr>
        <w:tabs>
          <w:tab w:val="left" w:pos="312"/>
        </w:tabs>
      </w:pPr>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7F62D675"/>
    <w:multiLevelType w:val="singleLevel"/>
    <w:tmpl w:val="7F62D675"/>
    <w:lvl w:ilvl="0" w:tentative="0">
      <w:start w:val="1"/>
      <w:numFmt w:val="decimal"/>
      <w:lvlText w:val="%1."/>
      <w:lvlJc w:val="left"/>
      <w:pPr>
        <w:tabs>
          <w:tab w:val="left" w:pos="312"/>
        </w:tabs>
      </w:pPr>
    </w:lvl>
  </w:abstractNum>
  <w:num w:numId="1">
    <w:abstractNumId w:val="1"/>
  </w:num>
  <w:num w:numId="2">
    <w:abstractNumId w:val="5"/>
  </w:num>
  <w:num w:numId="3">
    <w:abstractNumId w:val="6"/>
  </w:num>
  <w:num w:numId="4">
    <w:abstractNumId w:val="7"/>
  </w:num>
  <w:num w:numId="5">
    <w:abstractNumId w:val="3"/>
  </w:num>
  <w:num w:numId="6">
    <w:abstractNumId w:val="0"/>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dit="forms" w:formatting="1" w:enforcement="1" w:cryptProviderType="rsaFull" w:cryptAlgorithmClass="hash" w:cryptAlgorithmType="typeAny" w:cryptAlgorithmSid="4" w:cryptSpinCount="0" w:hash="d3H+5NEStycdbCo9eWG4RAR0WFM=" w:salt="hYyCy4hRtT3rQyNeCafIKA=="/>
  <w:defaultTabStop w:val="420"/>
  <w:doNotHyphenateCaps/>
  <w:drawingGridHorizontalSpacing w:val="21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3D89"/>
    <w:rsid w:val="00004BA7"/>
    <w:rsid w:val="00005B32"/>
    <w:rsid w:val="00010EA2"/>
    <w:rsid w:val="00015CE5"/>
    <w:rsid w:val="0001630B"/>
    <w:rsid w:val="00016924"/>
    <w:rsid w:val="000215F9"/>
    <w:rsid w:val="0002193F"/>
    <w:rsid w:val="000251B2"/>
    <w:rsid w:val="000354E9"/>
    <w:rsid w:val="00040CAE"/>
    <w:rsid w:val="0005257D"/>
    <w:rsid w:val="0005463B"/>
    <w:rsid w:val="00056A18"/>
    <w:rsid w:val="0006270F"/>
    <w:rsid w:val="0006767E"/>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22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45A5B"/>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035"/>
    <w:rsid w:val="00642F93"/>
    <w:rsid w:val="006657C9"/>
    <w:rsid w:val="006739A1"/>
    <w:rsid w:val="00675301"/>
    <w:rsid w:val="00676150"/>
    <w:rsid w:val="0068208A"/>
    <w:rsid w:val="006852A3"/>
    <w:rsid w:val="00686E29"/>
    <w:rsid w:val="00691EC3"/>
    <w:rsid w:val="00696FBA"/>
    <w:rsid w:val="006A2AC7"/>
    <w:rsid w:val="006A2D96"/>
    <w:rsid w:val="006A3734"/>
    <w:rsid w:val="006B38D0"/>
    <w:rsid w:val="006C4563"/>
    <w:rsid w:val="006D079F"/>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94C43"/>
    <w:rsid w:val="007A16A6"/>
    <w:rsid w:val="007A2512"/>
    <w:rsid w:val="007A36C0"/>
    <w:rsid w:val="007A69BE"/>
    <w:rsid w:val="007B2B77"/>
    <w:rsid w:val="007B6B64"/>
    <w:rsid w:val="007B6BCF"/>
    <w:rsid w:val="007B6D05"/>
    <w:rsid w:val="007C18C2"/>
    <w:rsid w:val="007C1CAA"/>
    <w:rsid w:val="007C7DEA"/>
    <w:rsid w:val="007D00DF"/>
    <w:rsid w:val="007E3909"/>
    <w:rsid w:val="007E552D"/>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2EB"/>
    <w:rsid w:val="00870EAE"/>
    <w:rsid w:val="008710F1"/>
    <w:rsid w:val="00876563"/>
    <w:rsid w:val="008839DC"/>
    <w:rsid w:val="00885D6D"/>
    <w:rsid w:val="008866C0"/>
    <w:rsid w:val="00887D1E"/>
    <w:rsid w:val="00891290"/>
    <w:rsid w:val="008962A7"/>
    <w:rsid w:val="00897D92"/>
    <w:rsid w:val="008A0975"/>
    <w:rsid w:val="008A367A"/>
    <w:rsid w:val="008B2891"/>
    <w:rsid w:val="008B3BC3"/>
    <w:rsid w:val="008B7CA5"/>
    <w:rsid w:val="008C08F3"/>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3AE7"/>
    <w:rsid w:val="00954CF1"/>
    <w:rsid w:val="00956521"/>
    <w:rsid w:val="00962505"/>
    <w:rsid w:val="00964B6E"/>
    <w:rsid w:val="0096516F"/>
    <w:rsid w:val="0096641E"/>
    <w:rsid w:val="00967538"/>
    <w:rsid w:val="0097045D"/>
    <w:rsid w:val="0097134B"/>
    <w:rsid w:val="009729CB"/>
    <w:rsid w:val="00983FAD"/>
    <w:rsid w:val="0098589A"/>
    <w:rsid w:val="009859B0"/>
    <w:rsid w:val="0099232E"/>
    <w:rsid w:val="009935A5"/>
    <w:rsid w:val="009A4A76"/>
    <w:rsid w:val="009A6B98"/>
    <w:rsid w:val="009A77A9"/>
    <w:rsid w:val="009B5F0C"/>
    <w:rsid w:val="009C0F48"/>
    <w:rsid w:val="009C28C6"/>
    <w:rsid w:val="009C52D9"/>
    <w:rsid w:val="009C65C7"/>
    <w:rsid w:val="009D4358"/>
    <w:rsid w:val="009D657F"/>
    <w:rsid w:val="009D6BDA"/>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AE9"/>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3826"/>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C4D0A"/>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6BF8"/>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730A5"/>
    <w:rsid w:val="013A223F"/>
    <w:rsid w:val="0141481B"/>
    <w:rsid w:val="01525A0A"/>
    <w:rsid w:val="01630F53"/>
    <w:rsid w:val="016A454D"/>
    <w:rsid w:val="016D50E6"/>
    <w:rsid w:val="017D3840"/>
    <w:rsid w:val="018E640A"/>
    <w:rsid w:val="01920D21"/>
    <w:rsid w:val="01AC2FBF"/>
    <w:rsid w:val="01AD1AAE"/>
    <w:rsid w:val="01D86994"/>
    <w:rsid w:val="01DA363D"/>
    <w:rsid w:val="01EE19B6"/>
    <w:rsid w:val="01F90F7C"/>
    <w:rsid w:val="01FD1152"/>
    <w:rsid w:val="020600F6"/>
    <w:rsid w:val="02064B47"/>
    <w:rsid w:val="022D433C"/>
    <w:rsid w:val="023C7D0C"/>
    <w:rsid w:val="023F763D"/>
    <w:rsid w:val="02590F24"/>
    <w:rsid w:val="02854F8C"/>
    <w:rsid w:val="028A67B7"/>
    <w:rsid w:val="02906142"/>
    <w:rsid w:val="02BA4D88"/>
    <w:rsid w:val="02BA6C1F"/>
    <w:rsid w:val="02C56FBB"/>
    <w:rsid w:val="02CB14A4"/>
    <w:rsid w:val="02D06F2C"/>
    <w:rsid w:val="02D3498C"/>
    <w:rsid w:val="02D37EB0"/>
    <w:rsid w:val="02D533B3"/>
    <w:rsid w:val="02E57ADC"/>
    <w:rsid w:val="02F61685"/>
    <w:rsid w:val="02FA17E2"/>
    <w:rsid w:val="02FD5BFC"/>
    <w:rsid w:val="02FE73C3"/>
    <w:rsid w:val="030A0C9E"/>
    <w:rsid w:val="03123218"/>
    <w:rsid w:val="03442ED4"/>
    <w:rsid w:val="034C725D"/>
    <w:rsid w:val="0358398D"/>
    <w:rsid w:val="03720CB3"/>
    <w:rsid w:val="037E5DCB"/>
    <w:rsid w:val="03963471"/>
    <w:rsid w:val="03990B73"/>
    <w:rsid w:val="03A27284"/>
    <w:rsid w:val="03C10C9F"/>
    <w:rsid w:val="03C14100"/>
    <w:rsid w:val="03C921C1"/>
    <w:rsid w:val="03CA29C7"/>
    <w:rsid w:val="03FD053E"/>
    <w:rsid w:val="040B7728"/>
    <w:rsid w:val="0411533A"/>
    <w:rsid w:val="042A0462"/>
    <w:rsid w:val="04536164"/>
    <w:rsid w:val="0459572E"/>
    <w:rsid w:val="04B17441"/>
    <w:rsid w:val="04CB26A7"/>
    <w:rsid w:val="04CD0688"/>
    <w:rsid w:val="04CD34EE"/>
    <w:rsid w:val="04D502BA"/>
    <w:rsid w:val="04DF4866"/>
    <w:rsid w:val="04F06D3D"/>
    <w:rsid w:val="04FF39AD"/>
    <w:rsid w:val="050047DB"/>
    <w:rsid w:val="050438CD"/>
    <w:rsid w:val="050E77DB"/>
    <w:rsid w:val="052B0940"/>
    <w:rsid w:val="053973B5"/>
    <w:rsid w:val="05402991"/>
    <w:rsid w:val="054E1CE0"/>
    <w:rsid w:val="056C728C"/>
    <w:rsid w:val="057A7F6E"/>
    <w:rsid w:val="05CA380B"/>
    <w:rsid w:val="05D137D6"/>
    <w:rsid w:val="05D71396"/>
    <w:rsid w:val="05E73C3B"/>
    <w:rsid w:val="05FA123D"/>
    <w:rsid w:val="05FB4E02"/>
    <w:rsid w:val="05FF224E"/>
    <w:rsid w:val="060454DB"/>
    <w:rsid w:val="06110D47"/>
    <w:rsid w:val="063F6A07"/>
    <w:rsid w:val="064055CE"/>
    <w:rsid w:val="065110EC"/>
    <w:rsid w:val="065A46B0"/>
    <w:rsid w:val="065B3B93"/>
    <w:rsid w:val="066D1D57"/>
    <w:rsid w:val="06AE0265"/>
    <w:rsid w:val="06B12629"/>
    <w:rsid w:val="06BD3616"/>
    <w:rsid w:val="06BE30D0"/>
    <w:rsid w:val="06CD112D"/>
    <w:rsid w:val="06D15B14"/>
    <w:rsid w:val="06DC7813"/>
    <w:rsid w:val="06E56C12"/>
    <w:rsid w:val="06E81FA4"/>
    <w:rsid w:val="070B3D9D"/>
    <w:rsid w:val="07224610"/>
    <w:rsid w:val="072B0A4F"/>
    <w:rsid w:val="073278A0"/>
    <w:rsid w:val="073E5E68"/>
    <w:rsid w:val="07433EF7"/>
    <w:rsid w:val="07610E7C"/>
    <w:rsid w:val="07621A18"/>
    <w:rsid w:val="076808B4"/>
    <w:rsid w:val="077166EC"/>
    <w:rsid w:val="077965D0"/>
    <w:rsid w:val="07836EDF"/>
    <w:rsid w:val="07892C9E"/>
    <w:rsid w:val="07997C89"/>
    <w:rsid w:val="07A9711F"/>
    <w:rsid w:val="07B241D3"/>
    <w:rsid w:val="07DF3D76"/>
    <w:rsid w:val="07E562BD"/>
    <w:rsid w:val="07FC0B21"/>
    <w:rsid w:val="07FC0D88"/>
    <w:rsid w:val="08145F16"/>
    <w:rsid w:val="08366DA4"/>
    <w:rsid w:val="08404F36"/>
    <w:rsid w:val="08452820"/>
    <w:rsid w:val="087D1536"/>
    <w:rsid w:val="089E6E52"/>
    <w:rsid w:val="08B16FB6"/>
    <w:rsid w:val="08DA2D14"/>
    <w:rsid w:val="08E53CD3"/>
    <w:rsid w:val="08E74CA6"/>
    <w:rsid w:val="08E95814"/>
    <w:rsid w:val="090360D7"/>
    <w:rsid w:val="090A42F6"/>
    <w:rsid w:val="092266DC"/>
    <w:rsid w:val="09271A18"/>
    <w:rsid w:val="09442803"/>
    <w:rsid w:val="0949327F"/>
    <w:rsid w:val="094D1E21"/>
    <w:rsid w:val="09560FD7"/>
    <w:rsid w:val="095D32ED"/>
    <w:rsid w:val="097A7578"/>
    <w:rsid w:val="097D251D"/>
    <w:rsid w:val="09810619"/>
    <w:rsid w:val="099106B6"/>
    <w:rsid w:val="09913C41"/>
    <w:rsid w:val="09A52E1C"/>
    <w:rsid w:val="09A9060C"/>
    <w:rsid w:val="09C30A93"/>
    <w:rsid w:val="09CF513B"/>
    <w:rsid w:val="09D65B51"/>
    <w:rsid w:val="09E25AD9"/>
    <w:rsid w:val="09E779CE"/>
    <w:rsid w:val="09EA213D"/>
    <w:rsid w:val="0A010578"/>
    <w:rsid w:val="0A0976BB"/>
    <w:rsid w:val="0A1E12A6"/>
    <w:rsid w:val="0A2D0142"/>
    <w:rsid w:val="0A3E3F88"/>
    <w:rsid w:val="0A672A35"/>
    <w:rsid w:val="0A706A46"/>
    <w:rsid w:val="0A891706"/>
    <w:rsid w:val="0A982836"/>
    <w:rsid w:val="0A9C61F8"/>
    <w:rsid w:val="0ABA57A8"/>
    <w:rsid w:val="0AC32834"/>
    <w:rsid w:val="0AEE50E0"/>
    <w:rsid w:val="0AFC5610"/>
    <w:rsid w:val="0B14133A"/>
    <w:rsid w:val="0B2F31E8"/>
    <w:rsid w:val="0B565626"/>
    <w:rsid w:val="0B5D1A85"/>
    <w:rsid w:val="0B5D1E36"/>
    <w:rsid w:val="0B651A2B"/>
    <w:rsid w:val="0BB5243F"/>
    <w:rsid w:val="0BCF1A6D"/>
    <w:rsid w:val="0BED26A5"/>
    <w:rsid w:val="0BEE4F68"/>
    <w:rsid w:val="0BEF7DA3"/>
    <w:rsid w:val="0BF91A7F"/>
    <w:rsid w:val="0BFB3BB6"/>
    <w:rsid w:val="0C0A394D"/>
    <w:rsid w:val="0C200572"/>
    <w:rsid w:val="0C3D5924"/>
    <w:rsid w:val="0C4A5A7C"/>
    <w:rsid w:val="0C5F0865"/>
    <w:rsid w:val="0C605AD8"/>
    <w:rsid w:val="0C7B690B"/>
    <w:rsid w:val="0C807692"/>
    <w:rsid w:val="0C9B2B46"/>
    <w:rsid w:val="0CA81750"/>
    <w:rsid w:val="0CB5191B"/>
    <w:rsid w:val="0CB6728F"/>
    <w:rsid w:val="0CE360B2"/>
    <w:rsid w:val="0CFD25BD"/>
    <w:rsid w:val="0D1F6213"/>
    <w:rsid w:val="0D452987"/>
    <w:rsid w:val="0D62596E"/>
    <w:rsid w:val="0D6C19EE"/>
    <w:rsid w:val="0D7B32BC"/>
    <w:rsid w:val="0D933F5C"/>
    <w:rsid w:val="0DA46170"/>
    <w:rsid w:val="0DA800E4"/>
    <w:rsid w:val="0DB25485"/>
    <w:rsid w:val="0DC7526D"/>
    <w:rsid w:val="0DCB40A1"/>
    <w:rsid w:val="0DE7465B"/>
    <w:rsid w:val="0E005C7A"/>
    <w:rsid w:val="0E0C42FA"/>
    <w:rsid w:val="0E381521"/>
    <w:rsid w:val="0E4D3106"/>
    <w:rsid w:val="0E7F7FCB"/>
    <w:rsid w:val="0E9C75AF"/>
    <w:rsid w:val="0EA91CC7"/>
    <w:rsid w:val="0EC875FE"/>
    <w:rsid w:val="0EDC5D28"/>
    <w:rsid w:val="0EE235F9"/>
    <w:rsid w:val="0EE36E7C"/>
    <w:rsid w:val="0EFD2AF6"/>
    <w:rsid w:val="0F03025E"/>
    <w:rsid w:val="0F1A17DC"/>
    <w:rsid w:val="0F1C13DE"/>
    <w:rsid w:val="0F323BCC"/>
    <w:rsid w:val="0F537409"/>
    <w:rsid w:val="0F79260C"/>
    <w:rsid w:val="0F987E27"/>
    <w:rsid w:val="0FA66BBA"/>
    <w:rsid w:val="0FA95318"/>
    <w:rsid w:val="0FAE784A"/>
    <w:rsid w:val="0FBB76E3"/>
    <w:rsid w:val="0FBE7AE4"/>
    <w:rsid w:val="0FC66DA3"/>
    <w:rsid w:val="0FC72972"/>
    <w:rsid w:val="0FE77623"/>
    <w:rsid w:val="100D394F"/>
    <w:rsid w:val="100E0796"/>
    <w:rsid w:val="10122E9C"/>
    <w:rsid w:val="10123CEB"/>
    <w:rsid w:val="10204FBD"/>
    <w:rsid w:val="10372E26"/>
    <w:rsid w:val="103966FB"/>
    <w:rsid w:val="103A4EAF"/>
    <w:rsid w:val="10460CC2"/>
    <w:rsid w:val="104F3B50"/>
    <w:rsid w:val="106C132D"/>
    <w:rsid w:val="108E6DDE"/>
    <w:rsid w:val="109B61CD"/>
    <w:rsid w:val="10A6243E"/>
    <w:rsid w:val="10AB38B0"/>
    <w:rsid w:val="10D80231"/>
    <w:rsid w:val="10DD209D"/>
    <w:rsid w:val="10FF1E8F"/>
    <w:rsid w:val="110D2C89"/>
    <w:rsid w:val="112C7AF5"/>
    <w:rsid w:val="1180102E"/>
    <w:rsid w:val="119963B1"/>
    <w:rsid w:val="11B361D3"/>
    <w:rsid w:val="11BB4D58"/>
    <w:rsid w:val="11BB6630"/>
    <w:rsid w:val="11BF4CAB"/>
    <w:rsid w:val="11C7593B"/>
    <w:rsid w:val="11EF6F34"/>
    <w:rsid w:val="12134735"/>
    <w:rsid w:val="1217313B"/>
    <w:rsid w:val="122E2D61"/>
    <w:rsid w:val="12340E2D"/>
    <w:rsid w:val="12793BBE"/>
    <w:rsid w:val="127A31E0"/>
    <w:rsid w:val="127F1866"/>
    <w:rsid w:val="12802B6B"/>
    <w:rsid w:val="128C33F4"/>
    <w:rsid w:val="12A957E0"/>
    <w:rsid w:val="131C06AC"/>
    <w:rsid w:val="133A4EB7"/>
    <w:rsid w:val="13441D7E"/>
    <w:rsid w:val="1345554B"/>
    <w:rsid w:val="13487675"/>
    <w:rsid w:val="135618C9"/>
    <w:rsid w:val="136B6621"/>
    <w:rsid w:val="137447B2"/>
    <w:rsid w:val="13830E2C"/>
    <w:rsid w:val="138D11BC"/>
    <w:rsid w:val="138E1A23"/>
    <w:rsid w:val="13992EB6"/>
    <w:rsid w:val="139D2FCC"/>
    <w:rsid w:val="13AF1F58"/>
    <w:rsid w:val="13C61B7D"/>
    <w:rsid w:val="13D03611"/>
    <w:rsid w:val="13D84C83"/>
    <w:rsid w:val="13DD49EF"/>
    <w:rsid w:val="13EA285B"/>
    <w:rsid w:val="14074063"/>
    <w:rsid w:val="140D7D73"/>
    <w:rsid w:val="14116779"/>
    <w:rsid w:val="142468C7"/>
    <w:rsid w:val="143321B1"/>
    <w:rsid w:val="143B2E41"/>
    <w:rsid w:val="143C08C2"/>
    <w:rsid w:val="143C5260"/>
    <w:rsid w:val="147F6DAD"/>
    <w:rsid w:val="149C20CC"/>
    <w:rsid w:val="14A12650"/>
    <w:rsid w:val="14AA5673"/>
    <w:rsid w:val="14AF4B49"/>
    <w:rsid w:val="14B41673"/>
    <w:rsid w:val="14C64FA3"/>
    <w:rsid w:val="14CD1555"/>
    <w:rsid w:val="14E868B9"/>
    <w:rsid w:val="14F13F0D"/>
    <w:rsid w:val="14F75772"/>
    <w:rsid w:val="14F838A9"/>
    <w:rsid w:val="14FF6402"/>
    <w:rsid w:val="150C5718"/>
    <w:rsid w:val="15273101"/>
    <w:rsid w:val="153E2DB6"/>
    <w:rsid w:val="15420170"/>
    <w:rsid w:val="15550B09"/>
    <w:rsid w:val="155550C1"/>
    <w:rsid w:val="15576ACE"/>
    <w:rsid w:val="155B3298"/>
    <w:rsid w:val="15655DA6"/>
    <w:rsid w:val="1568217F"/>
    <w:rsid w:val="157306F8"/>
    <w:rsid w:val="15761223"/>
    <w:rsid w:val="15784E47"/>
    <w:rsid w:val="158C14E9"/>
    <w:rsid w:val="158D6F6A"/>
    <w:rsid w:val="159517A5"/>
    <w:rsid w:val="159A07FF"/>
    <w:rsid w:val="15A74B21"/>
    <w:rsid w:val="15D27F83"/>
    <w:rsid w:val="15DC4AEB"/>
    <w:rsid w:val="15E23CA8"/>
    <w:rsid w:val="15EE0289"/>
    <w:rsid w:val="15FA6095"/>
    <w:rsid w:val="161271C4"/>
    <w:rsid w:val="161A5018"/>
    <w:rsid w:val="164F7029"/>
    <w:rsid w:val="166127C6"/>
    <w:rsid w:val="166B3507"/>
    <w:rsid w:val="166C32BB"/>
    <w:rsid w:val="16A37A9D"/>
    <w:rsid w:val="16AF0347"/>
    <w:rsid w:val="16C2284B"/>
    <w:rsid w:val="16CB423B"/>
    <w:rsid w:val="16FC471D"/>
    <w:rsid w:val="17062F69"/>
    <w:rsid w:val="170767D7"/>
    <w:rsid w:val="17381F07"/>
    <w:rsid w:val="17423544"/>
    <w:rsid w:val="17450DD5"/>
    <w:rsid w:val="1750480D"/>
    <w:rsid w:val="17575561"/>
    <w:rsid w:val="17656B71"/>
    <w:rsid w:val="1779199A"/>
    <w:rsid w:val="177D6416"/>
    <w:rsid w:val="17907B2D"/>
    <w:rsid w:val="179944DC"/>
    <w:rsid w:val="17A06173"/>
    <w:rsid w:val="17B56054"/>
    <w:rsid w:val="17C22E6D"/>
    <w:rsid w:val="17C4240D"/>
    <w:rsid w:val="17C5460C"/>
    <w:rsid w:val="17D662EB"/>
    <w:rsid w:val="17D908F6"/>
    <w:rsid w:val="17DA4A5F"/>
    <w:rsid w:val="17DF536C"/>
    <w:rsid w:val="17EA0C48"/>
    <w:rsid w:val="17F760DF"/>
    <w:rsid w:val="18120EEB"/>
    <w:rsid w:val="181254FA"/>
    <w:rsid w:val="18186614"/>
    <w:rsid w:val="18194096"/>
    <w:rsid w:val="182B6938"/>
    <w:rsid w:val="183C0DD2"/>
    <w:rsid w:val="183D0E38"/>
    <w:rsid w:val="18403F55"/>
    <w:rsid w:val="1841587E"/>
    <w:rsid w:val="18496DE3"/>
    <w:rsid w:val="18630E03"/>
    <w:rsid w:val="186F3E63"/>
    <w:rsid w:val="187857E7"/>
    <w:rsid w:val="187A2E35"/>
    <w:rsid w:val="187B19AA"/>
    <w:rsid w:val="18811F09"/>
    <w:rsid w:val="188321C6"/>
    <w:rsid w:val="18921717"/>
    <w:rsid w:val="1892798E"/>
    <w:rsid w:val="18A25EE0"/>
    <w:rsid w:val="18A474FD"/>
    <w:rsid w:val="18BE00A7"/>
    <w:rsid w:val="18FD1C93"/>
    <w:rsid w:val="190D3CF6"/>
    <w:rsid w:val="190E1B7D"/>
    <w:rsid w:val="191477B1"/>
    <w:rsid w:val="192F739D"/>
    <w:rsid w:val="193A1B55"/>
    <w:rsid w:val="1999328D"/>
    <w:rsid w:val="19C169D0"/>
    <w:rsid w:val="19D10924"/>
    <w:rsid w:val="19DC5DE9"/>
    <w:rsid w:val="19E42EEC"/>
    <w:rsid w:val="19ED4F8F"/>
    <w:rsid w:val="19FC4F49"/>
    <w:rsid w:val="1A1E247D"/>
    <w:rsid w:val="1A206E13"/>
    <w:rsid w:val="1A324F2D"/>
    <w:rsid w:val="1A3520BA"/>
    <w:rsid w:val="1A462475"/>
    <w:rsid w:val="1A574945"/>
    <w:rsid w:val="1A5A58C9"/>
    <w:rsid w:val="1A754C02"/>
    <w:rsid w:val="1AA30DFE"/>
    <w:rsid w:val="1AC06A39"/>
    <w:rsid w:val="1ACC4F36"/>
    <w:rsid w:val="1AF11218"/>
    <w:rsid w:val="1AF44A0B"/>
    <w:rsid w:val="1AF844CE"/>
    <w:rsid w:val="1AFC0863"/>
    <w:rsid w:val="1AFD0956"/>
    <w:rsid w:val="1B115D3C"/>
    <w:rsid w:val="1B1E0896"/>
    <w:rsid w:val="1B24030F"/>
    <w:rsid w:val="1B483F91"/>
    <w:rsid w:val="1B520060"/>
    <w:rsid w:val="1B5E3E72"/>
    <w:rsid w:val="1B614048"/>
    <w:rsid w:val="1B740D26"/>
    <w:rsid w:val="1B807337"/>
    <w:rsid w:val="1B943AD9"/>
    <w:rsid w:val="1BA36B65"/>
    <w:rsid w:val="1BA47C58"/>
    <w:rsid w:val="1BB80F43"/>
    <w:rsid w:val="1BC170B5"/>
    <w:rsid w:val="1BC5039F"/>
    <w:rsid w:val="1BC63CDD"/>
    <w:rsid w:val="1BC85289"/>
    <w:rsid w:val="1BDC02C0"/>
    <w:rsid w:val="1BEB4B83"/>
    <w:rsid w:val="1BF0529D"/>
    <w:rsid w:val="1C282642"/>
    <w:rsid w:val="1C380FA2"/>
    <w:rsid w:val="1C446BE5"/>
    <w:rsid w:val="1C6C70DC"/>
    <w:rsid w:val="1C6D0873"/>
    <w:rsid w:val="1C705992"/>
    <w:rsid w:val="1C915866"/>
    <w:rsid w:val="1C92426F"/>
    <w:rsid w:val="1CA26A88"/>
    <w:rsid w:val="1D07422E"/>
    <w:rsid w:val="1D385997"/>
    <w:rsid w:val="1D3C25C0"/>
    <w:rsid w:val="1D4A3A1E"/>
    <w:rsid w:val="1D584F32"/>
    <w:rsid w:val="1D5E31C4"/>
    <w:rsid w:val="1D604FC2"/>
    <w:rsid w:val="1D673AB8"/>
    <w:rsid w:val="1D6B0D1C"/>
    <w:rsid w:val="1D7025D9"/>
    <w:rsid w:val="1D724537"/>
    <w:rsid w:val="1D7942D2"/>
    <w:rsid w:val="1D804DF1"/>
    <w:rsid w:val="1D812873"/>
    <w:rsid w:val="1D8D5C15"/>
    <w:rsid w:val="1D946A32"/>
    <w:rsid w:val="1DA31A6F"/>
    <w:rsid w:val="1DB22E46"/>
    <w:rsid w:val="1DB51F23"/>
    <w:rsid w:val="1DC65199"/>
    <w:rsid w:val="1DE40399"/>
    <w:rsid w:val="1DE55082"/>
    <w:rsid w:val="1DEB7A42"/>
    <w:rsid w:val="1DF11C2D"/>
    <w:rsid w:val="1DF97E9A"/>
    <w:rsid w:val="1E1259E5"/>
    <w:rsid w:val="1E322697"/>
    <w:rsid w:val="1E3A7AA3"/>
    <w:rsid w:val="1E421B94"/>
    <w:rsid w:val="1E422931"/>
    <w:rsid w:val="1E5A1C2F"/>
    <w:rsid w:val="1E5E18A6"/>
    <w:rsid w:val="1E605592"/>
    <w:rsid w:val="1E7B3D90"/>
    <w:rsid w:val="1E832DAB"/>
    <w:rsid w:val="1E865B1A"/>
    <w:rsid w:val="1E9858BE"/>
    <w:rsid w:val="1EA0654E"/>
    <w:rsid w:val="1EA374D2"/>
    <w:rsid w:val="1EA44F54"/>
    <w:rsid w:val="1EBA70F8"/>
    <w:rsid w:val="1EC2624D"/>
    <w:rsid w:val="1EC331FD"/>
    <w:rsid w:val="1F1F3A24"/>
    <w:rsid w:val="1F206854"/>
    <w:rsid w:val="1F244EC9"/>
    <w:rsid w:val="1F2D6E0F"/>
    <w:rsid w:val="1F3A2C21"/>
    <w:rsid w:val="1F3D3E4E"/>
    <w:rsid w:val="1F5A3842"/>
    <w:rsid w:val="1F653CAD"/>
    <w:rsid w:val="1F6659C8"/>
    <w:rsid w:val="1F690A75"/>
    <w:rsid w:val="1F7977EE"/>
    <w:rsid w:val="1F895E51"/>
    <w:rsid w:val="1F9F1011"/>
    <w:rsid w:val="1FA060F1"/>
    <w:rsid w:val="1FA073B6"/>
    <w:rsid w:val="1FA712FF"/>
    <w:rsid w:val="1FB12B7F"/>
    <w:rsid w:val="20025D99"/>
    <w:rsid w:val="200A2C27"/>
    <w:rsid w:val="202645B9"/>
    <w:rsid w:val="203159E0"/>
    <w:rsid w:val="203A68C1"/>
    <w:rsid w:val="2054435F"/>
    <w:rsid w:val="206225DB"/>
    <w:rsid w:val="20670906"/>
    <w:rsid w:val="206E56D0"/>
    <w:rsid w:val="206E7A43"/>
    <w:rsid w:val="20731CCC"/>
    <w:rsid w:val="207C25DC"/>
    <w:rsid w:val="208E24F6"/>
    <w:rsid w:val="20A11517"/>
    <w:rsid w:val="20C06E4B"/>
    <w:rsid w:val="20C3636D"/>
    <w:rsid w:val="20D25569"/>
    <w:rsid w:val="20E03EA8"/>
    <w:rsid w:val="20EA2C10"/>
    <w:rsid w:val="20ED38FC"/>
    <w:rsid w:val="20FF7332"/>
    <w:rsid w:val="21053439"/>
    <w:rsid w:val="21186BD7"/>
    <w:rsid w:val="211D78B0"/>
    <w:rsid w:val="212154AC"/>
    <w:rsid w:val="212C10FB"/>
    <w:rsid w:val="212E72D0"/>
    <w:rsid w:val="21380A2B"/>
    <w:rsid w:val="213E32F0"/>
    <w:rsid w:val="2149131F"/>
    <w:rsid w:val="2149340F"/>
    <w:rsid w:val="214E43E5"/>
    <w:rsid w:val="21561F3F"/>
    <w:rsid w:val="21600B88"/>
    <w:rsid w:val="21AD61D1"/>
    <w:rsid w:val="21B53414"/>
    <w:rsid w:val="21E5038E"/>
    <w:rsid w:val="21E8206B"/>
    <w:rsid w:val="21EA14F4"/>
    <w:rsid w:val="221C0A03"/>
    <w:rsid w:val="222B101D"/>
    <w:rsid w:val="223E6CF8"/>
    <w:rsid w:val="2243364A"/>
    <w:rsid w:val="224E045E"/>
    <w:rsid w:val="226823A3"/>
    <w:rsid w:val="227C1E95"/>
    <w:rsid w:val="22873935"/>
    <w:rsid w:val="229226B8"/>
    <w:rsid w:val="22A73267"/>
    <w:rsid w:val="22AF5BBC"/>
    <w:rsid w:val="22C677C0"/>
    <w:rsid w:val="22CD1033"/>
    <w:rsid w:val="22DD3C85"/>
    <w:rsid w:val="22E25187"/>
    <w:rsid w:val="232102B1"/>
    <w:rsid w:val="236E03B0"/>
    <w:rsid w:val="23740A0F"/>
    <w:rsid w:val="23773046"/>
    <w:rsid w:val="23827050"/>
    <w:rsid w:val="238A31D0"/>
    <w:rsid w:val="23921869"/>
    <w:rsid w:val="239E3959"/>
    <w:rsid w:val="23A012D9"/>
    <w:rsid w:val="23A25387"/>
    <w:rsid w:val="23B1689B"/>
    <w:rsid w:val="23B42767"/>
    <w:rsid w:val="23B452A1"/>
    <w:rsid w:val="23CC074A"/>
    <w:rsid w:val="23E303FA"/>
    <w:rsid w:val="23EA577B"/>
    <w:rsid w:val="23EB5574"/>
    <w:rsid w:val="23F911BA"/>
    <w:rsid w:val="23FE56CB"/>
    <w:rsid w:val="240B1533"/>
    <w:rsid w:val="24283062"/>
    <w:rsid w:val="242B39CD"/>
    <w:rsid w:val="242C61E4"/>
    <w:rsid w:val="242D3C66"/>
    <w:rsid w:val="242D516F"/>
    <w:rsid w:val="243335F1"/>
    <w:rsid w:val="245247ED"/>
    <w:rsid w:val="24575A93"/>
    <w:rsid w:val="248B67FD"/>
    <w:rsid w:val="248F6CA6"/>
    <w:rsid w:val="24BF3406"/>
    <w:rsid w:val="24D97602"/>
    <w:rsid w:val="2508212D"/>
    <w:rsid w:val="251D6DF2"/>
    <w:rsid w:val="252B038C"/>
    <w:rsid w:val="252E1698"/>
    <w:rsid w:val="25533A48"/>
    <w:rsid w:val="25543DDA"/>
    <w:rsid w:val="255F7AD2"/>
    <w:rsid w:val="2562439C"/>
    <w:rsid w:val="256D4FBD"/>
    <w:rsid w:val="25710A7A"/>
    <w:rsid w:val="257E016B"/>
    <w:rsid w:val="258B7426"/>
    <w:rsid w:val="259B76C0"/>
    <w:rsid w:val="25AA58E4"/>
    <w:rsid w:val="25B52A47"/>
    <w:rsid w:val="25C10491"/>
    <w:rsid w:val="25C46D47"/>
    <w:rsid w:val="25E074E7"/>
    <w:rsid w:val="25E258B6"/>
    <w:rsid w:val="25EE4017"/>
    <w:rsid w:val="25F63B93"/>
    <w:rsid w:val="25F97290"/>
    <w:rsid w:val="2601616B"/>
    <w:rsid w:val="260512EE"/>
    <w:rsid w:val="26223B26"/>
    <w:rsid w:val="26241D26"/>
    <w:rsid w:val="2627224F"/>
    <w:rsid w:val="262B372C"/>
    <w:rsid w:val="263E274C"/>
    <w:rsid w:val="265B0A5D"/>
    <w:rsid w:val="266360FF"/>
    <w:rsid w:val="266A6A94"/>
    <w:rsid w:val="266C4868"/>
    <w:rsid w:val="26797B39"/>
    <w:rsid w:val="26862B41"/>
    <w:rsid w:val="26960BDD"/>
    <w:rsid w:val="269C0568"/>
    <w:rsid w:val="269D762C"/>
    <w:rsid w:val="26A10A3D"/>
    <w:rsid w:val="26AA7CF2"/>
    <w:rsid w:val="26C976F8"/>
    <w:rsid w:val="26E563DD"/>
    <w:rsid w:val="26EF72E5"/>
    <w:rsid w:val="26FC4A2E"/>
    <w:rsid w:val="270B0E4A"/>
    <w:rsid w:val="27114CA3"/>
    <w:rsid w:val="27180E6A"/>
    <w:rsid w:val="271E393C"/>
    <w:rsid w:val="271E669F"/>
    <w:rsid w:val="27333A9E"/>
    <w:rsid w:val="273D5A6D"/>
    <w:rsid w:val="274023D4"/>
    <w:rsid w:val="274253D5"/>
    <w:rsid w:val="274C4E88"/>
    <w:rsid w:val="274E038B"/>
    <w:rsid w:val="2750388E"/>
    <w:rsid w:val="275D2BA4"/>
    <w:rsid w:val="27663E92"/>
    <w:rsid w:val="276D74EC"/>
    <w:rsid w:val="276F6A21"/>
    <w:rsid w:val="277B2154"/>
    <w:rsid w:val="2788146A"/>
    <w:rsid w:val="278A534F"/>
    <w:rsid w:val="27C128C8"/>
    <w:rsid w:val="27D163B4"/>
    <w:rsid w:val="27F4659B"/>
    <w:rsid w:val="28002089"/>
    <w:rsid w:val="280542B6"/>
    <w:rsid w:val="280D4F46"/>
    <w:rsid w:val="281C1B43"/>
    <w:rsid w:val="281C4CDA"/>
    <w:rsid w:val="281D775F"/>
    <w:rsid w:val="282B36F9"/>
    <w:rsid w:val="28375A3F"/>
    <w:rsid w:val="28520495"/>
    <w:rsid w:val="28713562"/>
    <w:rsid w:val="287813D0"/>
    <w:rsid w:val="287A7AF8"/>
    <w:rsid w:val="28901C9C"/>
    <w:rsid w:val="2893739E"/>
    <w:rsid w:val="28A46793"/>
    <w:rsid w:val="28A813E1"/>
    <w:rsid w:val="28B92E20"/>
    <w:rsid w:val="28B93CEB"/>
    <w:rsid w:val="28E02A8F"/>
    <w:rsid w:val="28E1683E"/>
    <w:rsid w:val="28F97D4B"/>
    <w:rsid w:val="29125D60"/>
    <w:rsid w:val="292B1C11"/>
    <w:rsid w:val="29311825"/>
    <w:rsid w:val="293E7836"/>
    <w:rsid w:val="29437541"/>
    <w:rsid w:val="29454C43"/>
    <w:rsid w:val="2960365F"/>
    <w:rsid w:val="29614573"/>
    <w:rsid w:val="29BA3FA4"/>
    <w:rsid w:val="29C73F17"/>
    <w:rsid w:val="29D10A88"/>
    <w:rsid w:val="29DA2F38"/>
    <w:rsid w:val="2A01667B"/>
    <w:rsid w:val="2A020879"/>
    <w:rsid w:val="2A1A46E9"/>
    <w:rsid w:val="2A2A2452"/>
    <w:rsid w:val="2A3717F0"/>
    <w:rsid w:val="2A3A4256"/>
    <w:rsid w:val="2A441BE1"/>
    <w:rsid w:val="2A4836B1"/>
    <w:rsid w:val="2A4A0382"/>
    <w:rsid w:val="2A5E4337"/>
    <w:rsid w:val="2A7541F8"/>
    <w:rsid w:val="2A851BD9"/>
    <w:rsid w:val="2A863893"/>
    <w:rsid w:val="2A9248E5"/>
    <w:rsid w:val="2A932720"/>
    <w:rsid w:val="2A946DF4"/>
    <w:rsid w:val="2A9A1CF1"/>
    <w:rsid w:val="2A9D2C76"/>
    <w:rsid w:val="2AA02867"/>
    <w:rsid w:val="2AB357E7"/>
    <w:rsid w:val="2AC9578D"/>
    <w:rsid w:val="2ACA60C4"/>
    <w:rsid w:val="2ACC5C5A"/>
    <w:rsid w:val="2ADE4D64"/>
    <w:rsid w:val="2AF04F6E"/>
    <w:rsid w:val="2B000827"/>
    <w:rsid w:val="2B0E422E"/>
    <w:rsid w:val="2B420288"/>
    <w:rsid w:val="2B421328"/>
    <w:rsid w:val="2B4D2E1A"/>
    <w:rsid w:val="2B563729"/>
    <w:rsid w:val="2B5E1033"/>
    <w:rsid w:val="2B641D7F"/>
    <w:rsid w:val="2B6D3C7A"/>
    <w:rsid w:val="2B7462A4"/>
    <w:rsid w:val="2B786D85"/>
    <w:rsid w:val="2B827A70"/>
    <w:rsid w:val="2B955445"/>
    <w:rsid w:val="2BA95732"/>
    <w:rsid w:val="2BAF763B"/>
    <w:rsid w:val="2BB23B01"/>
    <w:rsid w:val="2BB32D41"/>
    <w:rsid w:val="2BC069D0"/>
    <w:rsid w:val="2BC26022"/>
    <w:rsid w:val="2BC367B8"/>
    <w:rsid w:val="2BE30D8F"/>
    <w:rsid w:val="2BE46810"/>
    <w:rsid w:val="2BE960EF"/>
    <w:rsid w:val="2C071A15"/>
    <w:rsid w:val="2C0B44D1"/>
    <w:rsid w:val="2C0B64AA"/>
    <w:rsid w:val="2C2D3420"/>
    <w:rsid w:val="2C372A17"/>
    <w:rsid w:val="2C486535"/>
    <w:rsid w:val="2C55584A"/>
    <w:rsid w:val="2C7B4E8C"/>
    <w:rsid w:val="2C842D34"/>
    <w:rsid w:val="2C9446A0"/>
    <w:rsid w:val="2CA04D25"/>
    <w:rsid w:val="2CCF1C91"/>
    <w:rsid w:val="2CD6709D"/>
    <w:rsid w:val="2CE73722"/>
    <w:rsid w:val="2CED77C1"/>
    <w:rsid w:val="2CF617E0"/>
    <w:rsid w:val="2CFD14DB"/>
    <w:rsid w:val="2D16631A"/>
    <w:rsid w:val="2D4C5A5E"/>
    <w:rsid w:val="2D5A4743"/>
    <w:rsid w:val="2D6C2100"/>
    <w:rsid w:val="2D762BBA"/>
    <w:rsid w:val="2D7D7F0E"/>
    <w:rsid w:val="2D9263A7"/>
    <w:rsid w:val="2D944CD1"/>
    <w:rsid w:val="2DBB723B"/>
    <w:rsid w:val="2DC37DF1"/>
    <w:rsid w:val="2DCE0619"/>
    <w:rsid w:val="2DD35AE8"/>
    <w:rsid w:val="2DE463B0"/>
    <w:rsid w:val="2DE64BF5"/>
    <w:rsid w:val="2DE84AF7"/>
    <w:rsid w:val="2DED4EA0"/>
    <w:rsid w:val="2E0D173F"/>
    <w:rsid w:val="2E273547"/>
    <w:rsid w:val="2E307DB7"/>
    <w:rsid w:val="2E3E5270"/>
    <w:rsid w:val="2E601123"/>
    <w:rsid w:val="2E6011D7"/>
    <w:rsid w:val="2E627EA9"/>
    <w:rsid w:val="2E695B55"/>
    <w:rsid w:val="2E961606"/>
    <w:rsid w:val="2EA22E91"/>
    <w:rsid w:val="2EC54F0E"/>
    <w:rsid w:val="2EEC173E"/>
    <w:rsid w:val="2EFE7D6E"/>
    <w:rsid w:val="2F1507D9"/>
    <w:rsid w:val="2F486EA2"/>
    <w:rsid w:val="2F747966"/>
    <w:rsid w:val="2F984ABB"/>
    <w:rsid w:val="2FB67708"/>
    <w:rsid w:val="2FBE480E"/>
    <w:rsid w:val="2FC254E7"/>
    <w:rsid w:val="30534DD6"/>
    <w:rsid w:val="30561692"/>
    <w:rsid w:val="30600479"/>
    <w:rsid w:val="306927FC"/>
    <w:rsid w:val="30702187"/>
    <w:rsid w:val="309E4373"/>
    <w:rsid w:val="30AA13BF"/>
    <w:rsid w:val="30CA159C"/>
    <w:rsid w:val="30DF6CA0"/>
    <w:rsid w:val="30E61DC6"/>
    <w:rsid w:val="30ED32FC"/>
    <w:rsid w:val="30F139DA"/>
    <w:rsid w:val="310061F3"/>
    <w:rsid w:val="31143B11"/>
    <w:rsid w:val="31195802"/>
    <w:rsid w:val="311A5A74"/>
    <w:rsid w:val="312C253A"/>
    <w:rsid w:val="313533BC"/>
    <w:rsid w:val="313E4759"/>
    <w:rsid w:val="314B1C9B"/>
    <w:rsid w:val="31612184"/>
    <w:rsid w:val="317B5B3D"/>
    <w:rsid w:val="317D0C73"/>
    <w:rsid w:val="31926D16"/>
    <w:rsid w:val="3194218A"/>
    <w:rsid w:val="31A50EFF"/>
    <w:rsid w:val="31B444D7"/>
    <w:rsid w:val="31BB6926"/>
    <w:rsid w:val="31C33D33"/>
    <w:rsid w:val="31C342A2"/>
    <w:rsid w:val="31C97E3A"/>
    <w:rsid w:val="31E0281A"/>
    <w:rsid w:val="31F83438"/>
    <w:rsid w:val="31FC5556"/>
    <w:rsid w:val="32021299"/>
    <w:rsid w:val="32170FF5"/>
    <w:rsid w:val="32356B5E"/>
    <w:rsid w:val="324326C2"/>
    <w:rsid w:val="324E226E"/>
    <w:rsid w:val="32C1086E"/>
    <w:rsid w:val="32D4454C"/>
    <w:rsid w:val="32DA44FC"/>
    <w:rsid w:val="32DD76BC"/>
    <w:rsid w:val="32F341BB"/>
    <w:rsid w:val="32F54E61"/>
    <w:rsid w:val="32FD49B4"/>
    <w:rsid w:val="330001A2"/>
    <w:rsid w:val="33055644"/>
    <w:rsid w:val="331830EB"/>
    <w:rsid w:val="332A6927"/>
    <w:rsid w:val="33434A04"/>
    <w:rsid w:val="334713E7"/>
    <w:rsid w:val="33541442"/>
    <w:rsid w:val="335C0F0C"/>
    <w:rsid w:val="3363480C"/>
    <w:rsid w:val="338257CE"/>
    <w:rsid w:val="33DA309D"/>
    <w:rsid w:val="33EA4F8B"/>
    <w:rsid w:val="33EF3043"/>
    <w:rsid w:val="33FA13D4"/>
    <w:rsid w:val="34006B60"/>
    <w:rsid w:val="34027E2D"/>
    <w:rsid w:val="34083F6D"/>
    <w:rsid w:val="341A1198"/>
    <w:rsid w:val="34237B7A"/>
    <w:rsid w:val="34384B8F"/>
    <w:rsid w:val="344A2B14"/>
    <w:rsid w:val="344A5CAF"/>
    <w:rsid w:val="34627AFE"/>
    <w:rsid w:val="34627E84"/>
    <w:rsid w:val="346907A6"/>
    <w:rsid w:val="346C4843"/>
    <w:rsid w:val="34761B3D"/>
    <w:rsid w:val="347C6980"/>
    <w:rsid w:val="34845AB5"/>
    <w:rsid w:val="34861646"/>
    <w:rsid w:val="3486483B"/>
    <w:rsid w:val="34A22AE6"/>
    <w:rsid w:val="34E96ADE"/>
    <w:rsid w:val="34ED2EF3"/>
    <w:rsid w:val="34FB6280"/>
    <w:rsid w:val="35184C6D"/>
    <w:rsid w:val="351C016C"/>
    <w:rsid w:val="351F0B3B"/>
    <w:rsid w:val="353D1B92"/>
    <w:rsid w:val="354143E4"/>
    <w:rsid w:val="356A2C20"/>
    <w:rsid w:val="35773F4E"/>
    <w:rsid w:val="358259D7"/>
    <w:rsid w:val="358B1967"/>
    <w:rsid w:val="358D3D69"/>
    <w:rsid w:val="35906410"/>
    <w:rsid w:val="35A23D0E"/>
    <w:rsid w:val="35BE61A8"/>
    <w:rsid w:val="35D408E8"/>
    <w:rsid w:val="35D903FF"/>
    <w:rsid w:val="35DB2555"/>
    <w:rsid w:val="35E1119D"/>
    <w:rsid w:val="35EF609A"/>
    <w:rsid w:val="360E3D96"/>
    <w:rsid w:val="361352C6"/>
    <w:rsid w:val="361D3657"/>
    <w:rsid w:val="362B1258"/>
    <w:rsid w:val="36475791"/>
    <w:rsid w:val="366F28DB"/>
    <w:rsid w:val="368178C2"/>
    <w:rsid w:val="36890788"/>
    <w:rsid w:val="36897EB8"/>
    <w:rsid w:val="368A2987"/>
    <w:rsid w:val="36906629"/>
    <w:rsid w:val="369301F2"/>
    <w:rsid w:val="369C6124"/>
    <w:rsid w:val="369F5F8F"/>
    <w:rsid w:val="36A056B5"/>
    <w:rsid w:val="36A1205A"/>
    <w:rsid w:val="36A46172"/>
    <w:rsid w:val="36CD7058"/>
    <w:rsid w:val="36D22E56"/>
    <w:rsid w:val="36D90673"/>
    <w:rsid w:val="36FE0747"/>
    <w:rsid w:val="370666E5"/>
    <w:rsid w:val="373511EA"/>
    <w:rsid w:val="373F25CC"/>
    <w:rsid w:val="374D3D49"/>
    <w:rsid w:val="374E3698"/>
    <w:rsid w:val="375111F8"/>
    <w:rsid w:val="375D0761"/>
    <w:rsid w:val="3776710C"/>
    <w:rsid w:val="37785578"/>
    <w:rsid w:val="379501B2"/>
    <w:rsid w:val="37AB75F3"/>
    <w:rsid w:val="37B77B75"/>
    <w:rsid w:val="37C37A26"/>
    <w:rsid w:val="37DD61FF"/>
    <w:rsid w:val="37F66761"/>
    <w:rsid w:val="37FB2BE8"/>
    <w:rsid w:val="3818637F"/>
    <w:rsid w:val="383A3644"/>
    <w:rsid w:val="385F1A9D"/>
    <w:rsid w:val="3883540B"/>
    <w:rsid w:val="388614C8"/>
    <w:rsid w:val="38910707"/>
    <w:rsid w:val="389712F2"/>
    <w:rsid w:val="38A65C6F"/>
    <w:rsid w:val="38B42B1B"/>
    <w:rsid w:val="38D428CC"/>
    <w:rsid w:val="38DD3307"/>
    <w:rsid w:val="38E23DE0"/>
    <w:rsid w:val="38EC0F5C"/>
    <w:rsid w:val="38F46D95"/>
    <w:rsid w:val="38FF590E"/>
    <w:rsid w:val="390447E4"/>
    <w:rsid w:val="390C2A26"/>
    <w:rsid w:val="390F1C92"/>
    <w:rsid w:val="39293DB0"/>
    <w:rsid w:val="3932357B"/>
    <w:rsid w:val="393542AD"/>
    <w:rsid w:val="393C0FF6"/>
    <w:rsid w:val="393E44F9"/>
    <w:rsid w:val="39661E3A"/>
    <w:rsid w:val="3968533E"/>
    <w:rsid w:val="398630C2"/>
    <w:rsid w:val="39945775"/>
    <w:rsid w:val="39A03524"/>
    <w:rsid w:val="39A828A4"/>
    <w:rsid w:val="39A84565"/>
    <w:rsid w:val="39AA162A"/>
    <w:rsid w:val="39B13AE1"/>
    <w:rsid w:val="39D5466D"/>
    <w:rsid w:val="39E901AB"/>
    <w:rsid w:val="39F36619"/>
    <w:rsid w:val="39FC2F9F"/>
    <w:rsid w:val="3A2940F7"/>
    <w:rsid w:val="3A5E6443"/>
    <w:rsid w:val="3A6E01EF"/>
    <w:rsid w:val="3A8D3267"/>
    <w:rsid w:val="3A956CA9"/>
    <w:rsid w:val="3A9A5F88"/>
    <w:rsid w:val="3A9B3EA5"/>
    <w:rsid w:val="3A9E0B45"/>
    <w:rsid w:val="3AB86041"/>
    <w:rsid w:val="3ABD23EC"/>
    <w:rsid w:val="3AC06BF4"/>
    <w:rsid w:val="3AD30754"/>
    <w:rsid w:val="3AD31A4B"/>
    <w:rsid w:val="3AD63FAA"/>
    <w:rsid w:val="3AD82BC6"/>
    <w:rsid w:val="3ADE2921"/>
    <w:rsid w:val="3AE96733"/>
    <w:rsid w:val="3AFE2C6B"/>
    <w:rsid w:val="3B1866F7"/>
    <w:rsid w:val="3B2B2A20"/>
    <w:rsid w:val="3B376687"/>
    <w:rsid w:val="3B3E6939"/>
    <w:rsid w:val="3B4A1AE9"/>
    <w:rsid w:val="3B4F12B2"/>
    <w:rsid w:val="3B6343C3"/>
    <w:rsid w:val="3B730A2C"/>
    <w:rsid w:val="3B77509E"/>
    <w:rsid w:val="3BA46E66"/>
    <w:rsid w:val="3BAB412E"/>
    <w:rsid w:val="3BAC4273"/>
    <w:rsid w:val="3BAE5839"/>
    <w:rsid w:val="3BC73BD4"/>
    <w:rsid w:val="3BCE5AAC"/>
    <w:rsid w:val="3BDB763B"/>
    <w:rsid w:val="3BFB5246"/>
    <w:rsid w:val="3C0A04BB"/>
    <w:rsid w:val="3C3360EC"/>
    <w:rsid w:val="3C3643F9"/>
    <w:rsid w:val="3C3F3B8F"/>
    <w:rsid w:val="3C452831"/>
    <w:rsid w:val="3C5D17C0"/>
    <w:rsid w:val="3C5D5748"/>
    <w:rsid w:val="3C5E539B"/>
    <w:rsid w:val="3C7057AE"/>
    <w:rsid w:val="3C741ABD"/>
    <w:rsid w:val="3C795D45"/>
    <w:rsid w:val="3C841D58"/>
    <w:rsid w:val="3CA53C3A"/>
    <w:rsid w:val="3CA60B04"/>
    <w:rsid w:val="3CA74A0B"/>
    <w:rsid w:val="3CA97F92"/>
    <w:rsid w:val="3CC1259B"/>
    <w:rsid w:val="3CCA6C49"/>
    <w:rsid w:val="3CDB442E"/>
    <w:rsid w:val="3CE242F0"/>
    <w:rsid w:val="3CEA1C78"/>
    <w:rsid w:val="3CF0119C"/>
    <w:rsid w:val="3D045B29"/>
    <w:rsid w:val="3D3056F4"/>
    <w:rsid w:val="3D37642D"/>
    <w:rsid w:val="3D4B442E"/>
    <w:rsid w:val="3D53112B"/>
    <w:rsid w:val="3D672756"/>
    <w:rsid w:val="3D6D69CE"/>
    <w:rsid w:val="3D8D5B29"/>
    <w:rsid w:val="3D945377"/>
    <w:rsid w:val="3D9C11FA"/>
    <w:rsid w:val="3D9C6FA1"/>
    <w:rsid w:val="3DA962B7"/>
    <w:rsid w:val="3DB13B3B"/>
    <w:rsid w:val="3DC065C6"/>
    <w:rsid w:val="3DC70F93"/>
    <w:rsid w:val="3DDC0B07"/>
    <w:rsid w:val="3DDC7D8B"/>
    <w:rsid w:val="3DE051EE"/>
    <w:rsid w:val="3DF33233"/>
    <w:rsid w:val="3E0169BD"/>
    <w:rsid w:val="3E16578E"/>
    <w:rsid w:val="3E2E4312"/>
    <w:rsid w:val="3E3D3FF6"/>
    <w:rsid w:val="3E5700F6"/>
    <w:rsid w:val="3E5D317C"/>
    <w:rsid w:val="3E790CAC"/>
    <w:rsid w:val="3E7A3FF6"/>
    <w:rsid w:val="3E7B17BF"/>
    <w:rsid w:val="3E802A97"/>
    <w:rsid w:val="3E9E3D62"/>
    <w:rsid w:val="3EB721C8"/>
    <w:rsid w:val="3EBF7C5B"/>
    <w:rsid w:val="3EC7628C"/>
    <w:rsid w:val="3EE14631"/>
    <w:rsid w:val="3EE44D3A"/>
    <w:rsid w:val="3EF4037B"/>
    <w:rsid w:val="3F0355EF"/>
    <w:rsid w:val="3F197280"/>
    <w:rsid w:val="3F4B496B"/>
    <w:rsid w:val="3F4B6BB2"/>
    <w:rsid w:val="3F7B3FB4"/>
    <w:rsid w:val="3F8A67CD"/>
    <w:rsid w:val="3F8F2C54"/>
    <w:rsid w:val="3F903F59"/>
    <w:rsid w:val="3F91658F"/>
    <w:rsid w:val="3F965E62"/>
    <w:rsid w:val="3FA45178"/>
    <w:rsid w:val="3FA46EF8"/>
    <w:rsid w:val="3FA660FD"/>
    <w:rsid w:val="3FB83E19"/>
    <w:rsid w:val="3FEC6BE3"/>
    <w:rsid w:val="402203F5"/>
    <w:rsid w:val="40223297"/>
    <w:rsid w:val="402657A8"/>
    <w:rsid w:val="4028158A"/>
    <w:rsid w:val="403D4072"/>
    <w:rsid w:val="40554F9C"/>
    <w:rsid w:val="40574F8A"/>
    <w:rsid w:val="40AE5034"/>
    <w:rsid w:val="40B35057"/>
    <w:rsid w:val="40BF6BC9"/>
    <w:rsid w:val="40D24565"/>
    <w:rsid w:val="41091371"/>
    <w:rsid w:val="41303C39"/>
    <w:rsid w:val="41364AA2"/>
    <w:rsid w:val="41425B1E"/>
    <w:rsid w:val="414F74CB"/>
    <w:rsid w:val="415B6654"/>
    <w:rsid w:val="41636FFF"/>
    <w:rsid w:val="41662EBF"/>
    <w:rsid w:val="416745BC"/>
    <w:rsid w:val="41690F03"/>
    <w:rsid w:val="417C2EE6"/>
    <w:rsid w:val="418A3D14"/>
    <w:rsid w:val="41907140"/>
    <w:rsid w:val="41A171BC"/>
    <w:rsid w:val="41A55BC2"/>
    <w:rsid w:val="41B119D5"/>
    <w:rsid w:val="41B13BD3"/>
    <w:rsid w:val="41BF23A4"/>
    <w:rsid w:val="41C46BAD"/>
    <w:rsid w:val="41CC21FF"/>
    <w:rsid w:val="41D12A32"/>
    <w:rsid w:val="41D301C3"/>
    <w:rsid w:val="41D623AF"/>
    <w:rsid w:val="41E06CA1"/>
    <w:rsid w:val="41F6377C"/>
    <w:rsid w:val="420B66EE"/>
    <w:rsid w:val="421B5801"/>
    <w:rsid w:val="422F49B3"/>
    <w:rsid w:val="42301F23"/>
    <w:rsid w:val="423767ED"/>
    <w:rsid w:val="425213C3"/>
    <w:rsid w:val="425968DE"/>
    <w:rsid w:val="426E68C9"/>
    <w:rsid w:val="427E58A6"/>
    <w:rsid w:val="42802614"/>
    <w:rsid w:val="42B01704"/>
    <w:rsid w:val="42CA554C"/>
    <w:rsid w:val="42CC4106"/>
    <w:rsid w:val="42D22B67"/>
    <w:rsid w:val="42DC0E76"/>
    <w:rsid w:val="42DF0DC2"/>
    <w:rsid w:val="42E21D47"/>
    <w:rsid w:val="42E661CE"/>
    <w:rsid w:val="42E92879"/>
    <w:rsid w:val="42EC69CA"/>
    <w:rsid w:val="42EE6E5E"/>
    <w:rsid w:val="42FB4A28"/>
    <w:rsid w:val="431F1AE3"/>
    <w:rsid w:val="433858A5"/>
    <w:rsid w:val="43527105"/>
    <w:rsid w:val="436D4954"/>
    <w:rsid w:val="438753A5"/>
    <w:rsid w:val="43891048"/>
    <w:rsid w:val="43920E07"/>
    <w:rsid w:val="43951B04"/>
    <w:rsid w:val="43A24887"/>
    <w:rsid w:val="43DA20AE"/>
    <w:rsid w:val="43F715ED"/>
    <w:rsid w:val="44000E21"/>
    <w:rsid w:val="440875AB"/>
    <w:rsid w:val="440B6331"/>
    <w:rsid w:val="440D15A1"/>
    <w:rsid w:val="4413593C"/>
    <w:rsid w:val="444B4C5F"/>
    <w:rsid w:val="44655A6C"/>
    <w:rsid w:val="4467168F"/>
    <w:rsid w:val="44766B6D"/>
    <w:rsid w:val="44864A89"/>
    <w:rsid w:val="44890DFE"/>
    <w:rsid w:val="448F50C0"/>
    <w:rsid w:val="44983838"/>
    <w:rsid w:val="44984355"/>
    <w:rsid w:val="44A8226D"/>
    <w:rsid w:val="44AA08C6"/>
    <w:rsid w:val="44B32010"/>
    <w:rsid w:val="44C84166"/>
    <w:rsid w:val="44EF4A70"/>
    <w:rsid w:val="44FE14DD"/>
    <w:rsid w:val="45011D41"/>
    <w:rsid w:val="452364C9"/>
    <w:rsid w:val="452B7DF8"/>
    <w:rsid w:val="45342FB5"/>
    <w:rsid w:val="454C0370"/>
    <w:rsid w:val="4550153F"/>
    <w:rsid w:val="455D4659"/>
    <w:rsid w:val="455E7EDC"/>
    <w:rsid w:val="45631ACD"/>
    <w:rsid w:val="45660998"/>
    <w:rsid w:val="458000C7"/>
    <w:rsid w:val="45806396"/>
    <w:rsid w:val="4585213C"/>
    <w:rsid w:val="458B3F95"/>
    <w:rsid w:val="45967A06"/>
    <w:rsid w:val="45AA2F38"/>
    <w:rsid w:val="45C41CBE"/>
    <w:rsid w:val="45CF1BC3"/>
    <w:rsid w:val="45D771A9"/>
    <w:rsid w:val="45F428E0"/>
    <w:rsid w:val="4601483F"/>
    <w:rsid w:val="46025A85"/>
    <w:rsid w:val="461A266E"/>
    <w:rsid w:val="46323738"/>
    <w:rsid w:val="46401681"/>
    <w:rsid w:val="464B7FDD"/>
    <w:rsid w:val="465530CB"/>
    <w:rsid w:val="4669507C"/>
    <w:rsid w:val="46760020"/>
    <w:rsid w:val="468C2B4D"/>
    <w:rsid w:val="468D05CE"/>
    <w:rsid w:val="46982676"/>
    <w:rsid w:val="46A7659A"/>
    <w:rsid w:val="46D00C57"/>
    <w:rsid w:val="46D06EA9"/>
    <w:rsid w:val="46F956FF"/>
    <w:rsid w:val="47496783"/>
    <w:rsid w:val="474B1C86"/>
    <w:rsid w:val="47630D4C"/>
    <w:rsid w:val="476A14DB"/>
    <w:rsid w:val="476A5FE9"/>
    <w:rsid w:val="4782435E"/>
    <w:rsid w:val="4790205D"/>
    <w:rsid w:val="479804CC"/>
    <w:rsid w:val="47A56E76"/>
    <w:rsid w:val="47AC0A26"/>
    <w:rsid w:val="47B75E90"/>
    <w:rsid w:val="47C03E43"/>
    <w:rsid w:val="47C56CDE"/>
    <w:rsid w:val="47D74267"/>
    <w:rsid w:val="48082BD4"/>
    <w:rsid w:val="48195197"/>
    <w:rsid w:val="483319A6"/>
    <w:rsid w:val="483413B6"/>
    <w:rsid w:val="48383932"/>
    <w:rsid w:val="48490A61"/>
    <w:rsid w:val="487657D6"/>
    <w:rsid w:val="48A57A1A"/>
    <w:rsid w:val="48D664FA"/>
    <w:rsid w:val="49001E86"/>
    <w:rsid w:val="49081412"/>
    <w:rsid w:val="490B081A"/>
    <w:rsid w:val="4924150C"/>
    <w:rsid w:val="492A223F"/>
    <w:rsid w:val="49500C1A"/>
    <w:rsid w:val="495B1646"/>
    <w:rsid w:val="496D50BB"/>
    <w:rsid w:val="49831FB1"/>
    <w:rsid w:val="49834DA9"/>
    <w:rsid w:val="498E1308"/>
    <w:rsid w:val="498E392B"/>
    <w:rsid w:val="49953FD2"/>
    <w:rsid w:val="49A67FEA"/>
    <w:rsid w:val="49B42357"/>
    <w:rsid w:val="49BE170B"/>
    <w:rsid w:val="49C60D15"/>
    <w:rsid w:val="49CC282C"/>
    <w:rsid w:val="49CE19A5"/>
    <w:rsid w:val="49D14C7B"/>
    <w:rsid w:val="49EE2E55"/>
    <w:rsid w:val="49F64E88"/>
    <w:rsid w:val="49FE3D2D"/>
    <w:rsid w:val="4A0B5680"/>
    <w:rsid w:val="4A442DE8"/>
    <w:rsid w:val="4A4C3C76"/>
    <w:rsid w:val="4A582F08"/>
    <w:rsid w:val="4A586086"/>
    <w:rsid w:val="4A5B47E7"/>
    <w:rsid w:val="4A5C19ED"/>
    <w:rsid w:val="4A713EF7"/>
    <w:rsid w:val="4A71669A"/>
    <w:rsid w:val="4A990DB8"/>
    <w:rsid w:val="4AB30EDE"/>
    <w:rsid w:val="4ACE7349"/>
    <w:rsid w:val="4AE87797"/>
    <w:rsid w:val="4AEA5999"/>
    <w:rsid w:val="4B0A392B"/>
    <w:rsid w:val="4B100A0B"/>
    <w:rsid w:val="4B140282"/>
    <w:rsid w:val="4B341F77"/>
    <w:rsid w:val="4B383175"/>
    <w:rsid w:val="4B3F27FC"/>
    <w:rsid w:val="4B4C4394"/>
    <w:rsid w:val="4B536B77"/>
    <w:rsid w:val="4B7B039D"/>
    <w:rsid w:val="4B7D207A"/>
    <w:rsid w:val="4B875EB6"/>
    <w:rsid w:val="4B8D42B7"/>
    <w:rsid w:val="4B982295"/>
    <w:rsid w:val="4B9F639D"/>
    <w:rsid w:val="4BB308C1"/>
    <w:rsid w:val="4BBC3115"/>
    <w:rsid w:val="4C1750C8"/>
    <w:rsid w:val="4C3D761E"/>
    <w:rsid w:val="4C3F21A1"/>
    <w:rsid w:val="4C4658B1"/>
    <w:rsid w:val="4C657AAE"/>
    <w:rsid w:val="4C6C226D"/>
    <w:rsid w:val="4C7D1FFD"/>
    <w:rsid w:val="4C8A275C"/>
    <w:rsid w:val="4C8C446E"/>
    <w:rsid w:val="4CA97B54"/>
    <w:rsid w:val="4CC43F81"/>
    <w:rsid w:val="4CC74F06"/>
    <w:rsid w:val="4CD377AA"/>
    <w:rsid w:val="4CE51F37"/>
    <w:rsid w:val="4CF5763E"/>
    <w:rsid w:val="4D1400D2"/>
    <w:rsid w:val="4D1B6B8E"/>
    <w:rsid w:val="4D1E7969"/>
    <w:rsid w:val="4D2A0882"/>
    <w:rsid w:val="4D3951FB"/>
    <w:rsid w:val="4D3F7CBF"/>
    <w:rsid w:val="4D473FC5"/>
    <w:rsid w:val="4D4D4DDF"/>
    <w:rsid w:val="4D550108"/>
    <w:rsid w:val="4D555A6E"/>
    <w:rsid w:val="4D6D4C62"/>
    <w:rsid w:val="4DA65831"/>
    <w:rsid w:val="4DAC647D"/>
    <w:rsid w:val="4DC46301"/>
    <w:rsid w:val="4DCD6596"/>
    <w:rsid w:val="4DEF23EA"/>
    <w:rsid w:val="4DF036EE"/>
    <w:rsid w:val="4DF71CA3"/>
    <w:rsid w:val="4DF807D9"/>
    <w:rsid w:val="4DFE3CC8"/>
    <w:rsid w:val="4E096817"/>
    <w:rsid w:val="4E1230AB"/>
    <w:rsid w:val="4E3450DC"/>
    <w:rsid w:val="4E3F7ECE"/>
    <w:rsid w:val="4E4E418E"/>
    <w:rsid w:val="4E8167AD"/>
    <w:rsid w:val="4EA902EC"/>
    <w:rsid w:val="4EAD5D22"/>
    <w:rsid w:val="4EAF2828"/>
    <w:rsid w:val="4EBE3E8A"/>
    <w:rsid w:val="4ED107DE"/>
    <w:rsid w:val="4EE058CB"/>
    <w:rsid w:val="4EF8069D"/>
    <w:rsid w:val="4EFF706A"/>
    <w:rsid w:val="4F0A7123"/>
    <w:rsid w:val="4F2A3762"/>
    <w:rsid w:val="4F2E0DB1"/>
    <w:rsid w:val="4F360EA8"/>
    <w:rsid w:val="4F802128"/>
    <w:rsid w:val="4F871206"/>
    <w:rsid w:val="4F8B568E"/>
    <w:rsid w:val="4FA56238"/>
    <w:rsid w:val="4FA67F9C"/>
    <w:rsid w:val="4FA904C1"/>
    <w:rsid w:val="4FD41C1D"/>
    <w:rsid w:val="4FD64C5B"/>
    <w:rsid w:val="4FDA48F5"/>
    <w:rsid w:val="4FE0099B"/>
    <w:rsid w:val="4FE30C63"/>
    <w:rsid w:val="4FED2322"/>
    <w:rsid w:val="4FFD53C6"/>
    <w:rsid w:val="501040B3"/>
    <w:rsid w:val="50213603"/>
    <w:rsid w:val="50321789"/>
    <w:rsid w:val="50353485"/>
    <w:rsid w:val="503D1B16"/>
    <w:rsid w:val="50795316"/>
    <w:rsid w:val="508E47DC"/>
    <w:rsid w:val="50A90064"/>
    <w:rsid w:val="50AE3F83"/>
    <w:rsid w:val="50CF7A4B"/>
    <w:rsid w:val="50E92709"/>
    <w:rsid w:val="50FD7AEE"/>
    <w:rsid w:val="51145515"/>
    <w:rsid w:val="511A741E"/>
    <w:rsid w:val="51354115"/>
    <w:rsid w:val="5137564E"/>
    <w:rsid w:val="514E0A72"/>
    <w:rsid w:val="51576FE4"/>
    <w:rsid w:val="515D338B"/>
    <w:rsid w:val="519F488C"/>
    <w:rsid w:val="51C5493F"/>
    <w:rsid w:val="51CA5F3D"/>
    <w:rsid w:val="520713EF"/>
    <w:rsid w:val="520923F4"/>
    <w:rsid w:val="520934A3"/>
    <w:rsid w:val="5222282D"/>
    <w:rsid w:val="52257550"/>
    <w:rsid w:val="522762D7"/>
    <w:rsid w:val="52302A27"/>
    <w:rsid w:val="523742BD"/>
    <w:rsid w:val="52450012"/>
    <w:rsid w:val="52547F54"/>
    <w:rsid w:val="5265033A"/>
    <w:rsid w:val="527F07B8"/>
    <w:rsid w:val="528A0778"/>
    <w:rsid w:val="52903990"/>
    <w:rsid w:val="529320FE"/>
    <w:rsid w:val="5296438C"/>
    <w:rsid w:val="52990A97"/>
    <w:rsid w:val="529A6D62"/>
    <w:rsid w:val="529D4EC7"/>
    <w:rsid w:val="529E7DC9"/>
    <w:rsid w:val="52A1157D"/>
    <w:rsid w:val="52DE4780"/>
    <w:rsid w:val="530B2D71"/>
    <w:rsid w:val="530C4EFF"/>
    <w:rsid w:val="530D3EEC"/>
    <w:rsid w:val="53194965"/>
    <w:rsid w:val="532452B2"/>
    <w:rsid w:val="532838FB"/>
    <w:rsid w:val="533237C4"/>
    <w:rsid w:val="53331AF6"/>
    <w:rsid w:val="5333550F"/>
    <w:rsid w:val="534357AA"/>
    <w:rsid w:val="534E3B3B"/>
    <w:rsid w:val="535B4CF0"/>
    <w:rsid w:val="53693CDD"/>
    <w:rsid w:val="538006C3"/>
    <w:rsid w:val="538A5F1E"/>
    <w:rsid w:val="539C576C"/>
    <w:rsid w:val="53AA6453"/>
    <w:rsid w:val="53BA08AE"/>
    <w:rsid w:val="53BC278B"/>
    <w:rsid w:val="53D146C7"/>
    <w:rsid w:val="53D53162"/>
    <w:rsid w:val="5400093A"/>
    <w:rsid w:val="540F6177"/>
    <w:rsid w:val="54103BF9"/>
    <w:rsid w:val="54140080"/>
    <w:rsid w:val="541A1B62"/>
    <w:rsid w:val="541A5C08"/>
    <w:rsid w:val="543B6670"/>
    <w:rsid w:val="543E150A"/>
    <w:rsid w:val="544A4CD7"/>
    <w:rsid w:val="54503E85"/>
    <w:rsid w:val="54760CFA"/>
    <w:rsid w:val="547747B8"/>
    <w:rsid w:val="547F24EC"/>
    <w:rsid w:val="54B972CF"/>
    <w:rsid w:val="54E164AC"/>
    <w:rsid w:val="551B6B41"/>
    <w:rsid w:val="552227BC"/>
    <w:rsid w:val="55230827"/>
    <w:rsid w:val="552968C4"/>
    <w:rsid w:val="553E2FE6"/>
    <w:rsid w:val="55411377"/>
    <w:rsid w:val="55671C2C"/>
    <w:rsid w:val="55781EC6"/>
    <w:rsid w:val="55992746"/>
    <w:rsid w:val="55A15285"/>
    <w:rsid w:val="55A96275"/>
    <w:rsid w:val="55AE7D4E"/>
    <w:rsid w:val="55B31E70"/>
    <w:rsid w:val="55C05B3D"/>
    <w:rsid w:val="55C51BA3"/>
    <w:rsid w:val="55C9649C"/>
    <w:rsid w:val="55DA41BD"/>
    <w:rsid w:val="56063D5E"/>
    <w:rsid w:val="5625421C"/>
    <w:rsid w:val="564306A0"/>
    <w:rsid w:val="564E3912"/>
    <w:rsid w:val="564F4128"/>
    <w:rsid w:val="565076BF"/>
    <w:rsid w:val="565B2641"/>
    <w:rsid w:val="56617B1E"/>
    <w:rsid w:val="56625644"/>
    <w:rsid w:val="569B59A6"/>
    <w:rsid w:val="56A62938"/>
    <w:rsid w:val="56E6209D"/>
    <w:rsid w:val="56EA4326"/>
    <w:rsid w:val="570D57DF"/>
    <w:rsid w:val="57132F95"/>
    <w:rsid w:val="572664EB"/>
    <w:rsid w:val="572D4E3F"/>
    <w:rsid w:val="572D56F6"/>
    <w:rsid w:val="572F3796"/>
    <w:rsid w:val="5732287F"/>
    <w:rsid w:val="573C5E95"/>
    <w:rsid w:val="573D052D"/>
    <w:rsid w:val="57452597"/>
    <w:rsid w:val="57454D4A"/>
    <w:rsid w:val="57606393"/>
    <w:rsid w:val="57733E7E"/>
    <w:rsid w:val="57871C26"/>
    <w:rsid w:val="57894A0E"/>
    <w:rsid w:val="57A77F5C"/>
    <w:rsid w:val="57C02302"/>
    <w:rsid w:val="57C63600"/>
    <w:rsid w:val="57D83FAF"/>
    <w:rsid w:val="57E148BE"/>
    <w:rsid w:val="57E8417C"/>
    <w:rsid w:val="581D479D"/>
    <w:rsid w:val="582B03E3"/>
    <w:rsid w:val="583077A8"/>
    <w:rsid w:val="58315DB1"/>
    <w:rsid w:val="58430210"/>
    <w:rsid w:val="585838C1"/>
    <w:rsid w:val="58606A21"/>
    <w:rsid w:val="5863214C"/>
    <w:rsid w:val="58663849"/>
    <w:rsid w:val="58717162"/>
    <w:rsid w:val="58857496"/>
    <w:rsid w:val="58B96227"/>
    <w:rsid w:val="58ED44C3"/>
    <w:rsid w:val="5947124D"/>
    <w:rsid w:val="59647B33"/>
    <w:rsid w:val="596C7E01"/>
    <w:rsid w:val="597F1615"/>
    <w:rsid w:val="59801346"/>
    <w:rsid w:val="59A47948"/>
    <w:rsid w:val="59B447B9"/>
    <w:rsid w:val="59DC43D8"/>
    <w:rsid w:val="5A22286F"/>
    <w:rsid w:val="5A270225"/>
    <w:rsid w:val="5A400973"/>
    <w:rsid w:val="5A737DB0"/>
    <w:rsid w:val="5A7747D4"/>
    <w:rsid w:val="5A7F451A"/>
    <w:rsid w:val="5A8042EB"/>
    <w:rsid w:val="5A8A0F99"/>
    <w:rsid w:val="5AA549B2"/>
    <w:rsid w:val="5AB51DDE"/>
    <w:rsid w:val="5ADC7386"/>
    <w:rsid w:val="5B117F79"/>
    <w:rsid w:val="5B5104F9"/>
    <w:rsid w:val="5B584E6A"/>
    <w:rsid w:val="5B5D0855"/>
    <w:rsid w:val="5B654DE1"/>
    <w:rsid w:val="5B7D50AA"/>
    <w:rsid w:val="5B817F90"/>
    <w:rsid w:val="5BAC4E3A"/>
    <w:rsid w:val="5BBD471D"/>
    <w:rsid w:val="5BC87CA3"/>
    <w:rsid w:val="5BD347B4"/>
    <w:rsid w:val="5BF65C6D"/>
    <w:rsid w:val="5C012B8C"/>
    <w:rsid w:val="5C362AF4"/>
    <w:rsid w:val="5C3B6CBD"/>
    <w:rsid w:val="5C3E4720"/>
    <w:rsid w:val="5C526BB4"/>
    <w:rsid w:val="5C5B3413"/>
    <w:rsid w:val="5C615D0C"/>
    <w:rsid w:val="5C694A3B"/>
    <w:rsid w:val="5C9B09C7"/>
    <w:rsid w:val="5CAD579C"/>
    <w:rsid w:val="5CB660AB"/>
    <w:rsid w:val="5CB815AE"/>
    <w:rsid w:val="5CC85BD5"/>
    <w:rsid w:val="5CDC5954"/>
    <w:rsid w:val="5CE018DD"/>
    <w:rsid w:val="5CEB5280"/>
    <w:rsid w:val="5D0403A9"/>
    <w:rsid w:val="5D153EC6"/>
    <w:rsid w:val="5D1928CC"/>
    <w:rsid w:val="5D1B01A7"/>
    <w:rsid w:val="5D317F73"/>
    <w:rsid w:val="5D4C4020"/>
    <w:rsid w:val="5D530128"/>
    <w:rsid w:val="5D5B7D4A"/>
    <w:rsid w:val="5D602734"/>
    <w:rsid w:val="5D6A35D0"/>
    <w:rsid w:val="5D7209DD"/>
    <w:rsid w:val="5DA46C2D"/>
    <w:rsid w:val="5DB554E1"/>
    <w:rsid w:val="5DBA0DD1"/>
    <w:rsid w:val="5DE233F0"/>
    <w:rsid w:val="5DE52DE2"/>
    <w:rsid w:val="5DF04B2E"/>
    <w:rsid w:val="5E0314BA"/>
    <w:rsid w:val="5E0324CA"/>
    <w:rsid w:val="5E074110"/>
    <w:rsid w:val="5E0854EE"/>
    <w:rsid w:val="5E0B78D6"/>
    <w:rsid w:val="5E214762"/>
    <w:rsid w:val="5E6200F2"/>
    <w:rsid w:val="5E8E1E7B"/>
    <w:rsid w:val="5E933865"/>
    <w:rsid w:val="5E987E55"/>
    <w:rsid w:val="5E9D308B"/>
    <w:rsid w:val="5EAB5261"/>
    <w:rsid w:val="5EAF3C67"/>
    <w:rsid w:val="5EB1181D"/>
    <w:rsid w:val="5EBC03E1"/>
    <w:rsid w:val="5EC33BF1"/>
    <w:rsid w:val="5EC52109"/>
    <w:rsid w:val="5EDC6635"/>
    <w:rsid w:val="5EDF242A"/>
    <w:rsid w:val="5EE04437"/>
    <w:rsid w:val="5EEC4CC9"/>
    <w:rsid w:val="5EF03EB9"/>
    <w:rsid w:val="5EF85E29"/>
    <w:rsid w:val="5EFC424F"/>
    <w:rsid w:val="5F0E1A83"/>
    <w:rsid w:val="5F29359B"/>
    <w:rsid w:val="5F387DD8"/>
    <w:rsid w:val="5F3F4450"/>
    <w:rsid w:val="5F610F9A"/>
    <w:rsid w:val="5F6601DC"/>
    <w:rsid w:val="5F712D16"/>
    <w:rsid w:val="5F782C2C"/>
    <w:rsid w:val="5F8416C1"/>
    <w:rsid w:val="5F88611B"/>
    <w:rsid w:val="5F925D02"/>
    <w:rsid w:val="5FA6205D"/>
    <w:rsid w:val="5FA93E7F"/>
    <w:rsid w:val="5FBD7E8C"/>
    <w:rsid w:val="5FC72CEE"/>
    <w:rsid w:val="5FD27242"/>
    <w:rsid w:val="5FE17054"/>
    <w:rsid w:val="5FF04AF3"/>
    <w:rsid w:val="6001450E"/>
    <w:rsid w:val="60056797"/>
    <w:rsid w:val="6012222A"/>
    <w:rsid w:val="602B5EDC"/>
    <w:rsid w:val="602C20DD"/>
    <w:rsid w:val="603C0E70"/>
    <w:rsid w:val="60442474"/>
    <w:rsid w:val="60452D1D"/>
    <w:rsid w:val="60472A84"/>
    <w:rsid w:val="60636B31"/>
    <w:rsid w:val="606964BC"/>
    <w:rsid w:val="606A3F3D"/>
    <w:rsid w:val="60844AE7"/>
    <w:rsid w:val="609C218E"/>
    <w:rsid w:val="60B12374"/>
    <w:rsid w:val="60B12B22"/>
    <w:rsid w:val="60BE39C7"/>
    <w:rsid w:val="60CB5CDD"/>
    <w:rsid w:val="60D14E8D"/>
    <w:rsid w:val="60D45B6B"/>
    <w:rsid w:val="610E11C8"/>
    <w:rsid w:val="610E2650"/>
    <w:rsid w:val="61177267"/>
    <w:rsid w:val="611C7D9F"/>
    <w:rsid w:val="612A0D88"/>
    <w:rsid w:val="61623A9A"/>
    <w:rsid w:val="617519E8"/>
    <w:rsid w:val="618A7FBC"/>
    <w:rsid w:val="61B42655"/>
    <w:rsid w:val="61B473D7"/>
    <w:rsid w:val="61C55F03"/>
    <w:rsid w:val="61E01520"/>
    <w:rsid w:val="61EB04E9"/>
    <w:rsid w:val="621825F1"/>
    <w:rsid w:val="622F4266"/>
    <w:rsid w:val="622F7878"/>
    <w:rsid w:val="62390CB6"/>
    <w:rsid w:val="623D18BA"/>
    <w:rsid w:val="62462A72"/>
    <w:rsid w:val="624C1ED5"/>
    <w:rsid w:val="6259166C"/>
    <w:rsid w:val="626A1485"/>
    <w:rsid w:val="62846CDE"/>
    <w:rsid w:val="62A42D3A"/>
    <w:rsid w:val="62B95A2A"/>
    <w:rsid w:val="62D00E29"/>
    <w:rsid w:val="62EA6460"/>
    <w:rsid w:val="63030F14"/>
    <w:rsid w:val="63185A08"/>
    <w:rsid w:val="63375355"/>
    <w:rsid w:val="634A2CF1"/>
    <w:rsid w:val="63607EDD"/>
    <w:rsid w:val="637C0957"/>
    <w:rsid w:val="63806113"/>
    <w:rsid w:val="638A3ADA"/>
    <w:rsid w:val="63942F1D"/>
    <w:rsid w:val="63AA400F"/>
    <w:rsid w:val="63D25CA3"/>
    <w:rsid w:val="63D26110"/>
    <w:rsid w:val="63D57637"/>
    <w:rsid w:val="63E477B4"/>
    <w:rsid w:val="63ED6827"/>
    <w:rsid w:val="63F10007"/>
    <w:rsid w:val="64087C2C"/>
    <w:rsid w:val="64432E01"/>
    <w:rsid w:val="6453132F"/>
    <w:rsid w:val="6470710A"/>
    <w:rsid w:val="649B6252"/>
    <w:rsid w:val="64A036C7"/>
    <w:rsid w:val="64C22BED"/>
    <w:rsid w:val="64D82908"/>
    <w:rsid w:val="64D91523"/>
    <w:rsid w:val="64DB2E27"/>
    <w:rsid w:val="64EC5F80"/>
    <w:rsid w:val="65067B4F"/>
    <w:rsid w:val="652F708D"/>
    <w:rsid w:val="654B1ECF"/>
    <w:rsid w:val="65585BAA"/>
    <w:rsid w:val="65622439"/>
    <w:rsid w:val="656E52FB"/>
    <w:rsid w:val="65811A17"/>
    <w:rsid w:val="658D680B"/>
    <w:rsid w:val="659D4F99"/>
    <w:rsid w:val="65A12770"/>
    <w:rsid w:val="65EC32C5"/>
    <w:rsid w:val="65F94B59"/>
    <w:rsid w:val="66035B03"/>
    <w:rsid w:val="661462F7"/>
    <w:rsid w:val="66150AEC"/>
    <w:rsid w:val="66386A97"/>
    <w:rsid w:val="6650158D"/>
    <w:rsid w:val="665A22F4"/>
    <w:rsid w:val="66770CAA"/>
    <w:rsid w:val="668B5CC3"/>
    <w:rsid w:val="66901A75"/>
    <w:rsid w:val="66AA0200"/>
    <w:rsid w:val="66B06886"/>
    <w:rsid w:val="66D238E8"/>
    <w:rsid w:val="66E30E48"/>
    <w:rsid w:val="67010AE3"/>
    <w:rsid w:val="670B371C"/>
    <w:rsid w:val="670F1CAF"/>
    <w:rsid w:val="670F7F24"/>
    <w:rsid w:val="67110EA9"/>
    <w:rsid w:val="67251571"/>
    <w:rsid w:val="672524A2"/>
    <w:rsid w:val="672542C6"/>
    <w:rsid w:val="67322B5A"/>
    <w:rsid w:val="67352362"/>
    <w:rsid w:val="67410373"/>
    <w:rsid w:val="67433876"/>
    <w:rsid w:val="676D5D3F"/>
    <w:rsid w:val="6783286B"/>
    <w:rsid w:val="678A5539"/>
    <w:rsid w:val="6794124F"/>
    <w:rsid w:val="67C373D8"/>
    <w:rsid w:val="67DB42ED"/>
    <w:rsid w:val="67DD4F5A"/>
    <w:rsid w:val="67E62186"/>
    <w:rsid w:val="67EA5309"/>
    <w:rsid w:val="67EE40CD"/>
    <w:rsid w:val="67F035BE"/>
    <w:rsid w:val="67F22715"/>
    <w:rsid w:val="68002120"/>
    <w:rsid w:val="68075EEC"/>
    <w:rsid w:val="68183231"/>
    <w:rsid w:val="68423799"/>
    <w:rsid w:val="68695ADC"/>
    <w:rsid w:val="687112E4"/>
    <w:rsid w:val="68811569"/>
    <w:rsid w:val="688D5AAB"/>
    <w:rsid w:val="689F47D3"/>
    <w:rsid w:val="68C83A2C"/>
    <w:rsid w:val="68E814B4"/>
    <w:rsid w:val="68F44821"/>
    <w:rsid w:val="68F91EAB"/>
    <w:rsid w:val="6905258B"/>
    <w:rsid w:val="690A6A65"/>
    <w:rsid w:val="69121E3A"/>
    <w:rsid w:val="69154D60"/>
    <w:rsid w:val="691D7C84"/>
    <w:rsid w:val="691F4D9F"/>
    <w:rsid w:val="69206401"/>
    <w:rsid w:val="694655C5"/>
    <w:rsid w:val="694A6DBA"/>
    <w:rsid w:val="69701C8D"/>
    <w:rsid w:val="69723EB6"/>
    <w:rsid w:val="69732C11"/>
    <w:rsid w:val="699243C0"/>
    <w:rsid w:val="699954C4"/>
    <w:rsid w:val="699D36D6"/>
    <w:rsid w:val="69A7578F"/>
    <w:rsid w:val="69B02560"/>
    <w:rsid w:val="69B779BF"/>
    <w:rsid w:val="69C21B11"/>
    <w:rsid w:val="69CD7FDE"/>
    <w:rsid w:val="69DC2306"/>
    <w:rsid w:val="69F0323B"/>
    <w:rsid w:val="6A07214F"/>
    <w:rsid w:val="6A097C8B"/>
    <w:rsid w:val="6A0B4089"/>
    <w:rsid w:val="6A1E7827"/>
    <w:rsid w:val="6A2E2210"/>
    <w:rsid w:val="6A2F7723"/>
    <w:rsid w:val="6A3A1355"/>
    <w:rsid w:val="6A586D90"/>
    <w:rsid w:val="6A6F632C"/>
    <w:rsid w:val="6A7E510F"/>
    <w:rsid w:val="6A9F44B9"/>
    <w:rsid w:val="6AA9740B"/>
    <w:rsid w:val="6ABB21A6"/>
    <w:rsid w:val="6ACE0CEA"/>
    <w:rsid w:val="6ACE1BC9"/>
    <w:rsid w:val="6ADB2F03"/>
    <w:rsid w:val="6AE2354A"/>
    <w:rsid w:val="6AEB5722"/>
    <w:rsid w:val="6AF8649D"/>
    <w:rsid w:val="6AFA7A77"/>
    <w:rsid w:val="6AFB24CA"/>
    <w:rsid w:val="6AFF2463"/>
    <w:rsid w:val="6B0874EA"/>
    <w:rsid w:val="6B1D20DD"/>
    <w:rsid w:val="6B1F10AD"/>
    <w:rsid w:val="6B22477C"/>
    <w:rsid w:val="6B2C79E4"/>
    <w:rsid w:val="6B320A31"/>
    <w:rsid w:val="6B3555BC"/>
    <w:rsid w:val="6B491DA4"/>
    <w:rsid w:val="6B594672"/>
    <w:rsid w:val="6B5D28FD"/>
    <w:rsid w:val="6B5E4D2E"/>
    <w:rsid w:val="6B7113D2"/>
    <w:rsid w:val="6B75365C"/>
    <w:rsid w:val="6B8B79FD"/>
    <w:rsid w:val="6BB05F5F"/>
    <w:rsid w:val="6BE116D3"/>
    <w:rsid w:val="6BFB6DB8"/>
    <w:rsid w:val="6C2A7865"/>
    <w:rsid w:val="6C2C6080"/>
    <w:rsid w:val="6C494E84"/>
    <w:rsid w:val="6C506213"/>
    <w:rsid w:val="6C5D5B58"/>
    <w:rsid w:val="6C620EF9"/>
    <w:rsid w:val="6C670665"/>
    <w:rsid w:val="6C6A54FD"/>
    <w:rsid w:val="6C737CFB"/>
    <w:rsid w:val="6C950FE9"/>
    <w:rsid w:val="6C983716"/>
    <w:rsid w:val="6CCB618B"/>
    <w:rsid w:val="6CF02B48"/>
    <w:rsid w:val="6CF6746A"/>
    <w:rsid w:val="6D1055FB"/>
    <w:rsid w:val="6D127D3D"/>
    <w:rsid w:val="6D22461C"/>
    <w:rsid w:val="6D2D03F9"/>
    <w:rsid w:val="6D455BB8"/>
    <w:rsid w:val="6D660588"/>
    <w:rsid w:val="6D802B33"/>
    <w:rsid w:val="6D9767D9"/>
    <w:rsid w:val="6D9E588E"/>
    <w:rsid w:val="6DA94262"/>
    <w:rsid w:val="6DB70CB4"/>
    <w:rsid w:val="6DEE71E8"/>
    <w:rsid w:val="6DF67E77"/>
    <w:rsid w:val="6E094352"/>
    <w:rsid w:val="6E0A2C2C"/>
    <w:rsid w:val="6E135B2D"/>
    <w:rsid w:val="6E4E6307"/>
    <w:rsid w:val="6E520C8F"/>
    <w:rsid w:val="6E540211"/>
    <w:rsid w:val="6E5864AC"/>
    <w:rsid w:val="6E7579F1"/>
    <w:rsid w:val="6E7855AD"/>
    <w:rsid w:val="6E92195E"/>
    <w:rsid w:val="6E9D66DB"/>
    <w:rsid w:val="6EA9791B"/>
    <w:rsid w:val="6EAD6321"/>
    <w:rsid w:val="6EE90301"/>
    <w:rsid w:val="6EEC1689"/>
    <w:rsid w:val="6F0C79BF"/>
    <w:rsid w:val="6F1624CD"/>
    <w:rsid w:val="6F19182E"/>
    <w:rsid w:val="6F1E7F02"/>
    <w:rsid w:val="6F3626B6"/>
    <w:rsid w:val="6F3F40AE"/>
    <w:rsid w:val="6F815117"/>
    <w:rsid w:val="6FAD7EFC"/>
    <w:rsid w:val="6FC91EF0"/>
    <w:rsid w:val="6FDC6A13"/>
    <w:rsid w:val="6FEA4288"/>
    <w:rsid w:val="701A2C4B"/>
    <w:rsid w:val="70234308"/>
    <w:rsid w:val="702A2DF0"/>
    <w:rsid w:val="70650EF5"/>
    <w:rsid w:val="708020B9"/>
    <w:rsid w:val="708304A5"/>
    <w:rsid w:val="708F3F4F"/>
    <w:rsid w:val="709771CD"/>
    <w:rsid w:val="70B269EA"/>
    <w:rsid w:val="70DA275C"/>
    <w:rsid w:val="70DB30B2"/>
    <w:rsid w:val="70F40DF1"/>
    <w:rsid w:val="70F52EE5"/>
    <w:rsid w:val="70FD13AF"/>
    <w:rsid w:val="71155E1B"/>
    <w:rsid w:val="712447AC"/>
    <w:rsid w:val="71313F5D"/>
    <w:rsid w:val="71393588"/>
    <w:rsid w:val="714D6812"/>
    <w:rsid w:val="7170308B"/>
    <w:rsid w:val="717A2FBC"/>
    <w:rsid w:val="718E21F2"/>
    <w:rsid w:val="718E63D9"/>
    <w:rsid w:val="71971267"/>
    <w:rsid w:val="71995F66"/>
    <w:rsid w:val="719E503F"/>
    <w:rsid w:val="71A5799C"/>
    <w:rsid w:val="71AB3036"/>
    <w:rsid w:val="71AC3D91"/>
    <w:rsid w:val="71CC455D"/>
    <w:rsid w:val="71D62051"/>
    <w:rsid w:val="71E65261"/>
    <w:rsid w:val="71E87D6D"/>
    <w:rsid w:val="71FF0740"/>
    <w:rsid w:val="71FF0BB1"/>
    <w:rsid w:val="7238693B"/>
    <w:rsid w:val="723D27EE"/>
    <w:rsid w:val="72534E9D"/>
    <w:rsid w:val="726409BB"/>
    <w:rsid w:val="72804A68"/>
    <w:rsid w:val="72856C67"/>
    <w:rsid w:val="72896FE0"/>
    <w:rsid w:val="728E5F19"/>
    <w:rsid w:val="72907369"/>
    <w:rsid w:val="72A31F40"/>
    <w:rsid w:val="72A5093A"/>
    <w:rsid w:val="72BA3948"/>
    <w:rsid w:val="72C773DB"/>
    <w:rsid w:val="73013FCC"/>
    <w:rsid w:val="73047240"/>
    <w:rsid w:val="73085C46"/>
    <w:rsid w:val="730E64E0"/>
    <w:rsid w:val="73221F8B"/>
    <w:rsid w:val="73245D0B"/>
    <w:rsid w:val="73357A0F"/>
    <w:rsid w:val="733866F9"/>
    <w:rsid w:val="73547991"/>
    <w:rsid w:val="736938A6"/>
    <w:rsid w:val="736D75D5"/>
    <w:rsid w:val="73796EEC"/>
    <w:rsid w:val="738E6C88"/>
    <w:rsid w:val="739169F9"/>
    <w:rsid w:val="739D39C9"/>
    <w:rsid w:val="73A52AED"/>
    <w:rsid w:val="73C43DFB"/>
    <w:rsid w:val="73CD33BB"/>
    <w:rsid w:val="73F44C19"/>
    <w:rsid w:val="74031DA5"/>
    <w:rsid w:val="740C6947"/>
    <w:rsid w:val="742D4234"/>
    <w:rsid w:val="74326F65"/>
    <w:rsid w:val="743F4CBA"/>
    <w:rsid w:val="74404DBF"/>
    <w:rsid w:val="744765D2"/>
    <w:rsid w:val="74504A57"/>
    <w:rsid w:val="7473071B"/>
    <w:rsid w:val="747E452E"/>
    <w:rsid w:val="748A000B"/>
    <w:rsid w:val="7490224A"/>
    <w:rsid w:val="749330FE"/>
    <w:rsid w:val="749331CE"/>
    <w:rsid w:val="74942EB6"/>
    <w:rsid w:val="749B3E5E"/>
    <w:rsid w:val="749E119A"/>
    <w:rsid w:val="74A356E3"/>
    <w:rsid w:val="74A37C5A"/>
    <w:rsid w:val="74AC1B7A"/>
    <w:rsid w:val="74D33EF6"/>
    <w:rsid w:val="74D81279"/>
    <w:rsid w:val="74DD4D68"/>
    <w:rsid w:val="74E1558B"/>
    <w:rsid w:val="74ED25E3"/>
    <w:rsid w:val="74F26A6B"/>
    <w:rsid w:val="75157FF9"/>
    <w:rsid w:val="75427AEF"/>
    <w:rsid w:val="754B297D"/>
    <w:rsid w:val="7560709F"/>
    <w:rsid w:val="757356C1"/>
    <w:rsid w:val="75776CC4"/>
    <w:rsid w:val="7585337A"/>
    <w:rsid w:val="75A01957"/>
    <w:rsid w:val="75A41F9F"/>
    <w:rsid w:val="75B456A9"/>
    <w:rsid w:val="75C03C40"/>
    <w:rsid w:val="75C404DC"/>
    <w:rsid w:val="75C50AA6"/>
    <w:rsid w:val="75D94171"/>
    <w:rsid w:val="75E64D79"/>
    <w:rsid w:val="75EA51DF"/>
    <w:rsid w:val="75EB4A8F"/>
    <w:rsid w:val="76016C28"/>
    <w:rsid w:val="76051776"/>
    <w:rsid w:val="7605782D"/>
    <w:rsid w:val="760B6FB5"/>
    <w:rsid w:val="763B7D07"/>
    <w:rsid w:val="76435113"/>
    <w:rsid w:val="766F2EEF"/>
    <w:rsid w:val="76905212"/>
    <w:rsid w:val="769D4442"/>
    <w:rsid w:val="76AE0A05"/>
    <w:rsid w:val="76AF515A"/>
    <w:rsid w:val="76B61F68"/>
    <w:rsid w:val="76CC1292"/>
    <w:rsid w:val="76D54682"/>
    <w:rsid w:val="77210231"/>
    <w:rsid w:val="773D64AD"/>
    <w:rsid w:val="77437CF9"/>
    <w:rsid w:val="775D10E3"/>
    <w:rsid w:val="77723A3F"/>
    <w:rsid w:val="777703EE"/>
    <w:rsid w:val="77816A4D"/>
    <w:rsid w:val="77A33763"/>
    <w:rsid w:val="77B77A99"/>
    <w:rsid w:val="77CB1717"/>
    <w:rsid w:val="77D01510"/>
    <w:rsid w:val="77E2543A"/>
    <w:rsid w:val="78023DEF"/>
    <w:rsid w:val="78203AD8"/>
    <w:rsid w:val="78437924"/>
    <w:rsid w:val="78447F3E"/>
    <w:rsid w:val="78531D63"/>
    <w:rsid w:val="785D6A87"/>
    <w:rsid w:val="78615D56"/>
    <w:rsid w:val="7879213E"/>
    <w:rsid w:val="78A15077"/>
    <w:rsid w:val="78B54873"/>
    <w:rsid w:val="78BC2324"/>
    <w:rsid w:val="78C445BB"/>
    <w:rsid w:val="78C83AD2"/>
    <w:rsid w:val="78F03A78"/>
    <w:rsid w:val="790106AE"/>
    <w:rsid w:val="790F0AA9"/>
    <w:rsid w:val="79306213"/>
    <w:rsid w:val="79395171"/>
    <w:rsid w:val="79424A2B"/>
    <w:rsid w:val="79516F63"/>
    <w:rsid w:val="79565544"/>
    <w:rsid w:val="795F53B0"/>
    <w:rsid w:val="79614697"/>
    <w:rsid w:val="796660A9"/>
    <w:rsid w:val="796946E1"/>
    <w:rsid w:val="796E1666"/>
    <w:rsid w:val="798A5C60"/>
    <w:rsid w:val="798F487B"/>
    <w:rsid w:val="79932EBA"/>
    <w:rsid w:val="79A07515"/>
    <w:rsid w:val="79A9103A"/>
    <w:rsid w:val="79AB36F9"/>
    <w:rsid w:val="79C51CFD"/>
    <w:rsid w:val="79C71FD3"/>
    <w:rsid w:val="79D60872"/>
    <w:rsid w:val="79DD1D32"/>
    <w:rsid w:val="79EB1886"/>
    <w:rsid w:val="79EC4C14"/>
    <w:rsid w:val="79EF06E6"/>
    <w:rsid w:val="79F06745"/>
    <w:rsid w:val="7A00729F"/>
    <w:rsid w:val="7A230972"/>
    <w:rsid w:val="7A402138"/>
    <w:rsid w:val="7A435623"/>
    <w:rsid w:val="7A4A4C3A"/>
    <w:rsid w:val="7A51551F"/>
    <w:rsid w:val="7A5C78B1"/>
    <w:rsid w:val="7A5E3C4E"/>
    <w:rsid w:val="7A733BF4"/>
    <w:rsid w:val="7A8C4B1E"/>
    <w:rsid w:val="7AAA2726"/>
    <w:rsid w:val="7AAC1296"/>
    <w:rsid w:val="7AC313F4"/>
    <w:rsid w:val="7ACA5466"/>
    <w:rsid w:val="7AD45C10"/>
    <w:rsid w:val="7AD522D5"/>
    <w:rsid w:val="7AE318EE"/>
    <w:rsid w:val="7AFB2BD3"/>
    <w:rsid w:val="7AFF0807"/>
    <w:rsid w:val="7B07175A"/>
    <w:rsid w:val="7B0A6A9B"/>
    <w:rsid w:val="7B0D2818"/>
    <w:rsid w:val="7B3D676B"/>
    <w:rsid w:val="7B5D35F7"/>
    <w:rsid w:val="7B912D47"/>
    <w:rsid w:val="7B917CAE"/>
    <w:rsid w:val="7B92467D"/>
    <w:rsid w:val="7B943CCB"/>
    <w:rsid w:val="7B994E29"/>
    <w:rsid w:val="7B9D745B"/>
    <w:rsid w:val="7BAD3F83"/>
    <w:rsid w:val="7BB12C0A"/>
    <w:rsid w:val="7BB73BB8"/>
    <w:rsid w:val="7BC96E50"/>
    <w:rsid w:val="7BD24E35"/>
    <w:rsid w:val="7BDA36FA"/>
    <w:rsid w:val="7C005CAF"/>
    <w:rsid w:val="7C055284"/>
    <w:rsid w:val="7C254F1C"/>
    <w:rsid w:val="7C302710"/>
    <w:rsid w:val="7C424F97"/>
    <w:rsid w:val="7C425CF3"/>
    <w:rsid w:val="7C4C2BF6"/>
    <w:rsid w:val="7C57415F"/>
    <w:rsid w:val="7C57508E"/>
    <w:rsid w:val="7C594D0E"/>
    <w:rsid w:val="7C5D3714"/>
    <w:rsid w:val="7C60651C"/>
    <w:rsid w:val="7C640CBC"/>
    <w:rsid w:val="7C71680F"/>
    <w:rsid w:val="7C796B8F"/>
    <w:rsid w:val="7C812178"/>
    <w:rsid w:val="7CA83B93"/>
    <w:rsid w:val="7CAA7279"/>
    <w:rsid w:val="7CB82DCD"/>
    <w:rsid w:val="7CBC3199"/>
    <w:rsid w:val="7CC72DC3"/>
    <w:rsid w:val="7CCB17CA"/>
    <w:rsid w:val="7CD66DE6"/>
    <w:rsid w:val="7CE57657"/>
    <w:rsid w:val="7D1E37C3"/>
    <w:rsid w:val="7D225A5C"/>
    <w:rsid w:val="7D3A42B0"/>
    <w:rsid w:val="7D653F46"/>
    <w:rsid w:val="7D6F1CD1"/>
    <w:rsid w:val="7D723F16"/>
    <w:rsid w:val="7D896705"/>
    <w:rsid w:val="7D8E3A4A"/>
    <w:rsid w:val="7D972197"/>
    <w:rsid w:val="7D990F1D"/>
    <w:rsid w:val="7D9A2209"/>
    <w:rsid w:val="7DA9460F"/>
    <w:rsid w:val="7DC73FEB"/>
    <w:rsid w:val="7DC80B9A"/>
    <w:rsid w:val="7DCB29F1"/>
    <w:rsid w:val="7DD47EE4"/>
    <w:rsid w:val="7DE03DE0"/>
    <w:rsid w:val="7DE5055D"/>
    <w:rsid w:val="7DE65FBE"/>
    <w:rsid w:val="7DFF6F70"/>
    <w:rsid w:val="7E1C41A7"/>
    <w:rsid w:val="7E2461C2"/>
    <w:rsid w:val="7E252460"/>
    <w:rsid w:val="7E397349"/>
    <w:rsid w:val="7E3B2283"/>
    <w:rsid w:val="7E425EB3"/>
    <w:rsid w:val="7E676FEC"/>
    <w:rsid w:val="7E826950"/>
    <w:rsid w:val="7E89682B"/>
    <w:rsid w:val="7E8A1B2B"/>
    <w:rsid w:val="7E904003"/>
    <w:rsid w:val="7E9064E4"/>
    <w:rsid w:val="7EA66AB7"/>
    <w:rsid w:val="7EA85236"/>
    <w:rsid w:val="7EB76F44"/>
    <w:rsid w:val="7EBB18A6"/>
    <w:rsid w:val="7EBC33F7"/>
    <w:rsid w:val="7ED60925"/>
    <w:rsid w:val="7EF249D2"/>
    <w:rsid w:val="7EFF5CB3"/>
    <w:rsid w:val="7F113622"/>
    <w:rsid w:val="7F1E0D19"/>
    <w:rsid w:val="7F314CA2"/>
    <w:rsid w:val="7F4C1035"/>
    <w:rsid w:val="7F50176F"/>
    <w:rsid w:val="7F7057E9"/>
    <w:rsid w:val="7F7405C7"/>
    <w:rsid w:val="7F7F75D9"/>
    <w:rsid w:val="7F8B38CC"/>
    <w:rsid w:val="7FAF6BB9"/>
    <w:rsid w:val="7FBB179D"/>
    <w:rsid w:val="7FCF43C0"/>
    <w:rsid w:val="7FD208D9"/>
    <w:rsid w:val="7FD44198"/>
    <w:rsid w:val="7FDB4950"/>
    <w:rsid w:val="7FDF55E5"/>
    <w:rsid w:val="7FFA2F91"/>
    <w:rsid w:val="7FFF38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8"/>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5">
    <w:name w:val="heading 2"/>
    <w:basedOn w:val="1"/>
    <w:next w:val="1"/>
    <w:link w:val="49"/>
    <w:unhideWhenUsed/>
    <w:qFormat/>
    <w:uiPriority w:val="0"/>
    <w:pPr>
      <w:keepNext/>
      <w:keepLines/>
      <w:spacing w:line="413" w:lineRule="auto"/>
      <w:jc w:val="center"/>
      <w:outlineLvl w:val="1"/>
    </w:pPr>
    <w:rPr>
      <w:rFonts w:ascii="Arial" w:hAnsi="Arial" w:cs="Arial"/>
      <w:b/>
      <w:bCs/>
      <w:sz w:val="28"/>
      <w:szCs w:val="28"/>
    </w:rPr>
  </w:style>
  <w:style w:type="paragraph" w:styleId="6">
    <w:name w:val="heading 3"/>
    <w:basedOn w:val="1"/>
    <w:next w:val="1"/>
    <w:link w:val="50"/>
    <w:autoRedefine/>
    <w:semiHidden/>
    <w:unhideWhenUsed/>
    <w:qFormat/>
    <w:uiPriority w:val="0"/>
    <w:pPr>
      <w:keepNext/>
      <w:keepLines/>
      <w:spacing w:line="413" w:lineRule="auto"/>
      <w:outlineLvl w:val="2"/>
    </w:pPr>
    <w:rPr>
      <w:b/>
      <w:bCs/>
      <w:sz w:val="32"/>
      <w:szCs w:val="32"/>
    </w:rPr>
  </w:style>
  <w:style w:type="paragraph" w:styleId="7">
    <w:name w:val="heading 4"/>
    <w:basedOn w:val="1"/>
    <w:next w:val="1"/>
    <w:link w:val="51"/>
    <w:semiHidden/>
    <w:unhideWhenUsed/>
    <w:qFormat/>
    <w:uiPriority w:val="0"/>
    <w:pPr>
      <w:keepNext/>
      <w:keepLines/>
      <w:jc w:val="left"/>
      <w:outlineLvl w:val="3"/>
    </w:pPr>
    <w:rPr>
      <w:rFonts w:ascii="Arial" w:hAnsi="Arial" w:cs="Arial"/>
      <w:b/>
      <w:bCs/>
      <w:sz w:val="32"/>
      <w:szCs w:val="32"/>
    </w:rPr>
  </w:style>
  <w:style w:type="paragraph" w:styleId="8">
    <w:name w:val="heading 6"/>
    <w:basedOn w:val="1"/>
    <w:next w:val="1"/>
    <w:autoRedefine/>
    <w:qFormat/>
    <w:uiPriority w:val="1"/>
    <w:pPr>
      <w:ind w:left="878"/>
      <w:outlineLvl w:val="5"/>
    </w:pPr>
    <w:rPr>
      <w:rFonts w:ascii="仿宋" w:hAnsi="仿宋" w:eastAsia="仿宋" w:cs="仿宋"/>
      <w:b/>
      <w:bCs/>
      <w:sz w:val="28"/>
      <w:szCs w:val="28"/>
      <w:lang w:val="zh-CN" w:bidi="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900"/>
      </w:tabs>
      <w:ind w:firstLine="420" w:firstLineChars="200"/>
    </w:pPr>
  </w:style>
  <w:style w:type="paragraph" w:styleId="3">
    <w:name w:val="Body Text Indent"/>
    <w:basedOn w:val="1"/>
    <w:link w:val="54"/>
    <w:autoRedefine/>
    <w:qFormat/>
    <w:uiPriority w:val="0"/>
    <w:pPr>
      <w:spacing w:after="120"/>
      <w:ind w:left="420" w:leftChars="200"/>
    </w:pPr>
  </w:style>
  <w:style w:type="paragraph" w:styleId="9">
    <w:name w:val="toc 7"/>
    <w:basedOn w:val="1"/>
    <w:next w:val="1"/>
    <w:autoRedefine/>
    <w:qFormat/>
    <w:uiPriority w:val="0"/>
    <w:pPr>
      <w:ind w:left="1260"/>
      <w:jc w:val="left"/>
    </w:pPr>
    <w:rPr>
      <w:rFonts w:asciiTheme="minorHAnsi" w:hAnsiTheme="minorHAnsi"/>
      <w:sz w:val="18"/>
      <w:szCs w:val="18"/>
    </w:rPr>
  </w:style>
  <w:style w:type="paragraph" w:styleId="10">
    <w:name w:val="Normal Indent"/>
    <w:basedOn w:val="1"/>
    <w:autoRedefine/>
    <w:qFormat/>
    <w:uiPriority w:val="0"/>
    <w:pPr>
      <w:ind w:firstLine="420"/>
    </w:pPr>
  </w:style>
  <w:style w:type="paragraph" w:styleId="11">
    <w:name w:val="toa heading"/>
    <w:basedOn w:val="1"/>
    <w:next w:val="1"/>
    <w:autoRedefine/>
    <w:unhideWhenUsed/>
    <w:qFormat/>
    <w:uiPriority w:val="0"/>
    <w:pPr>
      <w:spacing w:before="120"/>
    </w:pPr>
    <w:rPr>
      <w:rFonts w:asciiTheme="majorHAnsi" w:hAnsiTheme="majorHAnsi" w:cstheme="majorBidi"/>
      <w:sz w:val="24"/>
    </w:rPr>
  </w:style>
  <w:style w:type="paragraph" w:styleId="12">
    <w:name w:val="annotation text"/>
    <w:basedOn w:val="1"/>
    <w:link w:val="52"/>
    <w:autoRedefine/>
    <w:qFormat/>
    <w:uiPriority w:val="0"/>
    <w:pPr>
      <w:jc w:val="left"/>
    </w:pPr>
    <w:rPr>
      <w:rFonts w:ascii="宋体" w:cs="宋体"/>
      <w:kern w:val="0"/>
      <w:sz w:val="34"/>
      <w:szCs w:val="34"/>
    </w:rPr>
  </w:style>
  <w:style w:type="paragraph" w:styleId="13">
    <w:name w:val="Body Text 3"/>
    <w:basedOn w:val="1"/>
    <w:next w:val="14"/>
    <w:qFormat/>
    <w:uiPriority w:val="0"/>
    <w:pPr>
      <w:spacing w:line="360" w:lineRule="exact"/>
    </w:pPr>
    <w:rPr>
      <w:sz w:val="28"/>
      <w:szCs w:val="16"/>
    </w:rPr>
  </w:style>
  <w:style w:type="paragraph" w:styleId="14">
    <w:name w:val="Body Text"/>
    <w:basedOn w:val="1"/>
    <w:next w:val="1"/>
    <w:link w:val="53"/>
    <w:autoRedefine/>
    <w:unhideWhenUsed/>
    <w:qFormat/>
    <w:uiPriority w:val="99"/>
  </w:style>
  <w:style w:type="paragraph" w:styleId="15">
    <w:name w:val="Block Text"/>
    <w:basedOn w:val="1"/>
    <w:autoRedefine/>
    <w:qFormat/>
    <w:uiPriority w:val="0"/>
    <w:pPr>
      <w:spacing w:after="120"/>
      <w:ind w:left="1440" w:leftChars="700" w:right="700" w:rightChars="700"/>
    </w:pPr>
  </w:style>
  <w:style w:type="paragraph" w:styleId="16">
    <w:name w:val="toc 5"/>
    <w:basedOn w:val="1"/>
    <w:next w:val="1"/>
    <w:autoRedefine/>
    <w:qFormat/>
    <w:uiPriority w:val="0"/>
    <w:pPr>
      <w:ind w:left="840"/>
      <w:jc w:val="left"/>
    </w:pPr>
    <w:rPr>
      <w:rFonts w:asciiTheme="minorHAnsi" w:hAnsiTheme="minorHAnsi"/>
      <w:sz w:val="18"/>
      <w:szCs w:val="18"/>
    </w:rPr>
  </w:style>
  <w:style w:type="paragraph" w:styleId="17">
    <w:name w:val="toc 3"/>
    <w:basedOn w:val="1"/>
    <w:next w:val="1"/>
    <w:autoRedefine/>
    <w:qFormat/>
    <w:uiPriority w:val="0"/>
    <w:pPr>
      <w:ind w:left="420"/>
      <w:jc w:val="left"/>
    </w:pPr>
    <w:rPr>
      <w:rFonts w:asciiTheme="minorHAnsi" w:hAnsiTheme="minorHAnsi"/>
      <w:i/>
      <w:iCs/>
      <w:sz w:val="20"/>
      <w:szCs w:val="20"/>
    </w:rPr>
  </w:style>
  <w:style w:type="paragraph" w:styleId="18">
    <w:name w:val="Plain Text"/>
    <w:basedOn w:val="1"/>
    <w:link w:val="55"/>
    <w:autoRedefine/>
    <w:qFormat/>
    <w:uiPriority w:val="0"/>
    <w:pPr>
      <w:spacing w:line="324" w:lineRule="auto"/>
    </w:pPr>
    <w:rPr>
      <w:rFonts w:ascii="宋体" w:hAnsi="Courier New" w:cs="宋体"/>
    </w:rPr>
  </w:style>
  <w:style w:type="paragraph" w:styleId="19">
    <w:name w:val="toc 8"/>
    <w:basedOn w:val="1"/>
    <w:next w:val="1"/>
    <w:autoRedefine/>
    <w:qFormat/>
    <w:uiPriority w:val="0"/>
    <w:pPr>
      <w:ind w:left="1470"/>
      <w:jc w:val="left"/>
    </w:pPr>
    <w:rPr>
      <w:rFonts w:asciiTheme="minorHAnsi" w:hAnsiTheme="minorHAnsi"/>
      <w:sz w:val="18"/>
      <w:szCs w:val="18"/>
    </w:rPr>
  </w:style>
  <w:style w:type="paragraph" w:styleId="20">
    <w:name w:val="Date"/>
    <w:basedOn w:val="1"/>
    <w:next w:val="1"/>
    <w:link w:val="79"/>
    <w:autoRedefine/>
    <w:qFormat/>
    <w:uiPriority w:val="0"/>
    <w:pPr>
      <w:ind w:left="100" w:leftChars="2500"/>
    </w:pPr>
  </w:style>
  <w:style w:type="paragraph" w:styleId="21">
    <w:name w:val="Body Text Indent 2"/>
    <w:basedOn w:val="1"/>
    <w:link w:val="56"/>
    <w:autoRedefine/>
    <w:qFormat/>
    <w:uiPriority w:val="0"/>
    <w:pPr>
      <w:spacing w:after="120" w:line="480" w:lineRule="auto"/>
      <w:ind w:left="420" w:leftChars="200"/>
    </w:pPr>
  </w:style>
  <w:style w:type="paragraph" w:styleId="22">
    <w:name w:val="Balloon Text"/>
    <w:basedOn w:val="1"/>
    <w:link w:val="57"/>
    <w:autoRedefine/>
    <w:qFormat/>
    <w:uiPriority w:val="0"/>
    <w:rPr>
      <w:sz w:val="18"/>
      <w:szCs w:val="18"/>
    </w:rPr>
  </w:style>
  <w:style w:type="paragraph" w:styleId="23">
    <w:name w:val="footer"/>
    <w:basedOn w:val="1"/>
    <w:link w:val="58"/>
    <w:autoRedefine/>
    <w:unhideWhenUsed/>
    <w:qFormat/>
    <w:uiPriority w:val="99"/>
    <w:pPr>
      <w:tabs>
        <w:tab w:val="center" w:pos="4153"/>
        <w:tab w:val="right" w:pos="8306"/>
      </w:tabs>
      <w:snapToGrid w:val="0"/>
      <w:jc w:val="left"/>
    </w:pPr>
    <w:rPr>
      <w:sz w:val="18"/>
      <w:szCs w:val="18"/>
    </w:rPr>
  </w:style>
  <w:style w:type="paragraph" w:styleId="24">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120" w:after="120"/>
      <w:jc w:val="left"/>
    </w:pPr>
    <w:rPr>
      <w:rFonts w:asciiTheme="minorHAnsi" w:hAnsiTheme="minorHAnsi"/>
      <w:b/>
      <w:bCs/>
      <w:caps/>
      <w:sz w:val="20"/>
      <w:szCs w:val="20"/>
    </w:rPr>
  </w:style>
  <w:style w:type="paragraph" w:styleId="26">
    <w:name w:val="toc 4"/>
    <w:basedOn w:val="1"/>
    <w:next w:val="1"/>
    <w:autoRedefine/>
    <w:qFormat/>
    <w:uiPriority w:val="0"/>
    <w:pPr>
      <w:ind w:left="630"/>
      <w:jc w:val="left"/>
    </w:pPr>
    <w:rPr>
      <w:rFonts w:asciiTheme="minorHAnsi" w:hAnsiTheme="minorHAnsi"/>
      <w:sz w:val="18"/>
      <w:szCs w:val="18"/>
    </w:rPr>
  </w:style>
  <w:style w:type="paragraph" w:styleId="27">
    <w:name w:val="footnote text"/>
    <w:basedOn w:val="1"/>
    <w:autoRedefine/>
    <w:qFormat/>
    <w:uiPriority w:val="0"/>
    <w:pPr>
      <w:snapToGrid w:val="0"/>
      <w:jc w:val="left"/>
    </w:pPr>
    <w:rPr>
      <w:sz w:val="18"/>
    </w:rPr>
  </w:style>
  <w:style w:type="paragraph" w:styleId="28">
    <w:name w:val="toc 6"/>
    <w:basedOn w:val="1"/>
    <w:next w:val="1"/>
    <w:autoRedefine/>
    <w:qFormat/>
    <w:uiPriority w:val="0"/>
    <w:pPr>
      <w:ind w:left="1050"/>
      <w:jc w:val="left"/>
    </w:pPr>
    <w:rPr>
      <w:rFonts w:asciiTheme="minorHAnsi" w:hAnsiTheme="minorHAnsi"/>
      <w:sz w:val="18"/>
      <w:szCs w:val="18"/>
    </w:rPr>
  </w:style>
  <w:style w:type="paragraph" w:styleId="29">
    <w:name w:val="toc 2"/>
    <w:basedOn w:val="1"/>
    <w:next w:val="1"/>
    <w:autoRedefine/>
    <w:qFormat/>
    <w:uiPriority w:val="0"/>
    <w:pPr>
      <w:ind w:left="210"/>
      <w:jc w:val="left"/>
    </w:pPr>
    <w:rPr>
      <w:rFonts w:asciiTheme="minorHAnsi" w:hAnsiTheme="minorHAnsi"/>
      <w:smallCaps/>
      <w:sz w:val="20"/>
      <w:szCs w:val="20"/>
    </w:rPr>
  </w:style>
  <w:style w:type="paragraph" w:styleId="30">
    <w:name w:val="toc 9"/>
    <w:basedOn w:val="1"/>
    <w:next w:val="1"/>
    <w:autoRedefine/>
    <w:qFormat/>
    <w:uiPriority w:val="0"/>
    <w:pPr>
      <w:ind w:left="1680"/>
      <w:jc w:val="left"/>
    </w:pPr>
    <w:rPr>
      <w:rFonts w:asciiTheme="minorHAnsi" w:hAnsiTheme="minorHAnsi"/>
      <w:sz w:val="18"/>
      <w:szCs w:val="18"/>
    </w:rPr>
  </w:style>
  <w:style w:type="paragraph" w:styleId="31">
    <w:name w:val="Body Text 2"/>
    <w:basedOn w:val="1"/>
    <w:link w:val="60"/>
    <w:autoRedefine/>
    <w:qFormat/>
    <w:uiPriority w:val="0"/>
    <w:pPr>
      <w:jc w:val="center"/>
    </w:pPr>
    <w:rPr>
      <w:b/>
      <w:bCs/>
      <w:spacing w:val="-20"/>
      <w:w w:val="130"/>
      <w:sz w:val="48"/>
      <w:szCs w:val="48"/>
    </w:rPr>
  </w:style>
  <w:style w:type="paragraph" w:styleId="3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3">
    <w:name w:val="annotation subject"/>
    <w:basedOn w:val="12"/>
    <w:next w:val="1"/>
    <w:link w:val="89"/>
    <w:autoRedefine/>
    <w:qFormat/>
    <w:uiPriority w:val="0"/>
    <w:rPr>
      <w:rFonts w:ascii="Calibri" w:cs="Calibri"/>
      <w:b/>
      <w:bCs/>
      <w:kern w:val="2"/>
      <w:sz w:val="21"/>
      <w:szCs w:val="21"/>
    </w:rPr>
  </w:style>
  <w:style w:type="paragraph" w:styleId="34">
    <w:name w:val="Body Text First Indent"/>
    <w:basedOn w:val="14"/>
    <w:autoRedefine/>
    <w:qFormat/>
    <w:uiPriority w:val="0"/>
    <w:pPr>
      <w:ind w:firstLine="420" w:firstLineChars="100"/>
    </w:p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sz w:val="24"/>
      <w:szCs w:val="24"/>
    </w:rPr>
  </w:style>
  <w:style w:type="character" w:styleId="39">
    <w:name w:val="page number"/>
    <w:basedOn w:val="37"/>
    <w:autoRedefine/>
    <w:qFormat/>
    <w:uiPriority w:val="0"/>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7"/>
    <w:autoRedefine/>
    <w:qFormat/>
    <w:uiPriority w:val="0"/>
    <w:rPr>
      <w:vertAlign w:val="superscript"/>
    </w:rPr>
  </w:style>
  <w:style w:type="paragraph" w:customStyle="1" w:styleId="45">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6">
    <w:name w:val="列出段落1"/>
    <w:basedOn w:val="1"/>
    <w:autoRedefine/>
    <w:qFormat/>
    <w:uiPriority w:val="99"/>
    <w:pPr>
      <w:ind w:firstLine="420" w:firstLineChars="200"/>
    </w:pPr>
  </w:style>
  <w:style w:type="paragraph" w:customStyle="1" w:styleId="47">
    <w:name w:val="TOC 标题1"/>
    <w:basedOn w:val="4"/>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字符"/>
    <w:link w:val="4"/>
    <w:autoRedefine/>
    <w:qFormat/>
    <w:locked/>
    <w:uiPriority w:val="99"/>
    <w:rPr>
      <w:rFonts w:ascii="Calibri" w:hAnsi="Calibri" w:cs="Calibri"/>
      <w:b/>
      <w:bCs/>
      <w:kern w:val="44"/>
      <w:sz w:val="44"/>
      <w:szCs w:val="44"/>
    </w:rPr>
  </w:style>
  <w:style w:type="character" w:customStyle="1" w:styleId="49">
    <w:name w:val="标题 2 字符"/>
    <w:link w:val="5"/>
    <w:autoRedefine/>
    <w:qFormat/>
    <w:locked/>
    <w:uiPriority w:val="99"/>
    <w:rPr>
      <w:rFonts w:ascii="Cambria" w:hAnsi="Cambria" w:eastAsia="宋体" w:cs="Cambria"/>
      <w:b/>
      <w:bCs/>
      <w:sz w:val="32"/>
      <w:szCs w:val="32"/>
    </w:rPr>
  </w:style>
  <w:style w:type="character" w:customStyle="1" w:styleId="50">
    <w:name w:val="标题 3 字符"/>
    <w:link w:val="6"/>
    <w:autoRedefine/>
    <w:semiHidden/>
    <w:qFormat/>
    <w:locked/>
    <w:uiPriority w:val="99"/>
    <w:rPr>
      <w:rFonts w:ascii="Calibri" w:hAnsi="Calibri" w:cs="Calibri"/>
      <w:b/>
      <w:bCs/>
      <w:sz w:val="32"/>
      <w:szCs w:val="32"/>
    </w:rPr>
  </w:style>
  <w:style w:type="character" w:customStyle="1" w:styleId="51">
    <w:name w:val="标题 4 字符"/>
    <w:link w:val="7"/>
    <w:autoRedefine/>
    <w:semiHidden/>
    <w:qFormat/>
    <w:uiPriority w:val="9"/>
    <w:rPr>
      <w:rFonts w:ascii="Cambria" w:hAnsi="Cambria" w:eastAsia="宋体" w:cs="Times New Roman"/>
      <w:b/>
      <w:bCs/>
      <w:sz w:val="28"/>
      <w:szCs w:val="28"/>
    </w:rPr>
  </w:style>
  <w:style w:type="character" w:customStyle="1" w:styleId="52">
    <w:name w:val="批注文字 字符"/>
    <w:link w:val="12"/>
    <w:autoRedefine/>
    <w:qFormat/>
    <w:locked/>
    <w:uiPriority w:val="99"/>
    <w:rPr>
      <w:rFonts w:ascii="宋体" w:hAnsi="Calibri" w:eastAsia="宋体" w:cs="宋体"/>
      <w:sz w:val="22"/>
      <w:szCs w:val="22"/>
    </w:rPr>
  </w:style>
  <w:style w:type="character" w:customStyle="1" w:styleId="53">
    <w:name w:val="正文文本 字符"/>
    <w:link w:val="14"/>
    <w:autoRedefine/>
    <w:semiHidden/>
    <w:qFormat/>
    <w:locked/>
    <w:uiPriority w:val="99"/>
    <w:rPr>
      <w:rFonts w:ascii="Calibri" w:hAnsi="Calibri" w:cs="Calibri"/>
    </w:rPr>
  </w:style>
  <w:style w:type="character" w:customStyle="1" w:styleId="54">
    <w:name w:val="正文文本缩进 字符"/>
    <w:link w:val="3"/>
    <w:autoRedefine/>
    <w:semiHidden/>
    <w:qFormat/>
    <w:uiPriority w:val="99"/>
    <w:rPr>
      <w:rFonts w:ascii="Calibri" w:hAnsi="Calibri" w:cs="Calibri"/>
      <w:szCs w:val="21"/>
    </w:rPr>
  </w:style>
  <w:style w:type="character" w:customStyle="1" w:styleId="55">
    <w:name w:val="纯文本 字符"/>
    <w:link w:val="18"/>
    <w:autoRedefine/>
    <w:qFormat/>
    <w:locked/>
    <w:uiPriority w:val="0"/>
    <w:rPr>
      <w:rFonts w:ascii="宋体" w:hAnsi="Courier New" w:cs="宋体"/>
      <w:sz w:val="21"/>
      <w:szCs w:val="21"/>
    </w:rPr>
  </w:style>
  <w:style w:type="character" w:customStyle="1" w:styleId="56">
    <w:name w:val="正文文本缩进 2 字符"/>
    <w:link w:val="21"/>
    <w:autoRedefine/>
    <w:semiHidden/>
    <w:qFormat/>
    <w:locked/>
    <w:uiPriority w:val="99"/>
    <w:rPr>
      <w:rFonts w:ascii="Calibri" w:hAnsi="Calibri" w:cs="Calibri"/>
    </w:rPr>
  </w:style>
  <w:style w:type="character" w:customStyle="1" w:styleId="57">
    <w:name w:val="批注框文本 字符"/>
    <w:link w:val="22"/>
    <w:autoRedefine/>
    <w:qFormat/>
    <w:locked/>
    <w:uiPriority w:val="99"/>
    <w:rPr>
      <w:rFonts w:ascii="Calibri" w:hAnsi="Calibri" w:eastAsia="宋体" w:cs="Calibri"/>
      <w:kern w:val="2"/>
      <w:sz w:val="18"/>
      <w:szCs w:val="18"/>
    </w:rPr>
  </w:style>
  <w:style w:type="character" w:customStyle="1" w:styleId="58">
    <w:name w:val="页脚 字符"/>
    <w:basedOn w:val="37"/>
    <w:link w:val="23"/>
    <w:autoRedefine/>
    <w:qFormat/>
    <w:locked/>
    <w:uiPriority w:val="99"/>
    <w:rPr>
      <w:rFonts w:ascii="Calibri" w:hAnsi="Calibri" w:cs="Calibri"/>
      <w:sz w:val="18"/>
      <w:szCs w:val="18"/>
    </w:rPr>
  </w:style>
  <w:style w:type="character" w:customStyle="1" w:styleId="59">
    <w:name w:val="页眉 字符"/>
    <w:basedOn w:val="37"/>
    <w:link w:val="24"/>
    <w:autoRedefine/>
    <w:qFormat/>
    <w:locked/>
    <w:uiPriority w:val="99"/>
    <w:rPr>
      <w:rFonts w:ascii="Calibri" w:hAnsi="Calibri" w:cs="Calibri"/>
      <w:sz w:val="18"/>
      <w:szCs w:val="18"/>
    </w:rPr>
  </w:style>
  <w:style w:type="character" w:customStyle="1" w:styleId="60">
    <w:name w:val="正文文本 2 字符"/>
    <w:link w:val="31"/>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autoRedefine/>
    <w:qFormat/>
    <w:uiPriority w:val="99"/>
  </w:style>
  <w:style w:type="character" w:customStyle="1" w:styleId="66">
    <w:name w:val="del"/>
    <w:basedOn w:val="37"/>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7"/>
    <w:autoRedefine/>
    <w:qFormat/>
    <w:uiPriority w:val="0"/>
    <w:rPr>
      <w:rFonts w:hint="eastAsia" w:ascii="宋体" w:hAnsi="宋体" w:eastAsia="宋体" w:cs="宋体"/>
      <w:color w:val="000000"/>
      <w:sz w:val="24"/>
      <w:szCs w:val="24"/>
      <w:u w:val="none"/>
    </w:rPr>
  </w:style>
  <w:style w:type="character" w:customStyle="1" w:styleId="74">
    <w:name w:val="font91"/>
    <w:basedOn w:val="37"/>
    <w:autoRedefine/>
    <w:qFormat/>
    <w:uiPriority w:val="0"/>
    <w:rPr>
      <w:rFonts w:hint="eastAsia" w:ascii="宋体" w:hAnsi="宋体" w:eastAsia="宋体" w:cs="宋体"/>
      <w:color w:val="000000"/>
      <w:sz w:val="24"/>
      <w:szCs w:val="24"/>
      <w:u w:val="none"/>
    </w:rPr>
  </w:style>
  <w:style w:type="character" w:customStyle="1" w:styleId="75">
    <w:name w:val="font41"/>
    <w:basedOn w:val="37"/>
    <w:autoRedefine/>
    <w:qFormat/>
    <w:uiPriority w:val="0"/>
    <w:rPr>
      <w:rFonts w:hint="eastAsia" w:ascii="宋体" w:hAnsi="宋体" w:eastAsia="宋体" w:cs="宋体"/>
      <w:color w:val="000000"/>
      <w:sz w:val="24"/>
      <w:szCs w:val="24"/>
      <w:u w:val="none"/>
    </w:rPr>
  </w:style>
  <w:style w:type="character" w:customStyle="1" w:styleId="76">
    <w:name w:val="font21"/>
    <w:basedOn w:val="37"/>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字符"/>
    <w:basedOn w:val="37"/>
    <w:link w:val="20"/>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字符"/>
    <w:basedOn w:val="52"/>
    <w:link w:val="33"/>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high-light-bg4"/>
    <w:basedOn w:val="37"/>
    <w:autoRedefine/>
    <w:qFormat/>
    <w:uiPriority w:val="0"/>
  </w:style>
  <w:style w:type="paragraph" w:customStyle="1" w:styleId="10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rPr>
      <w:rFonts w:ascii="宋体" w:hAnsi="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 New"/>
    <w:autoRedefine/>
    <w:qFormat/>
    <w:uiPriority w:val="99"/>
    <w:pPr>
      <w:widowControl w:val="0"/>
      <w:jc w:val="both"/>
    </w:pPr>
    <w:rPr>
      <w:rFonts w:ascii="Times New Roman" w:hAnsi="Times New Roman" w:eastAsia="宋体" w:cs="Times New Roman"/>
      <w:lang w:val="en-US" w:eastAsia="zh-CN" w:bidi="ar-SA"/>
    </w:rPr>
  </w:style>
  <w:style w:type="character" w:customStyle="1" w:styleId="105">
    <w:name w:val="font01"/>
    <w:basedOn w:val="37"/>
    <w:autoRedefine/>
    <w:qFormat/>
    <w:uiPriority w:val="0"/>
    <w:rPr>
      <w:rFonts w:hint="eastAsia" w:ascii="仿宋" w:hAnsi="仿宋" w:eastAsia="仿宋" w:cs="仿宋"/>
      <w:color w:val="000000"/>
      <w:sz w:val="28"/>
      <w:szCs w:val="28"/>
      <w:u w:val="none"/>
    </w:rPr>
  </w:style>
  <w:style w:type="character" w:customStyle="1" w:styleId="106">
    <w:name w:val="font31"/>
    <w:basedOn w:val="37"/>
    <w:autoRedefine/>
    <w:qFormat/>
    <w:uiPriority w:val="0"/>
    <w:rPr>
      <w:rFonts w:hint="eastAsia" w:ascii="仿宋" w:hAnsi="仿宋" w:eastAsia="仿宋" w:cs="仿宋"/>
      <w:color w:val="000000"/>
      <w:sz w:val="24"/>
      <w:szCs w:val="24"/>
      <w:u w:val="none"/>
    </w:rPr>
  </w:style>
  <w:style w:type="character" w:customStyle="1" w:styleId="107">
    <w:name w:val="font11"/>
    <w:basedOn w:val="37"/>
    <w:autoRedefine/>
    <w:qFormat/>
    <w:uiPriority w:val="0"/>
    <w:rPr>
      <w:rFonts w:hint="eastAsia" w:ascii="宋体" w:hAnsi="宋体" w:eastAsia="宋体" w:cs="宋体"/>
      <w:color w:val="000000"/>
      <w:sz w:val="32"/>
      <w:szCs w:val="32"/>
      <w:u w:val="none"/>
    </w:rPr>
  </w:style>
  <w:style w:type="paragraph" w:customStyle="1" w:styleId="108">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09">
    <w:name w:val="正文格式"/>
    <w:basedOn w:val="1"/>
    <w:autoRedefine/>
    <w:qFormat/>
    <w:uiPriority w:val="0"/>
    <w:pPr>
      <w:adjustRightInd w:val="0"/>
      <w:snapToGrid w:val="0"/>
      <w:spacing w:line="400" w:lineRule="atLeast"/>
      <w:ind w:firstLine="482"/>
      <w:textAlignment w:val="baseline"/>
    </w:pPr>
  </w:style>
  <w:style w:type="paragraph" w:customStyle="1" w:styleId="110">
    <w:name w:val="※正文"/>
    <w:basedOn w:val="1"/>
    <w:next w:val="1"/>
    <w:qFormat/>
    <w:uiPriority w:val="0"/>
    <w:pPr>
      <w:widowControl/>
      <w:wordWrap w:val="0"/>
      <w:spacing w:line="400" w:lineRule="exact"/>
    </w:pPr>
    <w:rPr>
      <w:rFonts w:ascii="Calibri Light" w:hAnsi="Calibri Light" w:eastAsia="华文仿宋"/>
      <w:sz w:val="28"/>
      <w:szCs w:val="28"/>
    </w:rPr>
  </w:style>
  <w:style w:type="table" w:customStyle="1" w:styleId="111">
    <w:name w:val="Table Normal"/>
    <w:basedOn w:val="35"/>
    <w:qFormat/>
    <w:uiPriority w:val="0"/>
    <w:rPr>
      <w:rFonts w:ascii="Times New Roman" w:hAnsi="Times New Roman" w:eastAsia="Times New Roman" w:cs="Times New Roman"/>
      <w:kern w:val="0"/>
      <w:sz w:val="20"/>
      <w:szCs w:val="20"/>
      <w14:ligatures w14:val="none"/>
    </w:rPr>
    <w:tblPr>
      <w:tblCellMar>
        <w:left w:w="0" w:type="dxa"/>
        <w:right w:w="0" w:type="dxa"/>
      </w:tblCellMar>
    </w:tblPr>
  </w:style>
  <w:style w:type="paragraph" w:customStyle="1" w:styleId="112">
    <w:name w:val="MSG_EN_FONT_STYLE_NAME_TEMPLATE_ROLE_NUMBER MSG_EN_FONT_STYLE_NAME_BY_ROLE_TEXT 2"/>
    <w:basedOn w:val="1"/>
    <w:qFormat/>
    <w:uiPriority w:val="0"/>
    <w:pPr>
      <w:shd w:val="clear" w:color="auto" w:fill="FFFFFF"/>
      <w:spacing w:after="240" w:line="220" w:lineRule="exact"/>
      <w:jc w:val="distribute"/>
    </w:pPr>
    <w:rPr>
      <w:rFonts w:ascii="宋体" w:hAnsi="宋体" w:eastAsia="宋体" w:cs="宋体"/>
      <w:sz w:val="22"/>
    </w:rPr>
  </w:style>
  <w:style w:type="paragraph" w:customStyle="1" w:styleId="11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55</Pages>
  <Words>15902</Words>
  <Characters>16672</Characters>
  <Lines>176</Lines>
  <Paragraphs>49</Paragraphs>
  <TotalTime>37</TotalTime>
  <ScaleCrop>false</ScaleCrop>
  <LinksUpToDate>false</LinksUpToDate>
  <CharactersWithSpaces>16879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2023-06-08T02:12:00Z</dcterms:created>
  <dc:creator>Administrator</dc:creator>
  <cp:lastModifiedBy>WPS_1528011989</cp:lastModifiedBy>
  <cp:lastPrinted>2024-10-16T09:09:00Z</cp:lastPrinted>
  <dcterms:modified xsi:type="dcterms:W3CDTF">2025-05-28T01:43:28Z</dcterms:modified>
  <dc:title>政府采购项目</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8073FB5B771A447490D16C13ADE6865D_13</vt:lpwstr>
  </property>
  <property fmtid="{D5CDD505-2E9C-101B-9397-08002B2CF9AE}" pid="4" name="KSOTemplateDocerSaveRecord">
    <vt:lpwstr>eyJoZGlkIjoiMDg1OGE3YTllNWRkNjgwY2M5ZDEwMmY0ODQzZDFhY2IiLCJ1c2VySWQiOiIzNzU3MTM1MjkifQ==</vt:lpwstr>
  </property>
</Properties>
</file>