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A81BF1">
      <w:pPr>
        <w:spacing w:line="360" w:lineRule="auto"/>
        <w:ind w:left="6178" w:leftChars="2942" w:firstLine="210" w:firstLineChars="100"/>
        <w:jc w:val="left"/>
        <w:rPr>
          <w:rFonts w:hint="eastAsia" w:ascii="仿宋" w:hAnsi="仿宋" w:eastAsia="仿宋" w:cs="仿宋"/>
          <w:b/>
          <w:color w:val="000000" w:themeColor="text1"/>
          <w:sz w:val="36"/>
          <w:szCs w:val="36"/>
          <w:bdr w:val="single" w:color="auto" w:sz="4" w:space="0"/>
          <w:shd w:val="pct10" w:color="auto" w:fill="FFFFFF"/>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drawing>
          <wp:anchor distT="0" distB="0" distL="114300" distR="114300" simplePos="0" relativeHeight="251660288" behindDoc="1" locked="0" layoutInCell="1" allowOverlap="1">
            <wp:simplePos x="0" y="0"/>
            <wp:positionH relativeFrom="column">
              <wp:posOffset>-923290</wp:posOffset>
            </wp:positionH>
            <wp:positionV relativeFrom="paragraph">
              <wp:posOffset>340360</wp:posOffset>
            </wp:positionV>
            <wp:extent cx="7498715" cy="10596245"/>
            <wp:effectExtent l="0" t="0" r="14605" b="10795"/>
            <wp:wrapNone/>
            <wp:docPr id="50159967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599673"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498715" cy="10596245"/>
                    </a:xfrm>
                    <a:prstGeom prst="rect">
                      <a:avLst/>
                    </a:prstGeom>
                    <a:noFill/>
                    <a:ln>
                      <a:noFill/>
                    </a:ln>
                  </pic:spPr>
                </pic:pic>
              </a:graphicData>
            </a:graphic>
          </wp:anchor>
        </w:drawing>
      </w:r>
      <w:r>
        <w:rPr>
          <w:rFonts w:hint="eastAsia" w:ascii="仿宋" w:hAnsi="仿宋" w:eastAsia="仿宋" w:cs="仿宋"/>
          <w:b/>
          <w:color w:val="000000" w:themeColor="text1"/>
          <w:sz w:val="36"/>
          <w:szCs w:val="36"/>
          <w:bdr w:val="single" w:color="auto" w:sz="4" w:space="0"/>
          <w:shd w:val="pct10" w:color="auto" w:fill="FFFFFF"/>
          <w14:textFill>
            <w14:solidFill>
              <w14:schemeClr w14:val="tx1"/>
            </w14:solidFill>
          </w14:textFill>
        </w:rPr>
        <w:t>政府采购</w:t>
      </w:r>
    </w:p>
    <w:p w14:paraId="455318AE">
      <w:pPr>
        <w:pStyle w:val="21"/>
        <w:ind w:firstLine="3373" w:firstLineChars="800"/>
        <w:jc w:val="both"/>
        <w:rPr>
          <w:rFonts w:hint="eastAsia" w:ascii="仿宋" w:hAnsi="仿宋" w:eastAsia="仿宋" w:cs="仿宋"/>
          <w:b/>
          <w:bCs/>
          <w:color w:val="000000" w:themeColor="text1"/>
          <w:kern w:val="1"/>
          <w:sz w:val="42"/>
          <w:szCs w:val="42"/>
          <w:lang w:val="en-US" w:eastAsia="zh-CN" w:bidi="ar-SA"/>
          <w14:textFill>
            <w14:solidFill>
              <w14:schemeClr w14:val="tx1"/>
            </w14:solidFill>
          </w14:textFill>
        </w:rPr>
      </w:pPr>
      <w:bookmarkStart w:id="0" w:name="OLE_LINK29"/>
      <w:bookmarkStart w:id="1" w:name="OLE_LINK36"/>
    </w:p>
    <w:bookmarkEnd w:id="0"/>
    <w:bookmarkEnd w:id="1"/>
    <w:p w14:paraId="7D2CF20A">
      <w:pPr>
        <w:pStyle w:val="21"/>
        <w:jc w:val="center"/>
        <w:rPr>
          <w:rFonts w:hint="eastAsia" w:ascii="仿宋" w:hAnsi="仿宋" w:eastAsia="仿宋" w:cs="仿宋"/>
          <w:b/>
          <w:bCs/>
          <w:color w:val="000000" w:themeColor="text1"/>
          <w:kern w:val="1"/>
          <w:sz w:val="42"/>
          <w:szCs w:val="42"/>
          <w:lang w:val="en-US" w:eastAsia="zh-CN" w:bidi="ar-SA"/>
          <w14:textFill>
            <w14:solidFill>
              <w14:schemeClr w14:val="tx1"/>
            </w14:solidFill>
          </w14:textFill>
        </w:rPr>
      </w:pPr>
      <w:r>
        <w:rPr>
          <w:rFonts w:hint="eastAsia" w:ascii="仿宋" w:hAnsi="仿宋" w:eastAsia="仿宋" w:cs="仿宋"/>
          <w:b/>
          <w:bCs/>
          <w:color w:val="000000" w:themeColor="text1"/>
          <w:kern w:val="1"/>
          <w:sz w:val="42"/>
          <w:szCs w:val="42"/>
          <w:lang w:val="en-US" w:eastAsia="zh-CN" w:bidi="ar-SA"/>
          <w14:textFill>
            <w14:solidFill>
              <w14:schemeClr w14:val="tx1"/>
            </w14:solidFill>
          </w14:textFill>
        </w:rPr>
        <w:t>汉中市南郑区人民医院肝胆泌尿外科</w:t>
      </w:r>
    </w:p>
    <w:p w14:paraId="72FE0D35">
      <w:pPr>
        <w:pStyle w:val="21"/>
        <w:jc w:val="center"/>
        <w:rPr>
          <w:rFonts w:hint="eastAsia" w:ascii="仿宋" w:hAnsi="仿宋" w:eastAsia="仿宋" w:cs="仿宋"/>
          <w:b/>
          <w:bCs/>
          <w:color w:val="000000" w:themeColor="text1"/>
          <w:kern w:val="1"/>
          <w:sz w:val="42"/>
          <w:szCs w:val="42"/>
          <w:lang w:val="en-US" w:eastAsia="zh-CN" w:bidi="ar-SA"/>
          <w14:textFill>
            <w14:solidFill>
              <w14:schemeClr w14:val="tx1"/>
            </w14:solidFill>
          </w14:textFill>
        </w:rPr>
      </w:pPr>
      <w:r>
        <w:rPr>
          <w:rFonts w:hint="eastAsia" w:ascii="仿宋" w:hAnsi="仿宋" w:eastAsia="仿宋" w:cs="仿宋"/>
          <w:b/>
          <w:bCs/>
          <w:color w:val="000000" w:themeColor="text1"/>
          <w:kern w:val="1"/>
          <w:sz w:val="42"/>
          <w:szCs w:val="42"/>
          <w:lang w:val="en-US" w:eastAsia="zh-CN" w:bidi="ar-SA"/>
          <w14:textFill>
            <w14:solidFill>
              <w14:schemeClr w14:val="tx1"/>
            </w14:solidFill>
          </w14:textFill>
        </w:rPr>
        <w:t>等医疗设备采购项目（合同包1）</w:t>
      </w:r>
    </w:p>
    <w:p w14:paraId="5AD48C54">
      <w:pPr>
        <w:rPr>
          <w:rFonts w:hint="eastAsia" w:ascii="仿宋" w:hAnsi="仿宋" w:eastAsia="仿宋" w:cs="仿宋"/>
          <w:color w:val="000000" w:themeColor="text1"/>
          <w14:textFill>
            <w14:solidFill>
              <w14:schemeClr w14:val="tx1"/>
            </w14:solidFill>
          </w14:textFill>
        </w:rPr>
      </w:pPr>
    </w:p>
    <w:p w14:paraId="2725EE5E">
      <w:pPr>
        <w:pStyle w:val="21"/>
        <w:rPr>
          <w:rFonts w:hint="eastAsia" w:ascii="仿宋" w:hAnsi="仿宋" w:eastAsia="仿宋" w:cs="仿宋"/>
          <w:color w:val="000000" w:themeColor="text1"/>
          <w14:textFill>
            <w14:solidFill>
              <w14:schemeClr w14:val="tx1"/>
            </w14:solidFill>
          </w14:textFill>
        </w:rPr>
      </w:pPr>
    </w:p>
    <w:p w14:paraId="639B3F8C">
      <w:pPr>
        <w:rPr>
          <w:rFonts w:hint="eastAsia" w:ascii="仿宋" w:hAnsi="仿宋" w:eastAsia="仿宋" w:cs="仿宋"/>
          <w:color w:val="000000" w:themeColor="text1"/>
          <w14:textFill>
            <w14:solidFill>
              <w14:schemeClr w14:val="tx1"/>
            </w14:solidFill>
          </w14:textFill>
        </w:rPr>
      </w:pPr>
    </w:p>
    <w:p w14:paraId="5AFCBC1D">
      <w:pPr>
        <w:rPr>
          <w:rFonts w:hint="eastAsia" w:ascii="仿宋" w:hAnsi="仿宋" w:eastAsia="仿宋" w:cs="仿宋"/>
          <w:color w:val="000000" w:themeColor="text1"/>
          <w14:textFill>
            <w14:solidFill>
              <w14:schemeClr w14:val="tx1"/>
            </w14:solidFill>
          </w14:textFill>
        </w:rPr>
      </w:pPr>
    </w:p>
    <w:p w14:paraId="4B415803">
      <w:pPr>
        <w:rPr>
          <w:rFonts w:hint="eastAsia" w:ascii="仿宋" w:hAnsi="仿宋" w:eastAsia="仿宋" w:cs="仿宋"/>
          <w:color w:val="000000" w:themeColor="text1"/>
          <w14:textFill>
            <w14:solidFill>
              <w14:schemeClr w14:val="tx1"/>
            </w14:solidFill>
          </w14:textFill>
        </w:rPr>
      </w:pPr>
    </w:p>
    <w:p w14:paraId="033E1F2B">
      <w:pPr>
        <w:rPr>
          <w:rFonts w:hint="eastAsia" w:ascii="仿宋" w:hAnsi="仿宋" w:eastAsia="仿宋" w:cs="仿宋"/>
          <w:color w:val="000000" w:themeColor="text1"/>
          <w14:textFill>
            <w14:solidFill>
              <w14:schemeClr w14:val="tx1"/>
            </w14:solidFill>
          </w14:textFill>
        </w:rPr>
      </w:pPr>
    </w:p>
    <w:p w14:paraId="6FF3235E">
      <w:pPr>
        <w:rPr>
          <w:rFonts w:hint="eastAsia" w:ascii="仿宋" w:hAnsi="仿宋" w:eastAsia="仿宋" w:cs="仿宋"/>
          <w:color w:val="000000" w:themeColor="text1"/>
          <w14:textFill>
            <w14:solidFill>
              <w14:schemeClr w14:val="tx1"/>
            </w14:solidFill>
          </w14:textFill>
        </w:rPr>
      </w:pPr>
    </w:p>
    <w:p w14:paraId="0D88C4F6">
      <w:pPr>
        <w:spacing w:line="360" w:lineRule="auto"/>
        <w:ind w:firstLine="2951" w:firstLineChars="700"/>
        <w:rPr>
          <w:rFonts w:hint="eastAsia" w:ascii="仿宋" w:hAnsi="仿宋" w:eastAsia="仿宋" w:cs="仿宋"/>
          <w:b/>
          <w:bCs/>
          <w:color w:val="000000" w:themeColor="text1"/>
          <w:kern w:val="1"/>
          <w:sz w:val="42"/>
          <w:szCs w:val="42"/>
          <w14:textFill>
            <w14:solidFill>
              <w14:schemeClr w14:val="tx1"/>
            </w14:solidFill>
          </w14:textFill>
        </w:rPr>
      </w:pPr>
      <w:r>
        <w:rPr>
          <w:rFonts w:hint="eastAsia" w:ascii="仿宋" w:hAnsi="仿宋" w:eastAsia="仿宋" w:cs="仿宋"/>
          <w:b/>
          <w:bCs/>
          <w:color w:val="000000" w:themeColor="text1"/>
          <w:kern w:val="1"/>
          <w:sz w:val="42"/>
          <w:szCs w:val="42"/>
          <w:lang w:val="en-US" w:eastAsia="zh-CN"/>
          <w14:textFill>
            <w14:solidFill>
              <w14:schemeClr w14:val="tx1"/>
            </w14:solidFill>
          </w14:textFill>
        </w:rPr>
        <w:t>招标</w:t>
      </w:r>
      <w:r>
        <w:rPr>
          <w:rFonts w:hint="eastAsia" w:ascii="仿宋" w:hAnsi="仿宋" w:eastAsia="仿宋" w:cs="仿宋"/>
          <w:b/>
          <w:bCs/>
          <w:color w:val="000000" w:themeColor="text1"/>
          <w:kern w:val="1"/>
          <w:sz w:val="42"/>
          <w:szCs w:val="42"/>
          <w14:textFill>
            <w14:solidFill>
              <w14:schemeClr w14:val="tx1"/>
            </w14:solidFill>
          </w14:textFill>
        </w:rPr>
        <w:t>文件</w:t>
      </w:r>
    </w:p>
    <w:p w14:paraId="6FD180EB">
      <w:pPr>
        <w:pStyle w:val="21"/>
        <w:rPr>
          <w:rFonts w:hint="eastAsia" w:ascii="仿宋" w:hAnsi="仿宋" w:eastAsia="仿宋" w:cs="仿宋"/>
          <w:color w:val="000000" w:themeColor="text1"/>
          <w14:textFill>
            <w14:solidFill>
              <w14:schemeClr w14:val="tx1"/>
            </w14:solidFill>
          </w14:textFill>
        </w:rPr>
      </w:pPr>
    </w:p>
    <w:p w14:paraId="795E88E5">
      <w:pPr>
        <w:spacing w:line="360" w:lineRule="auto"/>
        <w:jc w:val="center"/>
        <w:rPr>
          <w:rFonts w:hint="eastAsia" w:ascii="仿宋" w:hAnsi="仿宋" w:eastAsia="仿宋" w:cs="仿宋"/>
          <w:color w:val="000000" w:themeColor="text1"/>
          <w:sz w:val="56"/>
          <w:szCs w:val="56"/>
          <w14:textFill>
            <w14:solidFill>
              <w14:schemeClr w14:val="tx1"/>
            </w14:solidFill>
          </w14:textFill>
        </w:rPr>
      </w:pPr>
      <w:r>
        <w:rPr>
          <w:rFonts w:hint="eastAsia" w:ascii="仿宋" w:hAnsi="仿宋" w:eastAsia="仿宋" w:cs="仿宋"/>
          <w:color w:val="000000" w:themeColor="text1"/>
          <w:sz w:val="56"/>
          <w:szCs w:val="56"/>
          <w14:textFill>
            <w14:solidFill>
              <w14:schemeClr w14:val="tx1"/>
            </w14:solidFill>
          </w14:textFill>
        </w:rPr>
        <w:drawing>
          <wp:inline distT="0" distB="0" distL="0" distR="0">
            <wp:extent cx="2000885" cy="2043430"/>
            <wp:effectExtent l="0" t="0" r="10795" b="13970"/>
            <wp:docPr id="86531800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318008"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003916" cy="2046580"/>
                    </a:xfrm>
                    <a:prstGeom prst="rect">
                      <a:avLst/>
                    </a:prstGeom>
                    <a:noFill/>
                    <a:ln>
                      <a:noFill/>
                    </a:ln>
                  </pic:spPr>
                </pic:pic>
              </a:graphicData>
            </a:graphic>
          </wp:inline>
        </w:drawing>
      </w:r>
    </w:p>
    <w:p w14:paraId="7A3CE84D">
      <w:pPr>
        <w:pStyle w:val="251"/>
        <w:spacing w:line="360" w:lineRule="auto"/>
        <w:ind w:firstLine="0" w:firstLineChars="0"/>
        <w:rPr>
          <w:rFonts w:hint="eastAsia" w:ascii="仿宋" w:hAnsi="仿宋" w:eastAsia="仿宋" w:cs="仿宋"/>
          <w:color w:val="000000" w:themeColor="text1"/>
          <w14:textFill>
            <w14:solidFill>
              <w14:schemeClr w14:val="tx1"/>
            </w14:solidFill>
          </w14:textFill>
        </w:rPr>
      </w:pPr>
    </w:p>
    <w:p w14:paraId="11DCE0BF">
      <w:pPr>
        <w:spacing w:line="720" w:lineRule="auto"/>
        <w:ind w:firstLine="723" w:firstLineChars="200"/>
        <w:rPr>
          <w:rFonts w:hint="eastAsia" w:ascii="仿宋" w:hAnsi="仿宋" w:eastAsia="仿宋" w:cs="仿宋"/>
          <w:b/>
          <w:bCs/>
          <w:color w:val="000000" w:themeColor="text1"/>
          <w:kern w:val="1"/>
          <w:sz w:val="36"/>
          <w:szCs w:val="36"/>
          <w14:textFill>
            <w14:solidFill>
              <w14:schemeClr w14:val="tx1"/>
            </w14:solidFill>
          </w14:textFill>
        </w:rPr>
      </w:pPr>
      <w:r>
        <w:rPr>
          <w:rFonts w:hint="eastAsia" w:ascii="仿宋" w:hAnsi="仿宋" w:eastAsia="仿宋" w:cs="仿宋"/>
          <w:b/>
          <w:bCs/>
          <w:color w:val="000000" w:themeColor="text1"/>
          <w:kern w:val="1"/>
          <w:sz w:val="36"/>
          <w:szCs w:val="36"/>
          <w14:textFill>
            <w14:solidFill>
              <w14:schemeClr w14:val="tx1"/>
            </w14:solidFill>
          </w14:textFill>
        </w:rPr>
        <w:t>项 目 编 号 ：TZZB-HZ-2025109C</w:t>
      </w:r>
    </w:p>
    <w:p w14:paraId="2FE7FABD">
      <w:pPr>
        <w:spacing w:line="720" w:lineRule="auto"/>
        <w:ind w:firstLine="723" w:firstLineChars="200"/>
        <w:rPr>
          <w:rFonts w:hint="eastAsia" w:ascii="仿宋" w:hAnsi="仿宋" w:eastAsia="仿宋" w:cs="仿宋"/>
          <w:b/>
          <w:bCs/>
          <w:color w:val="000000" w:themeColor="text1"/>
          <w:kern w:val="1"/>
          <w:sz w:val="36"/>
          <w:szCs w:val="36"/>
          <w:lang w:eastAsia="zh-CN"/>
          <w14:textFill>
            <w14:solidFill>
              <w14:schemeClr w14:val="tx1"/>
            </w14:solidFill>
          </w14:textFill>
        </w:rPr>
      </w:pPr>
      <w:r>
        <w:rPr>
          <w:rFonts w:hint="eastAsia" w:ascii="仿宋" w:hAnsi="仿宋" w:eastAsia="仿宋" w:cs="仿宋"/>
          <w:b/>
          <w:bCs/>
          <w:color w:val="000000" w:themeColor="text1"/>
          <w:kern w:val="1"/>
          <w:sz w:val="36"/>
          <w:szCs w:val="36"/>
          <w14:textFill>
            <w14:solidFill>
              <w14:schemeClr w14:val="tx1"/>
            </w14:solidFill>
          </w14:textFill>
        </w:rPr>
        <w:t>采   购   人：</w:t>
      </w:r>
      <w:r>
        <w:rPr>
          <w:rFonts w:hint="eastAsia" w:ascii="仿宋" w:hAnsi="仿宋" w:eastAsia="仿宋" w:cs="仿宋"/>
          <w:b/>
          <w:bCs/>
          <w:color w:val="000000" w:themeColor="text1"/>
          <w:kern w:val="1"/>
          <w:sz w:val="36"/>
          <w:szCs w:val="36"/>
          <w:lang w:eastAsia="zh-CN"/>
          <w14:textFill>
            <w14:solidFill>
              <w14:schemeClr w14:val="tx1"/>
            </w14:solidFill>
          </w14:textFill>
        </w:rPr>
        <w:t>汉中市南郑区</w:t>
      </w:r>
      <w:r>
        <w:rPr>
          <w:rFonts w:hint="eastAsia" w:ascii="仿宋" w:hAnsi="仿宋" w:eastAsia="仿宋" w:cs="仿宋"/>
          <w:b/>
          <w:bCs/>
          <w:color w:val="000000" w:themeColor="text1"/>
          <w:kern w:val="1"/>
          <w:sz w:val="36"/>
          <w:szCs w:val="36"/>
          <w:lang w:val="en-US" w:eastAsia="zh-CN"/>
          <w14:textFill>
            <w14:solidFill>
              <w14:schemeClr w14:val="tx1"/>
            </w14:solidFill>
          </w14:textFill>
        </w:rPr>
        <w:t>人民医院</w:t>
      </w:r>
    </w:p>
    <w:p w14:paraId="23F95DAE">
      <w:pPr>
        <w:spacing w:line="720" w:lineRule="auto"/>
        <w:ind w:firstLine="723" w:firstLineChars="200"/>
        <w:rPr>
          <w:rFonts w:hint="eastAsia" w:ascii="仿宋" w:hAnsi="仿宋" w:eastAsia="仿宋" w:cs="仿宋"/>
          <w:b/>
          <w:bCs/>
          <w:color w:val="000000" w:themeColor="text1"/>
          <w:kern w:val="1"/>
          <w:sz w:val="36"/>
          <w:szCs w:val="36"/>
          <w14:textFill>
            <w14:solidFill>
              <w14:schemeClr w14:val="tx1"/>
            </w14:solidFill>
          </w14:textFill>
        </w:rPr>
      </w:pPr>
      <w:r>
        <w:rPr>
          <w:rFonts w:hint="eastAsia" w:ascii="仿宋" w:hAnsi="仿宋" w:eastAsia="仿宋" w:cs="仿宋"/>
          <w:b/>
          <w:bCs/>
          <w:color w:val="000000" w:themeColor="text1"/>
          <w:kern w:val="1"/>
          <w:sz w:val="36"/>
          <w:szCs w:val="36"/>
          <w14:textFill>
            <w14:solidFill>
              <w14:schemeClr w14:val="tx1"/>
            </w14:solidFill>
          </w14:textFill>
        </w:rPr>
        <w:t>采购代理机构：同正项目管理有限公司</w:t>
      </w:r>
    </w:p>
    <w:p w14:paraId="73608955">
      <w:pPr>
        <w:spacing w:line="720" w:lineRule="auto"/>
        <w:ind w:firstLine="1807" w:firstLineChars="500"/>
        <w:rPr>
          <w:rFonts w:hint="eastAsia" w:ascii="仿宋" w:hAnsi="仿宋" w:eastAsia="仿宋" w:cs="仿宋"/>
          <w:b/>
          <w:bCs/>
          <w:color w:val="000000" w:themeColor="text1"/>
          <w:kern w:val="1"/>
          <w:sz w:val="40"/>
          <w:szCs w:val="40"/>
          <w:highlight w:val="none"/>
          <w:lang w:val="en-US" w:eastAsia="zh-CN"/>
          <w14:textFill>
            <w14:solidFill>
              <w14:schemeClr w14:val="tx1"/>
            </w14:solidFill>
          </w14:textFill>
        </w:rPr>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r>
        <w:rPr>
          <w:rFonts w:hint="eastAsia" w:ascii="仿宋" w:hAnsi="仿宋" w:eastAsia="仿宋" w:cs="仿宋"/>
          <w:b/>
          <w:bCs/>
          <w:color w:val="000000" w:themeColor="text1"/>
          <w:kern w:val="1"/>
          <w:sz w:val="36"/>
          <w:szCs w:val="36"/>
          <w14:textFill>
            <w14:solidFill>
              <w14:schemeClr w14:val="tx1"/>
            </w14:solidFill>
          </w14:textFill>
        </w:rPr>
        <w:t xml:space="preserve">      二〇二</w:t>
      </w:r>
      <w:r>
        <w:rPr>
          <w:rFonts w:hint="eastAsia" w:ascii="仿宋" w:hAnsi="仿宋" w:eastAsia="仿宋" w:cs="仿宋"/>
          <w:b/>
          <w:bCs/>
          <w:color w:val="000000" w:themeColor="text1"/>
          <w:kern w:val="1"/>
          <w:sz w:val="36"/>
          <w:szCs w:val="36"/>
          <w:lang w:val="en-US" w:eastAsia="zh-CN"/>
          <w14:textFill>
            <w14:solidFill>
              <w14:schemeClr w14:val="tx1"/>
            </w14:solidFill>
          </w14:textFill>
        </w:rPr>
        <w:t>五</w:t>
      </w:r>
      <w:r>
        <w:rPr>
          <w:rFonts w:hint="eastAsia" w:ascii="仿宋" w:hAnsi="仿宋" w:eastAsia="仿宋" w:cs="仿宋"/>
          <w:b/>
          <w:bCs/>
          <w:color w:val="000000" w:themeColor="text1"/>
          <w:kern w:val="1"/>
          <w:sz w:val="36"/>
          <w:szCs w:val="36"/>
          <w14:textFill>
            <w14:solidFill>
              <w14:schemeClr w14:val="tx1"/>
            </w14:solidFill>
          </w14:textFill>
        </w:rPr>
        <w:t>年</w:t>
      </w:r>
      <w:r>
        <w:rPr>
          <w:rFonts w:hint="eastAsia" w:ascii="仿宋" w:hAnsi="仿宋" w:eastAsia="仿宋" w:cs="仿宋"/>
          <w:b/>
          <w:bCs/>
          <w:color w:val="000000" w:themeColor="text1"/>
          <w:kern w:val="1"/>
          <w:sz w:val="36"/>
          <w:szCs w:val="36"/>
          <w:lang w:val="en-US" w:eastAsia="zh-CN"/>
          <w14:textFill>
            <w14:solidFill>
              <w14:schemeClr w14:val="tx1"/>
            </w14:solidFill>
          </w14:textFill>
        </w:rPr>
        <w:t>四</w:t>
      </w:r>
      <w:r>
        <w:rPr>
          <w:rFonts w:hint="eastAsia" w:ascii="仿宋" w:hAnsi="仿宋" w:eastAsia="仿宋" w:cs="仿宋"/>
          <w:b/>
          <w:bCs/>
          <w:color w:val="000000" w:themeColor="text1"/>
          <w:kern w:val="1"/>
          <w:sz w:val="36"/>
          <w:szCs w:val="36"/>
          <w14:textFill>
            <w14:solidFill>
              <w14:schemeClr w14:val="tx1"/>
            </w14:solidFill>
          </w14:textFill>
        </w:rPr>
        <w:t>月</w:t>
      </w:r>
    </w:p>
    <w:p w14:paraId="056B5A87">
      <w:pPr>
        <w:shd w:val="clear"/>
        <w:ind w:firstLine="3614" w:firstLineChars="900"/>
        <w:jc w:val="both"/>
        <w:rPr>
          <w:rFonts w:hint="eastAsia" w:ascii="仿宋" w:hAnsi="仿宋" w:eastAsia="仿宋" w:cs="仿宋"/>
          <w:b/>
          <w:bCs/>
          <w:color w:val="000000" w:themeColor="text1"/>
          <w:sz w:val="40"/>
          <w:szCs w:val="40"/>
          <w:highlight w:val="none"/>
          <w14:textFill>
            <w14:solidFill>
              <w14:schemeClr w14:val="tx1"/>
            </w14:solidFill>
          </w14:textFill>
        </w:rPr>
      </w:pPr>
      <w:bookmarkStart w:id="2" w:name="_Toc175973395"/>
      <w:r>
        <w:rPr>
          <w:rFonts w:hint="eastAsia" w:ascii="仿宋" w:hAnsi="仿宋" w:eastAsia="仿宋" w:cs="仿宋"/>
          <w:b/>
          <w:bCs/>
          <w:color w:val="000000" w:themeColor="text1"/>
          <w:sz w:val="40"/>
          <w:szCs w:val="40"/>
          <w:highlight w:val="none"/>
          <w14:textFill>
            <w14:solidFill>
              <w14:schemeClr w14:val="tx1"/>
            </w14:solidFill>
          </w14:textFill>
        </w:rPr>
        <w:t>目     录</w:t>
      </w:r>
    </w:p>
    <w:sdt>
      <w:sdtPr>
        <w:rPr>
          <w:rFonts w:hint="eastAsia" w:ascii="仿宋" w:hAnsi="仿宋" w:eastAsia="仿宋" w:cs="仿宋"/>
          <w:b/>
          <w:bCs/>
          <w:color w:val="000000" w:themeColor="text1"/>
          <w:kern w:val="2"/>
          <w:sz w:val="22"/>
          <w:szCs w:val="21"/>
          <w:lang w:val="en-US" w:eastAsia="zh-CN" w:bidi="ar-SA"/>
          <w14:textFill>
            <w14:solidFill>
              <w14:schemeClr w14:val="tx1"/>
            </w14:solidFill>
          </w14:textFill>
        </w:rPr>
        <w:id w:val="147468565"/>
        <w15:color w:val="DBDBDB"/>
        <w:docPartObj>
          <w:docPartGallery w:val="Table of Contents"/>
          <w:docPartUnique/>
        </w:docPartObj>
      </w:sdtPr>
      <w:sdtEndPr>
        <w:rPr>
          <w:rFonts w:hint="eastAsia" w:ascii="仿宋" w:hAnsi="仿宋" w:eastAsia="仿宋" w:cs="仿宋"/>
          <w:b/>
          <w:bCs/>
          <w:color w:val="000000" w:themeColor="text1"/>
          <w:kern w:val="1"/>
          <w:sz w:val="24"/>
          <w:szCs w:val="24"/>
          <w:highlight w:val="none"/>
          <w:lang w:val="en-US" w:eastAsia="zh-CN" w:bidi="ar-SA"/>
          <w14:textFill>
            <w14:solidFill>
              <w14:schemeClr w14:val="tx1"/>
            </w14:solidFill>
          </w14:textFill>
        </w:rPr>
      </w:sdtEndPr>
      <w:sdtContent>
        <w:p w14:paraId="6070369A">
          <w:pPr>
            <w:pStyle w:val="74"/>
            <w:tabs>
              <w:tab w:val="right" w:leader="dot" w:pos="8306"/>
            </w:tabs>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fldChar w:fldCharType="begin"/>
          </w:r>
          <w:r>
            <w:rPr>
              <w:rFonts w:hint="eastAsia" w:ascii="仿宋" w:hAnsi="仿宋" w:eastAsia="仿宋" w:cs="仿宋"/>
              <w:b/>
              <w:bCs/>
              <w:color w:val="000000" w:themeColor="text1"/>
              <w:sz w:val="21"/>
              <w:szCs w:val="21"/>
              <w:highlight w:val="none"/>
              <w14:textFill>
                <w14:solidFill>
                  <w14:schemeClr w14:val="tx1"/>
                </w14:solidFill>
              </w14:textFill>
            </w:rPr>
            <w:instrText xml:space="preserve">TOC \o "1-2" \h \u </w:instrText>
          </w:r>
          <w:r>
            <w:rPr>
              <w:rFonts w:hint="eastAsia" w:ascii="仿宋" w:hAnsi="仿宋" w:eastAsia="仿宋" w:cs="仿宋"/>
              <w:b/>
              <w:bCs/>
              <w:color w:val="000000" w:themeColor="text1"/>
              <w:sz w:val="21"/>
              <w:szCs w:val="21"/>
              <w:highlight w:val="none"/>
              <w14:textFill>
                <w14:solidFill>
                  <w14:schemeClr w14:val="tx1"/>
                </w14:solidFill>
              </w14:textFill>
            </w:rPr>
            <w:fldChar w:fldCharType="separate"/>
          </w:r>
        </w:p>
        <w:p w14:paraId="4B170959">
          <w:pPr>
            <w:pStyle w:val="74"/>
            <w:keepNext w:val="0"/>
            <w:keepLines w:val="0"/>
            <w:pageBreakBefore w:val="0"/>
            <w:widowControl/>
            <w:tabs>
              <w:tab w:val="right" w:leader="dot" w:pos="8306"/>
            </w:tabs>
            <w:kinsoku/>
            <w:wordWrap/>
            <w:overflowPunct/>
            <w:topLinePunct w:val="0"/>
            <w:autoSpaceDE/>
            <w:autoSpaceDN/>
            <w:bidi w:val="0"/>
            <w:adjustRightInd/>
            <w:snapToGrid w:val="0"/>
            <w:spacing w:line="480" w:lineRule="auto"/>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fldChar w:fldCharType="begin"/>
          </w:r>
          <w:r>
            <w:rPr>
              <w:rFonts w:hint="eastAsia" w:ascii="仿宋" w:hAnsi="仿宋" w:eastAsia="仿宋" w:cs="仿宋"/>
              <w:b/>
              <w:bCs/>
              <w:color w:val="000000" w:themeColor="text1"/>
              <w:sz w:val="28"/>
              <w:szCs w:val="28"/>
              <w:highlight w:val="none"/>
              <w14:textFill>
                <w14:solidFill>
                  <w14:schemeClr w14:val="tx1"/>
                </w14:solidFill>
              </w14:textFill>
            </w:rPr>
            <w:instrText xml:space="preserve"> HYPERLINK \l _Toc29902 </w:instrText>
          </w:r>
          <w:r>
            <w:rPr>
              <w:rFonts w:hint="eastAsia" w:ascii="仿宋" w:hAnsi="仿宋" w:eastAsia="仿宋" w:cs="仿宋"/>
              <w:b/>
              <w:bCs/>
              <w:color w:val="000000" w:themeColor="text1"/>
              <w:sz w:val="28"/>
              <w:szCs w:val="28"/>
              <w:highlight w:val="none"/>
              <w14:textFill>
                <w14:solidFill>
                  <w14:schemeClr w14:val="tx1"/>
                </w14:solidFill>
              </w14:textFill>
            </w:rPr>
            <w:fldChar w:fldCharType="separate"/>
          </w:r>
          <w:r>
            <w:rPr>
              <w:rFonts w:hint="eastAsia" w:ascii="仿宋" w:hAnsi="仿宋" w:eastAsia="仿宋" w:cs="仿宋"/>
              <w:b/>
              <w:bCs/>
              <w:color w:val="000000" w:themeColor="text1"/>
              <w:sz w:val="28"/>
              <w:szCs w:val="52"/>
              <w:highlight w:val="none"/>
              <w14:textFill>
                <w14:solidFill>
                  <w14:schemeClr w14:val="tx1"/>
                </w14:solidFill>
              </w14:textFill>
            </w:rPr>
            <w:t>第一章  招标公告</w:t>
          </w:r>
          <w:r>
            <w:rPr>
              <w:rFonts w:hint="eastAsia" w:ascii="仿宋" w:hAnsi="仿宋" w:eastAsia="仿宋" w:cs="仿宋"/>
              <w:b/>
              <w:bCs/>
              <w:color w:val="000000" w:themeColor="text1"/>
              <w:sz w:val="28"/>
              <w:szCs w:val="28"/>
              <w14:textFill>
                <w14:solidFill>
                  <w14:schemeClr w14:val="tx1"/>
                </w14:solidFill>
              </w14:textFill>
            </w:rPr>
            <w:tab/>
          </w:r>
          <w:r>
            <w:rPr>
              <w:rFonts w:hint="eastAsia" w:ascii="仿宋" w:hAnsi="仿宋" w:eastAsia="仿宋" w:cs="仿宋"/>
              <w:b/>
              <w:bCs/>
              <w:color w:val="000000" w:themeColor="text1"/>
              <w:sz w:val="28"/>
              <w:szCs w:val="28"/>
              <w:lang w:val="en-US" w:eastAsia="zh-CN"/>
              <w14:textFill>
                <w14:solidFill>
                  <w14:schemeClr w14:val="tx1"/>
                </w14:solidFill>
              </w14:textFill>
            </w:rPr>
            <w:t>1</w:t>
          </w:r>
          <w:r>
            <w:rPr>
              <w:rFonts w:hint="eastAsia" w:ascii="仿宋" w:hAnsi="仿宋" w:eastAsia="仿宋" w:cs="仿宋"/>
              <w:b/>
              <w:bCs/>
              <w:color w:val="000000" w:themeColor="text1"/>
              <w:sz w:val="28"/>
              <w:szCs w:val="28"/>
              <w:highlight w:val="none"/>
              <w14:textFill>
                <w14:solidFill>
                  <w14:schemeClr w14:val="tx1"/>
                </w14:solidFill>
              </w14:textFill>
            </w:rPr>
            <w:fldChar w:fldCharType="end"/>
          </w:r>
        </w:p>
        <w:p w14:paraId="7BB4284C">
          <w:pPr>
            <w:pStyle w:val="74"/>
            <w:keepNext w:val="0"/>
            <w:keepLines w:val="0"/>
            <w:pageBreakBefore w:val="0"/>
            <w:widowControl/>
            <w:tabs>
              <w:tab w:val="right" w:leader="dot" w:pos="8306"/>
            </w:tabs>
            <w:kinsoku/>
            <w:wordWrap/>
            <w:overflowPunct/>
            <w:topLinePunct w:val="0"/>
            <w:autoSpaceDE/>
            <w:autoSpaceDN/>
            <w:bidi w:val="0"/>
            <w:adjustRightInd/>
            <w:snapToGrid w:val="0"/>
            <w:spacing w:line="480" w:lineRule="auto"/>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fldChar w:fldCharType="begin"/>
          </w:r>
          <w:r>
            <w:rPr>
              <w:rFonts w:hint="eastAsia" w:ascii="仿宋" w:hAnsi="仿宋" w:eastAsia="仿宋" w:cs="仿宋"/>
              <w:b/>
              <w:bCs/>
              <w:color w:val="000000" w:themeColor="text1"/>
              <w:sz w:val="28"/>
              <w:szCs w:val="28"/>
              <w:highlight w:val="none"/>
              <w14:textFill>
                <w14:solidFill>
                  <w14:schemeClr w14:val="tx1"/>
                </w14:solidFill>
              </w14:textFill>
            </w:rPr>
            <w:instrText xml:space="preserve"> HYPERLINK \l _Toc19278 </w:instrText>
          </w:r>
          <w:r>
            <w:rPr>
              <w:rFonts w:hint="eastAsia" w:ascii="仿宋" w:hAnsi="仿宋" w:eastAsia="仿宋" w:cs="仿宋"/>
              <w:b/>
              <w:bCs/>
              <w:color w:val="000000" w:themeColor="text1"/>
              <w:sz w:val="28"/>
              <w:szCs w:val="28"/>
              <w:highlight w:val="none"/>
              <w14:textFill>
                <w14:solidFill>
                  <w14:schemeClr w14:val="tx1"/>
                </w14:solidFill>
              </w14:textFill>
            </w:rPr>
            <w:fldChar w:fldCharType="separate"/>
          </w:r>
          <w:r>
            <w:rPr>
              <w:rFonts w:hint="eastAsia" w:ascii="仿宋" w:hAnsi="仿宋" w:eastAsia="仿宋" w:cs="仿宋"/>
              <w:b/>
              <w:bCs/>
              <w:color w:val="000000" w:themeColor="text1"/>
              <w:sz w:val="28"/>
              <w:szCs w:val="52"/>
              <w:highlight w:val="none"/>
              <w14:textFill>
                <w14:solidFill>
                  <w14:schemeClr w14:val="tx1"/>
                </w14:solidFill>
              </w14:textFill>
            </w:rPr>
            <w:t>第二章  投标人须知</w:t>
          </w:r>
          <w:r>
            <w:rPr>
              <w:rFonts w:hint="eastAsia" w:ascii="仿宋" w:hAnsi="仿宋" w:eastAsia="仿宋" w:cs="仿宋"/>
              <w:b/>
              <w:bCs/>
              <w:color w:val="000000" w:themeColor="text1"/>
              <w:sz w:val="28"/>
              <w:szCs w:val="28"/>
              <w14:textFill>
                <w14:solidFill>
                  <w14:schemeClr w14:val="tx1"/>
                </w14:solidFill>
              </w14:textFill>
            </w:rPr>
            <w:tab/>
          </w:r>
          <w:r>
            <w:rPr>
              <w:rFonts w:hint="eastAsia" w:ascii="仿宋" w:hAnsi="仿宋" w:eastAsia="仿宋" w:cs="仿宋"/>
              <w:b/>
              <w:bCs/>
              <w:color w:val="000000" w:themeColor="text1"/>
              <w:sz w:val="28"/>
              <w:szCs w:val="28"/>
              <w:lang w:val="en-US" w:eastAsia="zh-CN"/>
              <w14:textFill>
                <w14:solidFill>
                  <w14:schemeClr w14:val="tx1"/>
                </w14:solidFill>
              </w14:textFill>
            </w:rPr>
            <w:t>5</w:t>
          </w:r>
          <w:r>
            <w:rPr>
              <w:rFonts w:hint="eastAsia" w:ascii="仿宋" w:hAnsi="仿宋" w:eastAsia="仿宋" w:cs="仿宋"/>
              <w:b/>
              <w:bCs/>
              <w:color w:val="000000" w:themeColor="text1"/>
              <w:sz w:val="28"/>
              <w:szCs w:val="28"/>
              <w:highlight w:val="none"/>
              <w14:textFill>
                <w14:solidFill>
                  <w14:schemeClr w14:val="tx1"/>
                </w14:solidFill>
              </w14:textFill>
            </w:rPr>
            <w:fldChar w:fldCharType="end"/>
          </w:r>
        </w:p>
        <w:p w14:paraId="3C224CD3">
          <w:pPr>
            <w:pStyle w:val="74"/>
            <w:keepNext w:val="0"/>
            <w:keepLines w:val="0"/>
            <w:pageBreakBefore w:val="0"/>
            <w:widowControl/>
            <w:tabs>
              <w:tab w:val="right" w:leader="dot" w:pos="8306"/>
            </w:tabs>
            <w:kinsoku/>
            <w:wordWrap/>
            <w:overflowPunct/>
            <w:topLinePunct w:val="0"/>
            <w:autoSpaceDE/>
            <w:autoSpaceDN/>
            <w:bidi w:val="0"/>
            <w:adjustRightInd/>
            <w:snapToGrid w:val="0"/>
            <w:spacing w:line="480" w:lineRule="auto"/>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fldChar w:fldCharType="begin"/>
          </w:r>
          <w:r>
            <w:rPr>
              <w:rFonts w:hint="eastAsia" w:ascii="仿宋" w:hAnsi="仿宋" w:eastAsia="仿宋" w:cs="仿宋"/>
              <w:b/>
              <w:bCs/>
              <w:color w:val="000000" w:themeColor="text1"/>
              <w:sz w:val="28"/>
              <w:szCs w:val="28"/>
              <w:highlight w:val="none"/>
              <w14:textFill>
                <w14:solidFill>
                  <w14:schemeClr w14:val="tx1"/>
                </w14:solidFill>
              </w14:textFill>
            </w:rPr>
            <w:instrText xml:space="preserve"> HYPERLINK \l _Toc27885 </w:instrText>
          </w:r>
          <w:r>
            <w:rPr>
              <w:rFonts w:hint="eastAsia" w:ascii="仿宋" w:hAnsi="仿宋" w:eastAsia="仿宋" w:cs="仿宋"/>
              <w:b/>
              <w:bCs/>
              <w:color w:val="000000" w:themeColor="text1"/>
              <w:sz w:val="28"/>
              <w:szCs w:val="28"/>
              <w:highlight w:val="none"/>
              <w14:textFill>
                <w14:solidFill>
                  <w14:schemeClr w14:val="tx1"/>
                </w14:solidFill>
              </w14:textFill>
            </w:rPr>
            <w:fldChar w:fldCharType="separate"/>
          </w:r>
          <w:r>
            <w:rPr>
              <w:rFonts w:hint="eastAsia" w:ascii="仿宋" w:hAnsi="仿宋" w:eastAsia="仿宋" w:cs="仿宋"/>
              <w:b/>
              <w:bCs/>
              <w:color w:val="000000" w:themeColor="text1"/>
              <w:sz w:val="28"/>
              <w:szCs w:val="52"/>
              <w:highlight w:val="none"/>
              <w14:textFill>
                <w14:solidFill>
                  <w14:schemeClr w14:val="tx1"/>
                </w14:solidFill>
              </w14:textFill>
            </w:rPr>
            <w:t xml:space="preserve">第三章  </w:t>
          </w:r>
          <w:r>
            <w:rPr>
              <w:rFonts w:hint="eastAsia" w:ascii="仿宋" w:hAnsi="仿宋" w:eastAsia="仿宋" w:cs="仿宋"/>
              <w:b/>
              <w:bCs/>
              <w:color w:val="000000" w:themeColor="text1"/>
              <w:sz w:val="28"/>
              <w:szCs w:val="52"/>
              <w:lang w:val="en-US" w:eastAsia="zh-CN"/>
              <w14:textFill>
                <w14:solidFill>
                  <w14:schemeClr w14:val="tx1"/>
                </w14:solidFill>
              </w14:textFill>
            </w:rPr>
            <w:t>采购内容及具体要求</w:t>
          </w:r>
          <w:r>
            <w:rPr>
              <w:rFonts w:hint="eastAsia" w:ascii="仿宋" w:hAnsi="仿宋" w:eastAsia="仿宋" w:cs="仿宋"/>
              <w:b/>
              <w:bCs/>
              <w:color w:val="000000" w:themeColor="text1"/>
              <w:sz w:val="28"/>
              <w:szCs w:val="28"/>
              <w14:textFill>
                <w14:solidFill>
                  <w14:schemeClr w14:val="tx1"/>
                </w14:solidFill>
              </w14:textFill>
            </w:rPr>
            <w:tab/>
          </w:r>
          <w:r>
            <w:rPr>
              <w:rFonts w:hint="eastAsia" w:ascii="仿宋" w:hAnsi="仿宋" w:eastAsia="仿宋" w:cs="仿宋"/>
              <w:b/>
              <w:bCs/>
              <w:color w:val="000000" w:themeColor="text1"/>
              <w:sz w:val="28"/>
              <w:szCs w:val="28"/>
              <w:lang w:val="en-US" w:eastAsia="zh-CN"/>
              <w14:textFill>
                <w14:solidFill>
                  <w14:schemeClr w14:val="tx1"/>
                </w14:solidFill>
              </w14:textFill>
            </w:rPr>
            <w:t>2</w:t>
          </w:r>
          <w:r>
            <w:rPr>
              <w:rFonts w:hint="eastAsia" w:ascii="仿宋" w:hAnsi="仿宋" w:eastAsia="仿宋" w:cs="仿宋"/>
              <w:b/>
              <w:bCs/>
              <w:color w:val="000000" w:themeColor="text1"/>
              <w:sz w:val="28"/>
              <w:szCs w:val="28"/>
              <w:highlight w:val="none"/>
              <w14:textFill>
                <w14:solidFill>
                  <w14:schemeClr w14:val="tx1"/>
                </w14:solidFill>
              </w14:textFill>
            </w:rPr>
            <w:fldChar w:fldCharType="end"/>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7</w:t>
          </w:r>
        </w:p>
        <w:p w14:paraId="308494DD">
          <w:pPr>
            <w:pStyle w:val="74"/>
            <w:keepNext w:val="0"/>
            <w:keepLines w:val="0"/>
            <w:pageBreakBefore w:val="0"/>
            <w:widowControl/>
            <w:tabs>
              <w:tab w:val="right" w:leader="dot" w:pos="8306"/>
            </w:tabs>
            <w:kinsoku/>
            <w:wordWrap/>
            <w:overflowPunct/>
            <w:topLinePunct w:val="0"/>
            <w:autoSpaceDE/>
            <w:autoSpaceDN/>
            <w:bidi w:val="0"/>
            <w:adjustRightInd/>
            <w:snapToGrid w:val="0"/>
            <w:spacing w:line="480" w:lineRule="auto"/>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fldChar w:fldCharType="begin"/>
          </w:r>
          <w:r>
            <w:rPr>
              <w:rFonts w:hint="eastAsia" w:ascii="仿宋" w:hAnsi="仿宋" w:eastAsia="仿宋" w:cs="仿宋"/>
              <w:b/>
              <w:bCs/>
              <w:color w:val="000000" w:themeColor="text1"/>
              <w:sz w:val="28"/>
              <w:szCs w:val="28"/>
              <w:highlight w:val="none"/>
              <w14:textFill>
                <w14:solidFill>
                  <w14:schemeClr w14:val="tx1"/>
                </w14:solidFill>
              </w14:textFill>
            </w:rPr>
            <w:instrText xml:space="preserve"> HYPERLINK \l _Toc3510 </w:instrText>
          </w:r>
          <w:r>
            <w:rPr>
              <w:rFonts w:hint="eastAsia" w:ascii="仿宋" w:hAnsi="仿宋" w:eastAsia="仿宋" w:cs="仿宋"/>
              <w:b/>
              <w:bCs/>
              <w:color w:val="000000" w:themeColor="text1"/>
              <w:sz w:val="28"/>
              <w:szCs w:val="28"/>
              <w:highlight w:val="none"/>
              <w14:textFill>
                <w14:solidFill>
                  <w14:schemeClr w14:val="tx1"/>
                </w14:solidFill>
              </w14:textFill>
            </w:rPr>
            <w:fldChar w:fldCharType="separate"/>
          </w:r>
          <w:r>
            <w:rPr>
              <w:rFonts w:hint="eastAsia" w:ascii="仿宋" w:hAnsi="仿宋" w:eastAsia="仿宋" w:cs="仿宋"/>
              <w:b/>
              <w:bCs/>
              <w:color w:val="000000" w:themeColor="text1"/>
              <w:sz w:val="28"/>
              <w:szCs w:val="52"/>
              <w:lang w:val="en-US" w:eastAsia="zh-CN"/>
              <w14:textFill>
                <w14:solidFill>
                  <w14:schemeClr w14:val="tx1"/>
                </w14:solidFill>
              </w14:textFill>
            </w:rPr>
            <w:t xml:space="preserve">第四章  </w:t>
          </w:r>
          <w:r>
            <w:rPr>
              <w:rFonts w:hint="eastAsia" w:ascii="仿宋" w:hAnsi="仿宋" w:eastAsia="仿宋" w:cs="仿宋"/>
              <w:b/>
              <w:bCs/>
              <w:color w:val="000000" w:themeColor="text1"/>
              <w:sz w:val="28"/>
              <w:szCs w:val="52"/>
              <w:highlight w:val="none"/>
              <w14:textFill>
                <w14:solidFill>
                  <w14:schemeClr w14:val="tx1"/>
                </w14:solidFill>
              </w14:textFill>
            </w:rPr>
            <w:t>评</w:t>
          </w:r>
          <w:r>
            <w:rPr>
              <w:rFonts w:hint="eastAsia" w:ascii="仿宋" w:hAnsi="仿宋" w:eastAsia="仿宋" w:cs="仿宋"/>
              <w:b/>
              <w:bCs/>
              <w:color w:val="000000" w:themeColor="text1"/>
              <w:sz w:val="28"/>
              <w:szCs w:val="52"/>
              <w:highlight w:val="none"/>
              <w:lang w:val="en-US" w:eastAsia="zh-CN"/>
              <w14:textFill>
                <w14:solidFill>
                  <w14:schemeClr w14:val="tx1"/>
                </w14:solidFill>
              </w14:textFill>
            </w:rPr>
            <w:t>标</w:t>
          </w:r>
          <w:r>
            <w:rPr>
              <w:rFonts w:hint="eastAsia" w:ascii="仿宋" w:hAnsi="仿宋" w:eastAsia="仿宋" w:cs="仿宋"/>
              <w:b/>
              <w:bCs/>
              <w:color w:val="000000" w:themeColor="text1"/>
              <w:sz w:val="28"/>
              <w:szCs w:val="52"/>
              <w:highlight w:val="none"/>
              <w14:textFill>
                <w14:solidFill>
                  <w14:schemeClr w14:val="tx1"/>
                </w14:solidFill>
              </w14:textFill>
            </w:rPr>
            <w:t>办法</w:t>
          </w:r>
          <w:r>
            <w:rPr>
              <w:rFonts w:hint="eastAsia" w:ascii="仿宋" w:hAnsi="仿宋" w:eastAsia="仿宋" w:cs="仿宋"/>
              <w:b/>
              <w:bCs/>
              <w:color w:val="000000" w:themeColor="text1"/>
              <w:sz w:val="28"/>
              <w:szCs w:val="28"/>
              <w14:textFill>
                <w14:solidFill>
                  <w14:schemeClr w14:val="tx1"/>
                </w14:solidFill>
              </w14:textFill>
            </w:rPr>
            <w:tab/>
          </w:r>
          <w:r>
            <w:rPr>
              <w:rFonts w:hint="eastAsia" w:ascii="仿宋" w:hAnsi="仿宋" w:eastAsia="仿宋" w:cs="仿宋"/>
              <w:b/>
              <w:bCs/>
              <w:color w:val="000000" w:themeColor="text1"/>
              <w:sz w:val="28"/>
              <w:szCs w:val="28"/>
              <w:lang w:val="en-US" w:eastAsia="zh-CN"/>
              <w14:textFill>
                <w14:solidFill>
                  <w14:schemeClr w14:val="tx1"/>
                </w14:solidFill>
              </w14:textFill>
            </w:rPr>
            <w:t>3</w:t>
          </w:r>
          <w:r>
            <w:rPr>
              <w:rFonts w:hint="eastAsia" w:ascii="仿宋" w:hAnsi="仿宋" w:eastAsia="仿宋" w:cs="仿宋"/>
              <w:b/>
              <w:bCs/>
              <w:color w:val="000000" w:themeColor="text1"/>
              <w:sz w:val="28"/>
              <w:szCs w:val="28"/>
              <w:highlight w:val="none"/>
              <w14:textFill>
                <w14:solidFill>
                  <w14:schemeClr w14:val="tx1"/>
                </w14:solidFill>
              </w14:textFill>
            </w:rPr>
            <w:fldChar w:fldCharType="end"/>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3</w:t>
          </w:r>
        </w:p>
        <w:p w14:paraId="342F3E33">
          <w:pPr>
            <w:pStyle w:val="74"/>
            <w:keepNext w:val="0"/>
            <w:keepLines w:val="0"/>
            <w:pageBreakBefore w:val="0"/>
            <w:widowControl/>
            <w:tabs>
              <w:tab w:val="right" w:leader="dot" w:pos="8306"/>
            </w:tabs>
            <w:kinsoku/>
            <w:wordWrap/>
            <w:overflowPunct/>
            <w:topLinePunct w:val="0"/>
            <w:autoSpaceDE/>
            <w:autoSpaceDN/>
            <w:bidi w:val="0"/>
            <w:adjustRightInd/>
            <w:snapToGrid w:val="0"/>
            <w:spacing w:line="480" w:lineRule="auto"/>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fldChar w:fldCharType="begin"/>
          </w:r>
          <w:r>
            <w:rPr>
              <w:rFonts w:hint="eastAsia" w:ascii="仿宋" w:hAnsi="仿宋" w:eastAsia="仿宋" w:cs="仿宋"/>
              <w:b/>
              <w:bCs/>
              <w:color w:val="000000" w:themeColor="text1"/>
              <w:sz w:val="28"/>
              <w:szCs w:val="28"/>
              <w:highlight w:val="none"/>
              <w14:textFill>
                <w14:solidFill>
                  <w14:schemeClr w14:val="tx1"/>
                </w14:solidFill>
              </w14:textFill>
            </w:rPr>
            <w:instrText xml:space="preserve"> HYPERLINK \l _Toc13626 </w:instrText>
          </w:r>
          <w:r>
            <w:rPr>
              <w:rFonts w:hint="eastAsia" w:ascii="仿宋" w:hAnsi="仿宋" w:eastAsia="仿宋" w:cs="仿宋"/>
              <w:b/>
              <w:bCs/>
              <w:color w:val="000000" w:themeColor="text1"/>
              <w:sz w:val="28"/>
              <w:szCs w:val="28"/>
              <w:highlight w:val="none"/>
              <w14:textFill>
                <w14:solidFill>
                  <w14:schemeClr w14:val="tx1"/>
                </w14:solidFill>
              </w14:textFill>
            </w:rPr>
            <w:fldChar w:fldCharType="separate"/>
          </w:r>
          <w:r>
            <w:rPr>
              <w:rFonts w:hint="eastAsia" w:ascii="仿宋" w:hAnsi="仿宋" w:eastAsia="仿宋" w:cs="仿宋"/>
              <w:b/>
              <w:bCs/>
              <w:color w:val="000000" w:themeColor="text1"/>
              <w:sz w:val="28"/>
              <w:szCs w:val="52"/>
              <w:highlight w:val="none"/>
              <w14:textFill>
                <w14:solidFill>
                  <w14:schemeClr w14:val="tx1"/>
                </w14:solidFill>
              </w14:textFill>
            </w:rPr>
            <w:t>第五章</w:t>
          </w:r>
          <w:r>
            <w:rPr>
              <w:rFonts w:hint="eastAsia" w:ascii="仿宋" w:hAnsi="仿宋" w:eastAsia="仿宋" w:cs="仿宋"/>
              <w:b/>
              <w:bCs/>
              <w:color w:val="000000" w:themeColor="text1"/>
              <w:sz w:val="28"/>
              <w:szCs w:val="52"/>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8"/>
              <w:szCs w:val="28"/>
              <w:highlight w:val="none"/>
              <w14:textFill>
                <w14:solidFill>
                  <w14:schemeClr w14:val="tx1"/>
                </w14:solidFill>
              </w14:textFill>
            </w:rPr>
            <w:t>投标文件格式及构成</w:t>
          </w:r>
          <w:r>
            <w:rPr>
              <w:rFonts w:hint="eastAsia" w:ascii="仿宋" w:hAnsi="仿宋" w:eastAsia="仿宋" w:cs="仿宋"/>
              <w:b/>
              <w:bCs/>
              <w:color w:val="000000" w:themeColor="text1"/>
              <w:sz w:val="28"/>
              <w:szCs w:val="28"/>
              <w14:textFill>
                <w14:solidFill>
                  <w14:schemeClr w14:val="tx1"/>
                </w14:solidFill>
              </w14:textFill>
            </w:rPr>
            <w:tab/>
          </w:r>
          <w:r>
            <w:rPr>
              <w:rFonts w:hint="eastAsia" w:ascii="仿宋" w:hAnsi="仿宋" w:eastAsia="仿宋" w:cs="仿宋"/>
              <w:b/>
              <w:bCs/>
              <w:color w:val="000000" w:themeColor="text1"/>
              <w:sz w:val="28"/>
              <w:szCs w:val="28"/>
              <w:lang w:val="en-US" w:eastAsia="zh-CN"/>
              <w14:textFill>
                <w14:solidFill>
                  <w14:schemeClr w14:val="tx1"/>
                </w14:solidFill>
              </w14:textFill>
            </w:rPr>
            <w:t>4</w:t>
          </w:r>
          <w:r>
            <w:rPr>
              <w:rFonts w:hint="eastAsia" w:ascii="仿宋" w:hAnsi="仿宋" w:eastAsia="仿宋" w:cs="仿宋"/>
              <w:b/>
              <w:bCs/>
              <w:color w:val="000000" w:themeColor="text1"/>
              <w:sz w:val="28"/>
              <w:szCs w:val="28"/>
              <w:highlight w:val="none"/>
              <w14:textFill>
                <w14:solidFill>
                  <w14:schemeClr w14:val="tx1"/>
                </w14:solidFill>
              </w14:textFill>
            </w:rPr>
            <w:fldChar w:fldCharType="end"/>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3</w:t>
          </w:r>
        </w:p>
        <w:p w14:paraId="3EA16C0D">
          <w:pPr>
            <w:pStyle w:val="74"/>
            <w:keepNext w:val="0"/>
            <w:keepLines w:val="0"/>
            <w:pageBreakBefore w:val="0"/>
            <w:widowControl/>
            <w:tabs>
              <w:tab w:val="right" w:leader="dot" w:pos="8306"/>
            </w:tabs>
            <w:kinsoku/>
            <w:wordWrap/>
            <w:overflowPunct/>
            <w:topLinePunct w:val="0"/>
            <w:autoSpaceDE/>
            <w:autoSpaceDN/>
            <w:bidi w:val="0"/>
            <w:adjustRightInd/>
            <w:snapToGrid w:val="0"/>
            <w:spacing w:line="480" w:lineRule="auto"/>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fldChar w:fldCharType="begin"/>
          </w:r>
          <w:r>
            <w:rPr>
              <w:rFonts w:hint="eastAsia" w:ascii="仿宋" w:hAnsi="仿宋" w:eastAsia="仿宋" w:cs="仿宋"/>
              <w:b/>
              <w:bCs/>
              <w:color w:val="000000" w:themeColor="text1"/>
              <w:sz w:val="28"/>
              <w:szCs w:val="28"/>
              <w:highlight w:val="none"/>
              <w14:textFill>
                <w14:solidFill>
                  <w14:schemeClr w14:val="tx1"/>
                </w14:solidFill>
              </w14:textFill>
            </w:rPr>
            <w:instrText xml:space="preserve"> HYPERLINK \l _Toc12648 </w:instrText>
          </w:r>
          <w:r>
            <w:rPr>
              <w:rFonts w:hint="eastAsia" w:ascii="仿宋" w:hAnsi="仿宋" w:eastAsia="仿宋" w:cs="仿宋"/>
              <w:b/>
              <w:bCs/>
              <w:color w:val="000000" w:themeColor="text1"/>
              <w:sz w:val="28"/>
              <w:szCs w:val="28"/>
              <w:highlight w:val="none"/>
              <w14:textFill>
                <w14:solidFill>
                  <w14:schemeClr w14:val="tx1"/>
                </w14:solidFill>
              </w14:textFill>
            </w:rPr>
            <w:fldChar w:fldCharType="separate"/>
          </w:r>
          <w:r>
            <w:rPr>
              <w:rFonts w:hint="eastAsia" w:ascii="仿宋" w:hAnsi="仿宋" w:eastAsia="仿宋" w:cs="仿宋"/>
              <w:b/>
              <w:bCs/>
              <w:color w:val="000000" w:themeColor="text1"/>
              <w:sz w:val="28"/>
              <w:szCs w:val="28"/>
              <w:highlight w:val="none"/>
              <w14:textFill>
                <w14:solidFill>
                  <w14:schemeClr w14:val="tx1"/>
                </w14:solidFill>
              </w14:textFill>
            </w:rPr>
            <w:t xml:space="preserve">第六章  </w:t>
          </w:r>
          <w:r>
            <w:rPr>
              <w:rFonts w:hint="eastAsia" w:ascii="仿宋" w:hAnsi="仿宋" w:eastAsia="仿宋" w:cs="仿宋"/>
              <w:b/>
              <w:bCs/>
              <w:color w:val="000000" w:themeColor="text1"/>
              <w:sz w:val="28"/>
              <w:szCs w:val="52"/>
              <w:highlight w:val="none"/>
              <w14:textFill>
                <w14:solidFill>
                  <w14:schemeClr w14:val="tx1"/>
                </w14:solidFill>
              </w14:textFill>
            </w:rPr>
            <w:t>拟签订的合同文本</w:t>
          </w:r>
          <w:r>
            <w:rPr>
              <w:rFonts w:hint="eastAsia" w:ascii="仿宋" w:hAnsi="仿宋" w:eastAsia="仿宋" w:cs="仿宋"/>
              <w:b/>
              <w:bCs/>
              <w:color w:val="000000" w:themeColor="text1"/>
              <w:sz w:val="28"/>
              <w:szCs w:val="28"/>
              <w14:textFill>
                <w14:solidFill>
                  <w14:schemeClr w14:val="tx1"/>
                </w14:solidFill>
              </w14:textFill>
            </w:rPr>
            <w:tab/>
          </w:r>
          <w:r>
            <w:rPr>
              <w:rFonts w:hint="eastAsia" w:ascii="仿宋" w:hAnsi="仿宋" w:eastAsia="仿宋" w:cs="仿宋"/>
              <w:b/>
              <w:bCs/>
              <w:color w:val="000000" w:themeColor="text1"/>
              <w:sz w:val="28"/>
              <w:szCs w:val="28"/>
              <w:lang w:val="en-US" w:eastAsia="zh-CN"/>
              <w14:textFill>
                <w14:solidFill>
                  <w14:schemeClr w14:val="tx1"/>
                </w14:solidFill>
              </w14:textFill>
            </w:rPr>
            <w:t>6</w:t>
          </w:r>
          <w:r>
            <w:rPr>
              <w:rFonts w:hint="eastAsia" w:ascii="仿宋" w:hAnsi="仿宋" w:eastAsia="仿宋" w:cs="仿宋"/>
              <w:b/>
              <w:bCs/>
              <w:color w:val="000000" w:themeColor="text1"/>
              <w:sz w:val="28"/>
              <w:szCs w:val="28"/>
              <w:highlight w:val="none"/>
              <w14:textFill>
                <w14:solidFill>
                  <w14:schemeClr w14:val="tx1"/>
                </w14:solidFill>
              </w14:textFill>
            </w:rPr>
            <w:fldChar w:fldCharType="end"/>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5</w:t>
          </w:r>
        </w:p>
        <w:p w14:paraId="08CCBAEE">
          <w:pPr>
            <w:pStyle w:val="57"/>
            <w:shd w:val="clear"/>
            <w:ind w:left="0" w:leftChars="0" w:firstLine="0" w:firstLineChars="0"/>
            <w:outlineLvl w:val="9"/>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fldChar w:fldCharType="end"/>
          </w:r>
          <w:bookmarkStart w:id="3" w:name="_Toc16585"/>
          <w:bookmarkStart w:id="4" w:name="_Toc16757"/>
          <w:bookmarkStart w:id="5" w:name="_Toc17661"/>
          <w:bookmarkStart w:id="6" w:name="_Toc30925"/>
          <w:bookmarkStart w:id="7" w:name="_Toc9573"/>
          <w:bookmarkStart w:id="8" w:name="_Toc2153_WPSOffice_Level1"/>
          <w:bookmarkStart w:id="9" w:name="_Toc16422"/>
          <w:bookmarkStart w:id="10" w:name="_Toc27661"/>
          <w:bookmarkStart w:id="11" w:name="_Toc3934_WPSOffice_Level1"/>
          <w:bookmarkStart w:id="12" w:name="_Toc15714"/>
          <w:bookmarkStart w:id="13" w:name="_Toc5491"/>
          <w:bookmarkStart w:id="14" w:name="_Toc22701"/>
          <w:bookmarkStart w:id="15" w:name="_Toc29902"/>
          <w:bookmarkStart w:id="16" w:name="_Toc531189833"/>
          <w:bookmarkStart w:id="17" w:name="_Toc26281"/>
          <w:bookmarkStart w:id="18" w:name="_Toc13604"/>
          <w:bookmarkStart w:id="19" w:name="_Toc22132_WPSOffice_Level1"/>
          <w:bookmarkStart w:id="20" w:name="_Toc27110"/>
          <w:bookmarkStart w:id="21" w:name="_Toc13452"/>
        </w:p>
      </w:sdtContent>
    </w:sdt>
    <w:p w14:paraId="76984E6D">
      <w:pPr>
        <w:pStyle w:val="57"/>
        <w:shd w:val="clear"/>
        <w:ind w:left="0" w:leftChars="0" w:firstLine="0" w:firstLineChars="0"/>
        <w:outlineLvl w:val="9"/>
        <w:rPr>
          <w:rFonts w:hint="eastAsia" w:ascii="仿宋" w:hAnsi="仿宋" w:eastAsia="仿宋" w:cs="仿宋"/>
          <w:color w:val="000000" w:themeColor="text1"/>
          <w:szCs w:val="36"/>
          <w:highlight w:val="none"/>
          <w14:textFill>
            <w14:solidFill>
              <w14:schemeClr w14:val="tx1"/>
            </w14:solidFill>
          </w14:textFill>
        </w:rPr>
      </w:pPr>
    </w:p>
    <w:p w14:paraId="608B0DF4">
      <w:pPr>
        <w:pStyle w:val="57"/>
        <w:shd w:val="clear"/>
        <w:ind w:left="0" w:leftChars="0" w:firstLine="0" w:firstLineChars="0"/>
        <w:jc w:val="center"/>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pPr>
    </w:p>
    <w:p w14:paraId="28210639">
      <w:pPr>
        <w:pStyle w:val="57"/>
        <w:shd w:val="clear"/>
        <w:ind w:left="0" w:leftChars="0" w:firstLine="0" w:firstLineChars="0"/>
        <w:jc w:val="center"/>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pPr>
    </w:p>
    <w:p w14:paraId="245EEA96">
      <w:pPr>
        <w:pStyle w:val="57"/>
        <w:shd w:val="clear"/>
        <w:ind w:left="0" w:leftChars="0" w:firstLine="0" w:firstLineChars="0"/>
        <w:jc w:val="center"/>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pPr>
    </w:p>
    <w:p w14:paraId="5FAA1070">
      <w:pPr>
        <w:pStyle w:val="57"/>
        <w:shd w:val="clear"/>
        <w:ind w:left="0" w:leftChars="0" w:firstLine="0" w:firstLineChars="0"/>
        <w:jc w:val="center"/>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pPr>
    </w:p>
    <w:p w14:paraId="31DC4913">
      <w:pPr>
        <w:pStyle w:val="57"/>
        <w:shd w:val="clear"/>
        <w:ind w:left="0" w:leftChars="0" w:firstLine="0" w:firstLineChars="0"/>
        <w:jc w:val="center"/>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pPr>
    </w:p>
    <w:p w14:paraId="3BE0922E">
      <w:pPr>
        <w:pStyle w:val="57"/>
        <w:shd w:val="clear"/>
        <w:ind w:left="0" w:leftChars="0" w:firstLine="0" w:firstLineChars="0"/>
        <w:jc w:val="center"/>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pPr>
    </w:p>
    <w:p w14:paraId="4725847E">
      <w:pPr>
        <w:pStyle w:val="57"/>
        <w:shd w:val="clear"/>
        <w:ind w:left="0" w:leftChars="0" w:firstLine="0" w:firstLineChars="0"/>
        <w:jc w:val="center"/>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pPr>
    </w:p>
    <w:p w14:paraId="7B096486">
      <w:pPr>
        <w:pStyle w:val="57"/>
        <w:shd w:val="clear"/>
        <w:tabs>
          <w:tab w:val="left" w:pos="6603"/>
        </w:tabs>
        <w:ind w:left="0" w:leftChars="0" w:firstLine="0" w:firstLineChars="0"/>
        <w:jc w:val="left"/>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pPr>
      <w:r>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tab/>
      </w:r>
    </w:p>
    <w:p w14:paraId="07E5328D">
      <w:pPr>
        <w:pStyle w:val="57"/>
        <w:shd w:val="clear"/>
        <w:ind w:left="0" w:leftChars="0" w:firstLine="0" w:firstLineChars="0"/>
        <w:jc w:val="center"/>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pPr>
    </w:p>
    <w:p w14:paraId="0C324EC7">
      <w:pPr>
        <w:pStyle w:val="57"/>
        <w:shd w:val="clear"/>
        <w:ind w:left="0" w:leftChars="0" w:firstLine="0" w:firstLineChars="0"/>
        <w:jc w:val="center"/>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pPr>
    </w:p>
    <w:p w14:paraId="20F53950">
      <w:pPr>
        <w:pStyle w:val="57"/>
        <w:shd w:val="clear"/>
        <w:ind w:left="0" w:leftChars="0" w:firstLine="0" w:firstLineChars="0"/>
        <w:jc w:val="center"/>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pPr>
    </w:p>
    <w:p w14:paraId="7C325C8C">
      <w:pPr>
        <w:pStyle w:val="57"/>
        <w:shd w:val="clear"/>
        <w:ind w:left="0" w:leftChars="0" w:firstLine="0" w:firstLineChars="0"/>
        <w:jc w:val="center"/>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pPr>
    </w:p>
    <w:p w14:paraId="7406E0AD">
      <w:pPr>
        <w:pStyle w:val="57"/>
        <w:shd w:val="clear"/>
        <w:ind w:left="0" w:leftChars="0" w:firstLine="0" w:firstLineChars="0"/>
        <w:jc w:val="center"/>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pPr>
    </w:p>
    <w:p w14:paraId="71EB6DA8">
      <w:pPr>
        <w:pStyle w:val="57"/>
        <w:shd w:val="clear"/>
        <w:ind w:left="0" w:leftChars="0" w:firstLine="0" w:firstLineChars="0"/>
        <w:jc w:val="center"/>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pPr>
    </w:p>
    <w:p w14:paraId="54842094">
      <w:pPr>
        <w:pStyle w:val="57"/>
        <w:shd w:val="clear"/>
        <w:ind w:left="0" w:leftChars="0" w:firstLine="0" w:firstLineChars="0"/>
        <w:jc w:val="center"/>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pPr>
    </w:p>
    <w:p w14:paraId="1787C1CB">
      <w:pPr>
        <w:pStyle w:val="57"/>
        <w:shd w:val="clear"/>
        <w:ind w:left="0" w:leftChars="0" w:firstLine="0" w:firstLineChars="0"/>
        <w:jc w:val="center"/>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pPr>
    </w:p>
    <w:p w14:paraId="53593111">
      <w:pPr>
        <w:pStyle w:val="57"/>
        <w:shd w:val="clear"/>
        <w:ind w:left="0" w:leftChars="0" w:firstLine="0" w:firstLineChars="0"/>
        <w:jc w:val="center"/>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pPr>
    </w:p>
    <w:p w14:paraId="2E8CC224">
      <w:pPr>
        <w:pStyle w:val="57"/>
        <w:shd w:val="clear"/>
        <w:ind w:left="0" w:leftChars="0" w:firstLine="0" w:firstLineChars="0"/>
        <w:jc w:val="center"/>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pPr>
    </w:p>
    <w:p w14:paraId="16945C0E">
      <w:pPr>
        <w:pStyle w:val="57"/>
        <w:shd w:val="clear"/>
        <w:ind w:left="0" w:leftChars="0" w:firstLine="0" w:firstLineChars="0"/>
        <w:jc w:val="both"/>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sectPr>
          <w:headerReference r:id="rId5" w:type="default"/>
          <w:footerReference r:id="rId6" w:type="default"/>
          <w:pgSz w:w="11906" w:h="16838"/>
          <w:pgMar w:top="1440" w:right="1800" w:bottom="1440" w:left="1800" w:header="851" w:footer="992" w:gutter="0"/>
          <w:pgNumType w:fmt="decimal" w:start="1"/>
          <w:cols w:space="720" w:num="1"/>
          <w:docGrid w:type="lines" w:linePitch="312" w:charSpace="0"/>
        </w:sectPr>
      </w:pPr>
    </w:p>
    <w:p w14:paraId="25D92378">
      <w:pPr>
        <w:pStyle w:val="57"/>
        <w:shd w:val="clear"/>
        <w:ind w:left="0" w:leftChars="0" w:firstLine="0" w:firstLineChars="0"/>
        <w:jc w:val="center"/>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pPr>
      <w:r>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t xml:space="preserve">第一章  </w:t>
      </w:r>
      <w:bookmarkEnd w:id="2"/>
      <w:r>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t>招标公告</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627C631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仿宋" w:hAnsi="仿宋" w:eastAsia="仿宋" w:cs="仿宋"/>
          <w:b/>
          <w:bCs/>
          <w:i w:val="0"/>
          <w:iCs w:val="0"/>
          <w:caps w:val="0"/>
          <w:color w:val="000000" w:themeColor="text1"/>
          <w:spacing w:val="0"/>
          <w:sz w:val="21"/>
          <w:szCs w:val="21"/>
          <w14:textFill>
            <w14:solidFill>
              <w14:schemeClr w14:val="tx1"/>
            </w14:solidFill>
          </w14:textFill>
        </w:rPr>
      </w:pPr>
      <w:bookmarkStart w:id="22" w:name="_Toc8088_WPSOffice_Level1"/>
      <w:bookmarkStart w:id="23" w:name="_Toc31804"/>
      <w:bookmarkStart w:id="24" w:name="_Toc17777"/>
      <w:bookmarkStart w:id="25" w:name="_Toc9804_WPSOffice_Level1"/>
      <w:bookmarkStart w:id="26" w:name="_Toc28736_WPSOffice_Level1"/>
      <w:bookmarkStart w:id="27" w:name="_Toc7478"/>
      <w:bookmarkStart w:id="28" w:name="_Toc531189834"/>
      <w:bookmarkStart w:id="29" w:name="_Toc25920"/>
      <w:bookmarkStart w:id="30" w:name="_Toc19278"/>
      <w:bookmarkStart w:id="31" w:name="_Toc2094"/>
      <w:bookmarkStart w:id="32" w:name="_Toc21535"/>
      <w:bookmarkStart w:id="33" w:name="_Toc30242"/>
      <w:bookmarkStart w:id="34" w:name="_Toc15499"/>
      <w:bookmarkStart w:id="35" w:name="_Toc31326"/>
      <w:bookmarkStart w:id="36" w:name="_Toc12255"/>
      <w:bookmarkStart w:id="37" w:name="_Toc347817552"/>
      <w:bookmarkStart w:id="38" w:name="_Toc175973396"/>
      <w:bookmarkStart w:id="39" w:name="_Toc29730"/>
      <w:bookmarkStart w:id="40" w:name="_Toc21028"/>
      <w:bookmarkStart w:id="41" w:name="_Toc4952"/>
      <w:bookmarkStart w:id="42" w:name="_Toc19596"/>
      <w:r>
        <w:rPr>
          <w:rFonts w:hint="eastAsia" w:ascii="仿宋" w:hAnsi="仿宋" w:eastAsia="仿宋" w:cs="仿宋"/>
          <w:b/>
          <w:bCs/>
          <w:i w:val="0"/>
          <w:iCs w:val="0"/>
          <w:caps w:val="0"/>
          <w:color w:val="000000" w:themeColor="text1"/>
          <w:spacing w:val="0"/>
          <w:kern w:val="0"/>
          <w:sz w:val="21"/>
          <w:szCs w:val="21"/>
          <w:shd w:val="clear" w:fill="FFFFFF"/>
          <w:lang w:val="en-US" w:eastAsia="zh-CN" w:bidi="ar"/>
          <w14:textFill>
            <w14:solidFill>
              <w14:schemeClr w14:val="tx1"/>
            </w14:solidFill>
          </w14:textFill>
        </w:rPr>
        <w:t>汉中市南郑区人民医院肝胆泌尿外科等医疗设备采购项目招标公告</w:t>
      </w:r>
    </w:p>
    <w:p w14:paraId="44F44E9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360" w:lineRule="auto"/>
        <w:ind w:left="0" w:right="0"/>
        <w:jc w:val="left"/>
        <w:textAlignment w:val="auto"/>
        <w:rPr>
          <w:rFonts w:hint="eastAsia" w:ascii="仿宋" w:hAnsi="仿宋" w:eastAsia="仿宋" w:cs="仿宋"/>
          <w:b w:val="0"/>
          <w:bCs w:val="0"/>
          <w:color w:val="000000" w:themeColor="text1"/>
          <w:sz w:val="21"/>
          <w:szCs w:val="21"/>
          <w14:textFill>
            <w14:solidFill>
              <w14:schemeClr w14:val="tx1"/>
            </w14:solidFill>
          </w14:textFill>
        </w:rPr>
      </w:pPr>
      <w:r>
        <w:rPr>
          <w:rStyle w:val="45"/>
          <w:rFonts w:hint="eastAsia" w:ascii="仿宋" w:hAnsi="仿宋" w:eastAsia="仿宋" w:cs="仿宋"/>
          <w:b/>
          <w:bCs/>
          <w:i w:val="0"/>
          <w:iCs w:val="0"/>
          <w:caps w:val="0"/>
          <w:color w:val="000000" w:themeColor="text1"/>
          <w:spacing w:val="0"/>
          <w:sz w:val="21"/>
          <w:szCs w:val="21"/>
          <w:shd w:val="clear" w:fill="FFFFFF"/>
          <w14:textFill>
            <w14:solidFill>
              <w14:schemeClr w14:val="tx1"/>
            </w14:solidFill>
          </w14:textFill>
        </w:rPr>
        <w:t>项目概况</w:t>
      </w:r>
    </w:p>
    <w:p w14:paraId="4D75838E">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肝胆泌尿外科等医疗设备采购项目招标项目的潜在投标人应在在线邮箱获取获取招标文件，并于 2025年05月27日 14时00分 （北京时间）前递交投标文件。</w:t>
      </w:r>
    </w:p>
    <w:p w14:paraId="25E6DD6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360" w:lineRule="auto"/>
        <w:ind w:left="0" w:right="0"/>
        <w:jc w:val="left"/>
        <w:textAlignment w:val="auto"/>
        <w:rPr>
          <w:rFonts w:hint="eastAsia" w:ascii="仿宋" w:hAnsi="仿宋" w:eastAsia="仿宋" w:cs="仿宋"/>
          <w:b w:val="0"/>
          <w:bCs w:val="0"/>
          <w:color w:val="000000" w:themeColor="text1"/>
          <w:sz w:val="21"/>
          <w:szCs w:val="21"/>
          <w14:textFill>
            <w14:solidFill>
              <w14:schemeClr w14:val="tx1"/>
            </w14:solidFill>
          </w14:textFill>
        </w:rPr>
      </w:pPr>
      <w:r>
        <w:rPr>
          <w:rStyle w:val="45"/>
          <w:rFonts w:hint="eastAsia" w:ascii="仿宋" w:hAnsi="仿宋" w:eastAsia="仿宋" w:cs="仿宋"/>
          <w:b/>
          <w:bCs/>
          <w:i w:val="0"/>
          <w:iCs w:val="0"/>
          <w:caps w:val="0"/>
          <w:color w:val="000000" w:themeColor="text1"/>
          <w:spacing w:val="0"/>
          <w:sz w:val="21"/>
          <w:szCs w:val="21"/>
          <w:shd w:val="clear" w:fill="FFFFFF"/>
          <w14:textFill>
            <w14:solidFill>
              <w14:schemeClr w14:val="tx1"/>
            </w14:solidFill>
          </w14:textFill>
        </w:rPr>
        <w:t>一、项目基本情况</w:t>
      </w:r>
    </w:p>
    <w:p w14:paraId="7DB2D531">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项目编号：TZZB-HZ-2025109C</w:t>
      </w:r>
    </w:p>
    <w:p w14:paraId="067834F7">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项目名称：肝胆泌尿外科等医疗设备采购项目</w:t>
      </w:r>
    </w:p>
    <w:p w14:paraId="5EAF4711">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采购方式：公开招标</w:t>
      </w:r>
    </w:p>
    <w:p w14:paraId="4E8C290A">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预算金额：1,500,000.00元</w:t>
      </w:r>
    </w:p>
    <w:p w14:paraId="0EDCF59C">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采购需求：</w:t>
      </w:r>
    </w:p>
    <w:p w14:paraId="2384633E">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合同包1(腹腔镜采购):</w:t>
      </w:r>
    </w:p>
    <w:p w14:paraId="46DA0B1D">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合同包预算金额：800,000.00元</w:t>
      </w:r>
    </w:p>
    <w:p w14:paraId="77973570">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合同包最高限价：800,000.00元</w:t>
      </w:r>
    </w:p>
    <w:tbl>
      <w:tblPr>
        <w:tblStyle w:val="42"/>
        <w:tblW w:w="11148" w:type="dxa"/>
        <w:tblInd w:w="-1222"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263"/>
        <w:gridCol w:w="1595"/>
        <w:gridCol w:w="1879"/>
        <w:gridCol w:w="1595"/>
        <w:gridCol w:w="2128"/>
        <w:gridCol w:w="1344"/>
        <w:gridCol w:w="1344"/>
      </w:tblGrid>
      <w:tr w14:paraId="097B63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126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8405A3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品目号</w:t>
            </w:r>
          </w:p>
        </w:tc>
        <w:tc>
          <w:tcPr>
            <w:tcW w:w="159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41CFC6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品目名称</w:t>
            </w:r>
          </w:p>
        </w:tc>
        <w:tc>
          <w:tcPr>
            <w:tcW w:w="187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B595DC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采购标的</w:t>
            </w:r>
          </w:p>
        </w:tc>
        <w:tc>
          <w:tcPr>
            <w:tcW w:w="159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C039F5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数量（单位）</w:t>
            </w:r>
          </w:p>
        </w:tc>
        <w:tc>
          <w:tcPr>
            <w:tcW w:w="212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AF17E5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技术规格、参数及要求</w:t>
            </w:r>
          </w:p>
        </w:tc>
        <w:tc>
          <w:tcPr>
            <w:tcW w:w="134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581BF2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品目预算(元)</w:t>
            </w:r>
          </w:p>
        </w:tc>
        <w:tc>
          <w:tcPr>
            <w:tcW w:w="134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1EF100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最高限价(元)</w:t>
            </w:r>
          </w:p>
        </w:tc>
      </w:tr>
      <w:tr w14:paraId="0DCFD6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4" w:hRule="atLeast"/>
        </w:trPr>
        <w:tc>
          <w:tcPr>
            <w:tcW w:w="126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355920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1-1</w:t>
            </w:r>
          </w:p>
        </w:tc>
        <w:tc>
          <w:tcPr>
            <w:tcW w:w="159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43EDD9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医用内窥镜</w:t>
            </w:r>
          </w:p>
        </w:tc>
        <w:tc>
          <w:tcPr>
            <w:tcW w:w="187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550139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腹腔镜采购</w:t>
            </w:r>
          </w:p>
        </w:tc>
        <w:tc>
          <w:tcPr>
            <w:tcW w:w="159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A85C98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1(套)</w:t>
            </w:r>
          </w:p>
        </w:tc>
        <w:tc>
          <w:tcPr>
            <w:tcW w:w="212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3AF2C0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详见采购文件</w:t>
            </w:r>
          </w:p>
        </w:tc>
        <w:tc>
          <w:tcPr>
            <w:tcW w:w="134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4FDEC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800,000.00</w:t>
            </w:r>
          </w:p>
        </w:tc>
        <w:tc>
          <w:tcPr>
            <w:tcW w:w="134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3E512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800,000.00</w:t>
            </w:r>
          </w:p>
        </w:tc>
      </w:tr>
    </w:tbl>
    <w:p w14:paraId="20901286">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本合同包不接受联合体投标</w:t>
      </w:r>
    </w:p>
    <w:p w14:paraId="55FDFAAE">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合同履行期限：详见招标文件</w:t>
      </w:r>
    </w:p>
    <w:p w14:paraId="4C8FE43A">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合同包2(关节镜手术系统采购):</w:t>
      </w:r>
    </w:p>
    <w:p w14:paraId="3DDCA5B8">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合同包预算金额：700,000.00元</w:t>
      </w:r>
    </w:p>
    <w:p w14:paraId="4FEC1D8E">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合同包最高限价：700,000.00元</w:t>
      </w:r>
    </w:p>
    <w:tbl>
      <w:tblPr>
        <w:tblStyle w:val="42"/>
        <w:tblW w:w="11132" w:type="dxa"/>
        <w:tblInd w:w="-120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232"/>
        <w:gridCol w:w="1579"/>
        <w:gridCol w:w="1878"/>
        <w:gridCol w:w="1595"/>
        <w:gridCol w:w="2160"/>
        <w:gridCol w:w="1344"/>
        <w:gridCol w:w="1344"/>
      </w:tblGrid>
      <w:tr w14:paraId="1713F6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123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12D9FC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品目号</w:t>
            </w:r>
          </w:p>
        </w:tc>
        <w:tc>
          <w:tcPr>
            <w:tcW w:w="157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F17FA2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品目名称</w:t>
            </w:r>
          </w:p>
        </w:tc>
        <w:tc>
          <w:tcPr>
            <w:tcW w:w="187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11A8A8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采购标的</w:t>
            </w:r>
          </w:p>
        </w:tc>
        <w:tc>
          <w:tcPr>
            <w:tcW w:w="159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B10947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数量（单位）</w:t>
            </w:r>
          </w:p>
        </w:tc>
        <w:tc>
          <w:tcPr>
            <w:tcW w:w="216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6E9320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技术规格、参数及要求</w:t>
            </w:r>
          </w:p>
        </w:tc>
        <w:tc>
          <w:tcPr>
            <w:tcW w:w="134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EC299B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品目预算(元)</w:t>
            </w:r>
          </w:p>
        </w:tc>
        <w:tc>
          <w:tcPr>
            <w:tcW w:w="134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3C12F7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最高限价(元)</w:t>
            </w:r>
          </w:p>
        </w:tc>
      </w:tr>
      <w:tr w14:paraId="409BFB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4" w:hRule="atLeast"/>
        </w:trPr>
        <w:tc>
          <w:tcPr>
            <w:tcW w:w="123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C43F94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2-1</w:t>
            </w:r>
          </w:p>
        </w:tc>
        <w:tc>
          <w:tcPr>
            <w:tcW w:w="157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DE13BA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医用内窥镜</w:t>
            </w:r>
          </w:p>
        </w:tc>
        <w:tc>
          <w:tcPr>
            <w:tcW w:w="187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E853BE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关节镜手术系统采购</w:t>
            </w:r>
          </w:p>
        </w:tc>
        <w:tc>
          <w:tcPr>
            <w:tcW w:w="159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15EE10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1(套)</w:t>
            </w:r>
          </w:p>
        </w:tc>
        <w:tc>
          <w:tcPr>
            <w:tcW w:w="216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3FCA5C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详见采购文件</w:t>
            </w:r>
          </w:p>
        </w:tc>
        <w:tc>
          <w:tcPr>
            <w:tcW w:w="134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F308B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700,000.00</w:t>
            </w:r>
          </w:p>
        </w:tc>
        <w:tc>
          <w:tcPr>
            <w:tcW w:w="134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51E0B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700,000.00</w:t>
            </w:r>
          </w:p>
        </w:tc>
      </w:tr>
    </w:tbl>
    <w:p w14:paraId="35469466">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本合同包不接受联合体投标</w:t>
      </w:r>
    </w:p>
    <w:p w14:paraId="4F8B670B">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合同履行期限：详见招标文件</w:t>
      </w:r>
    </w:p>
    <w:p w14:paraId="001E159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360" w:lineRule="auto"/>
        <w:ind w:left="0" w:right="0"/>
        <w:jc w:val="left"/>
        <w:textAlignment w:val="auto"/>
        <w:rPr>
          <w:rFonts w:hint="eastAsia" w:ascii="仿宋" w:hAnsi="仿宋" w:eastAsia="仿宋" w:cs="仿宋"/>
          <w:b w:val="0"/>
          <w:bCs w:val="0"/>
          <w:color w:val="000000" w:themeColor="text1"/>
          <w:sz w:val="21"/>
          <w:szCs w:val="21"/>
          <w14:textFill>
            <w14:solidFill>
              <w14:schemeClr w14:val="tx1"/>
            </w14:solidFill>
          </w14:textFill>
        </w:rPr>
      </w:pPr>
      <w:r>
        <w:rPr>
          <w:rStyle w:val="45"/>
          <w:rFonts w:hint="eastAsia" w:ascii="仿宋" w:hAnsi="仿宋" w:eastAsia="仿宋" w:cs="仿宋"/>
          <w:b/>
          <w:bCs/>
          <w:i w:val="0"/>
          <w:iCs w:val="0"/>
          <w:caps w:val="0"/>
          <w:color w:val="000000" w:themeColor="text1"/>
          <w:spacing w:val="0"/>
          <w:sz w:val="21"/>
          <w:szCs w:val="21"/>
          <w:shd w:val="clear" w:fill="FFFFFF"/>
          <w14:textFill>
            <w14:solidFill>
              <w14:schemeClr w14:val="tx1"/>
            </w14:solidFill>
          </w14:textFill>
        </w:rPr>
        <w:t>二、申请人的资格要求：</w:t>
      </w:r>
    </w:p>
    <w:p w14:paraId="07E7DFE5">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1.满足《中华人民共和国政府采购法》第二十二条规定;</w:t>
      </w:r>
    </w:p>
    <w:p w14:paraId="3708E447">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2.落实政府采购政策需满足的资格要求： 无。</w:t>
      </w:r>
    </w:p>
    <w:p w14:paraId="3C72417B">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3.本项目的特定资格要求：</w:t>
      </w:r>
    </w:p>
    <w:p w14:paraId="7628488C">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合同包1(腹腔镜采购)特定资格要求如下:</w:t>
      </w:r>
    </w:p>
    <w:p w14:paraId="1D65B74B">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（1）投标人须为具有独立承担民事责任能力的法人、其他组织或自然人;出具合法有效的营业执照或事业单位法人证书等国家规定的相关证明，自然人参与的提供其身份证明；</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（2）投标人须提供《汉中市政府采购供应商资格承诺函》。</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（3）法定代表人直接参加投标的，须出具法人身份证；法定代表人授权代表参加投标的，须出具法定代表人授权书及授权代表身份证；</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 （4）投标人为经销商的应提供《医疗器械经营许可证》和《医疗器械经营备案凭证》（投标产品须在其经营范围内）和生产厂家的《医疗器械生产许可证》或《医疗器械生产备案凭证》（投标产品须在其生产范围内）；投标人为生产厂家的应提供《医疗器械经营许可证》或《医疗器械经营备案凭证》（投标产品须在其经营范围内）和《医疗器械生产许可证》（投标产品须在其生产范围内），投标产品属于医疗器械管理的提供《医疗器械注册证》。</w:t>
      </w:r>
    </w:p>
    <w:p w14:paraId="17782767">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合同包2(关节镜手术系统采购)特定资格要求如下:</w:t>
      </w:r>
    </w:p>
    <w:p w14:paraId="2EF6A119">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（1）投标人须为具有独立承担民事责任能力的法人、其他组织或自然人;出具合法有效的营业执照或事业单位法人证书等国家规定的相关证明，自然人参与的提供其身份证明；</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（2）投标人须提供《汉中市政府采购供应商资格承诺函》。</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（3）法定代表人直接参加投标的，须出具法人身份证；法定代表人授权代表参加投标的，须出具法定代表人授权书及授权代表身份证；</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 （4）投标人为经销商的应提供《医疗器械经营许可证》和《医疗器械经营备案凭证》（投标产品须在其经营范围内）和生产厂家的《医疗器械生产许可证》或《医疗器械生产备案凭证》（投标产品须在其生产范围内）；投标人为生产厂家的应提供《医疗器械经营许可证》或《医疗器械经营备案凭证》（投标产品须在其经营范围内）和《医疗器械生产许可证》（投标产品须在其生产范围内），投标产品属于医疗器械管理的提供《医疗器械注册证》。</w:t>
      </w:r>
    </w:p>
    <w:p w14:paraId="67FF8D2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360" w:lineRule="auto"/>
        <w:ind w:left="0" w:right="0"/>
        <w:jc w:val="left"/>
        <w:textAlignment w:val="auto"/>
        <w:rPr>
          <w:rFonts w:hint="eastAsia" w:ascii="仿宋" w:hAnsi="仿宋" w:eastAsia="仿宋" w:cs="仿宋"/>
          <w:b w:val="0"/>
          <w:bCs w:val="0"/>
          <w:color w:val="000000" w:themeColor="text1"/>
          <w:sz w:val="21"/>
          <w:szCs w:val="21"/>
          <w14:textFill>
            <w14:solidFill>
              <w14:schemeClr w14:val="tx1"/>
            </w14:solidFill>
          </w14:textFill>
        </w:rPr>
      </w:pPr>
      <w:r>
        <w:rPr>
          <w:rStyle w:val="45"/>
          <w:rFonts w:hint="eastAsia" w:ascii="仿宋" w:hAnsi="仿宋" w:eastAsia="仿宋" w:cs="仿宋"/>
          <w:b/>
          <w:bCs/>
          <w:i w:val="0"/>
          <w:iCs w:val="0"/>
          <w:caps w:val="0"/>
          <w:color w:val="000000" w:themeColor="text1"/>
          <w:spacing w:val="0"/>
          <w:sz w:val="21"/>
          <w:szCs w:val="21"/>
          <w:shd w:val="clear" w:fill="FFFFFF"/>
          <w14:textFill>
            <w14:solidFill>
              <w14:schemeClr w14:val="tx1"/>
            </w14:solidFill>
          </w14:textFill>
        </w:rPr>
        <w:t>三、获取招标文件</w:t>
      </w:r>
    </w:p>
    <w:p w14:paraId="27518C2E">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时间： 2025年04月30日 至 2025年05月09日 ，每天上午 08:00:00 至 12:00:00 ，下午 14:00:00 至 18:00:00 （北京时间）</w:t>
      </w:r>
    </w:p>
    <w:p w14:paraId="6CE08F6E">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途径：在线邮箱获取</w:t>
      </w:r>
    </w:p>
    <w:p w14:paraId="614A0879">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方式：在线获取</w:t>
      </w:r>
    </w:p>
    <w:p w14:paraId="020197FF">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售价： 300元</w:t>
      </w:r>
    </w:p>
    <w:p w14:paraId="3824206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360" w:lineRule="auto"/>
        <w:ind w:left="0" w:right="0"/>
        <w:jc w:val="left"/>
        <w:textAlignment w:val="auto"/>
        <w:rPr>
          <w:rFonts w:hint="eastAsia" w:ascii="仿宋" w:hAnsi="仿宋" w:eastAsia="仿宋" w:cs="仿宋"/>
          <w:b w:val="0"/>
          <w:bCs w:val="0"/>
          <w:color w:val="000000" w:themeColor="text1"/>
          <w:sz w:val="21"/>
          <w:szCs w:val="21"/>
          <w14:textFill>
            <w14:solidFill>
              <w14:schemeClr w14:val="tx1"/>
            </w14:solidFill>
          </w14:textFill>
        </w:rPr>
      </w:pPr>
      <w:r>
        <w:rPr>
          <w:rStyle w:val="45"/>
          <w:rFonts w:hint="eastAsia" w:ascii="仿宋" w:hAnsi="仿宋" w:eastAsia="仿宋" w:cs="仿宋"/>
          <w:b/>
          <w:bCs/>
          <w:i w:val="0"/>
          <w:iCs w:val="0"/>
          <w:caps w:val="0"/>
          <w:color w:val="000000" w:themeColor="text1"/>
          <w:spacing w:val="0"/>
          <w:sz w:val="21"/>
          <w:szCs w:val="21"/>
          <w:shd w:val="clear" w:fill="FFFFFF"/>
          <w14:textFill>
            <w14:solidFill>
              <w14:schemeClr w14:val="tx1"/>
            </w14:solidFill>
          </w14:textFill>
        </w:rPr>
        <w:t>四、提交投标文件截止时间、开标时间和地点</w:t>
      </w:r>
    </w:p>
    <w:p w14:paraId="1D630133">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时间： 2025年05月27日 14时00分00秒 （北京时间）</w:t>
      </w:r>
    </w:p>
    <w:p w14:paraId="5B72BF38">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提交投标文件地点：汉中市汉台区西一环路蓝天御苑小区商铺二层门面房南侧会议室</w:t>
      </w:r>
    </w:p>
    <w:p w14:paraId="712BFFF1">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开标地点：汉中市汉台区西一环路蓝天御苑小区商铺二层门面房南侧会议室</w:t>
      </w:r>
    </w:p>
    <w:p w14:paraId="1407DF3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360" w:lineRule="auto"/>
        <w:ind w:left="0" w:right="0"/>
        <w:jc w:val="left"/>
        <w:textAlignment w:val="auto"/>
        <w:rPr>
          <w:rFonts w:hint="eastAsia" w:ascii="仿宋" w:hAnsi="仿宋" w:eastAsia="仿宋" w:cs="仿宋"/>
          <w:b w:val="0"/>
          <w:bCs w:val="0"/>
          <w:color w:val="000000" w:themeColor="text1"/>
          <w:sz w:val="21"/>
          <w:szCs w:val="21"/>
          <w14:textFill>
            <w14:solidFill>
              <w14:schemeClr w14:val="tx1"/>
            </w14:solidFill>
          </w14:textFill>
        </w:rPr>
      </w:pPr>
      <w:r>
        <w:rPr>
          <w:rStyle w:val="45"/>
          <w:rFonts w:hint="eastAsia" w:ascii="仿宋" w:hAnsi="仿宋" w:eastAsia="仿宋" w:cs="仿宋"/>
          <w:b/>
          <w:bCs/>
          <w:i w:val="0"/>
          <w:iCs w:val="0"/>
          <w:caps w:val="0"/>
          <w:color w:val="000000" w:themeColor="text1"/>
          <w:spacing w:val="0"/>
          <w:sz w:val="21"/>
          <w:szCs w:val="21"/>
          <w:shd w:val="clear" w:fill="FFFFFF"/>
          <w14:textFill>
            <w14:solidFill>
              <w14:schemeClr w14:val="tx1"/>
            </w14:solidFill>
          </w14:textFill>
        </w:rPr>
        <w:t>五、公告期限</w:t>
      </w:r>
    </w:p>
    <w:p w14:paraId="3CBF1B97">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自本公告发布之日起5个工作日。</w:t>
      </w:r>
    </w:p>
    <w:p w14:paraId="240CBE5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360" w:lineRule="auto"/>
        <w:ind w:left="0" w:right="0"/>
        <w:jc w:val="left"/>
        <w:textAlignment w:val="auto"/>
        <w:rPr>
          <w:rFonts w:hint="eastAsia" w:ascii="仿宋" w:hAnsi="仿宋" w:eastAsia="仿宋" w:cs="仿宋"/>
          <w:b w:val="0"/>
          <w:bCs w:val="0"/>
          <w:color w:val="000000" w:themeColor="text1"/>
          <w:sz w:val="21"/>
          <w:szCs w:val="21"/>
          <w14:textFill>
            <w14:solidFill>
              <w14:schemeClr w14:val="tx1"/>
            </w14:solidFill>
          </w14:textFill>
        </w:rPr>
      </w:pPr>
      <w:r>
        <w:rPr>
          <w:rStyle w:val="45"/>
          <w:rFonts w:hint="eastAsia" w:ascii="仿宋" w:hAnsi="仿宋" w:eastAsia="仿宋" w:cs="仿宋"/>
          <w:b/>
          <w:bCs/>
          <w:i w:val="0"/>
          <w:iCs w:val="0"/>
          <w:caps w:val="0"/>
          <w:color w:val="000000" w:themeColor="text1"/>
          <w:spacing w:val="0"/>
          <w:sz w:val="21"/>
          <w:szCs w:val="21"/>
          <w:shd w:val="clear" w:fill="FFFFFF"/>
          <w14:textFill>
            <w14:solidFill>
              <w14:schemeClr w14:val="tx1"/>
            </w14:solidFill>
          </w14:textFill>
        </w:rPr>
        <w:t>六、其他补充事宜</w:t>
      </w:r>
    </w:p>
    <w:p w14:paraId="3FCE6EAE">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05"/>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shd w:val="clear" w:fill="FFFFFF"/>
          <w:lang w:val="en-US" w:eastAsia="zh-CN" w:bidi="ar"/>
          <w14:textFill>
            <w14:solidFill>
              <w14:schemeClr w14:val="tx1"/>
            </w14:solidFill>
          </w14:textFill>
        </w:rPr>
        <w:t>1、投标人获取招标文件时需提交投标人出具的对获取人的介绍信（介绍信需注明项目名称、合同包几、项目编号、联系人、联系方式）以及获取人身份证复印件（加盖公章），发送至邮箱3209672565@qq.com，资料审核无误并填写文件获取表后线上支付，每个合同包300元，售后不退。</w:t>
      </w:r>
    </w:p>
    <w:p w14:paraId="1A7CF72F">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05"/>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shd w:val="clear" w:fill="FFFFFF"/>
          <w:lang w:val="en-US" w:eastAsia="zh-CN" w:bidi="ar"/>
          <w14:textFill>
            <w14:solidFill>
              <w14:schemeClr w14:val="tx1"/>
            </w14:solidFill>
          </w14:textFill>
        </w:rPr>
        <w:t> 2、注意事项：根据《陕西省财政厅关于政府采购供应商注册登记有关事项的通知》的规定，供应商在获取竞争性磋商文件后，应及时注册登记加入陕西省政府采购供应商库。因供应商自身原因未及时登记入库而导致的一切后果由供应商自行承担。</w:t>
      </w:r>
    </w:p>
    <w:p w14:paraId="5ABC6467">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3、本次采购落实政府采购政策：（1）《国务院办公厅关于建立政府强制采购节能产品制度的通知》（国发办〔2007〕51号）；（2）《财政部司法部关于政府采购支持监狱企业发展有关问题的通知》（财库〔2014〕68号）；（3）《三部门联合发布关于促进残疾人就业政府采购政策的通知》（财库〔2017〕141号）；（4）陕西省财政厅关于印发《陕西省中小企业政府采购信用融资办法》（陕财办采〔2018〕23号）；（5）《财政部发展改革委生态环境部市场监管总局关于调整优化节能产品、环境标志产品政府采购执行机制的通知》（财库〔2019〕9号）；（6）陕西省财政厅《关于加快推进我省中小企业政府采购信用融资工作的通知》（陕财办采〔2020〕15号）；（7）《政府采购促进中小企业发展管理办法》（财库〔2020〕46号）；（8）《财政部农业农村部国家乡村振兴局关于运用政府采购政策支持乡村产业振兴的通知》（财库〔2021〕19号）；（9）《财政部农业农村部国家乡村振兴局中华全国供销合作总社关于印发&lt;关于深入开展政府采购脱贫地区农副产品工作推进乡村产业振兴的实施意见&gt;的通知》（财库〔2021〕20号）；（10）《陕西省财政厅关于进一步加强政府绿色采购有关问题的通知》（陕财办采〔2021〕29号）；（11）《财政部关于在政府采购活动中落实平等对待内外资企业有关政策的通知》（财库〔2021〕35号）；（12）《关于进一步加大政府采购支持中小企业力度的通知》（财库〔2022〕19号）；（13）《陕西省财政厅、中国人民银行西安分行关于深入推进政府采购信用融资业务的通知》 陕财办采〔2023〕5号；（14）按相关规定需要落实的其他政府采购政策。</w:t>
      </w:r>
    </w:p>
    <w:p w14:paraId="13A25E7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360" w:lineRule="auto"/>
        <w:ind w:left="0" w:right="0"/>
        <w:jc w:val="left"/>
        <w:textAlignment w:val="auto"/>
        <w:rPr>
          <w:rFonts w:hint="eastAsia" w:ascii="仿宋" w:hAnsi="仿宋" w:eastAsia="仿宋" w:cs="仿宋"/>
          <w:b w:val="0"/>
          <w:bCs w:val="0"/>
          <w:color w:val="000000" w:themeColor="text1"/>
          <w:sz w:val="21"/>
          <w:szCs w:val="21"/>
          <w14:textFill>
            <w14:solidFill>
              <w14:schemeClr w14:val="tx1"/>
            </w14:solidFill>
          </w14:textFill>
        </w:rPr>
      </w:pPr>
      <w:r>
        <w:rPr>
          <w:rStyle w:val="45"/>
          <w:rFonts w:hint="eastAsia" w:ascii="仿宋" w:hAnsi="仿宋" w:eastAsia="仿宋" w:cs="仿宋"/>
          <w:b/>
          <w:bCs/>
          <w:i w:val="0"/>
          <w:iCs w:val="0"/>
          <w:caps w:val="0"/>
          <w:color w:val="000000" w:themeColor="text1"/>
          <w:spacing w:val="0"/>
          <w:sz w:val="21"/>
          <w:szCs w:val="21"/>
          <w:shd w:val="clear" w:fill="FFFFFF"/>
          <w14:textFill>
            <w14:solidFill>
              <w14:schemeClr w14:val="tx1"/>
            </w14:solidFill>
          </w14:textFill>
        </w:rPr>
        <w:t>七、对本次招标提出询问，请按以下方式联系。</w:t>
      </w:r>
    </w:p>
    <w:p w14:paraId="173A97F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aps w:val="0"/>
          <w:color w:val="000000" w:themeColor="text1"/>
          <w:spacing w:val="0"/>
          <w:sz w:val="21"/>
          <w:szCs w:val="21"/>
          <w:shd w:val="clear" w:fill="FFFFFF"/>
          <w14:textFill>
            <w14:solidFill>
              <w14:schemeClr w14:val="tx1"/>
            </w14:solidFill>
          </w14:textFill>
        </w:rPr>
        <w:t>1.采购人信息</w:t>
      </w:r>
    </w:p>
    <w:p w14:paraId="48D39B80">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名称：汉中市南郑区人民医院</w:t>
      </w:r>
    </w:p>
    <w:p w14:paraId="676A76E2">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地址：</w:t>
      </w:r>
      <w:r>
        <w:rPr>
          <w:rFonts w:hint="eastAsia" w:ascii="仿宋" w:hAnsi="仿宋" w:eastAsia="仿宋" w:cs="仿宋"/>
          <w:i w:val="0"/>
          <w:iCs w:val="0"/>
          <w:caps w:val="0"/>
          <w:color w:val="000000" w:themeColor="text1"/>
          <w:spacing w:val="0"/>
          <w:sz w:val="21"/>
          <w:szCs w:val="21"/>
          <w:shd w:val="clear" w:fill="FFFFFF"/>
          <w:lang w:eastAsia="zh-CN"/>
          <w14:textFill>
            <w14:solidFill>
              <w14:schemeClr w14:val="tx1"/>
            </w14:solidFill>
          </w14:textFill>
        </w:rPr>
        <w:t>南郑区汉山街道办青年路9号</w:t>
      </w:r>
    </w:p>
    <w:p w14:paraId="51FE53F1">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联系方式：</w:t>
      </w:r>
      <w:r>
        <w:rPr>
          <w:rFonts w:hint="eastAsia" w:ascii="仿宋" w:hAnsi="仿宋" w:eastAsia="仿宋" w:cs="仿宋"/>
          <w:i w:val="0"/>
          <w:iCs w:val="0"/>
          <w:caps w:val="0"/>
          <w:color w:val="000000" w:themeColor="text1"/>
          <w:spacing w:val="0"/>
          <w:sz w:val="21"/>
          <w:szCs w:val="21"/>
          <w:shd w:val="clear" w:fill="FFFFFF"/>
          <w:lang w:eastAsia="zh-CN"/>
          <w14:textFill>
            <w14:solidFill>
              <w14:schemeClr w14:val="tx1"/>
            </w14:solidFill>
          </w14:textFill>
        </w:rPr>
        <w:t>0916-5510722</w:t>
      </w:r>
    </w:p>
    <w:p w14:paraId="164EF0E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aps w:val="0"/>
          <w:color w:val="000000" w:themeColor="text1"/>
          <w:spacing w:val="0"/>
          <w:sz w:val="21"/>
          <w:szCs w:val="21"/>
          <w:shd w:val="clear" w:fill="FFFFFF"/>
          <w14:textFill>
            <w14:solidFill>
              <w14:schemeClr w14:val="tx1"/>
            </w14:solidFill>
          </w14:textFill>
        </w:rPr>
        <w:t>2.采购代理机构信息</w:t>
      </w:r>
    </w:p>
    <w:p w14:paraId="42B77378">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名称：同正项目管理有限公司</w:t>
      </w:r>
    </w:p>
    <w:p w14:paraId="198631A1">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地址：汉中市汉台区西一环路蓝天御苑小区商铺二层门面房南侧</w:t>
      </w:r>
    </w:p>
    <w:p w14:paraId="4941A245">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联系方式：0916-8897702</w:t>
      </w:r>
    </w:p>
    <w:p w14:paraId="27C5555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aps w:val="0"/>
          <w:color w:val="000000" w:themeColor="text1"/>
          <w:spacing w:val="0"/>
          <w:sz w:val="21"/>
          <w:szCs w:val="21"/>
          <w:shd w:val="clear" w:fill="FFFFFF"/>
          <w14:textFill>
            <w14:solidFill>
              <w14:schemeClr w14:val="tx1"/>
            </w14:solidFill>
          </w14:textFill>
        </w:rPr>
        <w:t>3.项目联系方式</w:t>
      </w:r>
    </w:p>
    <w:p w14:paraId="78960D61">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项目联系人：王丽</w:t>
      </w:r>
    </w:p>
    <w:p w14:paraId="39F3D553">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电话：0916-8897702</w:t>
      </w:r>
    </w:p>
    <w:p w14:paraId="1BB01A25">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center"/>
        <w:textAlignment w:val="baseline"/>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 xml:space="preserve">                                      同正项目管理有限公司</w:t>
      </w:r>
    </w:p>
    <w:p w14:paraId="7B9F4690">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center"/>
        <w:textAlignment w:val="baseline"/>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 xml:space="preserve">                                    2025年4月29日</w:t>
      </w:r>
    </w:p>
    <w:p w14:paraId="56457A10">
      <w:pPr>
        <w:pStyle w:val="13"/>
        <w:keepNext w:val="0"/>
        <w:keepLines w:val="0"/>
        <w:pageBreakBefore w:val="0"/>
        <w:kinsoku/>
        <w:overflowPunct/>
        <w:topLinePunct w:val="0"/>
        <w:autoSpaceDE/>
        <w:autoSpaceDN/>
        <w:bidi w:val="0"/>
        <w:snapToGrid/>
        <w:spacing w:line="360" w:lineRule="auto"/>
        <w:rPr>
          <w:rFonts w:hint="eastAsia" w:ascii="仿宋" w:hAnsi="仿宋" w:eastAsia="仿宋" w:cs="仿宋"/>
          <w:color w:val="000000" w:themeColor="text1"/>
          <w:szCs w:val="36"/>
          <w:highlight w:val="none"/>
          <w:lang w:val="en-US" w:eastAsia="zh-CN"/>
          <w14:textFill>
            <w14:solidFill>
              <w14:schemeClr w14:val="tx1"/>
            </w14:solidFill>
          </w14:textFill>
        </w:rPr>
      </w:pPr>
    </w:p>
    <w:p w14:paraId="72E78214">
      <w:pPr>
        <w:rPr>
          <w:rFonts w:hint="eastAsia" w:ascii="仿宋" w:hAnsi="仿宋" w:eastAsia="仿宋" w:cs="仿宋"/>
          <w:color w:val="000000" w:themeColor="text1"/>
          <w:szCs w:val="36"/>
          <w:highlight w:val="none"/>
          <w14:textFill>
            <w14:solidFill>
              <w14:schemeClr w14:val="tx1"/>
            </w14:solidFill>
          </w14:textFill>
        </w:rPr>
      </w:pPr>
    </w:p>
    <w:p w14:paraId="4E944594">
      <w:pPr>
        <w:pStyle w:val="12"/>
        <w:rPr>
          <w:rFonts w:hint="eastAsia" w:ascii="仿宋" w:hAnsi="仿宋" w:eastAsia="仿宋" w:cs="仿宋"/>
          <w:color w:val="000000" w:themeColor="text1"/>
          <w:szCs w:val="36"/>
          <w:highlight w:val="none"/>
          <w14:textFill>
            <w14:solidFill>
              <w14:schemeClr w14:val="tx1"/>
            </w14:solidFill>
          </w14:textFill>
        </w:rPr>
      </w:pPr>
    </w:p>
    <w:p w14:paraId="281FC6F4">
      <w:pPr>
        <w:pStyle w:val="2"/>
        <w:shd w:val="clear"/>
        <w:spacing w:line="336" w:lineRule="auto"/>
        <w:jc w:val="both"/>
        <w:rPr>
          <w:rFonts w:hint="eastAsia" w:ascii="仿宋" w:hAnsi="仿宋" w:eastAsia="仿宋" w:cs="仿宋"/>
          <w:color w:val="000000" w:themeColor="text1"/>
          <w:szCs w:val="36"/>
          <w:highlight w:val="none"/>
          <w14:textFill>
            <w14:solidFill>
              <w14:schemeClr w14:val="tx1"/>
            </w14:solidFill>
          </w14:textFill>
        </w:rPr>
      </w:pPr>
    </w:p>
    <w:p w14:paraId="4E8E0D0A">
      <w:pPr>
        <w:pStyle w:val="2"/>
        <w:shd w:val="clear"/>
        <w:spacing w:line="336" w:lineRule="auto"/>
        <w:ind w:firstLine="2891" w:firstLineChars="800"/>
        <w:jc w:val="both"/>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pPr>
      <w:r>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t>第二章  投标人须知</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145498AB">
      <w:pPr>
        <w:pStyle w:val="24"/>
        <w:shd w:val="clear"/>
        <w:adjustRightInd w:val="0"/>
        <w:snapToGrid w:val="0"/>
        <w:spacing w:line="360" w:lineRule="auto"/>
        <w:jc w:val="center"/>
        <w:outlineLvl w:val="1"/>
        <w:rPr>
          <w:rFonts w:hint="eastAsia" w:ascii="仿宋" w:hAnsi="仿宋" w:eastAsia="仿宋" w:cs="仿宋"/>
          <w:b/>
          <w:color w:val="000000" w:themeColor="text1"/>
          <w:sz w:val="28"/>
          <w:szCs w:val="28"/>
          <w:highlight w:val="none"/>
          <w14:textFill>
            <w14:solidFill>
              <w14:schemeClr w14:val="tx1"/>
            </w14:solidFill>
          </w14:textFill>
        </w:rPr>
      </w:pPr>
      <w:bookmarkStart w:id="43" w:name="_Toc15759"/>
      <w:r>
        <w:rPr>
          <w:rFonts w:hint="eastAsia" w:ascii="仿宋" w:hAnsi="仿宋" w:eastAsia="仿宋" w:cs="仿宋"/>
          <w:b/>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28"/>
          <w:szCs w:val="28"/>
          <w:highlight w:val="none"/>
          <w14:textFill>
            <w14:solidFill>
              <w14:schemeClr w14:val="tx1"/>
            </w14:solidFill>
          </w14:textFill>
        </w:rPr>
        <w:t>投标人须知前附表</w:t>
      </w:r>
      <w:bookmarkEnd w:id="43"/>
      <w:bookmarkStart w:id="44" w:name="_Toc175973397"/>
      <w:bookmarkStart w:id="45" w:name="_Toc531189836"/>
    </w:p>
    <w:tbl>
      <w:tblPr>
        <w:tblStyle w:val="42"/>
        <w:tblpPr w:leftFromText="180" w:rightFromText="180" w:vertAnchor="text" w:horzAnchor="page" w:tblpX="1077" w:tblpY="377"/>
        <w:tblOverlap w:val="never"/>
        <w:tblW w:w="10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017"/>
        <w:gridCol w:w="7464"/>
      </w:tblGrid>
      <w:tr w14:paraId="2E9A5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18" w:type="dxa"/>
            <w:vAlign w:val="center"/>
          </w:tcPr>
          <w:p w14:paraId="7605944B">
            <w:pPr>
              <w:shd w:val="clear"/>
              <w:snapToGrid w:val="0"/>
              <w:jc w:val="center"/>
              <w:rPr>
                <w:rFonts w:hint="eastAsia" w:ascii="仿宋" w:hAnsi="仿宋" w:eastAsia="仿宋" w:cs="仿宋"/>
                <w:b/>
                <w:bCs/>
                <w:color w:val="000000" w:themeColor="text1"/>
                <w:sz w:val="22"/>
                <w:szCs w:val="22"/>
                <w:highlight w:val="none"/>
                <w14:textFill>
                  <w14:solidFill>
                    <w14:schemeClr w14:val="tx1"/>
                  </w14:solidFill>
                </w14:textFill>
              </w:rPr>
            </w:pPr>
            <w:r>
              <w:rPr>
                <w:rFonts w:hint="eastAsia" w:ascii="仿宋" w:hAnsi="仿宋" w:eastAsia="仿宋" w:cs="仿宋"/>
                <w:b/>
                <w:bCs/>
                <w:color w:val="000000" w:themeColor="text1"/>
                <w:sz w:val="22"/>
                <w:szCs w:val="22"/>
                <w:highlight w:val="none"/>
                <w14:textFill>
                  <w14:solidFill>
                    <w14:schemeClr w14:val="tx1"/>
                  </w14:solidFill>
                </w14:textFill>
              </w:rPr>
              <w:t>序号</w:t>
            </w:r>
          </w:p>
        </w:tc>
        <w:tc>
          <w:tcPr>
            <w:tcW w:w="2017" w:type="dxa"/>
            <w:vAlign w:val="center"/>
          </w:tcPr>
          <w:p w14:paraId="01EF1617">
            <w:pPr>
              <w:shd w:val="clear"/>
              <w:snapToGrid w:val="0"/>
              <w:jc w:val="center"/>
              <w:rPr>
                <w:rFonts w:hint="eastAsia" w:ascii="仿宋" w:hAnsi="仿宋" w:eastAsia="仿宋" w:cs="仿宋"/>
                <w:b/>
                <w:bCs/>
                <w:color w:val="000000" w:themeColor="text1"/>
                <w:sz w:val="22"/>
                <w:szCs w:val="22"/>
                <w:highlight w:val="none"/>
                <w14:textFill>
                  <w14:solidFill>
                    <w14:schemeClr w14:val="tx1"/>
                  </w14:solidFill>
                </w14:textFill>
              </w:rPr>
            </w:pPr>
            <w:r>
              <w:rPr>
                <w:rFonts w:hint="eastAsia" w:ascii="仿宋" w:hAnsi="仿宋" w:eastAsia="仿宋" w:cs="仿宋"/>
                <w:b/>
                <w:bCs/>
                <w:color w:val="000000" w:themeColor="text1"/>
                <w:sz w:val="22"/>
                <w:szCs w:val="22"/>
                <w:highlight w:val="none"/>
                <w14:textFill>
                  <w14:solidFill>
                    <w14:schemeClr w14:val="tx1"/>
                  </w14:solidFill>
                </w14:textFill>
              </w:rPr>
              <w:t>名称</w:t>
            </w:r>
          </w:p>
        </w:tc>
        <w:tc>
          <w:tcPr>
            <w:tcW w:w="7464" w:type="dxa"/>
            <w:vAlign w:val="center"/>
          </w:tcPr>
          <w:p w14:paraId="350E95BB">
            <w:pPr>
              <w:shd w:val="clear"/>
              <w:snapToGrid w:val="0"/>
              <w:jc w:val="center"/>
              <w:rPr>
                <w:rFonts w:hint="eastAsia" w:ascii="仿宋" w:hAnsi="仿宋" w:eastAsia="仿宋" w:cs="仿宋"/>
                <w:b/>
                <w:bCs/>
                <w:color w:val="000000" w:themeColor="text1"/>
                <w:sz w:val="22"/>
                <w:szCs w:val="22"/>
                <w:highlight w:val="none"/>
                <w14:textFill>
                  <w14:solidFill>
                    <w14:schemeClr w14:val="tx1"/>
                  </w14:solidFill>
                </w14:textFill>
              </w:rPr>
            </w:pPr>
            <w:r>
              <w:rPr>
                <w:rFonts w:hint="eastAsia" w:ascii="仿宋" w:hAnsi="仿宋" w:eastAsia="仿宋" w:cs="仿宋"/>
                <w:b/>
                <w:bCs/>
                <w:color w:val="000000" w:themeColor="text1"/>
                <w:sz w:val="22"/>
                <w:szCs w:val="22"/>
                <w:highlight w:val="none"/>
                <w14:textFill>
                  <w14:solidFill>
                    <w14:schemeClr w14:val="tx1"/>
                  </w14:solidFill>
                </w14:textFill>
              </w:rPr>
              <w:t>具体内容和要求</w:t>
            </w:r>
          </w:p>
        </w:tc>
      </w:tr>
      <w:tr w14:paraId="39939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14:paraId="1C682643">
            <w:pPr>
              <w:shd w:val="clear"/>
              <w:snapToGrid w:val="0"/>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1</w:t>
            </w:r>
          </w:p>
        </w:tc>
        <w:tc>
          <w:tcPr>
            <w:tcW w:w="2017" w:type="dxa"/>
            <w:vAlign w:val="center"/>
          </w:tcPr>
          <w:p w14:paraId="339FC461">
            <w:pPr>
              <w:shd w:val="clear"/>
              <w:snapToGrid w:val="0"/>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项目名称</w:t>
            </w:r>
          </w:p>
        </w:tc>
        <w:tc>
          <w:tcPr>
            <w:tcW w:w="7464" w:type="dxa"/>
            <w:vAlign w:val="center"/>
          </w:tcPr>
          <w:p w14:paraId="424F1E77">
            <w:pPr>
              <w:keepNext w:val="0"/>
              <w:keepLines w:val="0"/>
              <w:pageBreakBefore w:val="0"/>
              <w:shd w:val="clear"/>
              <w:kinsoku/>
              <w:wordWrap/>
              <w:overflowPunct/>
              <w:topLinePunct w:val="0"/>
              <w:autoSpaceDE/>
              <w:autoSpaceDN/>
              <w:bidi w:val="0"/>
              <w:snapToGrid w:val="0"/>
              <w:spacing w:line="288" w:lineRule="auto"/>
              <w:textAlignment w:val="auto"/>
              <w:rPr>
                <w:rFonts w:hint="eastAsia" w:ascii="仿宋" w:hAnsi="仿宋" w:eastAsia="仿宋" w:cs="仿宋"/>
                <w:color w:val="000000" w:themeColor="text1"/>
                <w:sz w:val="22"/>
                <w:szCs w:val="22"/>
                <w:highlight w:val="none"/>
                <w:lang w:eastAsia="zh-CN"/>
                <w14:textFill>
                  <w14:solidFill>
                    <w14:schemeClr w14:val="tx1"/>
                  </w14:solidFill>
                </w14:textFill>
              </w:rPr>
            </w:pPr>
            <w:r>
              <w:rPr>
                <w:rFonts w:hint="eastAsia" w:ascii="仿宋" w:hAnsi="仿宋" w:eastAsia="仿宋" w:cs="仿宋"/>
                <w:color w:val="000000" w:themeColor="text1"/>
                <w:sz w:val="22"/>
                <w:szCs w:val="22"/>
                <w:highlight w:val="none"/>
                <w:lang w:eastAsia="zh-CN"/>
                <w14:textFill>
                  <w14:solidFill>
                    <w14:schemeClr w14:val="tx1"/>
                  </w14:solidFill>
                </w14:textFill>
              </w:rPr>
              <w:t>汉中市南郑区人民医院肝胆泌尿外科等医疗设备采购项目（</w:t>
            </w:r>
            <w:r>
              <w:rPr>
                <w:rFonts w:hint="eastAsia" w:ascii="仿宋" w:hAnsi="仿宋" w:eastAsia="仿宋" w:cs="仿宋"/>
                <w:color w:val="000000" w:themeColor="text1"/>
                <w:sz w:val="22"/>
                <w:szCs w:val="22"/>
                <w:highlight w:val="none"/>
                <w:lang w:val="en-US" w:eastAsia="zh-CN"/>
                <w14:textFill>
                  <w14:solidFill>
                    <w14:schemeClr w14:val="tx1"/>
                  </w14:solidFill>
                </w14:textFill>
              </w:rPr>
              <w:t>合同包1</w:t>
            </w:r>
            <w:r>
              <w:rPr>
                <w:rFonts w:hint="eastAsia" w:ascii="仿宋" w:hAnsi="仿宋" w:eastAsia="仿宋" w:cs="仿宋"/>
                <w:color w:val="000000" w:themeColor="text1"/>
                <w:sz w:val="22"/>
                <w:szCs w:val="22"/>
                <w:highlight w:val="none"/>
                <w:lang w:eastAsia="zh-CN"/>
                <w14:textFill>
                  <w14:solidFill>
                    <w14:schemeClr w14:val="tx1"/>
                  </w14:solidFill>
                </w14:textFill>
              </w:rPr>
              <w:t>）</w:t>
            </w:r>
          </w:p>
        </w:tc>
      </w:tr>
      <w:tr w14:paraId="6B60A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14:paraId="26EBDF08">
            <w:pPr>
              <w:shd w:val="clear"/>
              <w:snapToGrid w:val="0"/>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2</w:t>
            </w:r>
          </w:p>
        </w:tc>
        <w:tc>
          <w:tcPr>
            <w:tcW w:w="2017" w:type="dxa"/>
            <w:vAlign w:val="center"/>
          </w:tcPr>
          <w:p w14:paraId="63F14C89">
            <w:pPr>
              <w:shd w:val="clear"/>
              <w:snapToGrid w:val="0"/>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项目编号</w:t>
            </w:r>
          </w:p>
        </w:tc>
        <w:tc>
          <w:tcPr>
            <w:tcW w:w="7464" w:type="dxa"/>
            <w:vAlign w:val="center"/>
          </w:tcPr>
          <w:p w14:paraId="44A53820">
            <w:pPr>
              <w:keepNext w:val="0"/>
              <w:keepLines w:val="0"/>
              <w:pageBreakBefore w:val="0"/>
              <w:shd w:val="clear"/>
              <w:kinsoku/>
              <w:wordWrap/>
              <w:overflowPunct/>
              <w:topLinePunct w:val="0"/>
              <w:autoSpaceDE/>
              <w:autoSpaceDN/>
              <w:bidi w:val="0"/>
              <w:snapToGrid w:val="0"/>
              <w:spacing w:line="288" w:lineRule="auto"/>
              <w:jc w:val="left"/>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TZZB-HZ-2025109C</w:t>
            </w:r>
          </w:p>
        </w:tc>
      </w:tr>
      <w:tr w14:paraId="70EA9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Merge w:val="restart"/>
            <w:vAlign w:val="center"/>
          </w:tcPr>
          <w:p w14:paraId="482C7D2C">
            <w:pPr>
              <w:shd w:val="clear"/>
              <w:snapToGrid w:val="0"/>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3</w:t>
            </w:r>
          </w:p>
        </w:tc>
        <w:tc>
          <w:tcPr>
            <w:tcW w:w="2017" w:type="dxa"/>
            <w:vAlign w:val="center"/>
          </w:tcPr>
          <w:p w14:paraId="037327B8">
            <w:pPr>
              <w:pStyle w:val="151"/>
              <w:ind w:left="38" w:leftChars="0"/>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lang w:val="zh-CN"/>
                <w14:textFill>
                  <w14:solidFill>
                    <w14:schemeClr w14:val="tx1"/>
                  </w14:solidFill>
                </w14:textFill>
              </w:rPr>
              <w:t>预算金额</w:t>
            </w:r>
          </w:p>
        </w:tc>
        <w:tc>
          <w:tcPr>
            <w:tcW w:w="7464" w:type="dxa"/>
            <w:vAlign w:val="center"/>
          </w:tcPr>
          <w:p w14:paraId="53933A39">
            <w:pPr>
              <w:shd w:val="clear"/>
              <w:adjustRightInd w:val="0"/>
              <w:snapToGrid w:val="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本</w:t>
            </w:r>
            <w:r>
              <w:rPr>
                <w:rFonts w:hint="eastAsia" w:ascii="仿宋" w:hAnsi="仿宋" w:eastAsia="仿宋" w:cs="仿宋"/>
                <w:color w:val="000000" w:themeColor="text1"/>
                <w:sz w:val="22"/>
                <w:szCs w:val="22"/>
                <w:lang w:val="en-US" w:eastAsia="zh-CN"/>
                <w14:textFill>
                  <w14:solidFill>
                    <w14:schemeClr w14:val="tx1"/>
                  </w14:solidFill>
                </w14:textFill>
              </w:rPr>
              <w:t>合同包</w:t>
            </w:r>
            <w:r>
              <w:rPr>
                <w:rFonts w:hint="eastAsia" w:ascii="仿宋" w:hAnsi="仿宋" w:eastAsia="仿宋" w:cs="仿宋"/>
                <w:b w:val="0"/>
                <w:bCs w:val="0"/>
                <w:color w:val="000000" w:themeColor="text1"/>
                <w:sz w:val="22"/>
                <w:szCs w:val="22"/>
                <w14:textFill>
                  <w14:solidFill>
                    <w14:schemeClr w14:val="tx1"/>
                  </w14:solidFill>
                </w14:textFill>
              </w:rPr>
              <w:t>预算</w:t>
            </w:r>
            <w:r>
              <w:rPr>
                <w:rFonts w:hint="eastAsia" w:ascii="仿宋" w:hAnsi="仿宋" w:eastAsia="仿宋" w:cs="仿宋"/>
                <w:color w:val="000000" w:themeColor="text1"/>
                <w:sz w:val="22"/>
                <w:szCs w:val="22"/>
                <w14:textFill>
                  <w14:solidFill>
                    <w14:schemeClr w14:val="tx1"/>
                  </w14:solidFill>
                </w14:textFill>
              </w:rPr>
              <w:t>金额</w:t>
            </w:r>
            <w:r>
              <w:rPr>
                <w:rFonts w:hint="eastAsia" w:ascii="仿宋" w:hAnsi="仿宋" w:eastAsia="仿宋" w:cs="仿宋"/>
                <w:color w:val="000000" w:themeColor="text1"/>
                <w:sz w:val="22"/>
                <w:szCs w:val="22"/>
                <w:lang w:eastAsia="zh-CN"/>
                <w14:textFill>
                  <w14:solidFill>
                    <w14:schemeClr w14:val="tx1"/>
                  </w14:solidFill>
                </w14:textFill>
              </w:rPr>
              <w:t>：</w:t>
            </w:r>
            <w:r>
              <w:rPr>
                <w:rFonts w:hint="eastAsia" w:ascii="仿宋" w:hAnsi="仿宋" w:eastAsia="仿宋" w:cs="仿宋"/>
                <w:b w:val="0"/>
                <w:bCs w:val="0"/>
                <w:color w:val="000000" w:themeColor="text1"/>
                <w:sz w:val="22"/>
                <w:szCs w:val="22"/>
                <w:u w:val="single"/>
                <w:lang w:val="en-US" w:eastAsia="zh-CN"/>
                <w14:textFill>
                  <w14:solidFill>
                    <w14:schemeClr w14:val="tx1"/>
                  </w14:solidFill>
                </w14:textFill>
              </w:rPr>
              <w:t>800,000.00</w:t>
            </w:r>
            <w:r>
              <w:rPr>
                <w:rFonts w:hint="eastAsia" w:ascii="仿宋" w:hAnsi="仿宋" w:eastAsia="仿宋" w:cs="仿宋"/>
                <w:b w:val="0"/>
                <w:bCs w:val="0"/>
                <w:color w:val="000000" w:themeColor="text1"/>
                <w:sz w:val="22"/>
                <w:szCs w:val="22"/>
                <w:u w:val="single"/>
                <w14:textFill>
                  <w14:solidFill>
                    <w14:schemeClr w14:val="tx1"/>
                  </w14:solidFill>
                </w14:textFill>
              </w:rPr>
              <w:t>元</w:t>
            </w:r>
            <w:r>
              <w:rPr>
                <w:rFonts w:hint="eastAsia" w:ascii="仿宋" w:hAnsi="仿宋" w:eastAsia="仿宋" w:cs="仿宋"/>
                <w:b w:val="0"/>
                <w:bCs w:val="0"/>
                <w:color w:val="000000" w:themeColor="text1"/>
                <w:sz w:val="22"/>
                <w:szCs w:val="22"/>
                <w14:textFill>
                  <w14:solidFill>
                    <w14:schemeClr w14:val="tx1"/>
                  </w14:solidFill>
                </w14:textFill>
              </w:rPr>
              <w:t>。</w:t>
            </w:r>
          </w:p>
          <w:p w14:paraId="6326C4ED">
            <w:pPr>
              <w:shd w:val="clear"/>
              <w:adjustRightInd w:val="0"/>
              <w:snapToGrid w:val="0"/>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投标人投标</w:t>
            </w:r>
            <w:r>
              <w:rPr>
                <w:rFonts w:hint="eastAsia" w:ascii="仿宋" w:hAnsi="仿宋" w:eastAsia="仿宋" w:cs="仿宋"/>
                <w:color w:val="000000" w:themeColor="text1"/>
                <w:sz w:val="22"/>
                <w:szCs w:val="22"/>
                <w14:textFill>
                  <w14:solidFill>
                    <w14:schemeClr w14:val="tx1"/>
                  </w14:solidFill>
                </w14:textFill>
              </w:rPr>
              <w:t>报价超出预算金额的，作为不实质性响应</w:t>
            </w:r>
            <w:r>
              <w:rPr>
                <w:rFonts w:hint="eastAsia" w:ascii="仿宋" w:hAnsi="仿宋" w:eastAsia="仿宋" w:cs="仿宋"/>
                <w:color w:val="000000" w:themeColor="text1"/>
                <w:sz w:val="22"/>
                <w:szCs w:val="22"/>
                <w:lang w:val="en-US" w:eastAsia="zh-CN"/>
                <w14:textFill>
                  <w14:solidFill>
                    <w14:schemeClr w14:val="tx1"/>
                  </w14:solidFill>
                </w14:textFill>
              </w:rPr>
              <w:t>招标</w:t>
            </w:r>
            <w:r>
              <w:rPr>
                <w:rFonts w:hint="eastAsia" w:ascii="仿宋" w:hAnsi="仿宋" w:eastAsia="仿宋" w:cs="仿宋"/>
                <w:color w:val="000000" w:themeColor="text1"/>
                <w:sz w:val="22"/>
                <w:szCs w:val="22"/>
                <w14:textFill>
                  <w14:solidFill>
                    <w14:schemeClr w14:val="tx1"/>
                  </w14:solidFill>
                </w14:textFill>
              </w:rPr>
              <w:t>文件，按无效</w:t>
            </w:r>
            <w:r>
              <w:rPr>
                <w:rFonts w:hint="eastAsia" w:ascii="仿宋" w:hAnsi="仿宋" w:eastAsia="仿宋" w:cs="仿宋"/>
                <w:color w:val="000000" w:themeColor="text1"/>
                <w:sz w:val="22"/>
                <w:szCs w:val="22"/>
                <w:lang w:val="en-US" w:eastAsia="zh-CN"/>
                <w14:textFill>
                  <w14:solidFill>
                    <w14:schemeClr w14:val="tx1"/>
                  </w14:solidFill>
                </w14:textFill>
              </w:rPr>
              <w:t>投标</w:t>
            </w:r>
            <w:r>
              <w:rPr>
                <w:rFonts w:hint="eastAsia" w:ascii="仿宋" w:hAnsi="仿宋" w:eastAsia="仿宋" w:cs="仿宋"/>
                <w:color w:val="000000" w:themeColor="text1"/>
                <w:sz w:val="22"/>
                <w:szCs w:val="22"/>
                <w14:textFill>
                  <w14:solidFill>
                    <w14:schemeClr w14:val="tx1"/>
                  </w14:solidFill>
                </w14:textFill>
              </w:rPr>
              <w:t>文件处理</w:t>
            </w:r>
            <w:r>
              <w:rPr>
                <w:rFonts w:hint="eastAsia" w:ascii="仿宋" w:hAnsi="仿宋" w:eastAsia="仿宋" w:cs="仿宋"/>
                <w:color w:val="000000" w:themeColor="text1"/>
                <w:sz w:val="22"/>
                <w:szCs w:val="22"/>
                <w:lang w:eastAsia="zh-CN"/>
                <w14:textFill>
                  <w14:solidFill>
                    <w14:schemeClr w14:val="tx1"/>
                  </w14:solidFill>
                </w14:textFill>
              </w:rPr>
              <w:t>。</w:t>
            </w:r>
          </w:p>
        </w:tc>
      </w:tr>
      <w:tr w14:paraId="50C92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Merge w:val="continue"/>
            <w:vAlign w:val="center"/>
          </w:tcPr>
          <w:p w14:paraId="3EF0F346">
            <w:pPr>
              <w:shd w:val="clear"/>
              <w:snapToGrid w:val="0"/>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2017" w:type="dxa"/>
            <w:vAlign w:val="center"/>
          </w:tcPr>
          <w:p w14:paraId="7E6BBDAB">
            <w:pPr>
              <w:pStyle w:val="151"/>
              <w:ind w:left="38" w:leftChars="0"/>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lang w:val="zh-CN"/>
                <w14:textFill>
                  <w14:solidFill>
                    <w14:schemeClr w14:val="tx1"/>
                  </w14:solidFill>
                </w14:textFill>
              </w:rPr>
              <w:t>最高限价</w:t>
            </w:r>
          </w:p>
        </w:tc>
        <w:tc>
          <w:tcPr>
            <w:tcW w:w="7464" w:type="dxa"/>
            <w:vAlign w:val="center"/>
          </w:tcPr>
          <w:p w14:paraId="131E08BB">
            <w:pPr>
              <w:pStyle w:val="151"/>
              <w:jc w:val="both"/>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lang w:eastAsia="zh-CN"/>
                <w14:textFill>
                  <w14:solidFill>
                    <w14:schemeClr w14:val="tx1"/>
                  </w14:solidFill>
                </w14:textFill>
              </w:rPr>
              <w:t>□</w:t>
            </w:r>
            <w:r>
              <w:rPr>
                <w:rFonts w:hint="eastAsia" w:ascii="仿宋" w:hAnsi="仿宋" w:eastAsia="仿宋" w:cs="仿宋"/>
                <w:color w:val="000000" w:themeColor="text1"/>
                <w:sz w:val="22"/>
                <w:szCs w:val="22"/>
                <w14:textFill>
                  <w14:solidFill>
                    <w14:schemeClr w14:val="tx1"/>
                  </w14:solidFill>
                </w14:textFill>
              </w:rPr>
              <w:t>无</w:t>
            </w:r>
          </w:p>
          <w:p w14:paraId="134736DE">
            <w:pPr>
              <w:shd w:val="clear"/>
              <w:adjustRightInd w:val="0"/>
              <w:snapToGrid w:val="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lang w:eastAsia="zh-CN"/>
                <w14:textFill>
                  <w14:solidFill>
                    <w14:schemeClr w14:val="tx1"/>
                  </w14:solidFill>
                </w14:textFill>
              </w:rPr>
              <w:t>☑</w:t>
            </w:r>
            <w:r>
              <w:rPr>
                <w:rFonts w:hint="eastAsia" w:ascii="仿宋" w:hAnsi="仿宋" w:eastAsia="仿宋" w:cs="仿宋"/>
                <w:color w:val="000000" w:themeColor="text1"/>
                <w:sz w:val="22"/>
                <w:szCs w:val="22"/>
                <w14:textFill>
                  <w14:solidFill>
                    <w14:schemeClr w14:val="tx1"/>
                  </w14:solidFill>
                </w14:textFill>
              </w:rPr>
              <w:t>有，本</w:t>
            </w:r>
            <w:r>
              <w:rPr>
                <w:rFonts w:hint="eastAsia" w:ascii="仿宋" w:hAnsi="仿宋" w:eastAsia="仿宋" w:cs="仿宋"/>
                <w:color w:val="000000" w:themeColor="text1"/>
                <w:sz w:val="22"/>
                <w:szCs w:val="22"/>
                <w:lang w:val="en-US" w:eastAsia="zh-CN"/>
                <w14:textFill>
                  <w14:solidFill>
                    <w14:schemeClr w14:val="tx1"/>
                  </w14:solidFill>
                </w14:textFill>
              </w:rPr>
              <w:t>合同包</w:t>
            </w:r>
            <w:r>
              <w:rPr>
                <w:rFonts w:hint="eastAsia" w:ascii="仿宋" w:hAnsi="仿宋" w:eastAsia="仿宋" w:cs="仿宋"/>
                <w:color w:val="000000" w:themeColor="text1"/>
                <w:sz w:val="22"/>
                <w:szCs w:val="22"/>
                <w14:textFill>
                  <w14:solidFill>
                    <w14:schemeClr w14:val="tx1"/>
                  </w14:solidFill>
                </w14:textFill>
              </w:rPr>
              <w:t>最高限价：</w:t>
            </w:r>
            <w:r>
              <w:rPr>
                <w:rFonts w:hint="eastAsia" w:ascii="仿宋" w:hAnsi="仿宋" w:eastAsia="仿宋" w:cs="仿宋"/>
                <w:b w:val="0"/>
                <w:bCs w:val="0"/>
                <w:color w:val="000000" w:themeColor="text1"/>
                <w:sz w:val="22"/>
                <w:szCs w:val="22"/>
                <w:u w:val="single"/>
                <w:lang w:val="en-US" w:eastAsia="zh-CN"/>
                <w14:textFill>
                  <w14:solidFill>
                    <w14:schemeClr w14:val="tx1"/>
                  </w14:solidFill>
                </w14:textFill>
              </w:rPr>
              <w:t>800,000.00元</w:t>
            </w:r>
            <w:r>
              <w:rPr>
                <w:rFonts w:hint="eastAsia" w:ascii="仿宋" w:hAnsi="仿宋" w:eastAsia="仿宋" w:cs="仿宋"/>
                <w:color w:val="000000" w:themeColor="text1"/>
                <w:sz w:val="22"/>
                <w:szCs w:val="22"/>
                <w14:textFill>
                  <w14:solidFill>
                    <w14:schemeClr w14:val="tx1"/>
                  </w14:solidFill>
                </w14:textFill>
              </w:rPr>
              <w:t>。</w:t>
            </w:r>
          </w:p>
          <w:p w14:paraId="01DC74E6">
            <w:pPr>
              <w:shd w:val="clear"/>
              <w:adjustRightInd w:val="0"/>
              <w:snapToGrid w:val="0"/>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投标人投标</w:t>
            </w:r>
            <w:r>
              <w:rPr>
                <w:rFonts w:hint="eastAsia" w:ascii="仿宋" w:hAnsi="仿宋" w:eastAsia="仿宋" w:cs="仿宋"/>
                <w:color w:val="000000" w:themeColor="text1"/>
                <w:sz w:val="22"/>
                <w:szCs w:val="22"/>
                <w14:textFill>
                  <w14:solidFill>
                    <w14:schemeClr w14:val="tx1"/>
                  </w14:solidFill>
                </w14:textFill>
              </w:rPr>
              <w:t>报价超出最高限价的，作为不实质性响应</w:t>
            </w:r>
            <w:r>
              <w:rPr>
                <w:rFonts w:hint="eastAsia" w:ascii="仿宋" w:hAnsi="仿宋" w:eastAsia="仿宋" w:cs="仿宋"/>
                <w:color w:val="000000" w:themeColor="text1"/>
                <w:sz w:val="22"/>
                <w:szCs w:val="22"/>
                <w:lang w:val="en-US" w:eastAsia="zh-CN"/>
                <w14:textFill>
                  <w14:solidFill>
                    <w14:schemeClr w14:val="tx1"/>
                  </w14:solidFill>
                </w14:textFill>
              </w:rPr>
              <w:t>招标</w:t>
            </w:r>
            <w:r>
              <w:rPr>
                <w:rFonts w:hint="eastAsia" w:ascii="仿宋" w:hAnsi="仿宋" w:eastAsia="仿宋" w:cs="仿宋"/>
                <w:color w:val="000000" w:themeColor="text1"/>
                <w:sz w:val="22"/>
                <w:szCs w:val="22"/>
                <w14:textFill>
                  <w14:solidFill>
                    <w14:schemeClr w14:val="tx1"/>
                  </w14:solidFill>
                </w14:textFill>
              </w:rPr>
              <w:t>文件，按无效</w:t>
            </w:r>
            <w:r>
              <w:rPr>
                <w:rFonts w:hint="eastAsia" w:ascii="仿宋" w:hAnsi="仿宋" w:eastAsia="仿宋" w:cs="仿宋"/>
                <w:color w:val="000000" w:themeColor="text1"/>
                <w:sz w:val="22"/>
                <w:szCs w:val="22"/>
                <w:lang w:val="en-US" w:eastAsia="zh-CN"/>
                <w14:textFill>
                  <w14:solidFill>
                    <w14:schemeClr w14:val="tx1"/>
                  </w14:solidFill>
                </w14:textFill>
              </w:rPr>
              <w:t>投标</w:t>
            </w:r>
            <w:r>
              <w:rPr>
                <w:rFonts w:hint="eastAsia" w:ascii="仿宋" w:hAnsi="仿宋" w:eastAsia="仿宋" w:cs="仿宋"/>
                <w:color w:val="000000" w:themeColor="text1"/>
                <w:sz w:val="22"/>
                <w:szCs w:val="22"/>
                <w14:textFill>
                  <w14:solidFill>
                    <w14:schemeClr w14:val="tx1"/>
                  </w14:solidFill>
                </w14:textFill>
              </w:rPr>
              <w:t>文件处理</w:t>
            </w:r>
            <w:r>
              <w:rPr>
                <w:rFonts w:hint="eastAsia" w:ascii="仿宋" w:hAnsi="仿宋" w:eastAsia="仿宋" w:cs="仿宋"/>
                <w:color w:val="000000" w:themeColor="text1"/>
                <w:sz w:val="22"/>
                <w:szCs w:val="22"/>
                <w:lang w:eastAsia="zh-CN"/>
                <w14:textFill>
                  <w14:solidFill>
                    <w14:schemeClr w14:val="tx1"/>
                  </w14:solidFill>
                </w14:textFill>
              </w:rPr>
              <w:t>。</w:t>
            </w:r>
          </w:p>
        </w:tc>
      </w:tr>
      <w:tr w14:paraId="0BEAF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14:paraId="4A3DD26C">
            <w:pPr>
              <w:shd w:val="clear"/>
              <w:snapToGrid w:val="0"/>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4</w:t>
            </w:r>
          </w:p>
        </w:tc>
        <w:tc>
          <w:tcPr>
            <w:tcW w:w="2017" w:type="dxa"/>
            <w:vAlign w:val="center"/>
          </w:tcPr>
          <w:p w14:paraId="70918666">
            <w:pPr>
              <w:shd w:val="clear"/>
              <w:snapToGrid w:val="0"/>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是否专门面向中小企业采购</w:t>
            </w:r>
          </w:p>
        </w:tc>
        <w:tc>
          <w:tcPr>
            <w:tcW w:w="7464" w:type="dxa"/>
            <w:vAlign w:val="center"/>
          </w:tcPr>
          <w:p w14:paraId="61710803">
            <w:pPr>
              <w:keepNext w:val="0"/>
              <w:keepLines w:val="0"/>
              <w:pageBreakBefore w:val="0"/>
              <w:shd w:val="clear"/>
              <w:kinsoku/>
              <w:wordWrap/>
              <w:overflowPunct/>
              <w:topLinePunct w:val="0"/>
              <w:autoSpaceDE/>
              <w:autoSpaceDN/>
              <w:bidi w:val="0"/>
              <w:snapToGrid w:val="0"/>
              <w:spacing w:line="288" w:lineRule="auto"/>
              <w:jc w:val="left"/>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否</w:t>
            </w:r>
          </w:p>
        </w:tc>
      </w:tr>
      <w:tr w14:paraId="1FABC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14:paraId="6CE74DC6">
            <w:pPr>
              <w:shd w:val="clear"/>
              <w:snapToGrid w:val="0"/>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5</w:t>
            </w:r>
          </w:p>
        </w:tc>
        <w:tc>
          <w:tcPr>
            <w:tcW w:w="2017" w:type="dxa"/>
            <w:vAlign w:val="center"/>
          </w:tcPr>
          <w:p w14:paraId="6FB072B6">
            <w:pPr>
              <w:shd w:val="clear"/>
              <w:snapToGrid w:val="0"/>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公告媒体</w:t>
            </w:r>
          </w:p>
        </w:tc>
        <w:tc>
          <w:tcPr>
            <w:tcW w:w="7464" w:type="dxa"/>
            <w:vAlign w:val="center"/>
          </w:tcPr>
          <w:p w14:paraId="712CDB82">
            <w:pPr>
              <w:keepNext w:val="0"/>
              <w:keepLines w:val="0"/>
              <w:pageBreakBefore w:val="0"/>
              <w:shd w:val="clear"/>
              <w:kinsoku/>
              <w:wordWrap/>
              <w:overflowPunct/>
              <w:topLinePunct w:val="0"/>
              <w:autoSpaceDE/>
              <w:autoSpaceDN/>
              <w:bidi w:val="0"/>
              <w:snapToGrid w:val="0"/>
              <w:spacing w:line="288" w:lineRule="auto"/>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陕西省政府采购网</w:t>
            </w:r>
          </w:p>
        </w:tc>
      </w:tr>
      <w:tr w14:paraId="2DFC3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718" w:type="dxa"/>
            <w:vAlign w:val="center"/>
          </w:tcPr>
          <w:p w14:paraId="53C57AF3">
            <w:pPr>
              <w:shd w:val="clear"/>
              <w:snapToGrid w:val="0"/>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6</w:t>
            </w:r>
          </w:p>
        </w:tc>
        <w:tc>
          <w:tcPr>
            <w:tcW w:w="2017" w:type="dxa"/>
            <w:vAlign w:val="center"/>
          </w:tcPr>
          <w:p w14:paraId="7B8670AB">
            <w:pPr>
              <w:shd w:val="clear"/>
              <w:snapToGrid w:val="0"/>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采购人</w:t>
            </w:r>
          </w:p>
        </w:tc>
        <w:tc>
          <w:tcPr>
            <w:tcW w:w="7464" w:type="dxa"/>
            <w:vAlign w:val="center"/>
          </w:tcPr>
          <w:p w14:paraId="17179202">
            <w:pPr>
              <w:keepNext w:val="0"/>
              <w:keepLines w:val="0"/>
              <w:pageBreakBefore w:val="0"/>
              <w:widowControl w:val="0"/>
              <w:shd w:val="clear"/>
              <w:kinsoku/>
              <w:wordWrap/>
              <w:overflowPunct/>
              <w:topLinePunct w:val="0"/>
              <w:autoSpaceDE/>
              <w:autoSpaceDN/>
              <w:bidi w:val="0"/>
              <w:adjustRightInd/>
              <w:snapToGrid w:val="0"/>
              <w:spacing w:line="288" w:lineRule="auto"/>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采购人</w:t>
            </w:r>
            <w:r>
              <w:rPr>
                <w:rFonts w:hint="eastAsia" w:ascii="仿宋" w:hAnsi="仿宋" w:eastAsia="仿宋" w:cs="仿宋"/>
                <w:color w:val="000000" w:themeColor="text1"/>
                <w:sz w:val="22"/>
                <w:szCs w:val="22"/>
                <w:highlight w:val="none"/>
                <w:lang w:val="en-US"/>
                <w14:textFill>
                  <w14:solidFill>
                    <w14:schemeClr w14:val="tx1"/>
                  </w14:solidFill>
                </w14:textFill>
              </w:rPr>
              <w:t>：</w:t>
            </w:r>
            <w:r>
              <w:rPr>
                <w:rFonts w:hint="eastAsia" w:ascii="仿宋" w:hAnsi="仿宋" w:eastAsia="仿宋" w:cs="仿宋"/>
                <w:color w:val="000000" w:themeColor="text1"/>
                <w:sz w:val="22"/>
                <w:szCs w:val="22"/>
                <w:highlight w:val="none"/>
                <w:lang w:val="en-US" w:eastAsia="zh-CN"/>
                <w14:textFill>
                  <w14:solidFill>
                    <w14:schemeClr w14:val="tx1"/>
                  </w14:solidFill>
                </w14:textFill>
              </w:rPr>
              <w:t>汉中市南郑区人民医院</w:t>
            </w:r>
          </w:p>
          <w:p w14:paraId="01267D78">
            <w:pPr>
              <w:keepNext w:val="0"/>
              <w:keepLines w:val="0"/>
              <w:pageBreakBefore w:val="0"/>
              <w:widowControl w:val="0"/>
              <w:shd w:val="clear"/>
              <w:kinsoku/>
              <w:wordWrap/>
              <w:overflowPunct/>
              <w:topLinePunct w:val="0"/>
              <w:autoSpaceDE/>
              <w:autoSpaceDN/>
              <w:bidi w:val="0"/>
              <w:adjustRightInd/>
              <w:snapToGrid w:val="0"/>
              <w:spacing w:line="288" w:lineRule="auto"/>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14:textFill>
                  <w14:solidFill>
                    <w14:schemeClr w14:val="tx1"/>
                  </w14:solidFill>
                </w14:textFill>
              </w:rPr>
              <w:t>地址：</w:t>
            </w:r>
            <w:r>
              <w:rPr>
                <w:rFonts w:hint="eastAsia" w:ascii="仿宋" w:hAnsi="仿宋" w:eastAsia="仿宋" w:cs="仿宋"/>
                <w:color w:val="000000" w:themeColor="text1"/>
                <w:sz w:val="22"/>
                <w:szCs w:val="22"/>
                <w:highlight w:val="none"/>
                <w:lang w:val="en-US" w:eastAsia="zh-CN"/>
                <w14:textFill>
                  <w14:solidFill>
                    <w14:schemeClr w14:val="tx1"/>
                  </w14:solidFill>
                </w14:textFill>
              </w:rPr>
              <w:t>南郑区汉山街道办青年路9号</w:t>
            </w:r>
          </w:p>
          <w:p w14:paraId="4A6F545D">
            <w:pPr>
              <w:keepNext w:val="0"/>
              <w:keepLines w:val="0"/>
              <w:pageBreakBefore w:val="0"/>
              <w:widowControl w:val="0"/>
              <w:shd w:val="clear"/>
              <w:kinsoku/>
              <w:wordWrap/>
              <w:overflowPunct/>
              <w:topLinePunct w:val="0"/>
              <w:autoSpaceDE/>
              <w:autoSpaceDN/>
              <w:bidi w:val="0"/>
              <w:adjustRightInd/>
              <w:snapToGrid w:val="0"/>
              <w:spacing w:line="288" w:lineRule="auto"/>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14:textFill>
                  <w14:solidFill>
                    <w14:schemeClr w14:val="tx1"/>
                  </w14:solidFill>
                </w14:textFill>
              </w:rPr>
              <w:t>联系方式：</w:t>
            </w:r>
            <w:r>
              <w:rPr>
                <w:rFonts w:hint="eastAsia" w:ascii="仿宋" w:hAnsi="仿宋" w:eastAsia="仿宋" w:cs="仿宋"/>
                <w:color w:val="000000" w:themeColor="text1"/>
                <w:sz w:val="22"/>
                <w:szCs w:val="22"/>
                <w:highlight w:val="none"/>
                <w:lang w:val="en-US" w:eastAsia="zh-CN"/>
                <w14:textFill>
                  <w14:solidFill>
                    <w14:schemeClr w14:val="tx1"/>
                  </w14:solidFill>
                </w14:textFill>
              </w:rPr>
              <w:t>0916-8897702</w:t>
            </w:r>
          </w:p>
        </w:tc>
      </w:tr>
      <w:tr w14:paraId="4E503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18" w:type="dxa"/>
            <w:vAlign w:val="center"/>
          </w:tcPr>
          <w:p w14:paraId="11824103">
            <w:pPr>
              <w:shd w:val="clear"/>
              <w:snapToGrid w:val="0"/>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7</w:t>
            </w:r>
          </w:p>
        </w:tc>
        <w:tc>
          <w:tcPr>
            <w:tcW w:w="2017" w:type="dxa"/>
            <w:vAlign w:val="center"/>
          </w:tcPr>
          <w:p w14:paraId="252362DC">
            <w:pPr>
              <w:shd w:val="clear"/>
              <w:snapToGrid w:val="0"/>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采购代理机构</w:t>
            </w:r>
          </w:p>
        </w:tc>
        <w:tc>
          <w:tcPr>
            <w:tcW w:w="7464" w:type="dxa"/>
            <w:vAlign w:val="center"/>
          </w:tcPr>
          <w:p w14:paraId="2DDFA376">
            <w:pPr>
              <w:keepNext w:val="0"/>
              <w:keepLines w:val="0"/>
              <w:pageBreakBefore w:val="0"/>
              <w:shd w:val="clear"/>
              <w:kinsoku/>
              <w:wordWrap/>
              <w:overflowPunct/>
              <w:topLinePunct w:val="0"/>
              <w:autoSpaceDE/>
              <w:autoSpaceDN/>
              <w:bidi w:val="0"/>
              <w:snapToGrid w:val="0"/>
              <w:spacing w:line="288" w:lineRule="auto"/>
              <w:textAlignment w:val="auto"/>
              <w:rPr>
                <w:rFonts w:hint="eastAsia" w:ascii="仿宋" w:hAnsi="仿宋" w:eastAsia="仿宋" w:cs="仿宋"/>
                <w:color w:val="000000" w:themeColor="text1"/>
                <w:sz w:val="22"/>
                <w:szCs w:val="22"/>
                <w:highlight w:val="none"/>
                <w:lang w:eastAsia="zh-CN"/>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采购代理机构名称：</w:t>
            </w:r>
            <w:r>
              <w:rPr>
                <w:rFonts w:hint="eastAsia" w:ascii="仿宋" w:hAnsi="仿宋" w:eastAsia="仿宋" w:cs="仿宋"/>
                <w:color w:val="000000" w:themeColor="text1"/>
                <w:sz w:val="22"/>
                <w:szCs w:val="22"/>
                <w:highlight w:val="none"/>
                <w:lang w:eastAsia="zh-CN"/>
                <w14:textFill>
                  <w14:solidFill>
                    <w14:schemeClr w14:val="tx1"/>
                  </w14:solidFill>
                </w14:textFill>
              </w:rPr>
              <w:t>同正项目管理有限公司</w:t>
            </w:r>
          </w:p>
          <w:p w14:paraId="405C2293">
            <w:pPr>
              <w:keepNext w:val="0"/>
              <w:keepLines w:val="0"/>
              <w:pageBreakBefore w:val="0"/>
              <w:shd w:val="clear"/>
              <w:kinsoku/>
              <w:wordWrap/>
              <w:overflowPunct/>
              <w:topLinePunct w:val="0"/>
              <w:autoSpaceDE/>
              <w:autoSpaceDN/>
              <w:bidi w:val="0"/>
              <w:snapToGrid w:val="0"/>
              <w:spacing w:line="288" w:lineRule="auto"/>
              <w:textAlignment w:val="auto"/>
              <w:rPr>
                <w:rFonts w:hint="eastAsia" w:ascii="仿宋" w:hAnsi="仿宋" w:eastAsia="仿宋" w:cs="仿宋"/>
                <w:color w:val="000000" w:themeColor="text1"/>
                <w:sz w:val="22"/>
                <w:szCs w:val="22"/>
                <w:highlight w:val="none"/>
                <w:lang w:eastAsia="zh-CN"/>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地址：</w:t>
            </w:r>
            <w:r>
              <w:rPr>
                <w:rFonts w:hint="eastAsia" w:ascii="仿宋" w:hAnsi="仿宋" w:eastAsia="仿宋" w:cs="仿宋"/>
                <w:color w:val="000000" w:themeColor="text1"/>
                <w:sz w:val="22"/>
                <w:szCs w:val="22"/>
                <w:highlight w:val="none"/>
                <w:lang w:eastAsia="zh-CN"/>
                <w14:textFill>
                  <w14:solidFill>
                    <w14:schemeClr w14:val="tx1"/>
                  </w14:solidFill>
                </w14:textFill>
              </w:rPr>
              <w:t>汉中市汉台区西一环路蓝天御苑小区商铺二层门面房南侧</w:t>
            </w:r>
          </w:p>
          <w:p w14:paraId="23EDC707">
            <w:pPr>
              <w:keepNext w:val="0"/>
              <w:keepLines w:val="0"/>
              <w:pageBreakBefore w:val="0"/>
              <w:shd w:val="clear"/>
              <w:kinsoku/>
              <w:wordWrap/>
              <w:overflowPunct/>
              <w:topLinePunct w:val="0"/>
              <w:autoSpaceDE/>
              <w:autoSpaceDN/>
              <w:bidi w:val="0"/>
              <w:snapToGrid w:val="0"/>
              <w:spacing w:line="288" w:lineRule="auto"/>
              <w:textAlignment w:val="auto"/>
              <w:rPr>
                <w:rFonts w:hint="eastAsia" w:ascii="仿宋" w:hAnsi="仿宋" w:eastAsia="仿宋" w:cs="仿宋"/>
                <w:color w:val="000000" w:themeColor="text1"/>
                <w:sz w:val="22"/>
                <w:szCs w:val="22"/>
                <w:highlight w:val="none"/>
                <w:lang w:eastAsia="zh-CN"/>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联系方式：</w:t>
            </w:r>
            <w:r>
              <w:rPr>
                <w:rFonts w:hint="eastAsia" w:ascii="仿宋" w:hAnsi="仿宋" w:eastAsia="仿宋" w:cs="仿宋"/>
                <w:color w:val="000000" w:themeColor="text1"/>
                <w:sz w:val="22"/>
                <w:szCs w:val="22"/>
                <w:highlight w:val="none"/>
                <w:lang w:eastAsia="zh-CN"/>
                <w14:textFill>
                  <w14:solidFill>
                    <w14:schemeClr w14:val="tx1"/>
                  </w14:solidFill>
                </w14:textFill>
              </w:rPr>
              <w:t>0916-8897702</w:t>
            </w:r>
          </w:p>
        </w:tc>
      </w:tr>
      <w:tr w14:paraId="611F7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718" w:type="dxa"/>
            <w:vAlign w:val="center"/>
          </w:tcPr>
          <w:p w14:paraId="33E03C98">
            <w:pPr>
              <w:shd w:val="clear"/>
              <w:snapToGrid w:val="0"/>
              <w:jc w:val="center"/>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8</w:t>
            </w:r>
          </w:p>
        </w:tc>
        <w:tc>
          <w:tcPr>
            <w:tcW w:w="2017" w:type="dxa"/>
            <w:vAlign w:val="center"/>
          </w:tcPr>
          <w:p w14:paraId="250E3FA9">
            <w:pPr>
              <w:shd w:val="clear"/>
              <w:snapToGrid w:val="0"/>
              <w:jc w:val="center"/>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采购方式</w:t>
            </w:r>
          </w:p>
        </w:tc>
        <w:tc>
          <w:tcPr>
            <w:tcW w:w="7464" w:type="dxa"/>
            <w:vAlign w:val="center"/>
          </w:tcPr>
          <w:p w14:paraId="3DDFA402">
            <w:pPr>
              <w:pStyle w:val="38"/>
              <w:keepNext w:val="0"/>
              <w:keepLines w:val="0"/>
              <w:pageBreakBefore w:val="0"/>
              <w:shd w:val="clear"/>
              <w:kinsoku/>
              <w:wordWrap/>
              <w:overflowPunct/>
              <w:topLinePunct w:val="0"/>
              <w:autoSpaceDE/>
              <w:autoSpaceDN/>
              <w:bidi w:val="0"/>
              <w:spacing w:before="0" w:beforeAutospacing="0" w:after="0" w:afterAutospacing="0" w:line="288" w:lineRule="auto"/>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公开招标</w:t>
            </w:r>
          </w:p>
        </w:tc>
      </w:tr>
      <w:tr w14:paraId="4C73A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14:paraId="1B740C61">
            <w:pPr>
              <w:pStyle w:val="38"/>
              <w:shd w:val="clear"/>
              <w:spacing w:before="0" w:beforeAutospacing="0" w:after="0" w:afterAutospacing="0"/>
              <w:jc w:val="center"/>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9</w:t>
            </w:r>
          </w:p>
        </w:tc>
        <w:tc>
          <w:tcPr>
            <w:tcW w:w="2017" w:type="dxa"/>
            <w:vAlign w:val="center"/>
          </w:tcPr>
          <w:p w14:paraId="23BB0D81">
            <w:pPr>
              <w:pStyle w:val="151"/>
              <w:ind w:left="38" w:leftChars="0"/>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lang w:val="zh-CN"/>
                <w14:textFill>
                  <w14:solidFill>
                    <w14:schemeClr w14:val="tx1"/>
                  </w14:solidFill>
                </w14:textFill>
              </w:rPr>
              <w:t>采购内容</w:t>
            </w:r>
          </w:p>
        </w:tc>
        <w:tc>
          <w:tcPr>
            <w:tcW w:w="7464" w:type="dxa"/>
            <w:vAlign w:val="center"/>
          </w:tcPr>
          <w:p w14:paraId="2D0772B3">
            <w:pPr>
              <w:pStyle w:val="151"/>
              <w:jc w:val="both"/>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lang w:val="zh-CN"/>
                <w14:textFill>
                  <w14:solidFill>
                    <w14:schemeClr w14:val="tx1"/>
                  </w14:solidFill>
                </w14:textFill>
              </w:rPr>
              <w:t>见</w:t>
            </w:r>
            <w:r>
              <w:rPr>
                <w:rFonts w:hint="eastAsia" w:ascii="仿宋" w:hAnsi="仿宋" w:eastAsia="仿宋" w:cs="仿宋"/>
                <w:color w:val="000000" w:themeColor="text1"/>
                <w:sz w:val="22"/>
                <w:szCs w:val="22"/>
                <w:highlight w:val="none"/>
                <w:lang w:val="en-US" w:eastAsia="zh-CN"/>
                <w14:textFill>
                  <w14:solidFill>
                    <w14:schemeClr w14:val="tx1"/>
                  </w14:solidFill>
                </w14:textFill>
              </w:rPr>
              <w:t>招标</w:t>
            </w:r>
            <w:r>
              <w:rPr>
                <w:rFonts w:hint="eastAsia" w:ascii="仿宋" w:hAnsi="仿宋" w:eastAsia="仿宋" w:cs="仿宋"/>
                <w:color w:val="000000" w:themeColor="text1"/>
                <w:sz w:val="22"/>
                <w:szCs w:val="22"/>
                <w:highlight w:val="none"/>
                <w:lang w:val="zh-CN"/>
                <w14:textFill>
                  <w14:solidFill>
                    <w14:schemeClr w14:val="tx1"/>
                  </w14:solidFill>
                </w14:textFill>
              </w:rPr>
              <w:t>文件第</w:t>
            </w:r>
            <w:r>
              <w:rPr>
                <w:rFonts w:hint="eastAsia" w:ascii="仿宋" w:hAnsi="仿宋" w:eastAsia="仿宋" w:cs="仿宋"/>
                <w:color w:val="000000" w:themeColor="text1"/>
                <w:sz w:val="22"/>
                <w:szCs w:val="22"/>
                <w:highlight w:val="none"/>
                <w:lang w:val="en-US" w:eastAsia="zh-CN"/>
                <w14:textFill>
                  <w14:solidFill>
                    <w14:schemeClr w14:val="tx1"/>
                  </w14:solidFill>
                </w14:textFill>
              </w:rPr>
              <w:t>三</w:t>
            </w:r>
            <w:r>
              <w:rPr>
                <w:rFonts w:hint="eastAsia" w:ascii="仿宋" w:hAnsi="仿宋" w:eastAsia="仿宋" w:cs="仿宋"/>
                <w:color w:val="000000" w:themeColor="text1"/>
                <w:sz w:val="22"/>
                <w:szCs w:val="22"/>
                <w:highlight w:val="none"/>
                <w:lang w:val="zh-CN"/>
                <w14:textFill>
                  <w14:solidFill>
                    <w14:schemeClr w14:val="tx1"/>
                  </w14:solidFill>
                </w14:textFill>
              </w:rPr>
              <w:t>章</w:t>
            </w:r>
          </w:p>
        </w:tc>
      </w:tr>
      <w:tr w14:paraId="6B88F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14:paraId="7EBBD1E5">
            <w:pPr>
              <w:pStyle w:val="38"/>
              <w:shd w:val="clear"/>
              <w:spacing w:before="0" w:beforeAutospacing="0" w:after="0" w:afterAutospacing="0"/>
              <w:jc w:val="center"/>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10</w:t>
            </w:r>
          </w:p>
        </w:tc>
        <w:tc>
          <w:tcPr>
            <w:tcW w:w="2017" w:type="dxa"/>
            <w:vAlign w:val="center"/>
          </w:tcPr>
          <w:p w14:paraId="6DFBB24D">
            <w:pPr>
              <w:pStyle w:val="151"/>
              <w:ind w:left="38" w:leftChars="0"/>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lang w:val="zh-CN"/>
                <w14:textFill>
                  <w14:solidFill>
                    <w14:schemeClr w14:val="tx1"/>
                  </w14:solidFill>
                </w14:textFill>
              </w:rPr>
              <w:t>是否采购进口产品</w:t>
            </w:r>
          </w:p>
        </w:tc>
        <w:tc>
          <w:tcPr>
            <w:tcW w:w="7464" w:type="dxa"/>
            <w:vAlign w:val="center"/>
          </w:tcPr>
          <w:p w14:paraId="66A1A4D1">
            <w:pPr>
              <w:pStyle w:val="151"/>
              <w:jc w:val="both"/>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☑否</w:t>
            </w:r>
          </w:p>
          <w:p w14:paraId="3F4E09A8">
            <w:pPr>
              <w:adjustRightInd w:val="0"/>
              <w:snapToGrid w:val="0"/>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□是，</w:t>
            </w:r>
            <w:r>
              <w:rPr>
                <w:rFonts w:hint="eastAsia" w:ascii="仿宋" w:hAnsi="仿宋" w:eastAsia="仿宋" w:cs="仿宋"/>
                <w:color w:val="000000" w:themeColor="text1"/>
                <w:kern w:val="0"/>
                <w:sz w:val="22"/>
                <w:szCs w:val="22"/>
                <w14:textFill>
                  <w14:solidFill>
                    <w14:schemeClr w14:val="tx1"/>
                  </w14:solidFill>
                </w14:textFill>
              </w:rPr>
              <w:t>不限制满足</w:t>
            </w:r>
            <w:r>
              <w:rPr>
                <w:rFonts w:hint="eastAsia" w:ascii="仿宋" w:hAnsi="仿宋" w:eastAsia="仿宋" w:cs="仿宋"/>
                <w:color w:val="000000" w:themeColor="text1"/>
                <w:kern w:val="0"/>
                <w:sz w:val="22"/>
                <w:szCs w:val="22"/>
                <w:lang w:val="en-US" w:eastAsia="zh-CN"/>
                <w14:textFill>
                  <w14:solidFill>
                    <w14:schemeClr w14:val="tx1"/>
                  </w14:solidFill>
                </w14:textFill>
              </w:rPr>
              <w:t>招标</w:t>
            </w:r>
            <w:r>
              <w:rPr>
                <w:rFonts w:hint="eastAsia" w:ascii="仿宋" w:hAnsi="仿宋" w:eastAsia="仿宋" w:cs="仿宋"/>
                <w:color w:val="000000" w:themeColor="text1"/>
                <w:kern w:val="0"/>
                <w:sz w:val="22"/>
                <w:szCs w:val="22"/>
                <w14:textFill>
                  <w14:solidFill>
                    <w14:schemeClr w14:val="tx1"/>
                  </w14:solidFill>
                </w14:textFill>
              </w:rPr>
              <w:t>文件要求的国内产品参与</w:t>
            </w:r>
            <w:r>
              <w:rPr>
                <w:rFonts w:hint="eastAsia" w:ascii="仿宋" w:hAnsi="仿宋" w:eastAsia="仿宋" w:cs="仿宋"/>
                <w:color w:val="000000" w:themeColor="text1"/>
                <w:kern w:val="0"/>
                <w:sz w:val="22"/>
                <w:szCs w:val="22"/>
                <w:lang w:val="en-US" w:eastAsia="zh-CN"/>
                <w14:textFill>
                  <w14:solidFill>
                    <w14:schemeClr w14:val="tx1"/>
                  </w14:solidFill>
                </w14:textFill>
              </w:rPr>
              <w:t>投标</w:t>
            </w:r>
            <w:r>
              <w:rPr>
                <w:rFonts w:hint="eastAsia" w:ascii="仿宋" w:hAnsi="仿宋" w:eastAsia="仿宋" w:cs="仿宋"/>
                <w:color w:val="000000" w:themeColor="text1"/>
                <w:kern w:val="0"/>
                <w:sz w:val="22"/>
                <w:szCs w:val="22"/>
                <w14:textFill>
                  <w14:solidFill>
                    <w14:schemeClr w14:val="tx1"/>
                  </w14:solidFill>
                </w14:textFill>
              </w:rPr>
              <w:t>竞争</w:t>
            </w:r>
          </w:p>
        </w:tc>
      </w:tr>
      <w:tr w14:paraId="5511E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18" w:type="dxa"/>
            <w:vAlign w:val="center"/>
          </w:tcPr>
          <w:p w14:paraId="56D3092D">
            <w:pPr>
              <w:pStyle w:val="38"/>
              <w:shd w:val="clear"/>
              <w:spacing w:before="0" w:beforeAutospacing="0" w:after="0" w:afterAutospacing="0"/>
              <w:jc w:val="center"/>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11</w:t>
            </w:r>
          </w:p>
        </w:tc>
        <w:tc>
          <w:tcPr>
            <w:tcW w:w="2017" w:type="dxa"/>
            <w:vAlign w:val="center"/>
          </w:tcPr>
          <w:p w14:paraId="6EEC6F70">
            <w:pPr>
              <w:shd w:val="clear"/>
              <w:snapToGrid w:val="0"/>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lang w:eastAsia="zh-CN"/>
                <w14:textFill>
                  <w14:solidFill>
                    <w14:schemeClr w14:val="tx1"/>
                  </w14:solidFill>
                </w14:textFill>
              </w:rPr>
              <w:t>交付期</w:t>
            </w:r>
          </w:p>
        </w:tc>
        <w:tc>
          <w:tcPr>
            <w:tcW w:w="7464" w:type="dxa"/>
            <w:vAlign w:val="center"/>
          </w:tcPr>
          <w:p w14:paraId="20D6DA64">
            <w:pPr>
              <w:keepNext w:val="0"/>
              <w:keepLines w:val="0"/>
              <w:pageBreakBefore w:val="0"/>
              <w:shd w:val="clear"/>
              <w:kinsoku/>
              <w:wordWrap/>
              <w:overflowPunct/>
              <w:topLinePunct w:val="0"/>
              <w:autoSpaceDE/>
              <w:autoSpaceDN/>
              <w:bidi w:val="0"/>
              <w:snapToGrid w:val="0"/>
              <w:spacing w:line="288" w:lineRule="auto"/>
              <w:textAlignment w:val="auto"/>
              <w:rPr>
                <w:rFonts w:hint="eastAsia" w:ascii="仿宋" w:hAnsi="仿宋" w:eastAsia="仿宋" w:cs="仿宋"/>
                <w:color w:val="000000" w:themeColor="text1"/>
                <w:sz w:val="22"/>
                <w:szCs w:val="22"/>
                <w:highlight w:val="none"/>
                <w:lang w:val="en-US"/>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15天</w:t>
            </w:r>
          </w:p>
        </w:tc>
      </w:tr>
      <w:tr w14:paraId="712A2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18" w:type="dxa"/>
            <w:vAlign w:val="center"/>
          </w:tcPr>
          <w:p w14:paraId="5618C04C">
            <w:pPr>
              <w:pStyle w:val="38"/>
              <w:shd w:val="clear"/>
              <w:spacing w:before="0" w:beforeAutospacing="0" w:after="0" w:afterAutospacing="0"/>
              <w:jc w:val="center"/>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12</w:t>
            </w:r>
          </w:p>
        </w:tc>
        <w:tc>
          <w:tcPr>
            <w:tcW w:w="2017" w:type="dxa"/>
            <w:vAlign w:val="center"/>
          </w:tcPr>
          <w:p w14:paraId="142190A1">
            <w:pPr>
              <w:shd w:val="clear"/>
              <w:snapToGrid w:val="0"/>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lang w:eastAsia="zh-CN"/>
                <w14:textFill>
                  <w14:solidFill>
                    <w14:schemeClr w14:val="tx1"/>
                  </w14:solidFill>
                </w14:textFill>
              </w:rPr>
              <w:t>交付地点</w:t>
            </w:r>
          </w:p>
        </w:tc>
        <w:tc>
          <w:tcPr>
            <w:tcW w:w="7464" w:type="dxa"/>
            <w:vAlign w:val="center"/>
          </w:tcPr>
          <w:p w14:paraId="38897252">
            <w:pPr>
              <w:keepNext w:val="0"/>
              <w:keepLines w:val="0"/>
              <w:pageBreakBefore w:val="0"/>
              <w:shd w:val="clear"/>
              <w:kinsoku/>
              <w:wordWrap/>
              <w:overflowPunct/>
              <w:topLinePunct w:val="0"/>
              <w:autoSpaceDE/>
              <w:autoSpaceDN/>
              <w:bidi w:val="0"/>
              <w:snapToGrid w:val="0"/>
              <w:spacing w:line="288" w:lineRule="auto"/>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lang w:eastAsia="zh-CN"/>
                <w14:textFill>
                  <w14:solidFill>
                    <w14:schemeClr w14:val="tx1"/>
                  </w14:solidFill>
                </w14:textFill>
              </w:rPr>
              <w:t>采购人指定地点</w:t>
            </w:r>
          </w:p>
        </w:tc>
      </w:tr>
      <w:tr w14:paraId="4D8EF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14:paraId="6252F054">
            <w:pPr>
              <w:pStyle w:val="38"/>
              <w:shd w:val="clear"/>
              <w:spacing w:before="0" w:beforeAutospacing="0" w:after="0" w:afterAutospacing="0"/>
              <w:jc w:val="center"/>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13</w:t>
            </w:r>
          </w:p>
        </w:tc>
        <w:tc>
          <w:tcPr>
            <w:tcW w:w="2017" w:type="dxa"/>
            <w:vAlign w:val="center"/>
          </w:tcPr>
          <w:p w14:paraId="2142FD28">
            <w:pPr>
              <w:shd w:val="clear"/>
              <w:snapToGrid w:val="0"/>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质保期</w:t>
            </w:r>
          </w:p>
        </w:tc>
        <w:tc>
          <w:tcPr>
            <w:tcW w:w="7464" w:type="dxa"/>
            <w:vAlign w:val="center"/>
          </w:tcPr>
          <w:p w14:paraId="496AF948">
            <w:pPr>
              <w:keepNext w:val="0"/>
              <w:keepLines w:val="0"/>
              <w:pageBreakBefore w:val="0"/>
              <w:shd w:val="clear"/>
              <w:kinsoku/>
              <w:wordWrap/>
              <w:overflowPunct/>
              <w:topLinePunct w:val="0"/>
              <w:autoSpaceDE/>
              <w:autoSpaceDN/>
              <w:bidi w:val="0"/>
              <w:snapToGrid w:val="0"/>
              <w:spacing w:line="288" w:lineRule="auto"/>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3年</w:t>
            </w:r>
          </w:p>
        </w:tc>
      </w:tr>
      <w:tr w14:paraId="6639E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14:paraId="364EE0CD">
            <w:pPr>
              <w:pStyle w:val="38"/>
              <w:shd w:val="clear"/>
              <w:spacing w:before="0" w:beforeAutospacing="0" w:after="0" w:afterAutospacing="0"/>
              <w:jc w:val="center"/>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14</w:t>
            </w:r>
          </w:p>
        </w:tc>
        <w:tc>
          <w:tcPr>
            <w:tcW w:w="2017" w:type="dxa"/>
            <w:vAlign w:val="center"/>
          </w:tcPr>
          <w:p w14:paraId="38DAF3BA">
            <w:pPr>
              <w:pStyle w:val="38"/>
              <w:shd w:val="clear"/>
              <w:spacing w:before="0" w:beforeAutospacing="0" w:after="0" w:afterAutospacing="0"/>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构成招标文件的其他材料</w:t>
            </w:r>
          </w:p>
        </w:tc>
        <w:tc>
          <w:tcPr>
            <w:tcW w:w="7464" w:type="dxa"/>
            <w:vAlign w:val="center"/>
          </w:tcPr>
          <w:p w14:paraId="3CA62E9B">
            <w:pPr>
              <w:pStyle w:val="38"/>
              <w:keepNext w:val="0"/>
              <w:keepLines w:val="0"/>
              <w:pageBreakBefore w:val="0"/>
              <w:shd w:val="clear"/>
              <w:kinsoku/>
              <w:wordWrap/>
              <w:overflowPunct/>
              <w:topLinePunct w:val="0"/>
              <w:autoSpaceDE/>
              <w:autoSpaceDN/>
              <w:bidi w:val="0"/>
              <w:spacing w:before="0" w:beforeAutospacing="0" w:after="0" w:afterAutospacing="0" w:line="288" w:lineRule="auto"/>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招标变更、答疑文件等相关材料</w:t>
            </w:r>
          </w:p>
        </w:tc>
      </w:tr>
      <w:tr w14:paraId="0C0B5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14:paraId="4D22EDB2">
            <w:pPr>
              <w:pStyle w:val="38"/>
              <w:shd w:val="clear"/>
              <w:spacing w:before="0" w:beforeAutospacing="0" w:after="0" w:afterAutospacing="0"/>
              <w:jc w:val="center"/>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15</w:t>
            </w:r>
          </w:p>
        </w:tc>
        <w:tc>
          <w:tcPr>
            <w:tcW w:w="2017" w:type="dxa"/>
            <w:vAlign w:val="center"/>
          </w:tcPr>
          <w:p w14:paraId="278DD9F7">
            <w:pPr>
              <w:pStyle w:val="38"/>
              <w:shd w:val="clear"/>
              <w:spacing w:before="0" w:beforeAutospacing="0" w:after="0" w:afterAutospacing="0"/>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投标人要求澄清招标文件的截止时间</w:t>
            </w:r>
          </w:p>
        </w:tc>
        <w:tc>
          <w:tcPr>
            <w:tcW w:w="7464" w:type="dxa"/>
            <w:vAlign w:val="center"/>
          </w:tcPr>
          <w:p w14:paraId="48FB9304">
            <w:pPr>
              <w:pStyle w:val="38"/>
              <w:keepNext w:val="0"/>
              <w:keepLines w:val="0"/>
              <w:pageBreakBefore w:val="0"/>
              <w:shd w:val="clear"/>
              <w:kinsoku/>
              <w:wordWrap/>
              <w:overflowPunct/>
              <w:topLinePunct w:val="0"/>
              <w:autoSpaceDE/>
              <w:autoSpaceDN/>
              <w:bidi w:val="0"/>
              <w:spacing w:before="0" w:beforeAutospacing="0" w:after="0" w:afterAutospacing="0" w:line="288" w:lineRule="auto"/>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投标截止时间10天前</w:t>
            </w:r>
          </w:p>
        </w:tc>
      </w:tr>
      <w:tr w14:paraId="00612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18" w:type="dxa"/>
            <w:vAlign w:val="center"/>
          </w:tcPr>
          <w:p w14:paraId="0DC9D341">
            <w:pPr>
              <w:pStyle w:val="38"/>
              <w:shd w:val="clear"/>
              <w:spacing w:before="0" w:beforeAutospacing="0" w:after="0" w:afterAutospacing="0"/>
              <w:jc w:val="center"/>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16</w:t>
            </w:r>
          </w:p>
        </w:tc>
        <w:tc>
          <w:tcPr>
            <w:tcW w:w="2017" w:type="dxa"/>
            <w:vAlign w:val="center"/>
          </w:tcPr>
          <w:p w14:paraId="274DED07">
            <w:pPr>
              <w:pStyle w:val="38"/>
              <w:shd w:val="clear"/>
              <w:spacing w:before="0" w:beforeAutospacing="0" w:after="0" w:afterAutospacing="0"/>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投标人确认收到招标文件澄清的时间</w:t>
            </w:r>
          </w:p>
        </w:tc>
        <w:tc>
          <w:tcPr>
            <w:tcW w:w="7464" w:type="dxa"/>
            <w:vAlign w:val="center"/>
          </w:tcPr>
          <w:p w14:paraId="48496B37">
            <w:pPr>
              <w:pStyle w:val="38"/>
              <w:keepNext w:val="0"/>
              <w:keepLines w:val="0"/>
              <w:pageBreakBefore w:val="0"/>
              <w:shd w:val="clear"/>
              <w:kinsoku/>
              <w:wordWrap/>
              <w:overflowPunct/>
              <w:topLinePunct w:val="0"/>
              <w:autoSpaceDE/>
              <w:autoSpaceDN/>
              <w:bidi w:val="0"/>
              <w:spacing w:before="0" w:beforeAutospacing="0" w:after="0" w:afterAutospacing="0" w:line="288" w:lineRule="auto"/>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招标文件澄清发出后24小时以内</w:t>
            </w:r>
          </w:p>
        </w:tc>
      </w:tr>
      <w:tr w14:paraId="5B789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14:paraId="0F751076">
            <w:pPr>
              <w:pStyle w:val="38"/>
              <w:shd w:val="clear"/>
              <w:spacing w:before="0" w:beforeAutospacing="0" w:after="0" w:afterAutospacing="0"/>
              <w:jc w:val="center"/>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17</w:t>
            </w:r>
          </w:p>
        </w:tc>
        <w:tc>
          <w:tcPr>
            <w:tcW w:w="2017" w:type="dxa"/>
            <w:vAlign w:val="center"/>
          </w:tcPr>
          <w:p w14:paraId="79E701E3">
            <w:pPr>
              <w:pStyle w:val="38"/>
              <w:shd w:val="clear"/>
              <w:spacing w:before="0" w:beforeAutospacing="0" w:after="0" w:afterAutospacing="0"/>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投标人确认收到招标文件修改的时间</w:t>
            </w:r>
          </w:p>
        </w:tc>
        <w:tc>
          <w:tcPr>
            <w:tcW w:w="7464" w:type="dxa"/>
            <w:vAlign w:val="center"/>
          </w:tcPr>
          <w:p w14:paraId="2041A718">
            <w:pPr>
              <w:pStyle w:val="38"/>
              <w:keepNext w:val="0"/>
              <w:keepLines w:val="0"/>
              <w:pageBreakBefore w:val="0"/>
              <w:shd w:val="clear"/>
              <w:kinsoku/>
              <w:wordWrap/>
              <w:overflowPunct/>
              <w:topLinePunct w:val="0"/>
              <w:autoSpaceDE/>
              <w:autoSpaceDN/>
              <w:bidi w:val="0"/>
              <w:spacing w:before="0" w:beforeAutospacing="0" w:after="0" w:afterAutospacing="0" w:line="288" w:lineRule="auto"/>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招标文件修改发出后24小时以内</w:t>
            </w:r>
          </w:p>
        </w:tc>
      </w:tr>
      <w:tr w14:paraId="40F06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14:paraId="0031A15C">
            <w:pPr>
              <w:pStyle w:val="38"/>
              <w:shd w:val="clear"/>
              <w:spacing w:before="0" w:beforeAutospacing="0" w:after="0" w:afterAutospacing="0"/>
              <w:jc w:val="center"/>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18</w:t>
            </w:r>
          </w:p>
        </w:tc>
        <w:tc>
          <w:tcPr>
            <w:tcW w:w="2017" w:type="dxa"/>
            <w:vAlign w:val="center"/>
          </w:tcPr>
          <w:p w14:paraId="79B51485">
            <w:pPr>
              <w:pStyle w:val="38"/>
              <w:shd w:val="clear"/>
              <w:spacing w:before="0" w:beforeAutospacing="0" w:after="0" w:afterAutospacing="0"/>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构成投标文件的其他材料</w:t>
            </w:r>
          </w:p>
        </w:tc>
        <w:tc>
          <w:tcPr>
            <w:tcW w:w="7464" w:type="dxa"/>
            <w:vAlign w:val="center"/>
          </w:tcPr>
          <w:p w14:paraId="03C79F69">
            <w:pPr>
              <w:pStyle w:val="38"/>
              <w:keepNext w:val="0"/>
              <w:keepLines w:val="0"/>
              <w:pageBreakBefore w:val="0"/>
              <w:shd w:val="clear"/>
              <w:kinsoku/>
              <w:wordWrap/>
              <w:overflowPunct/>
              <w:topLinePunct w:val="0"/>
              <w:autoSpaceDE/>
              <w:autoSpaceDN/>
              <w:bidi w:val="0"/>
              <w:spacing w:before="0" w:beforeAutospacing="0" w:after="0" w:afterAutospacing="0" w:line="288" w:lineRule="auto"/>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投标人按照招标文件的要求认为有利于投标的材料</w:t>
            </w:r>
          </w:p>
        </w:tc>
      </w:tr>
      <w:tr w14:paraId="693FA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14:paraId="3199F9D6">
            <w:pPr>
              <w:pStyle w:val="38"/>
              <w:shd w:val="clear"/>
              <w:spacing w:before="0" w:beforeAutospacing="0" w:after="0" w:afterAutospacing="0"/>
              <w:jc w:val="center"/>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19</w:t>
            </w:r>
          </w:p>
        </w:tc>
        <w:tc>
          <w:tcPr>
            <w:tcW w:w="2017" w:type="dxa"/>
            <w:vAlign w:val="center"/>
          </w:tcPr>
          <w:p w14:paraId="35C53726">
            <w:pPr>
              <w:pStyle w:val="38"/>
              <w:shd w:val="clear"/>
              <w:spacing w:before="0" w:beforeAutospacing="0" w:after="0" w:afterAutospacing="0"/>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投标文件有效期</w:t>
            </w:r>
          </w:p>
        </w:tc>
        <w:tc>
          <w:tcPr>
            <w:tcW w:w="7464" w:type="dxa"/>
            <w:vAlign w:val="center"/>
          </w:tcPr>
          <w:p w14:paraId="0170780A">
            <w:pPr>
              <w:pStyle w:val="38"/>
              <w:keepNext w:val="0"/>
              <w:keepLines w:val="0"/>
              <w:pageBreakBefore w:val="0"/>
              <w:shd w:val="clear"/>
              <w:kinsoku/>
              <w:wordWrap/>
              <w:overflowPunct/>
              <w:topLinePunct w:val="0"/>
              <w:autoSpaceDE/>
              <w:autoSpaceDN/>
              <w:bidi w:val="0"/>
              <w:spacing w:before="0" w:beforeAutospacing="0" w:after="0" w:afterAutospacing="0" w:line="288" w:lineRule="auto"/>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投标文件有效期为自开标之日起算90天</w:t>
            </w:r>
          </w:p>
        </w:tc>
      </w:tr>
      <w:tr w14:paraId="19091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718" w:type="dxa"/>
            <w:vAlign w:val="center"/>
          </w:tcPr>
          <w:p w14:paraId="416ACA55">
            <w:pPr>
              <w:pStyle w:val="38"/>
              <w:shd w:val="clear"/>
              <w:spacing w:before="0" w:beforeAutospacing="0" w:after="0" w:afterAutospacing="0"/>
              <w:jc w:val="center"/>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20</w:t>
            </w:r>
          </w:p>
        </w:tc>
        <w:tc>
          <w:tcPr>
            <w:tcW w:w="2017" w:type="dxa"/>
            <w:vAlign w:val="center"/>
          </w:tcPr>
          <w:p w14:paraId="640D0351">
            <w:pPr>
              <w:pStyle w:val="38"/>
              <w:shd w:val="clear"/>
              <w:spacing w:before="0" w:beforeAutospacing="0" w:after="0" w:afterAutospacing="0"/>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现场踏勘</w:t>
            </w:r>
          </w:p>
        </w:tc>
        <w:tc>
          <w:tcPr>
            <w:tcW w:w="7464" w:type="dxa"/>
            <w:vAlign w:val="center"/>
          </w:tcPr>
          <w:p w14:paraId="484A604E">
            <w:pPr>
              <w:pStyle w:val="38"/>
              <w:keepNext w:val="0"/>
              <w:keepLines w:val="0"/>
              <w:pageBreakBefore w:val="0"/>
              <w:shd w:val="clear"/>
              <w:kinsoku/>
              <w:wordWrap/>
              <w:overflowPunct/>
              <w:topLinePunct w:val="0"/>
              <w:autoSpaceDE/>
              <w:autoSpaceDN/>
              <w:bidi w:val="0"/>
              <w:spacing w:before="0" w:beforeAutospacing="0" w:after="0" w:afterAutospacing="0" w:line="288" w:lineRule="auto"/>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本项目投标人可自行踏勘（采购代理机构不统一组织），各</w:t>
            </w:r>
            <w:r>
              <w:rPr>
                <w:rFonts w:hint="eastAsia" w:ascii="仿宋" w:hAnsi="仿宋" w:eastAsia="仿宋" w:cs="仿宋"/>
                <w:color w:val="000000" w:themeColor="text1"/>
                <w:sz w:val="22"/>
                <w:szCs w:val="22"/>
                <w:highlight w:val="none"/>
                <w:lang w:eastAsia="zh-CN"/>
                <w14:textFill>
                  <w14:solidFill>
                    <w14:schemeClr w14:val="tx1"/>
                  </w14:solidFill>
                </w14:textFill>
              </w:rPr>
              <w:t>投标人</w:t>
            </w:r>
            <w:r>
              <w:rPr>
                <w:rFonts w:hint="eastAsia" w:ascii="仿宋" w:hAnsi="仿宋" w:eastAsia="仿宋" w:cs="仿宋"/>
                <w:color w:val="000000" w:themeColor="text1"/>
                <w:sz w:val="22"/>
                <w:szCs w:val="22"/>
                <w:highlight w:val="none"/>
                <w14:textFill>
                  <w14:solidFill>
                    <w14:schemeClr w14:val="tx1"/>
                  </w14:solidFill>
                </w14:textFill>
              </w:rPr>
              <w:t>根据采购内容及要求并结合自身情况选择是否进行踏勘活动，因现场勘查不准确造成的方案及报价偏差后果由投标人自行承担。</w:t>
            </w:r>
          </w:p>
        </w:tc>
      </w:tr>
      <w:tr w14:paraId="3984D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718" w:type="dxa"/>
            <w:vAlign w:val="center"/>
          </w:tcPr>
          <w:p w14:paraId="6E8BD8A3">
            <w:pPr>
              <w:shd w:val="clear"/>
              <w:snapToGrid w:val="0"/>
              <w:jc w:val="center"/>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21</w:t>
            </w:r>
          </w:p>
        </w:tc>
        <w:tc>
          <w:tcPr>
            <w:tcW w:w="2017" w:type="dxa"/>
            <w:vAlign w:val="center"/>
          </w:tcPr>
          <w:p w14:paraId="177BE367">
            <w:pPr>
              <w:shd w:val="clear"/>
              <w:snapToGrid w:val="0"/>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投标保证金</w:t>
            </w:r>
          </w:p>
        </w:tc>
        <w:tc>
          <w:tcPr>
            <w:tcW w:w="7464" w:type="dxa"/>
            <w:vAlign w:val="center"/>
          </w:tcPr>
          <w:p w14:paraId="22E520DB">
            <w:pPr>
              <w:pStyle w:val="105"/>
              <w:keepNext w:val="0"/>
              <w:keepLines w:val="0"/>
              <w:pageBreakBefore w:val="0"/>
              <w:shd w:val="clear"/>
              <w:kinsoku/>
              <w:wordWrap/>
              <w:overflowPunct/>
              <w:topLinePunct w:val="0"/>
              <w:autoSpaceDE/>
              <w:autoSpaceDN/>
              <w:bidi w:val="0"/>
              <w:spacing w:line="288" w:lineRule="auto"/>
              <w:ind w:firstLine="440" w:firstLineChars="200"/>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SA"/>
                <w14:textFill>
                  <w14:solidFill>
                    <w14:schemeClr w14:val="tx1"/>
                  </w14:solidFill>
                </w14:textFill>
              </w:rPr>
              <w:t>无</w:t>
            </w:r>
          </w:p>
        </w:tc>
      </w:tr>
      <w:tr w14:paraId="7FBB4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Merge w:val="restart"/>
            <w:vAlign w:val="center"/>
          </w:tcPr>
          <w:p w14:paraId="6454AA50">
            <w:pPr>
              <w:shd w:val="clear"/>
              <w:snapToGrid w:val="0"/>
              <w:jc w:val="center"/>
              <w:rPr>
                <w:rFonts w:hint="eastAsia" w:ascii="仿宋" w:hAnsi="仿宋" w:eastAsia="仿宋" w:cs="仿宋"/>
                <w:color w:val="000000" w:themeColor="text1"/>
                <w:sz w:val="22"/>
                <w:szCs w:val="22"/>
                <w:highlight w:val="none"/>
                <w:lang w:eastAsia="zh-CN"/>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2</w:t>
            </w:r>
            <w:r>
              <w:rPr>
                <w:rFonts w:hint="eastAsia" w:ascii="仿宋" w:hAnsi="仿宋" w:eastAsia="仿宋" w:cs="仿宋"/>
                <w:color w:val="000000" w:themeColor="text1"/>
                <w:sz w:val="22"/>
                <w:szCs w:val="22"/>
                <w:highlight w:val="none"/>
                <w:lang w:val="en-US" w:eastAsia="zh-CN"/>
                <w14:textFill>
                  <w14:solidFill>
                    <w14:schemeClr w14:val="tx1"/>
                  </w14:solidFill>
                </w14:textFill>
              </w:rPr>
              <w:t>2</w:t>
            </w:r>
          </w:p>
        </w:tc>
        <w:tc>
          <w:tcPr>
            <w:tcW w:w="2017" w:type="dxa"/>
            <w:vAlign w:val="center"/>
          </w:tcPr>
          <w:p w14:paraId="4F0DD6A7">
            <w:pPr>
              <w:shd w:val="clear"/>
              <w:snapToGrid w:val="0"/>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投标文件份数</w:t>
            </w:r>
          </w:p>
        </w:tc>
        <w:tc>
          <w:tcPr>
            <w:tcW w:w="7464" w:type="dxa"/>
            <w:vAlign w:val="center"/>
          </w:tcPr>
          <w:p w14:paraId="70E44878">
            <w:pPr>
              <w:keepNext w:val="0"/>
              <w:keepLines w:val="0"/>
              <w:pageBreakBefore w:val="0"/>
              <w:shd w:val="clear"/>
              <w:kinsoku/>
              <w:wordWrap/>
              <w:overflowPunct/>
              <w:topLinePunct w:val="0"/>
              <w:autoSpaceDE/>
              <w:autoSpaceDN/>
              <w:bidi w:val="0"/>
              <w:snapToGrid w:val="0"/>
              <w:spacing w:line="288" w:lineRule="auto"/>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投标文件包含正本1份、副本2份、</w:t>
            </w:r>
            <w:r>
              <w:rPr>
                <w:rFonts w:hint="eastAsia" w:ascii="仿宋" w:hAnsi="仿宋" w:eastAsia="仿宋" w:cs="仿宋"/>
                <w:color w:val="000000" w:themeColor="text1"/>
                <w:sz w:val="22"/>
                <w:szCs w:val="22"/>
                <w:highlight w:val="none"/>
                <w:lang w:eastAsia="zh-CN"/>
                <w14:textFill>
                  <w14:solidFill>
                    <w14:schemeClr w14:val="tx1"/>
                  </w14:solidFill>
                </w14:textFill>
              </w:rPr>
              <w:t>开标一览表</w:t>
            </w:r>
            <w:r>
              <w:rPr>
                <w:rFonts w:hint="eastAsia" w:ascii="仿宋" w:hAnsi="仿宋" w:eastAsia="仿宋" w:cs="仿宋"/>
                <w:color w:val="000000" w:themeColor="text1"/>
                <w:sz w:val="22"/>
                <w:szCs w:val="22"/>
                <w:highlight w:val="none"/>
                <w:lang w:val="en-US" w:eastAsia="zh-CN"/>
                <w14:textFill>
                  <w14:solidFill>
                    <w14:schemeClr w14:val="tx1"/>
                  </w14:solidFill>
                </w14:textFill>
              </w:rPr>
              <w:t>1份、</w:t>
            </w:r>
            <w:r>
              <w:rPr>
                <w:rFonts w:hint="eastAsia" w:ascii="仿宋" w:hAnsi="仿宋" w:eastAsia="仿宋" w:cs="仿宋"/>
                <w:color w:val="000000" w:themeColor="text1"/>
                <w:sz w:val="22"/>
                <w:szCs w:val="22"/>
                <w:highlight w:val="none"/>
                <w14:textFill>
                  <w14:solidFill>
                    <w14:schemeClr w14:val="tx1"/>
                  </w14:solidFill>
                </w14:textFill>
              </w:rPr>
              <w:t>投标文件电子版U盘</w:t>
            </w:r>
            <w:r>
              <w:rPr>
                <w:rFonts w:hint="eastAsia" w:ascii="仿宋" w:hAnsi="仿宋" w:eastAsia="仿宋" w:cs="仿宋"/>
                <w:color w:val="000000" w:themeColor="text1"/>
                <w:sz w:val="22"/>
                <w:szCs w:val="22"/>
                <w:highlight w:val="none"/>
                <w:lang w:val="en-US" w:eastAsia="zh-CN"/>
                <w14:textFill>
                  <w14:solidFill>
                    <w14:schemeClr w14:val="tx1"/>
                  </w14:solidFill>
                </w14:textFill>
              </w:rPr>
              <w:t>2</w:t>
            </w:r>
            <w:r>
              <w:rPr>
                <w:rFonts w:hint="eastAsia" w:ascii="仿宋" w:hAnsi="仿宋" w:eastAsia="仿宋" w:cs="仿宋"/>
                <w:color w:val="000000" w:themeColor="text1"/>
                <w:sz w:val="22"/>
                <w:szCs w:val="22"/>
                <w:highlight w:val="none"/>
                <w14:textFill>
                  <w14:solidFill>
                    <w14:schemeClr w14:val="tx1"/>
                  </w14:solidFill>
                </w14:textFill>
              </w:rPr>
              <w:t>份</w:t>
            </w:r>
          </w:p>
        </w:tc>
      </w:tr>
      <w:tr w14:paraId="0639F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Merge w:val="continue"/>
            <w:vAlign w:val="center"/>
          </w:tcPr>
          <w:p w14:paraId="07FFC22F">
            <w:pPr>
              <w:shd w:val="clear"/>
              <w:snapToGrid w:val="0"/>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2017" w:type="dxa"/>
            <w:vAlign w:val="center"/>
          </w:tcPr>
          <w:p w14:paraId="1CAC79F8">
            <w:pPr>
              <w:shd w:val="clear"/>
              <w:snapToGrid w:val="0"/>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lang w:val="zh-CN"/>
                <w14:textFill>
                  <w14:solidFill>
                    <w14:schemeClr w14:val="tx1"/>
                  </w14:solidFill>
                </w14:textFill>
              </w:rPr>
              <w:t>投标文件是否退还</w:t>
            </w:r>
          </w:p>
        </w:tc>
        <w:tc>
          <w:tcPr>
            <w:tcW w:w="7464" w:type="dxa"/>
            <w:vAlign w:val="center"/>
          </w:tcPr>
          <w:p w14:paraId="7C43832C">
            <w:pPr>
              <w:keepNext w:val="0"/>
              <w:keepLines w:val="0"/>
              <w:pageBreakBefore w:val="0"/>
              <w:shd w:val="clear"/>
              <w:kinsoku/>
              <w:wordWrap/>
              <w:overflowPunct/>
              <w:topLinePunct w:val="0"/>
              <w:autoSpaceDE/>
              <w:autoSpaceDN/>
              <w:bidi w:val="0"/>
              <w:snapToGrid w:val="0"/>
              <w:spacing w:line="288" w:lineRule="auto"/>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lang w:val="zh-CN"/>
                <w14:textFill>
                  <w14:solidFill>
                    <w14:schemeClr w14:val="tx1"/>
                  </w14:solidFill>
                </w14:textFill>
              </w:rPr>
              <w:t>否</w:t>
            </w:r>
          </w:p>
        </w:tc>
      </w:tr>
      <w:tr w14:paraId="47477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Merge w:val="continue"/>
            <w:vAlign w:val="center"/>
          </w:tcPr>
          <w:p w14:paraId="3083158E">
            <w:pPr>
              <w:shd w:val="clear"/>
              <w:snapToGrid w:val="0"/>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2017" w:type="dxa"/>
            <w:vAlign w:val="center"/>
          </w:tcPr>
          <w:p w14:paraId="28D29457">
            <w:pPr>
              <w:shd w:val="clear"/>
              <w:snapToGrid w:val="0"/>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投标文件签字</w:t>
            </w:r>
          </w:p>
          <w:p w14:paraId="12377BFA">
            <w:pPr>
              <w:shd w:val="clear"/>
              <w:snapToGrid w:val="0"/>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或盖章要求</w:t>
            </w:r>
          </w:p>
        </w:tc>
        <w:tc>
          <w:tcPr>
            <w:tcW w:w="7464" w:type="dxa"/>
            <w:vAlign w:val="center"/>
          </w:tcPr>
          <w:p w14:paraId="4F90498E">
            <w:pPr>
              <w:keepNext w:val="0"/>
              <w:keepLines w:val="0"/>
              <w:pageBreakBefore w:val="0"/>
              <w:shd w:val="clear"/>
              <w:kinsoku/>
              <w:wordWrap/>
              <w:overflowPunct/>
              <w:topLinePunct w:val="0"/>
              <w:autoSpaceDE/>
              <w:autoSpaceDN/>
              <w:bidi w:val="0"/>
              <w:snapToGrid w:val="0"/>
              <w:spacing w:line="288" w:lineRule="auto"/>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投标人必须按照招标文件的规定和要求签字、盖章</w:t>
            </w:r>
          </w:p>
        </w:tc>
      </w:tr>
      <w:tr w14:paraId="1610A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718" w:type="dxa"/>
            <w:vMerge w:val="continue"/>
            <w:vAlign w:val="center"/>
          </w:tcPr>
          <w:p w14:paraId="3D978C7B">
            <w:pPr>
              <w:shd w:val="clear"/>
              <w:snapToGrid w:val="0"/>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2017" w:type="dxa"/>
            <w:vAlign w:val="center"/>
          </w:tcPr>
          <w:p w14:paraId="766CE127">
            <w:pPr>
              <w:shd w:val="clear"/>
              <w:snapToGrid w:val="0"/>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封装及封套注释</w:t>
            </w:r>
          </w:p>
        </w:tc>
        <w:tc>
          <w:tcPr>
            <w:tcW w:w="7464" w:type="dxa"/>
            <w:vAlign w:val="center"/>
          </w:tcPr>
          <w:p w14:paraId="64B6ABF2">
            <w:pPr>
              <w:keepNext w:val="0"/>
              <w:keepLines w:val="0"/>
              <w:pageBreakBefore w:val="0"/>
              <w:widowControl w:val="0"/>
              <w:numPr>
                <w:ilvl w:val="0"/>
                <w:numId w:val="0"/>
              </w:numPr>
              <w:shd w:val="clear"/>
              <w:kinsoku/>
              <w:wordWrap/>
              <w:overflowPunct/>
              <w:topLinePunct w:val="0"/>
              <w:autoSpaceDE/>
              <w:autoSpaceDN/>
              <w:bidi w:val="0"/>
              <w:adjustRightInd/>
              <w:snapToGrid w:val="0"/>
              <w:spacing w:line="288" w:lineRule="auto"/>
              <w:textAlignment w:val="auto"/>
              <w:rPr>
                <w:rFonts w:hint="eastAsia" w:ascii="仿宋" w:hAnsi="仿宋" w:eastAsia="仿宋" w:cs="仿宋"/>
                <w:color w:val="000000" w:themeColor="text1"/>
                <w:sz w:val="22"/>
                <w:szCs w:val="22"/>
                <w:highlight w:val="none"/>
                <w:lang w:eastAsia="zh-CN"/>
                <w14:textFill>
                  <w14:solidFill>
                    <w14:schemeClr w14:val="tx1"/>
                  </w14:solidFill>
                </w14:textFill>
              </w:rPr>
            </w:pPr>
            <w:r>
              <w:rPr>
                <w:rFonts w:hint="eastAsia" w:ascii="仿宋" w:hAnsi="仿宋" w:eastAsia="仿宋" w:cs="仿宋"/>
                <w:color w:val="000000" w:themeColor="text1"/>
                <w:kern w:val="2"/>
                <w:sz w:val="22"/>
                <w:szCs w:val="22"/>
                <w:highlight w:val="none"/>
                <w:lang w:val="en-US" w:eastAsia="zh-CN" w:bidi="ar-SA"/>
                <w14:textFill>
                  <w14:solidFill>
                    <w14:schemeClr w14:val="tx1"/>
                  </w14:solidFill>
                </w14:textFill>
              </w:rPr>
              <w:t>1、</w:t>
            </w:r>
            <w:r>
              <w:rPr>
                <w:rFonts w:hint="eastAsia" w:ascii="仿宋" w:hAnsi="仿宋" w:eastAsia="仿宋" w:cs="仿宋"/>
                <w:color w:val="000000" w:themeColor="text1"/>
                <w:sz w:val="22"/>
                <w:szCs w:val="22"/>
                <w:highlight w:val="none"/>
                <w14:textFill>
                  <w14:solidFill>
                    <w14:schemeClr w14:val="tx1"/>
                  </w14:solidFill>
                </w14:textFill>
              </w:rPr>
              <w:t>投标文件的正本、副本要求各自分装密封（封袋不得有破损），同时在封口处加贴封条并在骑缝处加盖投标人公章</w:t>
            </w:r>
            <w:r>
              <w:rPr>
                <w:rFonts w:hint="eastAsia" w:ascii="仿宋" w:hAnsi="仿宋" w:eastAsia="仿宋" w:cs="仿宋"/>
                <w:color w:val="000000" w:themeColor="text1"/>
                <w:sz w:val="22"/>
                <w:szCs w:val="22"/>
                <w:highlight w:val="none"/>
                <w:lang w:eastAsia="zh-CN"/>
                <w14:textFill>
                  <w14:solidFill>
                    <w14:schemeClr w14:val="tx1"/>
                  </w14:solidFill>
                </w14:textFill>
              </w:rPr>
              <w:t>。</w:t>
            </w:r>
            <w:r>
              <w:rPr>
                <w:rFonts w:hint="eastAsia" w:ascii="仿宋" w:hAnsi="仿宋" w:eastAsia="仿宋" w:cs="仿宋"/>
                <w:color w:val="000000" w:themeColor="text1"/>
                <w:sz w:val="22"/>
                <w:szCs w:val="22"/>
                <w:highlight w:val="none"/>
                <w14:textFill>
                  <w14:solidFill>
                    <w14:schemeClr w14:val="tx1"/>
                  </w14:solidFill>
                </w14:textFill>
              </w:rPr>
              <w:t>封套上应载明的信息：</w:t>
            </w:r>
            <w:r>
              <w:rPr>
                <w:rFonts w:hint="eastAsia" w:ascii="仿宋" w:hAnsi="仿宋" w:eastAsia="仿宋" w:cs="仿宋"/>
                <w:color w:val="000000" w:themeColor="text1"/>
                <w:sz w:val="22"/>
                <w:szCs w:val="22"/>
                <w:highlight w:val="none"/>
                <w:lang w:eastAsia="zh-CN"/>
                <w14:textFill>
                  <w14:solidFill>
                    <w14:schemeClr w14:val="tx1"/>
                  </w14:solidFill>
                </w14:textFill>
              </w:rPr>
              <w:t>项目</w:t>
            </w:r>
            <w:r>
              <w:rPr>
                <w:rFonts w:hint="eastAsia" w:ascii="仿宋" w:hAnsi="仿宋" w:eastAsia="仿宋" w:cs="仿宋"/>
                <w:color w:val="000000" w:themeColor="text1"/>
                <w:sz w:val="22"/>
                <w:szCs w:val="22"/>
                <w:highlight w:val="none"/>
                <w14:textFill>
                  <w14:solidFill>
                    <w14:schemeClr w14:val="tx1"/>
                  </w14:solidFill>
                </w14:textFill>
              </w:rPr>
              <w:t>名称及编号、采购人名称、投标人名称，并注明“</w:t>
            </w:r>
            <w:r>
              <w:rPr>
                <w:rFonts w:hint="eastAsia" w:ascii="仿宋" w:hAnsi="仿宋" w:eastAsia="仿宋" w:cs="仿宋"/>
                <w:color w:val="000000" w:themeColor="text1"/>
                <w:sz w:val="22"/>
                <w:szCs w:val="22"/>
                <w:highlight w:val="none"/>
                <w:u w:val="single"/>
                <w14:textFill>
                  <w14:solidFill>
                    <w14:schemeClr w14:val="tx1"/>
                  </w14:solidFill>
                </w14:textFill>
              </w:rPr>
              <w:t>正副本</w:t>
            </w:r>
            <w:r>
              <w:rPr>
                <w:rFonts w:hint="eastAsia" w:ascii="仿宋" w:hAnsi="仿宋" w:eastAsia="仿宋" w:cs="仿宋"/>
                <w:color w:val="000000" w:themeColor="text1"/>
                <w:sz w:val="22"/>
                <w:szCs w:val="22"/>
                <w:highlight w:val="none"/>
                <w14:textFill>
                  <w14:solidFill>
                    <w14:schemeClr w14:val="tx1"/>
                  </w14:solidFill>
                </w14:textFill>
              </w:rPr>
              <w:t>”及“</w:t>
            </w:r>
            <w:r>
              <w:rPr>
                <w:rFonts w:hint="eastAsia" w:ascii="仿宋" w:hAnsi="仿宋" w:eastAsia="仿宋" w:cs="仿宋"/>
                <w:color w:val="000000" w:themeColor="text1"/>
                <w:sz w:val="22"/>
                <w:szCs w:val="22"/>
                <w:highlight w:val="none"/>
                <w:u w:val="single"/>
                <w14:textFill>
                  <w14:solidFill>
                    <w14:schemeClr w14:val="tx1"/>
                  </w14:solidFill>
                </w14:textFill>
              </w:rPr>
              <w:t xml:space="preserve">在    年  月  </w:t>
            </w:r>
            <w:r>
              <w:rPr>
                <w:rFonts w:hint="eastAsia" w:ascii="仿宋" w:hAnsi="仿宋" w:eastAsia="仿宋" w:cs="仿宋"/>
                <w:color w:val="000000" w:themeColor="text1"/>
                <w:sz w:val="22"/>
                <w:szCs w:val="2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2"/>
                <w:szCs w:val="22"/>
                <w:highlight w:val="none"/>
                <w:u w:val="single"/>
                <w14:textFill>
                  <w14:solidFill>
                    <w14:schemeClr w14:val="tx1"/>
                  </w14:solidFill>
                </w14:textFill>
              </w:rPr>
              <w:t>日  时  分前不得开启</w:t>
            </w:r>
            <w:r>
              <w:rPr>
                <w:rFonts w:hint="eastAsia" w:ascii="仿宋" w:hAnsi="仿宋" w:eastAsia="仿宋" w:cs="仿宋"/>
                <w:color w:val="000000" w:themeColor="text1"/>
                <w:sz w:val="22"/>
                <w:szCs w:val="22"/>
                <w:highlight w:val="none"/>
                <w14:textFill>
                  <w14:solidFill>
                    <w14:schemeClr w14:val="tx1"/>
                  </w14:solidFill>
                </w14:textFill>
              </w:rPr>
              <w:t>”字样</w:t>
            </w:r>
            <w:r>
              <w:rPr>
                <w:rFonts w:hint="eastAsia" w:ascii="仿宋" w:hAnsi="仿宋" w:eastAsia="仿宋" w:cs="仿宋"/>
                <w:color w:val="000000" w:themeColor="text1"/>
                <w:sz w:val="22"/>
                <w:szCs w:val="22"/>
                <w:highlight w:val="none"/>
                <w:lang w:eastAsia="zh-CN"/>
                <w14:textFill>
                  <w14:solidFill>
                    <w14:schemeClr w14:val="tx1"/>
                  </w14:solidFill>
                </w14:textFill>
              </w:rPr>
              <w:t>。</w:t>
            </w:r>
          </w:p>
          <w:p w14:paraId="6A752BDB">
            <w:pPr>
              <w:keepNext w:val="0"/>
              <w:keepLines w:val="0"/>
              <w:pageBreakBefore w:val="0"/>
              <w:widowControl w:val="0"/>
              <w:shd w:val="clear"/>
              <w:kinsoku/>
              <w:wordWrap/>
              <w:overflowPunct/>
              <w:topLinePunct w:val="0"/>
              <w:autoSpaceDE/>
              <w:autoSpaceDN/>
              <w:bidi w:val="0"/>
              <w:adjustRightInd/>
              <w:snapToGrid w:val="0"/>
              <w:spacing w:line="288" w:lineRule="auto"/>
              <w:textAlignment w:val="auto"/>
              <w:rPr>
                <w:rFonts w:hint="eastAsia" w:ascii="仿宋" w:hAnsi="仿宋" w:eastAsia="仿宋" w:cs="仿宋"/>
                <w:color w:val="000000" w:themeColor="text1"/>
                <w:sz w:val="22"/>
                <w:szCs w:val="22"/>
                <w:highlight w:val="none"/>
                <w:lang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2、</w:t>
            </w:r>
            <w:r>
              <w:rPr>
                <w:rFonts w:hint="eastAsia" w:ascii="仿宋" w:hAnsi="仿宋" w:eastAsia="仿宋" w:cs="仿宋"/>
                <w:color w:val="000000" w:themeColor="text1"/>
                <w:sz w:val="22"/>
                <w:szCs w:val="22"/>
                <w:highlight w:val="none"/>
                <w:lang w:eastAsia="zh-CN"/>
                <w14:textFill>
                  <w14:solidFill>
                    <w14:schemeClr w14:val="tx1"/>
                  </w14:solidFill>
                </w14:textFill>
              </w:rPr>
              <w:t>开标一览表</w:t>
            </w:r>
            <w:r>
              <w:rPr>
                <w:rFonts w:hint="eastAsia" w:ascii="仿宋" w:hAnsi="仿宋" w:eastAsia="仿宋" w:cs="仿宋"/>
                <w:color w:val="000000" w:themeColor="text1"/>
                <w:sz w:val="22"/>
                <w:szCs w:val="22"/>
                <w:highlight w:val="none"/>
                <w14:textFill>
                  <w14:solidFill>
                    <w14:schemeClr w14:val="tx1"/>
                  </w14:solidFill>
                </w14:textFill>
              </w:rPr>
              <w:t>要求</w:t>
            </w:r>
            <w:r>
              <w:rPr>
                <w:rFonts w:hint="eastAsia" w:ascii="仿宋" w:hAnsi="仿宋" w:eastAsia="仿宋" w:cs="仿宋"/>
                <w:color w:val="000000" w:themeColor="text1"/>
                <w:sz w:val="22"/>
                <w:szCs w:val="22"/>
                <w:highlight w:val="none"/>
                <w:lang w:val="en-US" w:eastAsia="zh-CN"/>
                <w14:textFill>
                  <w14:solidFill>
                    <w14:schemeClr w14:val="tx1"/>
                  </w14:solidFill>
                </w14:textFill>
              </w:rPr>
              <w:t>单独</w:t>
            </w:r>
            <w:r>
              <w:rPr>
                <w:rFonts w:hint="eastAsia" w:ascii="仿宋" w:hAnsi="仿宋" w:eastAsia="仿宋" w:cs="仿宋"/>
                <w:color w:val="000000" w:themeColor="text1"/>
                <w:sz w:val="22"/>
                <w:szCs w:val="22"/>
                <w:highlight w:val="none"/>
                <w14:textFill>
                  <w14:solidFill>
                    <w14:schemeClr w14:val="tx1"/>
                  </w14:solidFill>
                </w14:textFill>
              </w:rPr>
              <w:t>密封（封袋不得有破损），同时在封口处加贴封条并在骑缝处加盖投标人公章；投标文件电子版U盘用信封包装后随</w:t>
            </w:r>
            <w:r>
              <w:rPr>
                <w:rFonts w:hint="eastAsia" w:ascii="仿宋" w:hAnsi="仿宋" w:eastAsia="仿宋" w:cs="仿宋"/>
                <w:color w:val="000000" w:themeColor="text1"/>
                <w:sz w:val="22"/>
                <w:szCs w:val="22"/>
                <w:highlight w:val="none"/>
                <w:lang w:eastAsia="zh-CN"/>
                <w14:textFill>
                  <w14:solidFill>
                    <w14:schemeClr w14:val="tx1"/>
                  </w14:solidFill>
                </w14:textFill>
              </w:rPr>
              <w:t>开标一览表一起</w:t>
            </w:r>
            <w:r>
              <w:rPr>
                <w:rFonts w:hint="eastAsia" w:ascii="仿宋" w:hAnsi="仿宋" w:eastAsia="仿宋" w:cs="仿宋"/>
                <w:color w:val="000000" w:themeColor="text1"/>
                <w:sz w:val="22"/>
                <w:szCs w:val="22"/>
                <w:highlight w:val="none"/>
                <w14:textFill>
                  <w14:solidFill>
                    <w14:schemeClr w14:val="tx1"/>
                  </w14:solidFill>
                </w14:textFill>
              </w:rPr>
              <w:t>封装</w:t>
            </w:r>
            <w:r>
              <w:rPr>
                <w:rFonts w:hint="eastAsia" w:ascii="仿宋" w:hAnsi="仿宋" w:eastAsia="仿宋" w:cs="仿宋"/>
                <w:color w:val="000000" w:themeColor="text1"/>
                <w:sz w:val="22"/>
                <w:szCs w:val="22"/>
                <w:highlight w:val="none"/>
                <w:lang w:eastAsia="zh-CN"/>
                <w14:textFill>
                  <w14:solidFill>
                    <w14:schemeClr w14:val="tx1"/>
                  </w14:solidFill>
                </w14:textFill>
              </w:rPr>
              <w:t>。</w:t>
            </w:r>
            <w:r>
              <w:rPr>
                <w:rFonts w:hint="eastAsia" w:ascii="仿宋" w:hAnsi="仿宋" w:eastAsia="仿宋" w:cs="仿宋"/>
                <w:color w:val="000000" w:themeColor="text1"/>
                <w:sz w:val="22"/>
                <w:szCs w:val="22"/>
                <w:highlight w:val="none"/>
                <w14:textFill>
                  <w14:solidFill>
                    <w14:schemeClr w14:val="tx1"/>
                  </w14:solidFill>
                </w14:textFill>
              </w:rPr>
              <w:t>封套上应载明的信息：</w:t>
            </w:r>
            <w:r>
              <w:rPr>
                <w:rFonts w:hint="eastAsia" w:ascii="仿宋" w:hAnsi="仿宋" w:eastAsia="仿宋" w:cs="仿宋"/>
                <w:color w:val="000000" w:themeColor="text1"/>
                <w:sz w:val="22"/>
                <w:szCs w:val="22"/>
                <w:highlight w:val="none"/>
                <w:lang w:eastAsia="zh-CN"/>
                <w14:textFill>
                  <w14:solidFill>
                    <w14:schemeClr w14:val="tx1"/>
                  </w14:solidFill>
                </w14:textFill>
              </w:rPr>
              <w:t>项目</w:t>
            </w:r>
            <w:r>
              <w:rPr>
                <w:rFonts w:hint="eastAsia" w:ascii="仿宋" w:hAnsi="仿宋" w:eastAsia="仿宋" w:cs="仿宋"/>
                <w:color w:val="000000" w:themeColor="text1"/>
                <w:sz w:val="22"/>
                <w:szCs w:val="22"/>
                <w:highlight w:val="none"/>
                <w14:textFill>
                  <w14:solidFill>
                    <w14:schemeClr w14:val="tx1"/>
                  </w14:solidFill>
                </w14:textFill>
              </w:rPr>
              <w:t>名称及编号、采购人名称、投标人名称，并注明“</w:t>
            </w:r>
            <w:r>
              <w:rPr>
                <w:rFonts w:hint="eastAsia" w:ascii="仿宋" w:hAnsi="仿宋" w:eastAsia="仿宋" w:cs="仿宋"/>
                <w:color w:val="000000" w:themeColor="text1"/>
                <w:sz w:val="22"/>
                <w:szCs w:val="22"/>
                <w:highlight w:val="none"/>
                <w:lang w:eastAsia="zh-CN"/>
                <w14:textFill>
                  <w14:solidFill>
                    <w14:schemeClr w14:val="tx1"/>
                  </w14:solidFill>
                </w14:textFill>
              </w:rPr>
              <w:t>开标一览表及电子版</w:t>
            </w:r>
            <w:r>
              <w:rPr>
                <w:rFonts w:hint="eastAsia" w:ascii="仿宋" w:hAnsi="仿宋" w:eastAsia="仿宋" w:cs="仿宋"/>
                <w:color w:val="000000" w:themeColor="text1"/>
                <w:sz w:val="22"/>
                <w:szCs w:val="22"/>
                <w:highlight w:val="none"/>
                <w:lang w:val="en-US" w:eastAsia="zh-CN"/>
                <w14:textFill>
                  <w14:solidFill>
                    <w14:schemeClr w14:val="tx1"/>
                  </w14:solidFill>
                </w14:textFill>
              </w:rPr>
              <w:t>U盘</w:t>
            </w:r>
            <w:r>
              <w:rPr>
                <w:rFonts w:hint="eastAsia" w:ascii="仿宋" w:hAnsi="仿宋" w:eastAsia="仿宋" w:cs="仿宋"/>
                <w:color w:val="000000" w:themeColor="text1"/>
                <w:sz w:val="22"/>
                <w:szCs w:val="22"/>
                <w:highlight w:val="none"/>
                <w14:textFill>
                  <w14:solidFill>
                    <w14:schemeClr w14:val="tx1"/>
                  </w14:solidFill>
                </w14:textFill>
              </w:rPr>
              <w:t>”及“</w:t>
            </w:r>
            <w:r>
              <w:rPr>
                <w:rFonts w:hint="eastAsia" w:ascii="仿宋" w:hAnsi="仿宋" w:eastAsia="仿宋" w:cs="仿宋"/>
                <w:color w:val="000000" w:themeColor="text1"/>
                <w:sz w:val="22"/>
                <w:szCs w:val="22"/>
                <w:highlight w:val="none"/>
                <w:u w:val="single"/>
                <w14:textFill>
                  <w14:solidFill>
                    <w14:schemeClr w14:val="tx1"/>
                  </w14:solidFill>
                </w14:textFill>
              </w:rPr>
              <w:t>在    年  月  日  时  分前不得开启</w:t>
            </w:r>
            <w:r>
              <w:rPr>
                <w:rFonts w:hint="eastAsia" w:ascii="仿宋" w:hAnsi="仿宋" w:eastAsia="仿宋" w:cs="仿宋"/>
                <w:color w:val="000000" w:themeColor="text1"/>
                <w:sz w:val="22"/>
                <w:szCs w:val="22"/>
                <w:highlight w:val="none"/>
                <w14:textFill>
                  <w14:solidFill>
                    <w14:schemeClr w14:val="tx1"/>
                  </w14:solidFill>
                </w14:textFill>
              </w:rPr>
              <w:t>”字样</w:t>
            </w:r>
            <w:r>
              <w:rPr>
                <w:rFonts w:hint="eastAsia" w:ascii="仿宋" w:hAnsi="仿宋" w:eastAsia="仿宋" w:cs="仿宋"/>
                <w:color w:val="000000" w:themeColor="text1"/>
                <w:sz w:val="22"/>
                <w:szCs w:val="22"/>
                <w:highlight w:val="none"/>
                <w:lang w:eastAsia="zh-CN"/>
                <w14:textFill>
                  <w14:solidFill>
                    <w14:schemeClr w14:val="tx1"/>
                  </w14:solidFill>
                </w14:textFill>
              </w:rPr>
              <w:t>。</w:t>
            </w:r>
          </w:p>
        </w:tc>
      </w:tr>
      <w:tr w14:paraId="0580B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14:paraId="0F807AE6">
            <w:pPr>
              <w:shd w:val="clear"/>
              <w:snapToGrid w:val="0"/>
              <w:jc w:val="center"/>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23</w:t>
            </w:r>
          </w:p>
        </w:tc>
        <w:tc>
          <w:tcPr>
            <w:tcW w:w="2017" w:type="dxa"/>
            <w:vAlign w:val="center"/>
          </w:tcPr>
          <w:p w14:paraId="4FC1D2A2">
            <w:pPr>
              <w:pStyle w:val="151"/>
              <w:jc w:val="center"/>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投标文件递交</w:t>
            </w:r>
          </w:p>
          <w:p w14:paraId="3FA3F12B">
            <w:pPr>
              <w:pStyle w:val="151"/>
              <w:jc w:val="center"/>
              <w:rPr>
                <w:rFonts w:hint="eastAsia" w:ascii="仿宋" w:hAnsi="仿宋" w:eastAsia="仿宋" w:cs="仿宋"/>
                <w:color w:val="000000" w:themeColor="text1"/>
                <w:sz w:val="22"/>
                <w:szCs w:val="22"/>
                <w:highlight w:val="none"/>
                <w:lang w:val="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截止时间</w:t>
            </w:r>
          </w:p>
        </w:tc>
        <w:tc>
          <w:tcPr>
            <w:tcW w:w="7464" w:type="dxa"/>
            <w:vAlign w:val="center"/>
          </w:tcPr>
          <w:p w14:paraId="4A0CEC45">
            <w:pPr>
              <w:pStyle w:val="249"/>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lang w:val="zh-CN"/>
                <w14:textFill>
                  <w14:solidFill>
                    <w14:schemeClr w14:val="tx1"/>
                  </w14:solidFill>
                </w14:textFill>
              </w:rPr>
              <w:t>同</w:t>
            </w:r>
            <w:r>
              <w:rPr>
                <w:rFonts w:hint="eastAsia" w:ascii="仿宋" w:hAnsi="仿宋" w:eastAsia="仿宋" w:cs="仿宋"/>
                <w:color w:val="000000" w:themeColor="text1"/>
                <w:sz w:val="22"/>
                <w:szCs w:val="22"/>
                <w:lang w:val="en-US" w:eastAsia="zh-CN"/>
                <w14:textFill>
                  <w14:solidFill>
                    <w14:schemeClr w14:val="tx1"/>
                  </w14:solidFill>
                </w14:textFill>
              </w:rPr>
              <w:t>招标</w:t>
            </w:r>
            <w:r>
              <w:rPr>
                <w:rFonts w:hint="eastAsia" w:ascii="仿宋" w:hAnsi="仿宋" w:eastAsia="仿宋" w:cs="仿宋"/>
                <w:color w:val="000000" w:themeColor="text1"/>
                <w:sz w:val="22"/>
                <w:szCs w:val="22"/>
                <w:lang w:val="zh-CN"/>
                <w14:textFill>
                  <w14:solidFill>
                    <w14:schemeClr w14:val="tx1"/>
                  </w14:solidFill>
                </w14:textFill>
              </w:rPr>
              <w:t>公告载明的时间</w:t>
            </w:r>
            <w:r>
              <w:rPr>
                <w:rFonts w:hint="eastAsia" w:ascii="仿宋" w:hAnsi="仿宋" w:eastAsia="仿宋" w:cs="仿宋"/>
                <w:color w:val="000000" w:themeColor="text1"/>
                <w:sz w:val="22"/>
                <w:szCs w:val="22"/>
                <w:lang w:val="en-US" w:eastAsia="zh-CN"/>
                <w14:textFill>
                  <w14:solidFill>
                    <w14:schemeClr w14:val="tx1"/>
                  </w14:solidFill>
                </w14:textFill>
              </w:rPr>
              <w:t>一致</w:t>
            </w:r>
          </w:p>
        </w:tc>
      </w:tr>
      <w:tr w14:paraId="7824A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718" w:type="dxa"/>
            <w:vAlign w:val="center"/>
          </w:tcPr>
          <w:p w14:paraId="684DC84B">
            <w:pPr>
              <w:shd w:val="clear"/>
              <w:snapToGrid w:val="0"/>
              <w:jc w:val="center"/>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24</w:t>
            </w:r>
          </w:p>
        </w:tc>
        <w:tc>
          <w:tcPr>
            <w:tcW w:w="2017" w:type="dxa"/>
            <w:vAlign w:val="center"/>
          </w:tcPr>
          <w:p w14:paraId="6ACD59A2">
            <w:pPr>
              <w:pStyle w:val="151"/>
              <w:jc w:val="center"/>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投标文件递交</w:t>
            </w:r>
          </w:p>
          <w:p w14:paraId="266B214F">
            <w:pPr>
              <w:pStyle w:val="151"/>
              <w:jc w:val="center"/>
              <w:rPr>
                <w:rFonts w:hint="eastAsia" w:ascii="仿宋" w:hAnsi="仿宋" w:eastAsia="仿宋" w:cs="仿宋"/>
                <w:color w:val="000000" w:themeColor="text1"/>
                <w:sz w:val="22"/>
                <w:szCs w:val="22"/>
                <w:highlight w:val="none"/>
                <w:lang w:val="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地点</w:t>
            </w:r>
          </w:p>
        </w:tc>
        <w:tc>
          <w:tcPr>
            <w:tcW w:w="7464" w:type="dxa"/>
            <w:vAlign w:val="center"/>
          </w:tcPr>
          <w:p w14:paraId="18ACFB4D">
            <w:pPr>
              <w:pStyle w:val="151"/>
              <w:spacing w:line="320" w:lineRule="exact"/>
              <w:jc w:val="both"/>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lang w:val="zh-CN"/>
                <w14:textFill>
                  <w14:solidFill>
                    <w14:schemeClr w14:val="tx1"/>
                  </w14:solidFill>
                </w14:textFill>
              </w:rPr>
              <w:t>同</w:t>
            </w:r>
            <w:r>
              <w:rPr>
                <w:rFonts w:hint="eastAsia" w:ascii="仿宋" w:hAnsi="仿宋" w:eastAsia="仿宋" w:cs="仿宋"/>
                <w:color w:val="000000" w:themeColor="text1"/>
                <w:sz w:val="22"/>
                <w:szCs w:val="22"/>
                <w:lang w:val="en-US" w:eastAsia="zh-CN"/>
                <w14:textFill>
                  <w14:solidFill>
                    <w14:schemeClr w14:val="tx1"/>
                  </w14:solidFill>
                </w14:textFill>
              </w:rPr>
              <w:t>招标</w:t>
            </w:r>
            <w:r>
              <w:rPr>
                <w:rFonts w:hint="eastAsia" w:ascii="仿宋" w:hAnsi="仿宋" w:eastAsia="仿宋" w:cs="仿宋"/>
                <w:color w:val="000000" w:themeColor="text1"/>
                <w:sz w:val="22"/>
                <w:szCs w:val="22"/>
                <w:lang w:val="zh-CN"/>
                <w14:textFill>
                  <w14:solidFill>
                    <w14:schemeClr w14:val="tx1"/>
                  </w14:solidFill>
                </w14:textFill>
              </w:rPr>
              <w:t>公告载明的</w:t>
            </w:r>
            <w:r>
              <w:rPr>
                <w:rFonts w:hint="eastAsia" w:ascii="仿宋" w:hAnsi="仿宋" w:eastAsia="仿宋" w:cs="仿宋"/>
                <w:color w:val="000000" w:themeColor="text1"/>
                <w:sz w:val="22"/>
                <w:szCs w:val="22"/>
                <w:lang w:val="en-US" w:eastAsia="zh-CN"/>
                <w14:textFill>
                  <w14:solidFill>
                    <w14:schemeClr w14:val="tx1"/>
                  </w14:solidFill>
                </w14:textFill>
              </w:rPr>
              <w:t>地点一致</w:t>
            </w:r>
          </w:p>
        </w:tc>
      </w:tr>
      <w:tr w14:paraId="28C41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18" w:type="dxa"/>
            <w:vAlign w:val="center"/>
          </w:tcPr>
          <w:p w14:paraId="58B347B0">
            <w:pPr>
              <w:shd w:val="clear"/>
              <w:snapToGrid w:val="0"/>
              <w:jc w:val="center"/>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25</w:t>
            </w:r>
          </w:p>
        </w:tc>
        <w:tc>
          <w:tcPr>
            <w:tcW w:w="2017" w:type="dxa"/>
            <w:vAlign w:val="center"/>
          </w:tcPr>
          <w:p w14:paraId="07C725F1">
            <w:pPr>
              <w:pStyle w:val="151"/>
              <w:jc w:val="center"/>
              <w:rPr>
                <w:rFonts w:hint="eastAsia" w:ascii="仿宋" w:hAnsi="仿宋" w:eastAsia="仿宋" w:cs="仿宋"/>
                <w:color w:val="000000" w:themeColor="text1"/>
                <w:sz w:val="22"/>
                <w:szCs w:val="22"/>
                <w:highlight w:val="none"/>
                <w:lang w:val="zh-CN"/>
                <w14:textFill>
                  <w14:solidFill>
                    <w14:schemeClr w14:val="tx1"/>
                  </w14:solidFill>
                </w14:textFill>
              </w:rPr>
            </w:pPr>
            <w:r>
              <w:rPr>
                <w:rFonts w:hint="eastAsia" w:ascii="仿宋" w:hAnsi="仿宋" w:eastAsia="仿宋" w:cs="仿宋"/>
                <w:color w:val="000000" w:themeColor="text1"/>
                <w:sz w:val="22"/>
                <w:szCs w:val="22"/>
                <w:lang w:val="zh-CN"/>
                <w14:textFill>
                  <w14:solidFill>
                    <w14:schemeClr w14:val="tx1"/>
                  </w14:solidFill>
                </w14:textFill>
              </w:rPr>
              <w:t>开启</w:t>
            </w:r>
            <w:r>
              <w:rPr>
                <w:rFonts w:hint="eastAsia" w:ascii="仿宋" w:hAnsi="仿宋" w:eastAsia="仿宋" w:cs="仿宋"/>
                <w:color w:val="000000" w:themeColor="text1"/>
                <w:sz w:val="22"/>
                <w:szCs w:val="22"/>
                <w:lang w:val="en-US" w:eastAsia="zh-CN"/>
                <w14:textFill>
                  <w14:solidFill>
                    <w14:schemeClr w14:val="tx1"/>
                  </w14:solidFill>
                </w14:textFill>
              </w:rPr>
              <w:t>投标</w:t>
            </w:r>
            <w:r>
              <w:rPr>
                <w:rFonts w:hint="eastAsia" w:ascii="仿宋" w:hAnsi="仿宋" w:eastAsia="仿宋" w:cs="仿宋"/>
                <w:color w:val="000000" w:themeColor="text1"/>
                <w:sz w:val="22"/>
                <w:szCs w:val="22"/>
                <w:lang w:val="zh-CN"/>
                <w14:textFill>
                  <w14:solidFill>
                    <w14:schemeClr w14:val="tx1"/>
                  </w14:solidFill>
                </w14:textFill>
              </w:rPr>
              <w:t>文件时间和地点</w:t>
            </w:r>
          </w:p>
        </w:tc>
        <w:tc>
          <w:tcPr>
            <w:tcW w:w="7464" w:type="dxa"/>
            <w:vAlign w:val="center"/>
          </w:tcPr>
          <w:p w14:paraId="41D5AED3">
            <w:pPr>
              <w:pStyle w:val="151"/>
              <w:rPr>
                <w:rFonts w:hint="eastAsia" w:ascii="仿宋" w:hAnsi="仿宋" w:eastAsia="仿宋" w:cs="仿宋"/>
                <w:color w:val="000000" w:themeColor="text1"/>
                <w:sz w:val="22"/>
                <w:szCs w:val="22"/>
                <w:lang w:val="zh-CN"/>
                <w14:textFill>
                  <w14:solidFill>
                    <w14:schemeClr w14:val="tx1"/>
                  </w14:solidFill>
                </w14:textFill>
              </w:rPr>
            </w:pPr>
            <w:r>
              <w:rPr>
                <w:rFonts w:hint="eastAsia" w:ascii="仿宋" w:hAnsi="仿宋" w:eastAsia="仿宋" w:cs="仿宋"/>
                <w:color w:val="000000" w:themeColor="text1"/>
                <w:sz w:val="22"/>
                <w:szCs w:val="22"/>
                <w:lang w:val="zh-CN"/>
                <w14:textFill>
                  <w14:solidFill>
                    <w14:schemeClr w14:val="tx1"/>
                  </w14:solidFill>
                </w14:textFill>
              </w:rPr>
              <w:t>开启</w:t>
            </w:r>
            <w:r>
              <w:rPr>
                <w:rFonts w:hint="eastAsia" w:ascii="仿宋" w:hAnsi="仿宋" w:eastAsia="仿宋" w:cs="仿宋"/>
                <w:color w:val="000000" w:themeColor="text1"/>
                <w:sz w:val="22"/>
                <w:szCs w:val="22"/>
                <w:lang w:val="en-US" w:eastAsia="zh-CN"/>
                <w14:textFill>
                  <w14:solidFill>
                    <w14:schemeClr w14:val="tx1"/>
                  </w14:solidFill>
                </w14:textFill>
              </w:rPr>
              <w:t>投标</w:t>
            </w:r>
            <w:r>
              <w:rPr>
                <w:rFonts w:hint="eastAsia" w:ascii="仿宋" w:hAnsi="仿宋" w:eastAsia="仿宋" w:cs="仿宋"/>
                <w:color w:val="000000" w:themeColor="text1"/>
                <w:sz w:val="22"/>
                <w:szCs w:val="22"/>
                <w:lang w:val="zh-CN"/>
                <w14:textFill>
                  <w14:solidFill>
                    <w14:schemeClr w14:val="tx1"/>
                  </w14:solidFill>
                </w14:textFill>
              </w:rPr>
              <w:t>文件时间：同</w:t>
            </w:r>
            <w:r>
              <w:rPr>
                <w:rFonts w:hint="eastAsia" w:ascii="仿宋" w:hAnsi="仿宋" w:eastAsia="仿宋" w:cs="仿宋"/>
                <w:color w:val="000000" w:themeColor="text1"/>
                <w:sz w:val="22"/>
                <w:szCs w:val="22"/>
                <w:lang w:val="en-US" w:eastAsia="zh-CN"/>
                <w14:textFill>
                  <w14:solidFill>
                    <w14:schemeClr w14:val="tx1"/>
                  </w14:solidFill>
                </w14:textFill>
              </w:rPr>
              <w:t>招标</w:t>
            </w:r>
            <w:r>
              <w:rPr>
                <w:rFonts w:hint="eastAsia" w:ascii="仿宋" w:hAnsi="仿宋" w:eastAsia="仿宋" w:cs="仿宋"/>
                <w:color w:val="000000" w:themeColor="text1"/>
                <w:sz w:val="22"/>
                <w:szCs w:val="22"/>
                <w:lang w:val="zh-CN"/>
                <w14:textFill>
                  <w14:solidFill>
                    <w14:schemeClr w14:val="tx1"/>
                  </w14:solidFill>
                </w14:textFill>
              </w:rPr>
              <w:t>公告载明的时间</w:t>
            </w:r>
            <w:r>
              <w:rPr>
                <w:rFonts w:hint="eastAsia" w:ascii="仿宋" w:hAnsi="仿宋" w:eastAsia="仿宋" w:cs="仿宋"/>
                <w:color w:val="000000" w:themeColor="text1"/>
                <w:sz w:val="22"/>
                <w:szCs w:val="22"/>
                <w:lang w:val="en-US" w:eastAsia="zh-CN"/>
                <w14:textFill>
                  <w14:solidFill>
                    <w14:schemeClr w14:val="tx1"/>
                  </w14:solidFill>
                </w14:textFill>
              </w:rPr>
              <w:t>一致</w:t>
            </w:r>
          </w:p>
          <w:p w14:paraId="3007E53D">
            <w:pPr>
              <w:pStyle w:val="151"/>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lang w:val="zh-CN"/>
                <w14:textFill>
                  <w14:solidFill>
                    <w14:schemeClr w14:val="tx1"/>
                  </w14:solidFill>
                </w14:textFill>
              </w:rPr>
              <w:t>开启</w:t>
            </w:r>
            <w:r>
              <w:rPr>
                <w:rFonts w:hint="eastAsia" w:ascii="仿宋" w:hAnsi="仿宋" w:eastAsia="仿宋" w:cs="仿宋"/>
                <w:color w:val="000000" w:themeColor="text1"/>
                <w:sz w:val="22"/>
                <w:szCs w:val="22"/>
                <w:lang w:val="en-US" w:eastAsia="zh-CN"/>
                <w14:textFill>
                  <w14:solidFill>
                    <w14:schemeClr w14:val="tx1"/>
                  </w14:solidFill>
                </w14:textFill>
              </w:rPr>
              <w:t>投标</w:t>
            </w:r>
            <w:r>
              <w:rPr>
                <w:rFonts w:hint="eastAsia" w:ascii="仿宋" w:hAnsi="仿宋" w:eastAsia="仿宋" w:cs="仿宋"/>
                <w:color w:val="000000" w:themeColor="text1"/>
                <w:sz w:val="22"/>
                <w:szCs w:val="22"/>
                <w:lang w:val="zh-CN"/>
                <w14:textFill>
                  <w14:solidFill>
                    <w14:schemeClr w14:val="tx1"/>
                  </w14:solidFill>
                </w14:textFill>
              </w:rPr>
              <w:t>文件地点：同</w:t>
            </w:r>
            <w:r>
              <w:rPr>
                <w:rFonts w:hint="eastAsia" w:ascii="仿宋" w:hAnsi="仿宋" w:eastAsia="仿宋" w:cs="仿宋"/>
                <w:color w:val="000000" w:themeColor="text1"/>
                <w:sz w:val="22"/>
                <w:szCs w:val="22"/>
                <w:lang w:val="en-US" w:eastAsia="zh-CN"/>
                <w14:textFill>
                  <w14:solidFill>
                    <w14:schemeClr w14:val="tx1"/>
                  </w14:solidFill>
                </w14:textFill>
              </w:rPr>
              <w:t>招标</w:t>
            </w:r>
            <w:r>
              <w:rPr>
                <w:rFonts w:hint="eastAsia" w:ascii="仿宋" w:hAnsi="仿宋" w:eastAsia="仿宋" w:cs="仿宋"/>
                <w:color w:val="000000" w:themeColor="text1"/>
                <w:sz w:val="22"/>
                <w:szCs w:val="22"/>
                <w:lang w:val="zh-CN"/>
                <w14:textFill>
                  <w14:solidFill>
                    <w14:schemeClr w14:val="tx1"/>
                  </w14:solidFill>
                </w14:textFill>
              </w:rPr>
              <w:t>公告载明的</w:t>
            </w:r>
            <w:r>
              <w:rPr>
                <w:rFonts w:hint="eastAsia" w:ascii="仿宋" w:hAnsi="仿宋" w:eastAsia="仿宋" w:cs="仿宋"/>
                <w:color w:val="000000" w:themeColor="text1"/>
                <w:sz w:val="22"/>
                <w:szCs w:val="22"/>
                <w:lang w:val="en-US" w:eastAsia="zh-CN"/>
                <w14:textFill>
                  <w14:solidFill>
                    <w14:schemeClr w14:val="tx1"/>
                  </w14:solidFill>
                </w14:textFill>
              </w:rPr>
              <w:t>地点一致</w:t>
            </w:r>
          </w:p>
        </w:tc>
      </w:tr>
      <w:tr w14:paraId="2FD47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Merge w:val="restart"/>
            <w:vAlign w:val="center"/>
          </w:tcPr>
          <w:p w14:paraId="2C0D77ED">
            <w:pPr>
              <w:shd w:val="clear"/>
              <w:snapToGrid w:val="0"/>
              <w:jc w:val="center"/>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26</w:t>
            </w:r>
          </w:p>
        </w:tc>
        <w:tc>
          <w:tcPr>
            <w:tcW w:w="2017" w:type="dxa"/>
            <w:vAlign w:val="center"/>
          </w:tcPr>
          <w:p w14:paraId="72C26851">
            <w:pPr>
              <w:shd w:val="clear"/>
              <w:snapToGrid w:val="0"/>
              <w:ind w:firstLine="440" w:firstLineChars="200"/>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lang w:val="zh-CN"/>
                <w14:textFill>
                  <w14:solidFill>
                    <w14:schemeClr w14:val="tx1"/>
                  </w14:solidFill>
                </w14:textFill>
              </w:rPr>
              <w:t>评标</w:t>
            </w:r>
            <w:r>
              <w:rPr>
                <w:rFonts w:hint="eastAsia" w:ascii="仿宋" w:hAnsi="仿宋" w:eastAsia="仿宋" w:cs="仿宋"/>
                <w:color w:val="000000" w:themeColor="text1"/>
                <w:sz w:val="22"/>
                <w:szCs w:val="22"/>
                <w:highlight w:val="none"/>
                <w14:textFill>
                  <w14:solidFill>
                    <w14:schemeClr w14:val="tx1"/>
                  </w14:solidFill>
                </w14:textFill>
              </w:rPr>
              <w:t>办法</w:t>
            </w:r>
          </w:p>
        </w:tc>
        <w:tc>
          <w:tcPr>
            <w:tcW w:w="7464" w:type="dxa"/>
            <w:vAlign w:val="center"/>
          </w:tcPr>
          <w:p w14:paraId="55508661">
            <w:pPr>
              <w:keepNext w:val="0"/>
              <w:keepLines w:val="0"/>
              <w:pageBreakBefore w:val="0"/>
              <w:shd w:val="clear"/>
              <w:kinsoku/>
              <w:wordWrap/>
              <w:overflowPunct/>
              <w:topLinePunct w:val="0"/>
              <w:autoSpaceDE/>
              <w:autoSpaceDN/>
              <w:bidi w:val="0"/>
              <w:snapToGrid w:val="0"/>
              <w:spacing w:line="288" w:lineRule="auto"/>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详见招标文件第</w:t>
            </w:r>
            <w:r>
              <w:rPr>
                <w:rFonts w:hint="eastAsia" w:ascii="仿宋" w:hAnsi="仿宋" w:eastAsia="仿宋" w:cs="仿宋"/>
                <w:color w:val="000000" w:themeColor="text1"/>
                <w:sz w:val="22"/>
                <w:szCs w:val="22"/>
                <w:highlight w:val="none"/>
                <w:lang w:val="en-US" w:eastAsia="zh-CN"/>
                <w14:textFill>
                  <w14:solidFill>
                    <w14:schemeClr w14:val="tx1"/>
                  </w14:solidFill>
                </w14:textFill>
              </w:rPr>
              <w:t>四</w:t>
            </w:r>
            <w:r>
              <w:rPr>
                <w:rFonts w:hint="eastAsia" w:ascii="仿宋" w:hAnsi="仿宋" w:eastAsia="仿宋" w:cs="仿宋"/>
                <w:color w:val="000000" w:themeColor="text1"/>
                <w:sz w:val="22"/>
                <w:szCs w:val="22"/>
                <w:highlight w:val="none"/>
                <w14:textFill>
                  <w14:solidFill>
                    <w14:schemeClr w14:val="tx1"/>
                  </w14:solidFill>
                </w14:textFill>
              </w:rPr>
              <w:t>章</w:t>
            </w:r>
          </w:p>
        </w:tc>
      </w:tr>
      <w:tr w14:paraId="3D3AC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Merge w:val="continue"/>
            <w:vAlign w:val="center"/>
          </w:tcPr>
          <w:p w14:paraId="62A2B58A">
            <w:pPr>
              <w:shd w:val="clear"/>
              <w:snapToGrid w:val="0"/>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2017" w:type="dxa"/>
            <w:vAlign w:val="center"/>
          </w:tcPr>
          <w:p w14:paraId="7F658C28">
            <w:pPr>
              <w:pStyle w:val="151"/>
              <w:shd w:val="clear"/>
              <w:jc w:val="both"/>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lang w:val="zh-CN"/>
                <w14:textFill>
                  <w14:solidFill>
                    <w14:schemeClr w14:val="tx1"/>
                  </w14:solidFill>
                </w14:textFill>
              </w:rPr>
              <w:t>评标委员会推荐中标候选人的人数</w:t>
            </w:r>
          </w:p>
        </w:tc>
        <w:tc>
          <w:tcPr>
            <w:tcW w:w="7464" w:type="dxa"/>
            <w:vAlign w:val="center"/>
          </w:tcPr>
          <w:p w14:paraId="42B13632">
            <w:pPr>
              <w:keepNext w:val="0"/>
              <w:keepLines w:val="0"/>
              <w:pageBreakBefore w:val="0"/>
              <w:shd w:val="clear"/>
              <w:kinsoku/>
              <w:wordWrap/>
              <w:overflowPunct/>
              <w:topLinePunct w:val="0"/>
              <w:autoSpaceDE/>
              <w:autoSpaceDN/>
              <w:bidi w:val="0"/>
              <w:snapToGrid w:val="0"/>
              <w:spacing w:line="288" w:lineRule="auto"/>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kern w:val="2"/>
                <w:sz w:val="22"/>
                <w:szCs w:val="22"/>
                <w:highlight w:val="none"/>
                <w:lang w:val="zh-CN"/>
                <w14:textFill>
                  <w14:solidFill>
                    <w14:schemeClr w14:val="tx1"/>
                  </w14:solidFill>
                </w14:textFill>
              </w:rPr>
              <w:t>推荐中标候选</w:t>
            </w:r>
            <w:r>
              <w:rPr>
                <w:rFonts w:hint="eastAsia" w:ascii="仿宋" w:hAnsi="仿宋" w:eastAsia="仿宋" w:cs="仿宋"/>
                <w:color w:val="000000" w:themeColor="text1"/>
                <w:kern w:val="2"/>
                <w:sz w:val="22"/>
                <w:szCs w:val="22"/>
                <w:highlight w:val="none"/>
                <w:lang w:val="en-US" w:eastAsia="zh-CN"/>
                <w14:textFill>
                  <w14:solidFill>
                    <w14:schemeClr w14:val="tx1"/>
                  </w14:solidFill>
                </w14:textFill>
              </w:rPr>
              <w:t>人的</w:t>
            </w:r>
            <w:r>
              <w:rPr>
                <w:rFonts w:hint="eastAsia" w:ascii="仿宋" w:hAnsi="仿宋" w:eastAsia="仿宋" w:cs="仿宋"/>
                <w:color w:val="000000" w:themeColor="text1"/>
                <w:kern w:val="2"/>
                <w:sz w:val="22"/>
                <w:szCs w:val="22"/>
                <w:highlight w:val="none"/>
                <w:lang w:val="zh-CN"/>
                <w14:textFill>
                  <w14:solidFill>
                    <w14:schemeClr w14:val="tx1"/>
                  </w14:solidFill>
                </w14:textFill>
              </w:rPr>
              <w:t>人数</w:t>
            </w:r>
            <w:r>
              <w:rPr>
                <w:rFonts w:hint="eastAsia" w:ascii="仿宋" w:hAnsi="仿宋" w:eastAsia="仿宋" w:cs="仿宋"/>
                <w:color w:val="000000" w:themeColor="text1"/>
                <w:kern w:val="2"/>
                <w:sz w:val="22"/>
                <w:szCs w:val="22"/>
                <w:highlight w:val="none"/>
                <w:lang w:val="en-US" w:eastAsia="zh-CN"/>
                <w14:textFill>
                  <w14:solidFill>
                    <w14:schemeClr w14:val="tx1"/>
                  </w14:solidFill>
                </w14:textFill>
              </w:rPr>
              <w:t>为</w:t>
            </w:r>
            <w:r>
              <w:rPr>
                <w:rFonts w:hint="eastAsia" w:ascii="仿宋" w:hAnsi="仿宋" w:eastAsia="仿宋" w:cs="仿宋"/>
                <w:color w:val="000000" w:themeColor="text1"/>
                <w:kern w:val="2"/>
                <w:sz w:val="22"/>
                <w:szCs w:val="2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2"/>
                <w:szCs w:val="22"/>
                <w:highlight w:val="none"/>
                <w:u w:val="single"/>
                <w14:textFill>
                  <w14:solidFill>
                    <w14:schemeClr w14:val="tx1"/>
                  </w14:solidFill>
                </w14:textFill>
              </w:rPr>
              <w:t>3</w:t>
            </w:r>
            <w:r>
              <w:rPr>
                <w:rFonts w:hint="eastAsia" w:ascii="仿宋" w:hAnsi="仿宋" w:eastAsia="仿宋" w:cs="仿宋"/>
                <w:color w:val="000000" w:themeColor="text1"/>
                <w:sz w:val="22"/>
                <w:szCs w:val="2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2"/>
                <w:szCs w:val="22"/>
                <w:highlight w:val="none"/>
                <w:u w:val="none"/>
                <w:lang w:val="en-US" w:eastAsia="zh-CN"/>
                <w14:textFill>
                  <w14:solidFill>
                    <w14:schemeClr w14:val="tx1"/>
                  </w14:solidFill>
                </w14:textFill>
              </w:rPr>
              <w:t>人</w:t>
            </w:r>
          </w:p>
        </w:tc>
      </w:tr>
      <w:tr w14:paraId="17965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Merge w:val="continue"/>
            <w:vAlign w:val="center"/>
          </w:tcPr>
          <w:p w14:paraId="104ED1B7">
            <w:pPr>
              <w:shd w:val="clear"/>
              <w:snapToGrid w:val="0"/>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2017" w:type="dxa"/>
            <w:vAlign w:val="center"/>
          </w:tcPr>
          <w:p w14:paraId="09A16CFC">
            <w:pPr>
              <w:shd w:val="clear"/>
              <w:snapToGrid w:val="0"/>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lang w:val="zh-CN"/>
                <w14:textFill>
                  <w14:solidFill>
                    <w14:schemeClr w14:val="tx1"/>
                  </w14:solidFill>
                </w14:textFill>
              </w:rPr>
              <w:t>是否授权评标委员会确定中标人</w:t>
            </w:r>
          </w:p>
        </w:tc>
        <w:tc>
          <w:tcPr>
            <w:tcW w:w="7464" w:type="dxa"/>
            <w:vAlign w:val="center"/>
          </w:tcPr>
          <w:p w14:paraId="72A57BE3">
            <w:pPr>
              <w:keepNext w:val="0"/>
              <w:keepLines w:val="0"/>
              <w:pageBreakBefore w:val="0"/>
              <w:shd w:val="clear"/>
              <w:kinsoku/>
              <w:wordWrap/>
              <w:overflowPunct/>
              <w:topLinePunct w:val="0"/>
              <w:autoSpaceDE/>
              <w:autoSpaceDN/>
              <w:bidi w:val="0"/>
              <w:snapToGrid w:val="0"/>
              <w:spacing w:line="288" w:lineRule="auto"/>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否</w:t>
            </w:r>
          </w:p>
        </w:tc>
      </w:tr>
      <w:tr w14:paraId="3A514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8" w:type="dxa"/>
            <w:vAlign w:val="center"/>
          </w:tcPr>
          <w:p w14:paraId="0378A6C9">
            <w:pPr>
              <w:shd w:val="clear"/>
              <w:snapToGrid w:val="0"/>
              <w:jc w:val="center"/>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27</w:t>
            </w:r>
          </w:p>
        </w:tc>
        <w:tc>
          <w:tcPr>
            <w:tcW w:w="2017" w:type="dxa"/>
            <w:vAlign w:val="center"/>
          </w:tcPr>
          <w:p w14:paraId="7C2888FF">
            <w:pPr>
              <w:pStyle w:val="151"/>
              <w:shd w:val="clear"/>
              <w:ind w:left="96"/>
              <w:jc w:val="center"/>
              <w:rPr>
                <w:rFonts w:hint="eastAsia" w:ascii="仿宋" w:hAnsi="仿宋" w:eastAsia="仿宋" w:cs="仿宋"/>
                <w:color w:val="000000" w:themeColor="text1"/>
                <w:kern w:val="2"/>
                <w:sz w:val="22"/>
                <w:szCs w:val="22"/>
                <w:highlight w:val="none"/>
                <w:lang w:val="zh-CN"/>
                <w14:textFill>
                  <w14:solidFill>
                    <w14:schemeClr w14:val="tx1"/>
                  </w14:solidFill>
                </w14:textFill>
              </w:rPr>
            </w:pPr>
            <w:r>
              <w:rPr>
                <w:rFonts w:hint="eastAsia" w:ascii="仿宋" w:hAnsi="仿宋" w:eastAsia="仿宋" w:cs="仿宋"/>
                <w:color w:val="000000" w:themeColor="text1"/>
                <w:kern w:val="2"/>
                <w:sz w:val="22"/>
                <w:szCs w:val="22"/>
                <w:highlight w:val="none"/>
                <w:lang w:val="zh-CN"/>
                <w14:textFill>
                  <w14:solidFill>
                    <w14:schemeClr w14:val="tx1"/>
                  </w14:solidFill>
                </w14:textFill>
              </w:rPr>
              <w:t>中标公告的时间、</w:t>
            </w:r>
          </w:p>
          <w:p w14:paraId="22AD8BAC">
            <w:pPr>
              <w:pStyle w:val="151"/>
              <w:shd w:val="clear"/>
              <w:ind w:left="96"/>
              <w:jc w:val="center"/>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lang w:val="zh-CN"/>
                <w14:textFill>
                  <w14:solidFill>
                    <w14:schemeClr w14:val="tx1"/>
                  </w14:solidFill>
                </w14:textFill>
              </w:rPr>
              <w:t>媒介和期限</w:t>
            </w:r>
          </w:p>
        </w:tc>
        <w:tc>
          <w:tcPr>
            <w:tcW w:w="7464" w:type="dxa"/>
            <w:vAlign w:val="center"/>
          </w:tcPr>
          <w:p w14:paraId="778D27C5">
            <w:pPr>
              <w:pStyle w:val="12"/>
              <w:keepNext w:val="0"/>
              <w:keepLines w:val="0"/>
              <w:pageBreakBefore w:val="0"/>
              <w:shd w:val="clear"/>
              <w:kinsoku/>
              <w:wordWrap/>
              <w:overflowPunct/>
              <w:topLinePunct w:val="0"/>
              <w:autoSpaceDE/>
              <w:autoSpaceDN/>
              <w:bidi w:val="0"/>
              <w:spacing w:beforeLines="50" w:line="288" w:lineRule="auto"/>
              <w:ind w:firstLine="0"/>
              <w:textAlignment w:val="auto"/>
              <w:rPr>
                <w:rFonts w:hint="eastAsia" w:ascii="仿宋" w:hAnsi="仿宋" w:eastAsia="仿宋" w:cs="仿宋"/>
                <w:color w:val="000000" w:themeColor="text1"/>
                <w:kern w:val="2"/>
                <w:sz w:val="22"/>
                <w:szCs w:val="22"/>
                <w:highlight w:val="none"/>
                <w:lang w:val="zh-CN"/>
                <w14:textFill>
                  <w14:solidFill>
                    <w14:schemeClr w14:val="tx1"/>
                  </w14:solidFill>
                </w14:textFill>
              </w:rPr>
            </w:pPr>
            <w:r>
              <w:rPr>
                <w:rFonts w:hint="eastAsia" w:ascii="仿宋" w:hAnsi="仿宋" w:eastAsia="仿宋" w:cs="仿宋"/>
                <w:color w:val="000000" w:themeColor="text1"/>
                <w:kern w:val="2"/>
                <w:sz w:val="22"/>
                <w:szCs w:val="22"/>
                <w:highlight w:val="none"/>
                <w:lang w:val="zh-CN"/>
                <w14:textFill>
                  <w14:solidFill>
                    <w14:schemeClr w14:val="tx1"/>
                  </w14:solidFill>
                </w14:textFill>
              </w:rPr>
              <w:t>公告时间：</w:t>
            </w:r>
            <w:r>
              <w:rPr>
                <w:rFonts w:hint="eastAsia" w:ascii="仿宋" w:hAnsi="仿宋" w:eastAsia="仿宋" w:cs="仿宋"/>
                <w:color w:val="000000" w:themeColor="text1"/>
                <w:kern w:val="2"/>
                <w:sz w:val="22"/>
                <w:szCs w:val="22"/>
                <w:highlight w:val="none"/>
                <w14:textFill>
                  <w14:solidFill>
                    <w14:schemeClr w14:val="tx1"/>
                  </w14:solidFill>
                </w14:textFill>
              </w:rPr>
              <w:t>在确定中标人之日起2个工作日内</w:t>
            </w:r>
          </w:p>
          <w:p w14:paraId="4D749083">
            <w:pPr>
              <w:pStyle w:val="151"/>
              <w:keepNext w:val="0"/>
              <w:keepLines w:val="0"/>
              <w:pageBreakBefore w:val="0"/>
              <w:shd w:val="clear"/>
              <w:kinsoku/>
              <w:wordWrap/>
              <w:overflowPunct/>
              <w:topLinePunct w:val="0"/>
              <w:autoSpaceDE/>
              <w:autoSpaceDN/>
              <w:bidi w:val="0"/>
              <w:spacing w:line="288" w:lineRule="auto"/>
              <w:jc w:val="both"/>
              <w:textAlignment w:val="auto"/>
              <w:rPr>
                <w:rFonts w:hint="eastAsia" w:ascii="仿宋" w:hAnsi="仿宋" w:eastAsia="仿宋" w:cs="仿宋"/>
                <w:color w:val="000000" w:themeColor="text1"/>
                <w:kern w:val="2"/>
                <w:sz w:val="22"/>
                <w:szCs w:val="22"/>
                <w:highlight w:val="none"/>
                <w:lang w:val="zh-CN"/>
                <w14:textFill>
                  <w14:solidFill>
                    <w14:schemeClr w14:val="tx1"/>
                  </w14:solidFill>
                </w14:textFill>
              </w:rPr>
            </w:pPr>
            <w:r>
              <w:rPr>
                <w:rFonts w:hint="eastAsia" w:ascii="仿宋" w:hAnsi="仿宋" w:eastAsia="仿宋" w:cs="仿宋"/>
                <w:color w:val="000000" w:themeColor="text1"/>
                <w:kern w:val="2"/>
                <w:sz w:val="22"/>
                <w:szCs w:val="22"/>
                <w:highlight w:val="none"/>
                <w:lang w:val="zh-CN"/>
                <w14:textFill>
                  <w14:solidFill>
                    <w14:schemeClr w14:val="tx1"/>
                  </w14:solidFill>
                </w14:textFill>
              </w:rPr>
              <w:t>公告媒介：陕西省政府采购网</w:t>
            </w:r>
          </w:p>
          <w:p w14:paraId="59874FC2">
            <w:pPr>
              <w:pStyle w:val="151"/>
              <w:keepNext w:val="0"/>
              <w:keepLines w:val="0"/>
              <w:pageBreakBefore w:val="0"/>
              <w:shd w:val="clear"/>
              <w:kinsoku/>
              <w:wordWrap/>
              <w:overflowPunct/>
              <w:topLinePunct w:val="0"/>
              <w:autoSpaceDE/>
              <w:autoSpaceDN/>
              <w:bidi w:val="0"/>
              <w:spacing w:line="288" w:lineRule="auto"/>
              <w:jc w:val="both"/>
              <w:textAlignment w:val="auto"/>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lang w:val="zh-CN"/>
                <w14:textFill>
                  <w14:solidFill>
                    <w14:schemeClr w14:val="tx1"/>
                  </w14:solidFill>
                </w14:textFill>
              </w:rPr>
              <w:t>公告期限：1个工作日</w:t>
            </w:r>
          </w:p>
        </w:tc>
      </w:tr>
      <w:tr w14:paraId="49C62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718" w:type="dxa"/>
            <w:vAlign w:val="center"/>
          </w:tcPr>
          <w:p w14:paraId="6228DDBF">
            <w:pPr>
              <w:shd w:val="clear"/>
              <w:snapToGrid w:val="0"/>
              <w:jc w:val="center"/>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28</w:t>
            </w:r>
          </w:p>
        </w:tc>
        <w:tc>
          <w:tcPr>
            <w:tcW w:w="2017" w:type="dxa"/>
            <w:vAlign w:val="center"/>
          </w:tcPr>
          <w:p w14:paraId="1792027B">
            <w:pPr>
              <w:pStyle w:val="151"/>
              <w:jc w:val="center"/>
              <w:rPr>
                <w:rFonts w:hint="eastAsia" w:ascii="仿宋" w:hAnsi="仿宋" w:eastAsia="仿宋" w:cs="仿宋"/>
                <w:color w:val="000000" w:themeColor="text1"/>
                <w:sz w:val="22"/>
                <w:szCs w:val="22"/>
                <w:lang w:val="zh-CN"/>
                <w14:textFill>
                  <w14:solidFill>
                    <w14:schemeClr w14:val="tx1"/>
                  </w14:solidFill>
                </w14:textFill>
              </w:rPr>
            </w:pPr>
            <w:r>
              <w:rPr>
                <w:rFonts w:hint="eastAsia" w:ascii="仿宋" w:hAnsi="仿宋" w:eastAsia="仿宋" w:cs="仿宋"/>
                <w:color w:val="000000" w:themeColor="text1"/>
                <w:sz w:val="22"/>
                <w:szCs w:val="22"/>
                <w:lang w:val="zh-CN"/>
                <w14:textFill>
                  <w14:solidFill>
                    <w14:schemeClr w14:val="tx1"/>
                  </w14:solidFill>
                </w14:textFill>
              </w:rPr>
              <w:t>投标人信用信息</w:t>
            </w:r>
          </w:p>
          <w:p w14:paraId="56918569">
            <w:pPr>
              <w:pStyle w:val="151"/>
              <w:jc w:val="center"/>
              <w:rPr>
                <w:rFonts w:hint="eastAsia" w:ascii="仿宋" w:hAnsi="仿宋" w:eastAsia="仿宋" w:cs="仿宋"/>
                <w:color w:val="000000" w:themeColor="text1"/>
                <w:kern w:val="2"/>
                <w:sz w:val="22"/>
                <w:szCs w:val="22"/>
                <w:highlight w:val="none"/>
                <w:lang w:val="zh-CN"/>
                <w14:textFill>
                  <w14:solidFill>
                    <w14:schemeClr w14:val="tx1"/>
                  </w14:solidFill>
                </w14:textFill>
              </w:rPr>
            </w:pPr>
            <w:r>
              <w:rPr>
                <w:rFonts w:hint="eastAsia" w:ascii="仿宋" w:hAnsi="仿宋" w:eastAsia="仿宋" w:cs="仿宋"/>
                <w:color w:val="000000" w:themeColor="text1"/>
                <w:sz w:val="22"/>
                <w:szCs w:val="22"/>
                <w:lang w:val="zh-CN"/>
                <w14:textFill>
                  <w14:solidFill>
                    <w14:schemeClr w14:val="tx1"/>
                  </w14:solidFill>
                </w14:textFill>
              </w:rPr>
              <w:t>查询</w:t>
            </w:r>
          </w:p>
        </w:tc>
        <w:tc>
          <w:tcPr>
            <w:tcW w:w="7464" w:type="dxa"/>
            <w:vAlign w:val="center"/>
          </w:tcPr>
          <w:p w14:paraId="4592C8DB">
            <w:pPr>
              <w:spacing w:line="340" w:lineRule="exact"/>
              <w:ind w:right="105" w:rightChars="50" w:firstLine="440" w:firstLineChars="200"/>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信用中国”网站（www.creditchina.gov.cn）和“中国政府采购网”（ccgp.gov.cn）为投标人信用信息查询渠道，如果投标人被查实在投标截止时间列入失信被执行人、重大税收违法失信主体、政府采购严重违法失信行为记录名单，其响应为无效。</w:t>
            </w:r>
          </w:p>
          <w:p w14:paraId="5DA7AA56">
            <w:pPr>
              <w:spacing w:line="340" w:lineRule="exact"/>
              <w:ind w:right="105" w:rightChars="50" w:firstLine="440" w:firstLineChars="200"/>
              <w:rPr>
                <w:rFonts w:hint="eastAsia" w:ascii="仿宋" w:hAnsi="仿宋" w:eastAsia="仿宋" w:cs="仿宋"/>
                <w:color w:val="000000" w:themeColor="text1"/>
                <w:kern w:val="2"/>
                <w:sz w:val="22"/>
                <w:szCs w:val="22"/>
                <w:highlight w:val="none"/>
                <w:lang w:val="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注：采购代理机构将在投标文件递交截止时间前3日内在通过【信用中国（www.creditchina.gov.cn）】和【中国政府采购网（www.ccgp.gov.cn）】网站对投标人的信用情况进行查询，并将网页截图附在评审资料中。（如相关失信记录已失效，投标人需提供相关证明资料，若没有则此项不需要提供）</w:t>
            </w:r>
          </w:p>
        </w:tc>
      </w:tr>
      <w:tr w14:paraId="715C5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718" w:type="dxa"/>
            <w:vAlign w:val="center"/>
          </w:tcPr>
          <w:p w14:paraId="590A7B1E">
            <w:pPr>
              <w:shd w:val="clear"/>
              <w:snapToGrid w:val="0"/>
              <w:jc w:val="center"/>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29</w:t>
            </w:r>
          </w:p>
        </w:tc>
        <w:tc>
          <w:tcPr>
            <w:tcW w:w="2017" w:type="dxa"/>
            <w:vAlign w:val="center"/>
          </w:tcPr>
          <w:p w14:paraId="225469ED">
            <w:pPr>
              <w:pStyle w:val="151"/>
              <w:jc w:val="center"/>
              <w:rPr>
                <w:rFonts w:hint="eastAsia" w:ascii="仿宋" w:hAnsi="仿宋" w:eastAsia="仿宋" w:cs="仿宋"/>
                <w:color w:val="000000" w:themeColor="text1"/>
                <w:sz w:val="22"/>
                <w:szCs w:val="22"/>
                <w:lang w:val="zh-CN"/>
                <w14:textFill>
                  <w14:solidFill>
                    <w14:schemeClr w14:val="tx1"/>
                  </w14:solidFill>
                </w14:textFill>
              </w:rPr>
            </w:pPr>
            <w:r>
              <w:rPr>
                <w:rFonts w:hint="eastAsia" w:ascii="仿宋" w:hAnsi="仿宋" w:eastAsia="仿宋" w:cs="仿宋"/>
                <w:color w:val="000000" w:themeColor="text1"/>
                <w:sz w:val="22"/>
                <w:szCs w:val="22"/>
                <w:lang w:val="zh-CN"/>
                <w14:textFill>
                  <w14:solidFill>
                    <w14:schemeClr w14:val="tx1"/>
                  </w14:solidFill>
                </w14:textFill>
              </w:rPr>
              <w:t>资格审查时是否</w:t>
            </w:r>
          </w:p>
          <w:p w14:paraId="1AB7C004">
            <w:pPr>
              <w:pStyle w:val="151"/>
              <w:jc w:val="center"/>
              <w:rPr>
                <w:rFonts w:hint="eastAsia" w:ascii="仿宋" w:hAnsi="仿宋" w:eastAsia="仿宋" w:cs="仿宋"/>
                <w:color w:val="000000" w:themeColor="text1"/>
                <w:kern w:val="2"/>
                <w:sz w:val="22"/>
                <w:szCs w:val="22"/>
                <w:highlight w:val="none"/>
                <w:lang w:val="zh-CN"/>
                <w14:textFill>
                  <w14:solidFill>
                    <w14:schemeClr w14:val="tx1"/>
                  </w14:solidFill>
                </w14:textFill>
              </w:rPr>
            </w:pPr>
            <w:r>
              <w:rPr>
                <w:rFonts w:hint="eastAsia" w:ascii="仿宋" w:hAnsi="仿宋" w:eastAsia="仿宋" w:cs="仿宋"/>
                <w:color w:val="000000" w:themeColor="text1"/>
                <w:sz w:val="22"/>
                <w:szCs w:val="22"/>
                <w:lang w:val="zh-CN"/>
                <w14:textFill>
                  <w14:solidFill>
                    <w14:schemeClr w14:val="tx1"/>
                  </w14:solidFill>
                </w14:textFill>
              </w:rPr>
              <w:t>核验证件</w:t>
            </w:r>
          </w:p>
        </w:tc>
        <w:tc>
          <w:tcPr>
            <w:tcW w:w="7464" w:type="dxa"/>
            <w:vAlign w:val="center"/>
          </w:tcPr>
          <w:p w14:paraId="50A6A368">
            <w:pPr>
              <w:numPr>
                <w:ilvl w:val="0"/>
                <w:numId w:val="0"/>
              </w:numPr>
              <w:spacing w:line="340" w:lineRule="exact"/>
              <w:ind w:right="105" w:rightChars="50"/>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eastAsia="zh-CN"/>
                <w14:textFill>
                  <w14:solidFill>
                    <w14:schemeClr w14:val="tx1"/>
                  </w14:solidFill>
                </w14:textFill>
              </w:rPr>
              <w:t>☑</w:t>
            </w:r>
            <w:r>
              <w:rPr>
                <w:rFonts w:hint="eastAsia" w:ascii="仿宋" w:hAnsi="仿宋" w:eastAsia="仿宋" w:cs="仿宋"/>
                <w:color w:val="000000" w:themeColor="text1"/>
                <w:sz w:val="22"/>
                <w:szCs w:val="22"/>
                <w14:textFill>
                  <w14:solidFill>
                    <w14:schemeClr w14:val="tx1"/>
                  </w14:solidFill>
                </w14:textFill>
              </w:rPr>
              <w:t>需要，核验要求：</w:t>
            </w:r>
            <w:r>
              <w:rPr>
                <w:rFonts w:hint="eastAsia" w:ascii="仿宋" w:hAnsi="仿宋" w:eastAsia="仿宋" w:cs="仿宋"/>
                <w:color w:val="000000" w:themeColor="text1"/>
                <w:sz w:val="22"/>
                <w:szCs w:val="22"/>
                <w:lang w:val="en-US" w:eastAsia="zh-CN"/>
                <w14:textFill>
                  <w14:solidFill>
                    <w14:schemeClr w14:val="tx1"/>
                  </w14:solidFill>
                </w14:textFill>
              </w:rPr>
              <w:t>投标人法定代表人或被授权人的有效身份证件原件</w:t>
            </w:r>
          </w:p>
          <w:p w14:paraId="26EA4F93">
            <w:pPr>
              <w:pStyle w:val="151"/>
              <w:spacing w:line="320" w:lineRule="exact"/>
              <w:ind w:right="105" w:rightChars="50"/>
              <w:rPr>
                <w:rFonts w:hint="eastAsia" w:ascii="仿宋" w:hAnsi="仿宋" w:eastAsia="仿宋" w:cs="仿宋"/>
                <w:color w:val="000000" w:themeColor="text1"/>
                <w:kern w:val="2"/>
                <w:sz w:val="22"/>
                <w:szCs w:val="22"/>
                <w:highlight w:val="none"/>
                <w:lang w:val="zh-CN"/>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w:t>
            </w:r>
            <w:r>
              <w:rPr>
                <w:rFonts w:hint="eastAsia" w:ascii="仿宋" w:hAnsi="仿宋" w:eastAsia="仿宋" w:cs="仿宋"/>
                <w:color w:val="000000" w:themeColor="text1"/>
                <w:kern w:val="2"/>
                <w:sz w:val="22"/>
                <w:szCs w:val="22"/>
                <w14:textFill>
                  <w14:solidFill>
                    <w14:schemeClr w14:val="tx1"/>
                  </w14:solidFill>
                </w14:textFill>
              </w:rPr>
              <w:t>不需要</w:t>
            </w:r>
          </w:p>
        </w:tc>
      </w:tr>
      <w:tr w14:paraId="689EC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4" w:hRule="atLeast"/>
        </w:trPr>
        <w:tc>
          <w:tcPr>
            <w:tcW w:w="718" w:type="dxa"/>
            <w:vAlign w:val="center"/>
          </w:tcPr>
          <w:p w14:paraId="175A455B">
            <w:pPr>
              <w:shd w:val="clear"/>
              <w:snapToGrid w:val="0"/>
              <w:jc w:val="center"/>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30</w:t>
            </w:r>
          </w:p>
        </w:tc>
        <w:tc>
          <w:tcPr>
            <w:tcW w:w="2017" w:type="dxa"/>
            <w:vAlign w:val="center"/>
          </w:tcPr>
          <w:p w14:paraId="311C1CF8">
            <w:pPr>
              <w:shd w:val="clear"/>
              <w:snapToGrid w:val="0"/>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采购代理服务费</w:t>
            </w:r>
          </w:p>
        </w:tc>
        <w:tc>
          <w:tcPr>
            <w:tcW w:w="7464" w:type="dxa"/>
            <w:vAlign w:val="center"/>
          </w:tcPr>
          <w:p w14:paraId="1AAE0D31">
            <w:pPr>
              <w:keepNext w:val="0"/>
              <w:keepLines w:val="0"/>
              <w:pageBreakBefore w:val="0"/>
              <w:widowControl w:val="0"/>
              <w:shd w:val="clear"/>
              <w:kinsoku/>
              <w:wordWrap/>
              <w:overflowPunct/>
              <w:topLinePunct w:val="0"/>
              <w:autoSpaceDE/>
              <w:autoSpaceDN/>
              <w:bidi w:val="0"/>
              <w:adjustRightInd/>
              <w:snapToGrid w:val="0"/>
              <w:spacing w:line="312" w:lineRule="auto"/>
              <w:textAlignment w:val="auto"/>
              <w:rPr>
                <w:rFonts w:hint="eastAsia" w:ascii="仿宋" w:hAnsi="仿宋" w:eastAsia="仿宋" w:cs="仿宋"/>
                <w:color w:val="000000" w:themeColor="text1"/>
                <w:kern w:val="2"/>
                <w:sz w:val="22"/>
                <w:szCs w:val="2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SA"/>
                <w14:textFill>
                  <w14:solidFill>
                    <w14:schemeClr w14:val="tx1"/>
                  </w14:solidFill>
                </w14:textFill>
              </w:rPr>
              <w:t>1</w:t>
            </w:r>
            <w:r>
              <w:rPr>
                <w:rFonts w:hint="eastAsia" w:ascii="仿宋" w:hAnsi="仿宋" w:eastAsia="仿宋" w:cs="仿宋"/>
                <w:color w:val="000000" w:themeColor="text1"/>
                <w:kern w:val="2"/>
                <w:sz w:val="22"/>
                <w:szCs w:val="22"/>
                <w:highlight w:val="none"/>
                <w:lang w:val="zh-CN" w:eastAsia="zh-CN" w:bidi="ar-SA"/>
                <w14:textFill>
                  <w14:solidFill>
                    <w14:schemeClr w14:val="tx1"/>
                  </w14:solidFill>
                </w14:textFill>
              </w:rPr>
              <w:t>、本项目由中标人向采购代理机构交纳招标代理服务费，招标代理服务费的收取依据原国家计委《招标代理服务收费管理暂行办法》（计价格[2002]1980号）、国家发展和改革委员会《国家发展改革委办公厅关于招标代理服务收费有关问题的通知》（发改办价格[2003]857号）和《国家发展改革委关于降低部分建设项目收费标准规范收费行为等有关问题的通知》（发改价格[2011]534号）文件的相关规定收取，代理服务费具体金额后续见本项目采购结果公告。相关服务费投标人可考虑在投标总报价中，采购人不再另行支付。</w:t>
            </w:r>
          </w:p>
          <w:p w14:paraId="36F260AF">
            <w:pPr>
              <w:keepNext w:val="0"/>
              <w:keepLines w:val="0"/>
              <w:pageBreakBefore w:val="0"/>
              <w:widowControl w:val="0"/>
              <w:shd w:val="clear"/>
              <w:kinsoku/>
              <w:wordWrap/>
              <w:overflowPunct/>
              <w:topLinePunct w:val="0"/>
              <w:autoSpaceDE/>
              <w:autoSpaceDN/>
              <w:bidi w:val="0"/>
              <w:adjustRightInd/>
              <w:snapToGrid w:val="0"/>
              <w:spacing w:line="312" w:lineRule="auto"/>
              <w:textAlignment w:val="auto"/>
              <w:rPr>
                <w:rFonts w:hint="eastAsia" w:ascii="仿宋" w:hAnsi="仿宋" w:eastAsia="仿宋" w:cs="仿宋"/>
                <w:color w:val="000000" w:themeColor="text1"/>
                <w:kern w:val="2"/>
                <w:sz w:val="22"/>
                <w:szCs w:val="22"/>
                <w:highlight w:val="none"/>
                <w:lang w:val="zh-CN" w:eastAsia="zh-CN" w:bidi="ar-SA"/>
                <w14:textFill>
                  <w14:solidFill>
                    <w14:schemeClr w14:val="tx1"/>
                  </w14:solidFill>
                </w14:textFill>
              </w:rPr>
            </w:pPr>
            <w:r>
              <w:rPr>
                <w:rFonts w:hint="eastAsia" w:ascii="仿宋" w:hAnsi="仿宋" w:eastAsia="仿宋" w:cs="仿宋"/>
                <w:color w:val="000000" w:themeColor="text1"/>
                <w:kern w:val="2"/>
                <w:sz w:val="22"/>
                <w:szCs w:val="22"/>
                <w:highlight w:val="none"/>
                <w:lang w:val="zh-CN" w:eastAsia="zh-CN" w:bidi="ar-SA"/>
                <w14:textFill>
                  <w14:solidFill>
                    <w14:schemeClr w14:val="tx1"/>
                  </w14:solidFill>
                </w14:textFill>
              </w:rPr>
              <w:t>2、招标代理服务费的交纳方式：在领取《中标通知书》时向采购代理机构一次性全额交纳招标代理服务费。</w:t>
            </w:r>
          </w:p>
          <w:p w14:paraId="6646DB3B">
            <w:pPr>
              <w:keepNext w:val="0"/>
              <w:keepLines w:val="0"/>
              <w:pageBreakBefore w:val="0"/>
              <w:widowControl w:val="0"/>
              <w:shd w:val="clear"/>
              <w:kinsoku/>
              <w:wordWrap/>
              <w:overflowPunct/>
              <w:topLinePunct w:val="0"/>
              <w:autoSpaceDE/>
              <w:autoSpaceDN/>
              <w:bidi w:val="0"/>
              <w:adjustRightInd/>
              <w:snapToGrid w:val="0"/>
              <w:spacing w:line="312" w:lineRule="auto"/>
              <w:textAlignment w:val="auto"/>
              <w:rPr>
                <w:rFonts w:hint="eastAsia" w:ascii="仿宋" w:hAnsi="仿宋" w:eastAsia="仿宋" w:cs="仿宋"/>
                <w:color w:val="000000" w:themeColor="text1"/>
                <w:kern w:val="2"/>
                <w:sz w:val="22"/>
                <w:szCs w:val="22"/>
                <w:highlight w:val="none"/>
                <w:lang w:val="zh-CN" w:eastAsia="zh-CN" w:bidi="ar-SA"/>
                <w14:textFill>
                  <w14:solidFill>
                    <w14:schemeClr w14:val="tx1"/>
                  </w14:solidFill>
                </w14:textFill>
              </w:rPr>
            </w:pPr>
            <w:r>
              <w:rPr>
                <w:rFonts w:hint="eastAsia" w:ascii="仿宋" w:hAnsi="仿宋" w:eastAsia="仿宋" w:cs="仿宋"/>
                <w:color w:val="000000" w:themeColor="text1"/>
                <w:kern w:val="2"/>
                <w:sz w:val="22"/>
                <w:szCs w:val="22"/>
                <w:highlight w:val="none"/>
                <w:lang w:val="zh-CN" w:eastAsia="zh-CN" w:bidi="ar-SA"/>
                <w14:textFill>
                  <w14:solidFill>
                    <w14:schemeClr w14:val="tx1"/>
                  </w14:solidFill>
                </w14:textFill>
              </w:rPr>
              <w:t>3、招标代理服务费以转账形式缴纳至以下账户：</w:t>
            </w:r>
          </w:p>
          <w:p w14:paraId="0A51BB32">
            <w:pPr>
              <w:keepNext w:val="0"/>
              <w:keepLines w:val="0"/>
              <w:pageBreakBefore w:val="0"/>
              <w:widowControl w:val="0"/>
              <w:shd w:val="clear"/>
              <w:kinsoku/>
              <w:wordWrap/>
              <w:overflowPunct/>
              <w:topLinePunct w:val="0"/>
              <w:autoSpaceDE/>
              <w:autoSpaceDN/>
              <w:bidi w:val="0"/>
              <w:adjustRightInd/>
              <w:snapToGrid w:val="0"/>
              <w:spacing w:line="312" w:lineRule="auto"/>
              <w:textAlignment w:val="auto"/>
              <w:rPr>
                <w:rFonts w:hint="eastAsia" w:ascii="仿宋" w:hAnsi="仿宋" w:eastAsia="仿宋" w:cs="仿宋"/>
                <w:color w:val="000000" w:themeColor="text1"/>
                <w:kern w:val="2"/>
                <w:sz w:val="22"/>
                <w:szCs w:val="22"/>
                <w:highlight w:val="none"/>
                <w:lang w:val="zh-CN" w:eastAsia="zh-CN" w:bidi="ar-SA"/>
                <w14:textFill>
                  <w14:solidFill>
                    <w14:schemeClr w14:val="tx1"/>
                  </w14:solidFill>
                </w14:textFill>
              </w:rPr>
            </w:pPr>
            <w:r>
              <w:rPr>
                <w:rFonts w:hint="eastAsia" w:ascii="仿宋" w:hAnsi="仿宋" w:eastAsia="仿宋" w:cs="仿宋"/>
                <w:color w:val="000000" w:themeColor="text1"/>
                <w:kern w:val="2"/>
                <w:sz w:val="22"/>
                <w:szCs w:val="22"/>
                <w:highlight w:val="none"/>
                <w:lang w:val="zh-CN" w:eastAsia="zh-CN" w:bidi="ar-SA"/>
                <w14:textFill>
                  <w14:solidFill>
                    <w14:schemeClr w14:val="tx1"/>
                  </w14:solidFill>
                </w14:textFill>
              </w:rPr>
              <w:t>交纳账户名称：</w:t>
            </w:r>
            <w:r>
              <w:rPr>
                <w:rFonts w:hint="eastAsia" w:ascii="仿宋" w:hAnsi="仿宋" w:eastAsia="仿宋" w:cs="仿宋"/>
                <w:color w:val="000000" w:themeColor="text1"/>
                <w:sz w:val="22"/>
                <w:szCs w:val="22"/>
                <w:highlight w:val="none"/>
                <w14:textFill>
                  <w14:solidFill>
                    <w14:schemeClr w14:val="tx1"/>
                  </w14:solidFill>
                </w14:textFill>
              </w:rPr>
              <w:t>同正项目管理有限公司汉中分公司</w:t>
            </w:r>
          </w:p>
          <w:p w14:paraId="1D0357AF">
            <w:pPr>
              <w:keepNext w:val="0"/>
              <w:keepLines w:val="0"/>
              <w:pageBreakBefore w:val="0"/>
              <w:widowControl w:val="0"/>
              <w:shd w:val="clear"/>
              <w:kinsoku/>
              <w:wordWrap/>
              <w:overflowPunct/>
              <w:topLinePunct w:val="0"/>
              <w:autoSpaceDE/>
              <w:autoSpaceDN/>
              <w:bidi w:val="0"/>
              <w:adjustRightInd/>
              <w:snapToGrid w:val="0"/>
              <w:spacing w:line="312" w:lineRule="auto"/>
              <w:textAlignment w:val="auto"/>
              <w:rPr>
                <w:rFonts w:hint="eastAsia" w:ascii="仿宋" w:hAnsi="仿宋" w:eastAsia="仿宋" w:cs="仿宋"/>
                <w:color w:val="000000" w:themeColor="text1"/>
                <w:kern w:val="2"/>
                <w:sz w:val="22"/>
                <w:szCs w:val="22"/>
                <w:highlight w:val="none"/>
                <w:lang w:val="zh-CN" w:eastAsia="zh-CN" w:bidi="ar-SA"/>
                <w14:textFill>
                  <w14:solidFill>
                    <w14:schemeClr w14:val="tx1"/>
                  </w14:solidFill>
                </w14:textFill>
              </w:rPr>
            </w:pPr>
            <w:r>
              <w:rPr>
                <w:rFonts w:hint="eastAsia" w:ascii="仿宋" w:hAnsi="仿宋" w:eastAsia="仿宋" w:cs="仿宋"/>
                <w:color w:val="000000" w:themeColor="text1"/>
                <w:kern w:val="2"/>
                <w:sz w:val="22"/>
                <w:szCs w:val="22"/>
                <w:highlight w:val="none"/>
                <w:lang w:val="zh-CN" w:eastAsia="zh-CN" w:bidi="ar-SA"/>
                <w14:textFill>
                  <w14:solidFill>
                    <w14:schemeClr w14:val="tx1"/>
                  </w14:solidFill>
                </w14:textFill>
              </w:rPr>
              <w:t>开户行：中国建设银行股份有限公司汉中北环路支行</w:t>
            </w:r>
          </w:p>
          <w:p w14:paraId="549FCABA">
            <w:pPr>
              <w:keepNext w:val="0"/>
              <w:keepLines w:val="0"/>
              <w:pageBreakBefore w:val="0"/>
              <w:widowControl w:val="0"/>
              <w:shd w:val="clear"/>
              <w:kinsoku/>
              <w:wordWrap/>
              <w:overflowPunct/>
              <w:topLinePunct w:val="0"/>
              <w:autoSpaceDE/>
              <w:autoSpaceDN/>
              <w:bidi w:val="0"/>
              <w:adjustRightInd/>
              <w:snapToGrid w:val="0"/>
              <w:spacing w:line="312" w:lineRule="auto"/>
              <w:textAlignment w:val="auto"/>
              <w:rPr>
                <w:rFonts w:hint="eastAsia" w:ascii="仿宋" w:hAnsi="仿宋" w:eastAsia="仿宋" w:cs="仿宋"/>
                <w:color w:val="000000" w:themeColor="text1"/>
                <w:sz w:val="22"/>
                <w:szCs w:val="22"/>
                <w:highlight w:val="none"/>
                <w:lang w:val="zh-CN"/>
                <w14:textFill>
                  <w14:solidFill>
                    <w14:schemeClr w14:val="tx1"/>
                  </w14:solidFill>
                </w14:textFill>
              </w:rPr>
            </w:pPr>
            <w:r>
              <w:rPr>
                <w:rFonts w:hint="eastAsia" w:ascii="仿宋" w:hAnsi="仿宋" w:eastAsia="仿宋" w:cs="仿宋"/>
                <w:color w:val="000000" w:themeColor="text1"/>
                <w:kern w:val="2"/>
                <w:sz w:val="22"/>
                <w:szCs w:val="22"/>
                <w:highlight w:val="none"/>
                <w:lang w:val="zh-CN" w:eastAsia="zh-CN" w:bidi="ar-SA"/>
                <w14:textFill>
                  <w14:solidFill>
                    <w14:schemeClr w14:val="tx1"/>
                  </w14:solidFill>
                </w14:textFill>
              </w:rPr>
              <w:t>账号：6105 0165 5200 0000 0101</w:t>
            </w:r>
          </w:p>
        </w:tc>
      </w:tr>
      <w:tr w14:paraId="75393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tcBorders>
              <w:left w:val="single" w:color="auto" w:sz="4" w:space="0"/>
              <w:bottom w:val="single" w:color="auto" w:sz="4" w:space="0"/>
            </w:tcBorders>
            <w:vAlign w:val="center"/>
          </w:tcPr>
          <w:p w14:paraId="054932C9">
            <w:pPr>
              <w:shd w:val="clear"/>
              <w:snapToGrid w:val="0"/>
              <w:jc w:val="center"/>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31</w:t>
            </w:r>
          </w:p>
        </w:tc>
        <w:tc>
          <w:tcPr>
            <w:tcW w:w="2017" w:type="dxa"/>
            <w:tcBorders>
              <w:bottom w:val="single" w:color="auto" w:sz="4" w:space="0"/>
            </w:tcBorders>
            <w:vAlign w:val="center"/>
          </w:tcPr>
          <w:p w14:paraId="6B859A8C">
            <w:pPr>
              <w:pStyle w:val="151"/>
              <w:shd w:val="clear"/>
              <w:jc w:val="center"/>
              <w:rPr>
                <w:rFonts w:hint="eastAsia" w:ascii="仿宋" w:hAnsi="仿宋" w:eastAsia="仿宋" w:cs="仿宋"/>
                <w:color w:val="000000" w:themeColor="text1"/>
                <w:kern w:val="2"/>
                <w:sz w:val="22"/>
                <w:szCs w:val="22"/>
                <w:highlight w:val="none"/>
                <w:lang w:val="zh-CN"/>
                <w14:textFill>
                  <w14:solidFill>
                    <w14:schemeClr w14:val="tx1"/>
                  </w14:solidFill>
                </w14:textFill>
              </w:rPr>
            </w:pPr>
            <w:r>
              <w:rPr>
                <w:rFonts w:hint="eastAsia" w:ascii="仿宋" w:hAnsi="仿宋" w:eastAsia="仿宋" w:cs="仿宋"/>
                <w:color w:val="000000" w:themeColor="text1"/>
                <w:kern w:val="2"/>
                <w:sz w:val="22"/>
                <w:szCs w:val="22"/>
                <w:highlight w:val="none"/>
                <w:lang w:val="zh-CN"/>
                <w14:textFill>
                  <w14:solidFill>
                    <w14:schemeClr w14:val="tx1"/>
                  </w14:solidFill>
                </w14:textFill>
              </w:rPr>
              <w:t>开标现场是否</w:t>
            </w:r>
          </w:p>
          <w:p w14:paraId="71DD1FE5">
            <w:pPr>
              <w:pStyle w:val="151"/>
              <w:shd w:val="clear"/>
              <w:jc w:val="center"/>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lang w:val="zh-CN"/>
                <w14:textFill>
                  <w14:solidFill>
                    <w14:schemeClr w14:val="tx1"/>
                  </w14:solidFill>
                </w14:textFill>
              </w:rPr>
              <w:t>演示与述标</w:t>
            </w:r>
          </w:p>
        </w:tc>
        <w:tc>
          <w:tcPr>
            <w:tcW w:w="7464" w:type="dxa"/>
            <w:tcBorders>
              <w:bottom w:val="single" w:color="auto" w:sz="4" w:space="0"/>
              <w:right w:val="single" w:color="auto" w:sz="4" w:space="0"/>
            </w:tcBorders>
            <w:vAlign w:val="center"/>
          </w:tcPr>
          <w:p w14:paraId="547D2DCA">
            <w:pPr>
              <w:keepNext w:val="0"/>
              <w:keepLines w:val="0"/>
              <w:pageBreakBefore w:val="0"/>
              <w:shd w:val="clear"/>
              <w:kinsoku/>
              <w:wordWrap/>
              <w:overflowPunct/>
              <w:topLinePunct w:val="0"/>
              <w:autoSpaceDE/>
              <w:autoSpaceDN/>
              <w:bidi w:val="0"/>
              <w:spacing w:line="288" w:lineRule="auto"/>
              <w:ind w:left="210" w:right="105" w:rightChars="50"/>
              <w:jc w:val="left"/>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否</w:t>
            </w:r>
          </w:p>
        </w:tc>
      </w:tr>
      <w:tr w14:paraId="55322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tcBorders>
              <w:top w:val="single" w:color="auto" w:sz="4" w:space="0"/>
              <w:left w:val="single" w:color="auto" w:sz="4" w:space="0"/>
              <w:bottom w:val="single" w:color="auto" w:sz="4" w:space="0"/>
            </w:tcBorders>
            <w:vAlign w:val="center"/>
          </w:tcPr>
          <w:p w14:paraId="6F83535D">
            <w:pPr>
              <w:shd w:val="clear"/>
              <w:snapToGrid w:val="0"/>
              <w:jc w:val="center"/>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32</w:t>
            </w:r>
          </w:p>
        </w:tc>
        <w:tc>
          <w:tcPr>
            <w:tcW w:w="2017" w:type="dxa"/>
            <w:tcBorders>
              <w:top w:val="single" w:color="auto" w:sz="4" w:space="0"/>
              <w:bottom w:val="single" w:color="auto" w:sz="4" w:space="0"/>
            </w:tcBorders>
            <w:vAlign w:val="center"/>
          </w:tcPr>
          <w:p w14:paraId="0EFED5D2">
            <w:pPr>
              <w:pStyle w:val="151"/>
              <w:shd w:val="clear"/>
              <w:jc w:val="center"/>
              <w:rPr>
                <w:rFonts w:hint="eastAsia" w:ascii="仿宋" w:hAnsi="仿宋" w:eastAsia="仿宋" w:cs="仿宋"/>
                <w:color w:val="000000" w:themeColor="text1"/>
                <w:kern w:val="2"/>
                <w:sz w:val="22"/>
                <w:szCs w:val="22"/>
                <w:highlight w:val="none"/>
                <w:lang w:val="zh-CN"/>
                <w14:textFill>
                  <w14:solidFill>
                    <w14:schemeClr w14:val="tx1"/>
                  </w14:solidFill>
                </w14:textFill>
              </w:rPr>
            </w:pPr>
            <w:r>
              <w:rPr>
                <w:rFonts w:hint="eastAsia" w:ascii="仿宋" w:hAnsi="仿宋" w:eastAsia="仿宋" w:cs="仿宋"/>
                <w:color w:val="000000" w:themeColor="text1"/>
                <w:kern w:val="2"/>
                <w:sz w:val="22"/>
                <w:szCs w:val="22"/>
                <w:highlight w:val="none"/>
                <w:lang w:val="zh-CN"/>
                <w14:textFill>
                  <w14:solidFill>
                    <w14:schemeClr w14:val="tx1"/>
                  </w14:solidFill>
                </w14:textFill>
              </w:rPr>
              <w:t>开标现场是否</w:t>
            </w:r>
          </w:p>
          <w:p w14:paraId="53D8FCA6">
            <w:pPr>
              <w:pStyle w:val="151"/>
              <w:shd w:val="clear"/>
              <w:jc w:val="center"/>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lang w:val="zh-CN"/>
                <w14:textFill>
                  <w14:solidFill>
                    <w14:schemeClr w14:val="tx1"/>
                  </w14:solidFill>
                </w14:textFill>
              </w:rPr>
              <w:t>提供样品</w:t>
            </w:r>
          </w:p>
        </w:tc>
        <w:tc>
          <w:tcPr>
            <w:tcW w:w="7464" w:type="dxa"/>
            <w:tcBorders>
              <w:top w:val="single" w:color="auto" w:sz="4" w:space="0"/>
              <w:bottom w:val="single" w:color="auto" w:sz="4" w:space="0"/>
              <w:right w:val="single" w:color="auto" w:sz="4" w:space="0"/>
            </w:tcBorders>
            <w:vAlign w:val="center"/>
          </w:tcPr>
          <w:p w14:paraId="7C2F8F63">
            <w:pPr>
              <w:keepNext w:val="0"/>
              <w:keepLines w:val="0"/>
              <w:pageBreakBefore w:val="0"/>
              <w:shd w:val="clear"/>
              <w:kinsoku/>
              <w:wordWrap/>
              <w:overflowPunct/>
              <w:topLinePunct w:val="0"/>
              <w:autoSpaceDE/>
              <w:autoSpaceDN/>
              <w:bidi w:val="0"/>
              <w:spacing w:line="288" w:lineRule="auto"/>
              <w:ind w:right="105" w:rightChars="50" w:firstLine="220" w:firstLineChars="100"/>
              <w:jc w:val="left"/>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否</w:t>
            </w:r>
          </w:p>
        </w:tc>
      </w:tr>
      <w:tr w14:paraId="6EC02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tcBorders>
              <w:top w:val="single" w:color="auto" w:sz="4" w:space="0"/>
              <w:left w:val="single" w:color="auto" w:sz="4" w:space="0"/>
              <w:bottom w:val="single" w:color="auto" w:sz="4" w:space="0"/>
            </w:tcBorders>
            <w:vAlign w:val="center"/>
          </w:tcPr>
          <w:p w14:paraId="2D2C6C16">
            <w:pPr>
              <w:shd w:val="clear"/>
              <w:snapToGrid w:val="0"/>
              <w:jc w:val="center"/>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33</w:t>
            </w:r>
          </w:p>
        </w:tc>
        <w:tc>
          <w:tcPr>
            <w:tcW w:w="2017" w:type="dxa"/>
            <w:tcBorders>
              <w:top w:val="single" w:color="auto" w:sz="4" w:space="0"/>
              <w:bottom w:val="single" w:color="auto" w:sz="4" w:space="0"/>
            </w:tcBorders>
            <w:vAlign w:val="center"/>
          </w:tcPr>
          <w:p w14:paraId="62EEA062">
            <w:pPr>
              <w:pStyle w:val="151"/>
              <w:shd w:val="clear"/>
              <w:jc w:val="center"/>
              <w:rPr>
                <w:rFonts w:hint="eastAsia" w:ascii="仿宋" w:hAnsi="仿宋" w:eastAsia="仿宋" w:cs="仿宋"/>
                <w:color w:val="000000" w:themeColor="text1"/>
                <w:kern w:val="2"/>
                <w:sz w:val="22"/>
                <w:szCs w:val="22"/>
                <w:highlight w:val="none"/>
                <w:lang w:val="zh-CN"/>
                <w14:textFill>
                  <w14:solidFill>
                    <w14:schemeClr w14:val="tx1"/>
                  </w14:solidFill>
                </w14:textFill>
              </w:rPr>
            </w:pPr>
            <w:r>
              <w:rPr>
                <w:rFonts w:hint="eastAsia" w:ascii="仿宋" w:hAnsi="仿宋" w:eastAsia="仿宋" w:cs="仿宋"/>
                <w:color w:val="000000" w:themeColor="text1"/>
                <w:kern w:val="2"/>
                <w:sz w:val="22"/>
                <w:szCs w:val="22"/>
                <w:highlight w:val="none"/>
                <w:lang w:val="en-US" w:eastAsia="zh-CN"/>
                <w14:textFill>
                  <w14:solidFill>
                    <w14:schemeClr w14:val="tx1"/>
                  </w14:solidFill>
                </w14:textFill>
              </w:rPr>
              <w:t>评标委员会成员</w:t>
            </w:r>
          </w:p>
        </w:tc>
        <w:tc>
          <w:tcPr>
            <w:tcW w:w="7464" w:type="dxa"/>
            <w:tcBorders>
              <w:top w:val="single" w:color="auto" w:sz="4" w:space="0"/>
              <w:bottom w:val="single" w:color="auto" w:sz="4" w:space="0"/>
              <w:right w:val="single" w:color="auto" w:sz="4" w:space="0"/>
            </w:tcBorders>
            <w:vAlign w:val="center"/>
          </w:tcPr>
          <w:p w14:paraId="76B24A71">
            <w:pPr>
              <w:keepNext w:val="0"/>
              <w:keepLines w:val="0"/>
              <w:pageBreakBefore w:val="0"/>
              <w:shd w:val="clear"/>
              <w:kinsoku/>
              <w:wordWrap/>
              <w:overflowPunct/>
              <w:topLinePunct w:val="0"/>
              <w:autoSpaceDE/>
              <w:autoSpaceDN/>
              <w:bidi w:val="0"/>
              <w:spacing w:line="288" w:lineRule="auto"/>
              <w:ind w:right="105" w:rightChars="50"/>
              <w:jc w:val="left"/>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采购人代表1人及陕西省政府采购专家库4人</w:t>
            </w:r>
          </w:p>
        </w:tc>
      </w:tr>
      <w:tr w14:paraId="757CA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tcBorders>
              <w:top w:val="single" w:color="auto" w:sz="4" w:space="0"/>
              <w:left w:val="single" w:color="auto" w:sz="4" w:space="0"/>
              <w:bottom w:val="single" w:color="auto" w:sz="4" w:space="0"/>
            </w:tcBorders>
            <w:vAlign w:val="center"/>
          </w:tcPr>
          <w:p w14:paraId="3B02B201">
            <w:pPr>
              <w:pStyle w:val="38"/>
              <w:spacing w:before="0" w:beforeAutospacing="0" w:after="0" w:afterAutospacing="0"/>
              <w:jc w:val="center"/>
              <w:rPr>
                <w:rFonts w:hint="eastAsia" w:ascii="仿宋" w:hAns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2"/>
                <w:szCs w:val="22"/>
                <w:highlight w:val="none"/>
                <w:lang w:val="en-US" w:eastAsia="zh-CN" w:bidi="ar-SA"/>
                <w14:textFill>
                  <w14:solidFill>
                    <w14:schemeClr w14:val="tx1"/>
                  </w14:solidFill>
                </w14:textFill>
              </w:rPr>
              <w:t>34</w:t>
            </w:r>
          </w:p>
        </w:tc>
        <w:tc>
          <w:tcPr>
            <w:tcW w:w="2017" w:type="dxa"/>
            <w:tcBorders>
              <w:top w:val="single" w:color="auto" w:sz="4" w:space="0"/>
              <w:bottom w:val="single" w:color="auto" w:sz="4" w:space="0"/>
            </w:tcBorders>
            <w:vAlign w:val="center"/>
          </w:tcPr>
          <w:p w14:paraId="48C03EA1">
            <w:pPr>
              <w:pStyle w:val="38"/>
              <w:spacing w:before="0" w:beforeAutospacing="0" w:after="0" w:afterAutospacing="0"/>
              <w:jc w:val="center"/>
              <w:rPr>
                <w:rFonts w:hint="eastAsia" w:ascii="仿宋" w:hAns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2"/>
                <w:szCs w:val="22"/>
                <w:highlight w:val="none"/>
                <w:lang w:val="zh-CN" w:eastAsia="zh-CN" w:bidi="ar-SA"/>
                <w14:textFill>
                  <w14:solidFill>
                    <w14:schemeClr w14:val="tx1"/>
                  </w14:solidFill>
                </w14:textFill>
              </w:rPr>
              <w:t>支持中小企业</w:t>
            </w:r>
          </w:p>
        </w:tc>
        <w:tc>
          <w:tcPr>
            <w:tcW w:w="7464" w:type="dxa"/>
            <w:tcBorders>
              <w:top w:val="single" w:color="auto" w:sz="4" w:space="0"/>
              <w:bottom w:val="single" w:color="auto" w:sz="4" w:space="0"/>
              <w:right w:val="single" w:color="auto" w:sz="4" w:space="0"/>
            </w:tcBorders>
            <w:vAlign w:val="center"/>
          </w:tcPr>
          <w:p w14:paraId="6C34124A">
            <w:pPr>
              <w:pStyle w:val="38"/>
              <w:spacing w:before="0" w:beforeAutospacing="0" w:after="0" w:afterAutospacing="0" w:line="288" w:lineRule="auto"/>
              <w:rPr>
                <w:rFonts w:hint="eastAsia" w:ascii="仿宋" w:hAnsi="仿宋" w:eastAsia="仿宋" w:cs="仿宋"/>
                <w:color w:val="000000" w:themeColor="text1"/>
                <w:kern w:val="2"/>
                <w:sz w:val="22"/>
                <w:szCs w:val="22"/>
                <w:highlight w:val="none"/>
                <w:lang w:val="zh-CN" w:eastAsia="zh-CN" w:bidi="ar-SA"/>
                <w14:textFill>
                  <w14:solidFill>
                    <w14:schemeClr w14:val="tx1"/>
                  </w14:solidFill>
                </w14:textFill>
              </w:rPr>
            </w:pPr>
            <w:r>
              <w:rPr>
                <w:rFonts w:hint="eastAsia" w:ascii="仿宋" w:hAnsi="仿宋" w:eastAsia="仿宋" w:cs="仿宋"/>
                <w:color w:val="000000" w:themeColor="text1"/>
                <w:kern w:val="2"/>
                <w:sz w:val="22"/>
                <w:szCs w:val="22"/>
                <w:highlight w:val="none"/>
                <w:lang w:val="zh-CN" w:eastAsia="zh-CN" w:bidi="ar-SA"/>
                <w14:textFill>
                  <w14:solidFill>
                    <w14:schemeClr w14:val="tx1"/>
                  </w14:solidFill>
                </w14:textFill>
              </w:rPr>
              <w:t>非专门面向中小企业采购项目(价格扣除)：对小型和微型企业产品的价格给予10%～20%的扣除，用扣除后的价格参与评标。</w:t>
            </w:r>
          </w:p>
          <w:p w14:paraId="2065C4F3">
            <w:pPr>
              <w:pStyle w:val="38"/>
              <w:spacing w:before="0" w:beforeAutospacing="0" w:after="0" w:afterAutospacing="0" w:line="288" w:lineRule="auto"/>
              <w:rPr>
                <w:rFonts w:hint="eastAsia" w:ascii="仿宋" w:hAnsi="仿宋" w:eastAsia="仿宋" w:cs="仿宋"/>
                <w:color w:val="000000" w:themeColor="text1"/>
                <w:kern w:val="2"/>
                <w:sz w:val="22"/>
                <w:szCs w:val="22"/>
                <w:highlight w:val="none"/>
                <w:lang w:val="zh-CN" w:eastAsia="zh-CN" w:bidi="ar-SA"/>
                <w14:textFill>
                  <w14:solidFill>
                    <w14:schemeClr w14:val="tx1"/>
                  </w14:solidFill>
                </w14:textFill>
              </w:rPr>
            </w:pPr>
            <w:r>
              <w:rPr>
                <w:rFonts w:hint="eastAsia" w:ascii="仿宋" w:hAnsi="仿宋" w:eastAsia="仿宋" w:cs="仿宋"/>
                <w:color w:val="000000" w:themeColor="text1"/>
                <w:kern w:val="2"/>
                <w:sz w:val="22"/>
                <w:szCs w:val="22"/>
                <w:highlight w:val="none"/>
                <w:lang w:val="zh-CN" w:eastAsia="zh-CN" w:bidi="ar-SA"/>
                <w14:textFill>
                  <w14:solidFill>
                    <w14:schemeClr w14:val="tx1"/>
                  </w14:solidFill>
                </w14:textFill>
              </w:rPr>
              <w:t>本项目的扣除比例为：扣除10%。</w:t>
            </w:r>
          </w:p>
          <w:p w14:paraId="57AD45DD">
            <w:pPr>
              <w:pStyle w:val="38"/>
              <w:spacing w:before="0" w:beforeAutospacing="0" w:after="0" w:afterAutospacing="0" w:line="288" w:lineRule="auto"/>
              <w:rPr>
                <w:rFonts w:hint="eastAsia" w:ascii="仿宋" w:hAnsi="仿宋" w:eastAsia="仿宋" w:cs="仿宋"/>
                <w:color w:val="000000" w:themeColor="text1"/>
                <w:kern w:val="2"/>
                <w:sz w:val="22"/>
                <w:szCs w:val="22"/>
                <w:highlight w:val="none"/>
                <w:lang w:val="zh-CN" w:eastAsia="zh-CN" w:bidi="ar-SA"/>
                <w14:textFill>
                  <w14:solidFill>
                    <w14:schemeClr w14:val="tx1"/>
                  </w14:solidFill>
                </w14:textFill>
              </w:rPr>
            </w:pPr>
            <w:r>
              <w:rPr>
                <w:rFonts w:hint="eastAsia" w:ascii="仿宋" w:hAnsi="仿宋" w:eastAsia="仿宋" w:cs="仿宋"/>
                <w:color w:val="000000" w:themeColor="text1"/>
                <w:kern w:val="2"/>
                <w:sz w:val="22"/>
                <w:szCs w:val="22"/>
                <w:highlight w:val="none"/>
                <w:lang w:val="zh-CN" w:eastAsia="zh-CN" w:bidi="ar-SA"/>
                <w14:textFill>
                  <w14:solidFill>
                    <w14:schemeClr w14:val="tx1"/>
                  </w14:solidFill>
                </w14:textFill>
              </w:rPr>
              <w:t>本项目属性为：产品类</w:t>
            </w:r>
          </w:p>
          <w:p w14:paraId="7F2D225C">
            <w:pPr>
              <w:pStyle w:val="38"/>
              <w:spacing w:before="0" w:beforeAutospacing="0" w:after="0" w:afterAutospacing="0" w:line="288" w:lineRule="auto"/>
              <w:rPr>
                <w:rFonts w:hint="eastAsia" w:ascii="仿宋" w:hAnsi="仿宋" w:eastAsia="仿宋" w:cs="仿宋"/>
                <w:color w:val="000000" w:themeColor="text1"/>
                <w:kern w:val="2"/>
                <w:sz w:val="22"/>
                <w:szCs w:val="22"/>
                <w:highlight w:val="none"/>
                <w:lang w:val="zh-CN" w:eastAsia="zh-CN" w:bidi="ar-SA"/>
                <w14:textFill>
                  <w14:solidFill>
                    <w14:schemeClr w14:val="tx1"/>
                  </w14:solidFill>
                </w14:textFill>
              </w:rPr>
            </w:pPr>
            <w:r>
              <w:rPr>
                <w:rFonts w:hint="eastAsia" w:ascii="仿宋" w:hAnsi="仿宋" w:eastAsia="仿宋" w:cs="仿宋"/>
                <w:color w:val="000000" w:themeColor="text1"/>
                <w:kern w:val="2"/>
                <w:sz w:val="22"/>
                <w:szCs w:val="22"/>
                <w:highlight w:val="none"/>
                <w:lang w:val="zh-CN" w:eastAsia="zh-CN" w:bidi="ar-SA"/>
                <w14:textFill>
                  <w14:solidFill>
                    <w14:schemeClr w14:val="tx1"/>
                  </w14:solidFill>
                </w14:textFill>
              </w:rPr>
              <w:t>本项目采购标的所属行业为：工业</w:t>
            </w:r>
          </w:p>
          <w:p w14:paraId="6B520508">
            <w:pPr>
              <w:pStyle w:val="38"/>
              <w:spacing w:before="0" w:beforeAutospacing="0" w:after="0" w:afterAutospacing="0" w:line="288" w:lineRule="auto"/>
              <w:rPr>
                <w:rFonts w:hint="eastAsia" w:ascii="仿宋" w:hAns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2"/>
                <w:szCs w:val="22"/>
                <w:highlight w:val="none"/>
                <w:lang w:val="zh-CN" w:eastAsia="zh-CN" w:bidi="ar-SA"/>
                <w14:textFill>
                  <w14:solidFill>
                    <w14:schemeClr w14:val="tx1"/>
                  </w14:solidFill>
                </w14:textFill>
              </w:rPr>
              <w:t>（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7704F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tcBorders>
              <w:top w:val="single" w:color="auto" w:sz="4" w:space="0"/>
              <w:left w:val="single" w:color="auto" w:sz="4" w:space="0"/>
              <w:bottom w:val="single" w:color="auto" w:sz="4" w:space="0"/>
            </w:tcBorders>
            <w:vAlign w:val="center"/>
          </w:tcPr>
          <w:p w14:paraId="213DAD40">
            <w:pPr>
              <w:pStyle w:val="38"/>
              <w:spacing w:before="0" w:beforeAutospacing="0" w:after="0" w:afterAutospacing="0" w:line="288" w:lineRule="auto"/>
              <w:ind w:firstLine="220" w:firstLineChars="100"/>
              <w:rPr>
                <w:rFonts w:hint="eastAsia" w:ascii="仿宋" w:hAns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2"/>
                <w:szCs w:val="22"/>
                <w:highlight w:val="none"/>
                <w:lang w:val="en-US" w:eastAsia="zh-CN" w:bidi="ar-SA"/>
                <w14:textFill>
                  <w14:solidFill>
                    <w14:schemeClr w14:val="tx1"/>
                  </w14:solidFill>
                </w14:textFill>
              </w:rPr>
              <w:t>35</w:t>
            </w:r>
          </w:p>
        </w:tc>
        <w:tc>
          <w:tcPr>
            <w:tcW w:w="2017" w:type="dxa"/>
            <w:tcBorders>
              <w:top w:val="single" w:color="auto" w:sz="4" w:space="0"/>
              <w:bottom w:val="single" w:color="auto" w:sz="4" w:space="0"/>
            </w:tcBorders>
            <w:vAlign w:val="center"/>
          </w:tcPr>
          <w:p w14:paraId="44922B23">
            <w:pPr>
              <w:pStyle w:val="38"/>
              <w:spacing w:before="0" w:beforeAutospacing="0" w:after="0" w:afterAutospacing="0" w:line="288" w:lineRule="auto"/>
              <w:ind w:firstLine="220" w:firstLineChars="100"/>
              <w:rPr>
                <w:rFonts w:hint="eastAsia" w:ascii="仿宋" w:hAns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2"/>
                <w:szCs w:val="22"/>
                <w:highlight w:val="none"/>
                <w:lang w:val="zh-CN" w:eastAsia="zh-CN" w:bidi="ar-SA"/>
                <w14:textFill>
                  <w14:solidFill>
                    <w14:schemeClr w14:val="tx1"/>
                  </w14:solidFill>
                </w14:textFill>
              </w:rPr>
              <w:t>支持监狱企业</w:t>
            </w:r>
          </w:p>
        </w:tc>
        <w:tc>
          <w:tcPr>
            <w:tcW w:w="7464" w:type="dxa"/>
            <w:tcBorders>
              <w:top w:val="single" w:color="auto" w:sz="4" w:space="0"/>
              <w:bottom w:val="single" w:color="auto" w:sz="4" w:space="0"/>
              <w:right w:val="single" w:color="auto" w:sz="4" w:space="0"/>
            </w:tcBorders>
            <w:vAlign w:val="center"/>
          </w:tcPr>
          <w:p w14:paraId="32BDED68">
            <w:pPr>
              <w:pStyle w:val="38"/>
              <w:spacing w:before="0" w:beforeAutospacing="0" w:after="0" w:afterAutospacing="0" w:line="288" w:lineRule="auto"/>
              <w:rPr>
                <w:rFonts w:hint="eastAsia" w:ascii="仿宋" w:hAnsi="仿宋" w:eastAsia="仿宋" w:cs="仿宋"/>
                <w:color w:val="000000" w:themeColor="text1"/>
                <w:kern w:val="2"/>
                <w:sz w:val="22"/>
                <w:szCs w:val="22"/>
                <w:highlight w:val="none"/>
                <w:lang w:val="zh-CN" w:eastAsia="zh-CN" w:bidi="ar-SA"/>
                <w14:textFill>
                  <w14:solidFill>
                    <w14:schemeClr w14:val="tx1"/>
                  </w14:solidFill>
                </w14:textFill>
              </w:rPr>
            </w:pPr>
            <w:r>
              <w:rPr>
                <w:rFonts w:hint="eastAsia" w:ascii="仿宋" w:hAnsi="仿宋" w:eastAsia="仿宋" w:cs="仿宋"/>
                <w:color w:val="000000" w:themeColor="text1"/>
                <w:kern w:val="2"/>
                <w:sz w:val="22"/>
                <w:szCs w:val="22"/>
                <w:highlight w:val="none"/>
                <w:lang w:val="zh-CN" w:eastAsia="zh-CN" w:bidi="ar-SA"/>
                <w14:textFill>
                  <w14:solidFill>
                    <w14:schemeClr w14:val="tx1"/>
                  </w14:solidFill>
                </w14:textFill>
              </w:rPr>
              <w:t>非专门面向监狱采购项目(价格扣除)：监狱企业可视同小微企业在价格评标时给予10%～20%的扣除，用扣除后的价格参与评标。</w:t>
            </w:r>
          </w:p>
          <w:p w14:paraId="6A9CB789">
            <w:pPr>
              <w:pStyle w:val="38"/>
              <w:spacing w:before="0" w:beforeAutospacing="0" w:after="0" w:afterAutospacing="0" w:line="288" w:lineRule="auto"/>
              <w:rPr>
                <w:rFonts w:hint="eastAsia" w:ascii="仿宋" w:hAns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2"/>
                <w:szCs w:val="22"/>
                <w:highlight w:val="none"/>
                <w:lang w:val="zh-CN" w:eastAsia="zh-CN" w:bidi="ar-SA"/>
                <w14:textFill>
                  <w14:solidFill>
                    <w14:schemeClr w14:val="tx1"/>
                  </w14:solidFill>
                </w14:textFill>
              </w:rPr>
              <w:t>本项目的扣除比例为：扣除10%。</w:t>
            </w:r>
          </w:p>
        </w:tc>
      </w:tr>
      <w:tr w14:paraId="0B232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tcBorders>
              <w:top w:val="single" w:color="auto" w:sz="4" w:space="0"/>
              <w:left w:val="single" w:color="auto" w:sz="4" w:space="0"/>
              <w:bottom w:val="single" w:color="auto" w:sz="4" w:space="0"/>
            </w:tcBorders>
            <w:vAlign w:val="center"/>
          </w:tcPr>
          <w:p w14:paraId="0DA91E43">
            <w:pPr>
              <w:pStyle w:val="38"/>
              <w:spacing w:before="0" w:beforeAutospacing="0" w:after="0" w:afterAutospacing="0" w:line="288" w:lineRule="auto"/>
              <w:ind w:firstLine="220" w:firstLineChars="100"/>
              <w:rPr>
                <w:rFonts w:hint="eastAsia" w:ascii="仿宋" w:hAns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2"/>
                <w:szCs w:val="22"/>
                <w:highlight w:val="none"/>
                <w:lang w:val="en-US" w:eastAsia="zh-CN" w:bidi="ar-SA"/>
                <w14:textFill>
                  <w14:solidFill>
                    <w14:schemeClr w14:val="tx1"/>
                  </w14:solidFill>
                </w14:textFill>
              </w:rPr>
              <w:t>36</w:t>
            </w:r>
          </w:p>
        </w:tc>
        <w:tc>
          <w:tcPr>
            <w:tcW w:w="2017" w:type="dxa"/>
            <w:tcBorders>
              <w:top w:val="single" w:color="auto" w:sz="4" w:space="0"/>
              <w:bottom w:val="single" w:color="auto" w:sz="4" w:space="0"/>
            </w:tcBorders>
            <w:vAlign w:val="center"/>
          </w:tcPr>
          <w:p w14:paraId="01AE7349">
            <w:pPr>
              <w:pStyle w:val="38"/>
              <w:spacing w:before="0" w:beforeAutospacing="0" w:after="0" w:afterAutospacing="0" w:line="288" w:lineRule="auto"/>
              <w:ind w:firstLine="220" w:firstLineChars="100"/>
              <w:jc w:val="center"/>
              <w:rPr>
                <w:rFonts w:hint="eastAsia" w:ascii="仿宋" w:hAns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2"/>
                <w:szCs w:val="22"/>
                <w:highlight w:val="none"/>
                <w:lang w:val="zh-CN" w:eastAsia="zh-CN" w:bidi="ar-SA"/>
                <w14:textFill>
                  <w14:solidFill>
                    <w14:schemeClr w14:val="tx1"/>
                  </w14:solidFill>
                </w14:textFill>
              </w:rPr>
              <w:t>支持残疾人福利单位</w:t>
            </w:r>
          </w:p>
        </w:tc>
        <w:tc>
          <w:tcPr>
            <w:tcW w:w="7464" w:type="dxa"/>
            <w:tcBorders>
              <w:top w:val="single" w:color="auto" w:sz="4" w:space="0"/>
              <w:bottom w:val="single" w:color="auto" w:sz="4" w:space="0"/>
              <w:right w:val="single" w:color="auto" w:sz="4" w:space="0"/>
            </w:tcBorders>
            <w:vAlign w:val="center"/>
          </w:tcPr>
          <w:p w14:paraId="0F8C9852">
            <w:pPr>
              <w:pStyle w:val="38"/>
              <w:spacing w:before="0" w:beforeAutospacing="0" w:after="0" w:afterAutospacing="0" w:line="288" w:lineRule="auto"/>
              <w:rPr>
                <w:rFonts w:hint="eastAsia" w:ascii="仿宋" w:hAnsi="仿宋" w:eastAsia="仿宋" w:cs="仿宋"/>
                <w:color w:val="000000" w:themeColor="text1"/>
                <w:kern w:val="2"/>
                <w:sz w:val="22"/>
                <w:szCs w:val="22"/>
                <w:highlight w:val="none"/>
                <w:lang w:val="zh-CN" w:eastAsia="zh-CN" w:bidi="ar-SA"/>
                <w14:textFill>
                  <w14:solidFill>
                    <w14:schemeClr w14:val="tx1"/>
                  </w14:solidFill>
                </w14:textFill>
              </w:rPr>
            </w:pPr>
            <w:r>
              <w:rPr>
                <w:rFonts w:hint="eastAsia" w:ascii="仿宋" w:hAnsi="仿宋" w:eastAsia="仿宋" w:cs="仿宋"/>
                <w:color w:val="000000" w:themeColor="text1"/>
                <w:kern w:val="2"/>
                <w:sz w:val="22"/>
                <w:szCs w:val="22"/>
                <w:highlight w:val="none"/>
                <w:lang w:val="zh-CN" w:eastAsia="zh-CN" w:bidi="ar-SA"/>
                <w14:textFill>
                  <w14:solidFill>
                    <w14:schemeClr w14:val="tx1"/>
                  </w14:solidFill>
                </w14:textFill>
              </w:rPr>
              <w:t>残疾人福利性单位可视同小微企业在价格评标时给予10%～20%的扣除，用扣除后的价格参与评标。</w:t>
            </w:r>
          </w:p>
          <w:p w14:paraId="116BE665">
            <w:pPr>
              <w:pStyle w:val="38"/>
              <w:spacing w:before="0" w:beforeAutospacing="0" w:after="0" w:afterAutospacing="0" w:line="288" w:lineRule="auto"/>
              <w:rPr>
                <w:rFonts w:hint="eastAsia" w:ascii="仿宋" w:hAnsi="仿宋" w:eastAsia="仿宋" w:cs="仿宋"/>
                <w:color w:val="000000" w:themeColor="text1"/>
                <w:kern w:val="2"/>
                <w:sz w:val="22"/>
                <w:szCs w:val="22"/>
                <w:highlight w:val="none"/>
                <w:lang w:val="zh-CN" w:eastAsia="zh-CN" w:bidi="ar-SA"/>
                <w14:textFill>
                  <w14:solidFill>
                    <w14:schemeClr w14:val="tx1"/>
                  </w14:solidFill>
                </w14:textFill>
              </w:rPr>
            </w:pPr>
            <w:r>
              <w:rPr>
                <w:rFonts w:hint="eastAsia" w:ascii="仿宋" w:hAnsi="仿宋" w:eastAsia="仿宋" w:cs="仿宋"/>
                <w:color w:val="000000" w:themeColor="text1"/>
                <w:kern w:val="2"/>
                <w:sz w:val="22"/>
                <w:szCs w:val="22"/>
                <w:highlight w:val="none"/>
                <w:lang w:val="zh-CN" w:eastAsia="zh-CN" w:bidi="ar-SA"/>
                <w14:textFill>
                  <w14:solidFill>
                    <w14:schemeClr w14:val="tx1"/>
                  </w14:solidFill>
                </w14:textFill>
              </w:rPr>
              <w:t>本项目的扣除比例为：扣除10%；但应满足下列条件：</w:t>
            </w:r>
          </w:p>
          <w:p w14:paraId="0CD81BD8">
            <w:pPr>
              <w:pStyle w:val="38"/>
              <w:spacing w:before="0" w:beforeAutospacing="0" w:after="0" w:afterAutospacing="0" w:line="288" w:lineRule="auto"/>
              <w:rPr>
                <w:rFonts w:hint="eastAsia" w:ascii="仿宋" w:hAnsi="仿宋" w:eastAsia="仿宋" w:cs="仿宋"/>
                <w:color w:val="000000" w:themeColor="text1"/>
                <w:kern w:val="2"/>
                <w:sz w:val="22"/>
                <w:szCs w:val="22"/>
                <w:highlight w:val="none"/>
                <w:lang w:val="zh-CN" w:eastAsia="zh-CN" w:bidi="ar-SA"/>
                <w14:textFill>
                  <w14:solidFill>
                    <w14:schemeClr w14:val="tx1"/>
                  </w14:solidFill>
                </w14:textFill>
              </w:rPr>
            </w:pPr>
            <w:r>
              <w:rPr>
                <w:rFonts w:hint="eastAsia" w:ascii="仿宋" w:hAnsi="仿宋" w:eastAsia="仿宋" w:cs="仿宋"/>
                <w:color w:val="000000" w:themeColor="text1"/>
                <w:kern w:val="2"/>
                <w:sz w:val="22"/>
                <w:szCs w:val="22"/>
                <w:highlight w:val="none"/>
                <w:lang w:val="zh-CN" w:eastAsia="zh-CN" w:bidi="ar-SA"/>
                <w14:textFill>
                  <w14:solidFill>
                    <w14:schemeClr w14:val="tx1"/>
                  </w14:solidFill>
                </w14:textFill>
              </w:rPr>
              <w:t>1、残疾人福利性单位应符合《财政部、民政部、中国残疾人联合会关于促进残疾人就业政府采购政策的通知》（财库[2017]141号）文件规定，并提供《残疾人福利性单位声明函》。</w:t>
            </w:r>
          </w:p>
          <w:p w14:paraId="5BC3A425">
            <w:pPr>
              <w:pStyle w:val="38"/>
              <w:spacing w:before="0" w:beforeAutospacing="0" w:after="0" w:afterAutospacing="0" w:line="288" w:lineRule="auto"/>
              <w:rPr>
                <w:rFonts w:hint="eastAsia" w:ascii="仿宋" w:hAns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2"/>
                <w:szCs w:val="22"/>
                <w:highlight w:val="none"/>
                <w:lang w:val="zh-CN" w:eastAsia="zh-CN" w:bidi="ar-SA"/>
                <w14:textFill>
                  <w14:solidFill>
                    <w14:schemeClr w14:val="tx1"/>
                  </w14:solidFill>
                </w14:textFill>
              </w:rPr>
              <w:t>2、残疾人福利性单位属于小型、微型企业的，不重复享受政策。</w:t>
            </w:r>
          </w:p>
        </w:tc>
      </w:tr>
    </w:tbl>
    <w:p w14:paraId="5EE49D55">
      <w:pPr>
        <w:pStyle w:val="73"/>
        <w:shd w:val="clear"/>
        <w:rPr>
          <w:rFonts w:hint="eastAsia" w:ascii="仿宋" w:hAnsi="仿宋" w:eastAsia="仿宋" w:cs="仿宋"/>
          <w:color w:val="000000" w:themeColor="text1"/>
          <w:sz w:val="36"/>
          <w:szCs w:val="36"/>
          <w:highlight w:val="none"/>
          <w14:textFill>
            <w14:solidFill>
              <w14:schemeClr w14:val="tx1"/>
            </w14:solidFill>
          </w14:textFill>
        </w:rPr>
      </w:pPr>
      <w:r>
        <w:rPr>
          <w:rFonts w:hint="eastAsia" w:ascii="仿宋" w:hAnsi="仿宋" w:eastAsia="仿宋" w:cs="仿宋"/>
          <w:b/>
          <w:bCs/>
          <w:snapToGrid/>
          <w:color w:val="000000" w:themeColor="text1"/>
          <w:spacing w:val="0"/>
          <w:sz w:val="22"/>
          <w:szCs w:val="24"/>
          <w:highlight w:val="none"/>
          <w14:textFill>
            <w14:solidFill>
              <w14:schemeClr w14:val="tx1"/>
            </w14:solidFill>
          </w14:textFill>
        </w:rPr>
        <w:t>注：投标人须知前附表与招标文件正文不一致的以投标人须知前附表为准。</w:t>
      </w:r>
      <w:bookmarkEnd w:id="44"/>
      <w:bookmarkEnd w:id="45"/>
      <w:bookmarkStart w:id="46" w:name="_Toc24682"/>
      <w:bookmarkStart w:id="47" w:name="_Toc7365"/>
      <w:bookmarkStart w:id="48" w:name="_Toc24712"/>
      <w:bookmarkStart w:id="49" w:name="_Toc26974"/>
      <w:bookmarkStart w:id="50" w:name="_Toc30960"/>
      <w:bookmarkStart w:id="51" w:name="_Toc27190"/>
      <w:bookmarkStart w:id="52" w:name="_Toc13154"/>
      <w:bookmarkStart w:id="53" w:name="_Toc4337"/>
      <w:bookmarkStart w:id="54" w:name="_Toc25053"/>
      <w:bookmarkStart w:id="55" w:name="_Toc3248"/>
      <w:bookmarkStart w:id="56" w:name="_Toc2796"/>
      <w:bookmarkStart w:id="57" w:name="_Toc23249"/>
      <w:bookmarkStart w:id="58" w:name="_Toc32725"/>
      <w:bookmarkStart w:id="59" w:name="_Toc25941_WPSOffice_Level1"/>
      <w:bookmarkStart w:id="60" w:name="_Toc175973404"/>
      <w:bookmarkStart w:id="61" w:name="_Toc531189843"/>
      <w:bookmarkStart w:id="62" w:name="_Toc27632"/>
    </w:p>
    <w:p w14:paraId="3F92A54C">
      <w:pPr>
        <w:pStyle w:val="3"/>
        <w:shd w:val="clear"/>
        <w:jc w:val="center"/>
        <w:rPr>
          <w:rFonts w:hint="eastAsia" w:ascii="仿宋" w:hAnsi="仿宋" w:eastAsia="仿宋" w:cs="仿宋"/>
          <w:color w:val="000000" w:themeColor="text1"/>
          <w:sz w:val="36"/>
          <w:szCs w:val="36"/>
          <w:highlight w:val="none"/>
          <w14:textFill>
            <w14:solidFill>
              <w14:schemeClr w14:val="tx1"/>
            </w14:solidFill>
          </w14:textFill>
        </w:rPr>
      </w:pPr>
      <w:r>
        <w:rPr>
          <w:rFonts w:hint="eastAsia" w:ascii="仿宋" w:hAnsi="仿宋" w:eastAsia="仿宋" w:cs="仿宋"/>
          <w:color w:val="000000" w:themeColor="text1"/>
          <w:sz w:val="36"/>
          <w:szCs w:val="36"/>
          <w:highlight w:val="none"/>
          <w14:textFill>
            <w14:solidFill>
              <w14:schemeClr w14:val="tx1"/>
            </w14:solidFill>
          </w14:textFill>
        </w:rPr>
        <w:t>投标须知正文</w:t>
      </w:r>
      <w:bookmarkEnd w:id="46"/>
    </w:p>
    <w:p w14:paraId="2B864683">
      <w:pPr>
        <w:shd w:val="clear"/>
        <w:tabs>
          <w:tab w:val="left" w:pos="7665"/>
        </w:tabs>
        <w:spacing w:beforeLines="50" w:afterLines="50" w:line="360" w:lineRule="auto"/>
        <w:ind w:firstLine="1"/>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63" w:name="_Toc201"/>
      <w:bookmarkStart w:id="64" w:name="_Toc32544"/>
      <w:bookmarkStart w:id="65" w:name="_Toc18021"/>
      <w:bookmarkStart w:id="66" w:name="_Toc24753"/>
      <w:bookmarkStart w:id="67" w:name="_Toc175973400"/>
      <w:bookmarkStart w:id="68" w:name="_Toc531189839"/>
      <w:r>
        <w:rPr>
          <w:rFonts w:hint="eastAsia" w:ascii="仿宋" w:hAnsi="仿宋" w:eastAsia="仿宋" w:cs="仿宋"/>
          <w:b/>
          <w:color w:val="000000" w:themeColor="text1"/>
          <w:sz w:val="24"/>
          <w:szCs w:val="24"/>
          <w:highlight w:val="none"/>
          <w14:textFill>
            <w14:solidFill>
              <w14:schemeClr w14:val="tx1"/>
            </w14:solidFill>
          </w14:textFill>
        </w:rPr>
        <w:t>一、名词解释</w:t>
      </w:r>
      <w:bookmarkEnd w:id="63"/>
      <w:bookmarkEnd w:id="64"/>
    </w:p>
    <w:p w14:paraId="0D1AFA49">
      <w:pPr>
        <w:shd w:val="clear"/>
        <w:adjustRightInd w:val="0"/>
        <w:snapToGrid w:val="0"/>
        <w:spacing w:beforeLines="50"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1.1.</w:t>
      </w:r>
      <w:r>
        <w:rPr>
          <w:rFonts w:hint="eastAsia" w:ascii="仿宋" w:hAnsi="仿宋" w:eastAsia="仿宋" w:cs="仿宋"/>
          <w:b/>
          <w:bCs/>
          <w:color w:val="000000" w:themeColor="text1"/>
          <w:kern w:val="0"/>
          <w:szCs w:val="21"/>
          <w:highlight w:val="none"/>
          <w14:textFill>
            <w14:solidFill>
              <w14:schemeClr w14:val="tx1"/>
            </w14:solidFill>
          </w14:textFill>
        </w:rPr>
        <w:t>采购人</w:t>
      </w:r>
      <w:r>
        <w:rPr>
          <w:rFonts w:hint="eastAsia" w:ascii="仿宋" w:hAnsi="仿宋" w:eastAsia="仿宋" w:cs="仿宋"/>
          <w:color w:val="000000" w:themeColor="text1"/>
          <w:kern w:val="0"/>
          <w:szCs w:val="21"/>
          <w:highlight w:val="none"/>
          <w14:textFill>
            <w14:solidFill>
              <w14:schemeClr w14:val="tx1"/>
            </w14:solidFill>
          </w14:textFill>
        </w:rPr>
        <w:t>系指依法进行政府采购的国家机关、事业单位、团体组织。本次采购的采购人名称、地址、电话、联系人见投标人须知前附表。</w:t>
      </w:r>
    </w:p>
    <w:p w14:paraId="3EF5C28D">
      <w:pPr>
        <w:shd w:val="clear"/>
        <w:adjustRightInd w:val="0"/>
        <w:snapToGrid w:val="0"/>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1.2.</w:t>
      </w:r>
      <w:r>
        <w:rPr>
          <w:rFonts w:hint="eastAsia" w:ascii="仿宋" w:hAnsi="仿宋" w:eastAsia="仿宋" w:cs="仿宋"/>
          <w:b/>
          <w:bCs/>
          <w:color w:val="000000" w:themeColor="text1"/>
          <w:kern w:val="0"/>
          <w:szCs w:val="21"/>
          <w:highlight w:val="none"/>
          <w14:textFill>
            <w14:solidFill>
              <w14:schemeClr w14:val="tx1"/>
            </w14:solidFill>
          </w14:textFill>
        </w:rPr>
        <w:t>监督机构</w:t>
      </w:r>
      <w:r>
        <w:rPr>
          <w:rFonts w:hint="eastAsia" w:ascii="仿宋" w:hAnsi="仿宋" w:eastAsia="仿宋" w:cs="仿宋"/>
          <w:color w:val="000000" w:themeColor="text1"/>
          <w:kern w:val="0"/>
          <w:szCs w:val="21"/>
          <w:highlight w:val="none"/>
          <w14:textFill>
            <w14:solidFill>
              <w14:schemeClr w14:val="tx1"/>
            </w14:solidFill>
          </w14:textFill>
        </w:rPr>
        <w:t>系指政府采购行政监督管理部门。本次采购的监督机构</w:t>
      </w:r>
      <w:r>
        <w:rPr>
          <w:rFonts w:hint="eastAsia" w:ascii="仿宋" w:hAnsi="仿宋" w:eastAsia="仿宋" w:cs="仿宋"/>
          <w:color w:val="000000" w:themeColor="text1"/>
          <w:kern w:val="0"/>
          <w:szCs w:val="21"/>
          <w:highlight w:val="none"/>
          <w:lang w:val="en-US" w:eastAsia="zh-CN"/>
          <w14:textFill>
            <w14:solidFill>
              <w14:schemeClr w14:val="tx1"/>
            </w14:solidFill>
          </w14:textFill>
        </w:rPr>
        <w:t>为</w:t>
      </w:r>
      <w:r>
        <w:rPr>
          <w:rFonts w:hint="eastAsia" w:ascii="仿宋" w:hAnsi="仿宋" w:eastAsia="仿宋" w:cs="仿宋"/>
          <w:color w:val="000000" w:themeColor="text1"/>
          <w:kern w:val="0"/>
          <w:szCs w:val="21"/>
          <w:highlight w:val="none"/>
          <w14:textFill>
            <w14:solidFill>
              <w14:schemeClr w14:val="tx1"/>
            </w14:solidFill>
          </w14:textFill>
        </w:rPr>
        <w:t>同级人民政府财政部门及有关部门。</w:t>
      </w:r>
    </w:p>
    <w:p w14:paraId="5A566F58">
      <w:pPr>
        <w:shd w:val="clear"/>
        <w:adjustRightInd w:val="0"/>
        <w:snapToGrid w:val="0"/>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1.3.</w:t>
      </w:r>
      <w:r>
        <w:rPr>
          <w:rFonts w:hint="eastAsia" w:ascii="仿宋" w:hAnsi="仿宋" w:eastAsia="仿宋" w:cs="仿宋"/>
          <w:b/>
          <w:bCs/>
          <w:color w:val="000000" w:themeColor="text1"/>
          <w:kern w:val="0"/>
          <w:szCs w:val="21"/>
          <w:highlight w:val="none"/>
          <w14:textFill>
            <w14:solidFill>
              <w14:schemeClr w14:val="tx1"/>
            </w14:solidFill>
          </w14:textFill>
        </w:rPr>
        <w:t>采购代理机构</w:t>
      </w:r>
      <w:r>
        <w:rPr>
          <w:rFonts w:hint="eastAsia" w:ascii="仿宋" w:hAnsi="仿宋" w:eastAsia="仿宋" w:cs="仿宋"/>
          <w:color w:val="000000" w:themeColor="text1"/>
          <w:kern w:val="0"/>
          <w:szCs w:val="21"/>
          <w:highlight w:val="none"/>
          <w14:textFill>
            <w14:solidFill>
              <w14:schemeClr w14:val="tx1"/>
            </w14:solidFill>
          </w14:textFill>
        </w:rPr>
        <w:t>系指接受采购人委托，代理采购项目的依法经财政部门认定资格的采购代理机构。本次采购的采购代理机构名称、地址、电话、联系人见投标人须知前附表。</w:t>
      </w:r>
    </w:p>
    <w:p w14:paraId="09D0D0F0">
      <w:pPr>
        <w:shd w:val="clear"/>
        <w:tabs>
          <w:tab w:val="left" w:pos="7665"/>
        </w:tabs>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xml:space="preserve">1.4. </w:t>
      </w:r>
      <w:r>
        <w:rPr>
          <w:rFonts w:hint="eastAsia" w:ascii="仿宋" w:hAnsi="仿宋" w:eastAsia="仿宋" w:cs="仿宋"/>
          <w:b/>
          <w:bCs/>
          <w:color w:val="000000" w:themeColor="text1"/>
          <w:kern w:val="0"/>
          <w:szCs w:val="21"/>
          <w:highlight w:val="none"/>
          <w14:textFill>
            <w14:solidFill>
              <w14:schemeClr w14:val="tx1"/>
            </w14:solidFill>
          </w14:textFill>
        </w:rPr>
        <w:t>投标人</w:t>
      </w:r>
      <w:r>
        <w:rPr>
          <w:rFonts w:hint="eastAsia" w:ascii="仿宋" w:hAnsi="仿宋" w:eastAsia="仿宋" w:cs="仿宋"/>
          <w:color w:val="000000" w:themeColor="text1"/>
          <w:kern w:val="0"/>
          <w:szCs w:val="21"/>
          <w:highlight w:val="none"/>
          <w14:textFill>
            <w14:solidFill>
              <w14:schemeClr w14:val="tx1"/>
            </w14:solidFill>
          </w14:textFill>
        </w:rPr>
        <w:t>是指响应招标，参加投标竞争的法人或其他组织或个人。</w:t>
      </w:r>
    </w:p>
    <w:p w14:paraId="505FD24D">
      <w:pPr>
        <w:shd w:val="clear"/>
        <w:adjustRightInd w:val="0"/>
        <w:snapToGrid w:val="0"/>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xml:space="preserve">1.5. </w:t>
      </w:r>
      <w:r>
        <w:rPr>
          <w:rFonts w:hint="eastAsia" w:ascii="仿宋" w:hAnsi="仿宋" w:eastAsia="仿宋" w:cs="仿宋"/>
          <w:b/>
          <w:bCs/>
          <w:color w:val="000000" w:themeColor="text1"/>
          <w:kern w:val="0"/>
          <w:szCs w:val="21"/>
          <w:highlight w:val="none"/>
          <w14:textFill>
            <w14:solidFill>
              <w14:schemeClr w14:val="tx1"/>
            </w14:solidFill>
          </w14:textFill>
        </w:rPr>
        <w:t>货物</w:t>
      </w:r>
      <w:r>
        <w:rPr>
          <w:rFonts w:hint="eastAsia" w:ascii="仿宋" w:hAnsi="仿宋" w:eastAsia="仿宋" w:cs="仿宋"/>
          <w:color w:val="000000" w:themeColor="text1"/>
          <w:kern w:val="0"/>
          <w:szCs w:val="21"/>
          <w:highlight w:val="none"/>
          <w14:textFill>
            <w14:solidFill>
              <w14:schemeClr w14:val="tx1"/>
            </w14:solidFill>
          </w14:textFill>
        </w:rPr>
        <w:t>是指本招标文件中第</w:t>
      </w:r>
      <w:r>
        <w:rPr>
          <w:rFonts w:hint="eastAsia" w:ascii="仿宋" w:hAnsi="仿宋" w:eastAsia="仿宋" w:cs="仿宋"/>
          <w:color w:val="000000" w:themeColor="text1"/>
          <w:kern w:val="0"/>
          <w:szCs w:val="21"/>
          <w:highlight w:val="none"/>
          <w:lang w:val="en-US" w:eastAsia="zh-CN"/>
          <w14:textFill>
            <w14:solidFill>
              <w14:schemeClr w14:val="tx1"/>
            </w14:solidFill>
          </w14:textFill>
        </w:rPr>
        <w:t>三</w:t>
      </w:r>
      <w:r>
        <w:rPr>
          <w:rFonts w:hint="eastAsia" w:ascii="仿宋" w:hAnsi="仿宋" w:eastAsia="仿宋" w:cs="仿宋"/>
          <w:color w:val="000000" w:themeColor="text1"/>
          <w:kern w:val="0"/>
          <w:szCs w:val="21"/>
          <w:highlight w:val="none"/>
          <w14:textFill>
            <w14:solidFill>
              <w14:schemeClr w14:val="tx1"/>
            </w14:solidFill>
          </w14:textFill>
        </w:rPr>
        <w:t>章所述所有货物。</w:t>
      </w:r>
    </w:p>
    <w:p w14:paraId="406D34CA">
      <w:pPr>
        <w:shd w:val="clear"/>
        <w:adjustRightInd w:val="0"/>
        <w:snapToGrid w:val="0"/>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xml:space="preserve">1.6. </w:t>
      </w:r>
      <w:r>
        <w:rPr>
          <w:rFonts w:hint="eastAsia" w:ascii="仿宋" w:hAnsi="仿宋" w:eastAsia="仿宋" w:cs="仿宋"/>
          <w:b/>
          <w:bCs/>
          <w:color w:val="000000" w:themeColor="text1"/>
          <w:kern w:val="0"/>
          <w:szCs w:val="21"/>
          <w:highlight w:val="none"/>
          <w14:textFill>
            <w14:solidFill>
              <w14:schemeClr w14:val="tx1"/>
            </w14:solidFill>
          </w14:textFill>
        </w:rPr>
        <w:t>服务</w:t>
      </w:r>
      <w:r>
        <w:rPr>
          <w:rFonts w:hint="eastAsia" w:ascii="仿宋" w:hAnsi="仿宋" w:eastAsia="仿宋" w:cs="仿宋"/>
          <w:color w:val="000000" w:themeColor="text1"/>
          <w:kern w:val="0"/>
          <w:szCs w:val="21"/>
          <w:highlight w:val="none"/>
          <w14:textFill>
            <w14:solidFill>
              <w14:schemeClr w14:val="tx1"/>
            </w14:solidFill>
          </w14:textFill>
        </w:rPr>
        <w:t>是指</w:t>
      </w:r>
      <w:r>
        <w:rPr>
          <w:rFonts w:hint="eastAsia" w:ascii="仿宋" w:hAnsi="仿宋" w:eastAsia="仿宋" w:cs="仿宋"/>
          <w:color w:val="000000" w:themeColor="text1"/>
          <w:kern w:val="0"/>
          <w:szCs w:val="21"/>
          <w:highlight w:val="none"/>
          <w:lang w:val="en-US" w:eastAsia="zh-CN"/>
          <w14:textFill>
            <w14:solidFill>
              <w14:schemeClr w14:val="tx1"/>
            </w14:solidFill>
          </w14:textFill>
        </w:rPr>
        <w:t>投标人</w:t>
      </w:r>
      <w:r>
        <w:rPr>
          <w:rFonts w:hint="eastAsia" w:ascii="仿宋" w:hAnsi="仿宋" w:eastAsia="仿宋" w:cs="仿宋"/>
          <w:color w:val="000000" w:themeColor="text1"/>
          <w:kern w:val="0"/>
          <w:szCs w:val="21"/>
          <w:highlight w:val="none"/>
          <w14:textFill>
            <w14:solidFill>
              <w14:schemeClr w14:val="tx1"/>
            </w14:solidFill>
          </w14:textFill>
        </w:rPr>
        <w:t>为满足招标文件要求而提供的服务。</w:t>
      </w:r>
    </w:p>
    <w:p w14:paraId="75A1D89F">
      <w:pPr>
        <w:shd w:val="clear"/>
        <w:adjustRightInd w:val="0"/>
        <w:snapToGrid w:val="0"/>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xml:space="preserve">1.7. </w:t>
      </w:r>
      <w:r>
        <w:rPr>
          <w:rFonts w:hint="eastAsia" w:ascii="仿宋" w:hAnsi="仿宋" w:eastAsia="仿宋" w:cs="仿宋"/>
          <w:b/>
          <w:bCs/>
          <w:color w:val="000000" w:themeColor="text1"/>
          <w:kern w:val="0"/>
          <w:szCs w:val="21"/>
          <w:highlight w:val="none"/>
          <w14:textFill>
            <w14:solidFill>
              <w14:schemeClr w14:val="tx1"/>
            </w14:solidFill>
          </w14:textFill>
        </w:rPr>
        <w:t>节能产品</w:t>
      </w:r>
      <w:r>
        <w:rPr>
          <w:rFonts w:hint="eastAsia" w:ascii="仿宋" w:hAnsi="仿宋" w:eastAsia="仿宋" w:cs="仿宋"/>
          <w:color w:val="000000" w:themeColor="text1"/>
          <w:kern w:val="0"/>
          <w:szCs w:val="21"/>
          <w:highlight w:val="none"/>
          <w14:textFill>
            <w14:solidFill>
              <w14:schemeClr w14:val="tx1"/>
            </w14:solidFill>
          </w14:textFill>
        </w:rPr>
        <w:t>指财政部、发展改革委、生态环境部等部门发布的《节能产品品目清单》中的产品。</w:t>
      </w:r>
    </w:p>
    <w:p w14:paraId="6A919CA5">
      <w:pPr>
        <w:shd w:val="clear"/>
        <w:adjustRightInd w:val="0"/>
        <w:snapToGrid w:val="0"/>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xml:space="preserve">1.8. </w:t>
      </w:r>
      <w:r>
        <w:rPr>
          <w:rFonts w:hint="eastAsia" w:ascii="仿宋" w:hAnsi="仿宋" w:eastAsia="仿宋" w:cs="仿宋"/>
          <w:b/>
          <w:bCs/>
          <w:color w:val="000000" w:themeColor="text1"/>
          <w:kern w:val="0"/>
          <w:szCs w:val="21"/>
          <w:highlight w:val="none"/>
          <w14:textFill>
            <w14:solidFill>
              <w14:schemeClr w14:val="tx1"/>
            </w14:solidFill>
          </w14:textFill>
        </w:rPr>
        <w:t>环境标志产品</w:t>
      </w:r>
      <w:r>
        <w:rPr>
          <w:rFonts w:hint="eastAsia" w:ascii="仿宋" w:hAnsi="仿宋" w:eastAsia="仿宋" w:cs="仿宋"/>
          <w:color w:val="000000" w:themeColor="text1"/>
          <w:kern w:val="0"/>
          <w:szCs w:val="21"/>
          <w:highlight w:val="none"/>
          <w14:textFill>
            <w14:solidFill>
              <w14:schemeClr w14:val="tx1"/>
            </w14:solidFill>
          </w14:textFill>
        </w:rPr>
        <w:t>是指财政部、发展改革委、生态环境部等部门发布的《环境标志产品品目清单》中的产品。</w:t>
      </w:r>
    </w:p>
    <w:p w14:paraId="32A1B728">
      <w:pPr>
        <w:shd w:val="clear"/>
        <w:adjustRightInd w:val="0"/>
        <w:snapToGrid w:val="0"/>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xml:space="preserve">1.9. </w:t>
      </w:r>
      <w:r>
        <w:rPr>
          <w:rFonts w:hint="eastAsia" w:ascii="仿宋" w:hAnsi="仿宋" w:eastAsia="仿宋" w:cs="仿宋"/>
          <w:b/>
          <w:bCs/>
          <w:color w:val="000000" w:themeColor="text1"/>
          <w:kern w:val="0"/>
          <w:szCs w:val="21"/>
          <w:highlight w:val="none"/>
          <w14:textFill>
            <w14:solidFill>
              <w14:schemeClr w14:val="tx1"/>
            </w14:solidFill>
          </w14:textFill>
        </w:rPr>
        <w:t>进口产品</w:t>
      </w:r>
      <w:r>
        <w:rPr>
          <w:rFonts w:hint="eastAsia" w:ascii="仿宋" w:hAnsi="仿宋" w:eastAsia="仿宋" w:cs="仿宋"/>
          <w:color w:val="000000" w:themeColor="text1"/>
          <w:kern w:val="0"/>
          <w:szCs w:val="21"/>
          <w:highlight w:val="none"/>
          <w14:textFill>
            <w14:solidFill>
              <w14:schemeClr w14:val="tx1"/>
            </w14:solidFill>
          </w14:textFill>
        </w:rPr>
        <w:t>是指通过中国海关报关验放进入中国境内且产自关境外的产品，详见《关于政府采购进口产品管理有关问题的通知》(财库[2007]119号)。</w:t>
      </w:r>
    </w:p>
    <w:p w14:paraId="30E0FC01">
      <w:pPr>
        <w:shd w:val="clear"/>
        <w:adjustRightInd w:val="0"/>
        <w:snapToGrid w:val="0"/>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1.10.</w:t>
      </w:r>
      <w:r>
        <w:rPr>
          <w:rFonts w:hint="eastAsia" w:ascii="仿宋" w:hAnsi="仿宋" w:eastAsia="仿宋" w:cs="仿宋"/>
          <w:b/>
          <w:bCs/>
          <w:color w:val="000000" w:themeColor="text1"/>
          <w:kern w:val="0"/>
          <w:szCs w:val="21"/>
          <w:highlight w:val="none"/>
          <w14:textFill>
            <w14:solidFill>
              <w14:schemeClr w14:val="tx1"/>
            </w14:solidFill>
          </w14:textFill>
        </w:rPr>
        <w:t>中小企业</w:t>
      </w:r>
      <w:r>
        <w:rPr>
          <w:rFonts w:hint="eastAsia" w:ascii="仿宋" w:hAnsi="仿宋" w:eastAsia="仿宋" w:cs="仿宋"/>
          <w:color w:val="000000" w:themeColor="text1"/>
          <w:kern w:val="0"/>
          <w:szCs w:val="21"/>
          <w:highlight w:val="none"/>
          <w14:textFill>
            <w14:solidFill>
              <w14:schemeClr w14:val="tx1"/>
            </w14:solidFill>
          </w14:textFill>
        </w:rPr>
        <w:t>是指符合《工业和信息化部、国家统计局、国家发展和改革委员会、财政部关于印发中小企业划型标准规定的通知》（工信部联企业[2011]300号）规定的对中小企业的划分标准的企业。</w:t>
      </w:r>
    </w:p>
    <w:p w14:paraId="133D3FBB">
      <w:pPr>
        <w:shd w:val="clear"/>
        <w:adjustRightInd w:val="0"/>
        <w:snapToGrid w:val="0"/>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1.11.</w:t>
      </w:r>
      <w:r>
        <w:rPr>
          <w:rFonts w:hint="eastAsia" w:ascii="仿宋" w:hAnsi="仿宋" w:eastAsia="仿宋" w:cs="仿宋"/>
          <w:b/>
          <w:bCs/>
          <w:color w:val="000000" w:themeColor="text1"/>
          <w:kern w:val="0"/>
          <w:szCs w:val="21"/>
          <w:highlight w:val="none"/>
          <w14:textFill>
            <w14:solidFill>
              <w14:schemeClr w14:val="tx1"/>
            </w14:solidFill>
          </w14:textFill>
        </w:rPr>
        <w:t xml:space="preserve"> 监狱企业</w:t>
      </w:r>
      <w:r>
        <w:rPr>
          <w:rFonts w:hint="eastAsia" w:ascii="仿宋" w:hAnsi="仿宋" w:eastAsia="仿宋" w:cs="仿宋"/>
          <w:color w:val="000000" w:themeColor="text1"/>
          <w:kern w:val="0"/>
          <w:szCs w:val="21"/>
          <w:highlight w:val="none"/>
          <w14:textFill>
            <w14:solidFill>
              <w14:schemeClr w14:val="tx1"/>
            </w14:solidFill>
          </w14:textFill>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6EEF685">
      <w:pPr>
        <w:pStyle w:val="3"/>
        <w:shd w:val="clear"/>
        <w:snapToGrid w:val="0"/>
        <w:ind w:firstLine="420" w:firstLineChars="200"/>
        <w:jc w:val="both"/>
        <w:rPr>
          <w:rFonts w:hint="eastAsia" w:ascii="仿宋" w:hAnsi="仿宋" w:eastAsia="仿宋" w:cs="仿宋"/>
          <w:b w:val="0"/>
          <w:bCs w:val="0"/>
          <w:color w:val="000000" w:themeColor="text1"/>
          <w:sz w:val="21"/>
          <w:szCs w:val="21"/>
          <w:highlight w:val="none"/>
          <w14:textFill>
            <w14:solidFill>
              <w14:schemeClr w14:val="tx1"/>
            </w14:solidFill>
          </w14:textFill>
        </w:rPr>
      </w:pPr>
      <w:bookmarkStart w:id="69" w:name="_Toc28755"/>
      <w:bookmarkStart w:id="70" w:name="_Toc2638"/>
      <w:r>
        <w:rPr>
          <w:rFonts w:hint="eastAsia" w:ascii="仿宋" w:hAnsi="仿宋" w:eastAsia="仿宋" w:cs="仿宋"/>
          <w:b w:val="0"/>
          <w:bCs w:val="0"/>
          <w:color w:val="000000" w:themeColor="text1"/>
          <w:kern w:val="0"/>
          <w:sz w:val="21"/>
          <w:szCs w:val="21"/>
          <w:highlight w:val="none"/>
          <w:lang w:val="en-US" w:eastAsia="zh-CN" w:bidi="ar-SA"/>
          <w14:textFill>
            <w14:solidFill>
              <w14:schemeClr w14:val="tx1"/>
            </w14:solidFill>
          </w14:textFill>
        </w:rPr>
        <w:t>1.12.</w:t>
      </w:r>
      <w:r>
        <w:rPr>
          <w:rFonts w:hint="eastAsia" w:ascii="仿宋" w:hAnsi="仿宋" w:eastAsia="仿宋" w:cs="仿宋"/>
          <w:b w:val="0"/>
          <w:bCs w:val="0"/>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残疾人福利性单位</w:t>
      </w:r>
      <w:r>
        <w:rPr>
          <w:rFonts w:hint="eastAsia" w:ascii="仿宋" w:hAnsi="仿宋" w:eastAsia="仿宋" w:cs="仿宋"/>
          <w:b w:val="0"/>
          <w:bCs w:val="0"/>
          <w:color w:val="000000" w:themeColor="text1"/>
          <w:sz w:val="21"/>
          <w:szCs w:val="21"/>
          <w:highlight w:val="none"/>
          <w14:textFill>
            <w14:solidFill>
              <w14:schemeClr w14:val="tx1"/>
            </w14:solidFill>
          </w14:textFill>
        </w:rPr>
        <w:t>是指符合《财政部、民政部、中国残疾人联合会关于促进残疾人就业政府采购政策的通知》（财库〔2017〕141号）规定条件的单位。</w:t>
      </w:r>
      <w:bookmarkEnd w:id="69"/>
      <w:bookmarkEnd w:id="70"/>
    </w:p>
    <w:p w14:paraId="0027D77B">
      <w:pPr>
        <w:keepNext w:val="0"/>
        <w:keepLines w:val="0"/>
        <w:pageBreakBefore w:val="0"/>
        <w:shd w:val="clear"/>
        <w:wordWrap/>
        <w:overflowPunct/>
        <w:topLinePunct w:val="0"/>
        <w:autoSpaceDE/>
        <w:autoSpaceDN/>
        <w:bidi w:val="0"/>
        <w:adjustRightInd w:val="0"/>
        <w:snapToGrid w:val="0"/>
        <w:spacing w:line="308" w:lineRule="auto"/>
        <w:ind w:right="0" w:rightChars="0" w:firstLine="420" w:firstLineChars="20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1.13.</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政府采购信用融资：</w:t>
      </w:r>
      <w:r>
        <w:rPr>
          <w:rFonts w:hint="eastAsia" w:ascii="仿宋" w:hAnsi="仿宋" w:eastAsia="仿宋" w:cs="仿宋"/>
          <w:color w:val="000000" w:themeColor="text1"/>
          <w:sz w:val="21"/>
          <w:szCs w:val="21"/>
          <w:highlight w:val="none"/>
          <w14:textFill>
            <w14:solidFill>
              <w14:schemeClr w14:val="tx1"/>
            </w14:solidFill>
          </w14:textFill>
        </w:rPr>
        <w:t>本着</w:t>
      </w:r>
      <w:r>
        <w:rPr>
          <w:rFonts w:hint="eastAsia" w:ascii="仿宋" w:hAnsi="仿宋" w:eastAsia="仿宋" w:cs="仿宋"/>
          <w:color w:val="000000" w:themeColor="text1"/>
          <w:sz w:val="21"/>
          <w:szCs w:val="21"/>
          <w:highlight w:val="none"/>
          <w:lang w:val="en"/>
          <w14:textFill>
            <w14:solidFill>
              <w14:schemeClr w14:val="tx1"/>
            </w14:solidFill>
          </w14:textFill>
        </w:rPr>
        <w:t>“银企自愿，风险自担”的原则，</w:t>
      </w:r>
      <w:r>
        <w:rPr>
          <w:rFonts w:hint="eastAsia" w:ascii="仿宋" w:hAnsi="仿宋" w:eastAsia="仿宋" w:cs="仿宋"/>
          <w:color w:val="000000" w:themeColor="text1"/>
          <w:sz w:val="21"/>
          <w:szCs w:val="21"/>
          <w:highlight w:val="none"/>
          <w:lang w:val="en-US" w:eastAsia="zh-CN"/>
          <w14:textFill>
            <w14:solidFill>
              <w14:schemeClr w14:val="tx1"/>
            </w14:solidFill>
          </w14:textFill>
        </w:rPr>
        <w:t>中标人</w:t>
      </w:r>
      <w:r>
        <w:rPr>
          <w:rFonts w:hint="eastAsia" w:ascii="仿宋" w:hAnsi="仿宋" w:eastAsia="仿宋" w:cs="仿宋"/>
          <w:color w:val="000000" w:themeColor="text1"/>
          <w:sz w:val="21"/>
          <w:szCs w:val="21"/>
          <w:highlight w:val="none"/>
          <w14:textFill>
            <w14:solidFill>
              <w14:schemeClr w14:val="tx1"/>
            </w14:solidFill>
          </w14:textFill>
        </w:rPr>
        <w:t>为中小企业的可以自愿选择</w:t>
      </w:r>
      <w:r>
        <w:rPr>
          <w:rFonts w:hint="eastAsia" w:ascii="仿宋" w:hAnsi="仿宋" w:eastAsia="仿宋" w:cs="仿宋"/>
          <w:color w:val="000000" w:themeColor="text1"/>
          <w:sz w:val="21"/>
          <w:szCs w:val="21"/>
          <w:highlight w:val="none"/>
          <w:lang w:val="en"/>
          <w14:textFill>
            <w14:solidFill>
              <w14:schemeClr w14:val="tx1"/>
            </w14:solidFill>
          </w14:textFill>
        </w:rPr>
        <w:t>政府采购贷款进行融资，通过“陕西省政府采购合同融资平台”（http://www.ccgp-shaanxi.gov.cn/zcdservice/zcd/shanxi/）实施。</w:t>
      </w:r>
    </w:p>
    <w:p w14:paraId="55C624E4">
      <w:pPr>
        <w:pStyle w:val="3"/>
        <w:shd w:val="clear"/>
        <w:snapToGrid w:val="0"/>
        <w:jc w:val="both"/>
        <w:rPr>
          <w:rFonts w:hint="eastAsia" w:ascii="仿宋" w:hAnsi="仿宋" w:eastAsia="仿宋" w:cs="仿宋"/>
          <w:color w:val="000000" w:themeColor="text1"/>
          <w:sz w:val="24"/>
          <w:szCs w:val="24"/>
          <w:highlight w:val="none"/>
          <w14:textFill>
            <w14:solidFill>
              <w14:schemeClr w14:val="tx1"/>
            </w14:solidFill>
          </w14:textFill>
        </w:rPr>
      </w:pPr>
      <w:bookmarkStart w:id="71" w:name="_Toc21063"/>
      <w:bookmarkStart w:id="72" w:name="_Toc13040"/>
      <w:r>
        <w:rPr>
          <w:rFonts w:hint="eastAsia" w:ascii="仿宋" w:hAnsi="仿宋" w:eastAsia="仿宋" w:cs="仿宋"/>
          <w:color w:val="000000" w:themeColor="text1"/>
          <w:sz w:val="24"/>
          <w:szCs w:val="24"/>
          <w:highlight w:val="none"/>
          <w14:textFill>
            <w14:solidFill>
              <w14:schemeClr w14:val="tx1"/>
            </w14:solidFill>
          </w14:textFill>
        </w:rPr>
        <w:t>二、投标人</w:t>
      </w:r>
      <w:bookmarkEnd w:id="71"/>
      <w:bookmarkEnd w:id="72"/>
    </w:p>
    <w:p w14:paraId="0B561F95">
      <w:pPr>
        <w:shd w:val="clear"/>
        <w:snapToGrid w:val="0"/>
        <w:spacing w:line="360" w:lineRule="auto"/>
        <w:ind w:firstLine="211" w:firstLineChars="100"/>
        <w:rPr>
          <w:rFonts w:hint="eastAsia" w:ascii="仿宋" w:hAnsi="仿宋" w:eastAsia="仿宋" w:cs="仿宋"/>
          <w:b/>
          <w:color w:val="000000" w:themeColor="text1"/>
          <w:szCs w:val="21"/>
          <w:highlight w:val="none"/>
          <w14:textFill>
            <w14:solidFill>
              <w14:schemeClr w14:val="tx1"/>
            </w14:solidFill>
          </w14:textFill>
        </w:rPr>
      </w:pPr>
      <w:bookmarkStart w:id="73" w:name="_Toc175973398"/>
      <w:bookmarkStart w:id="74" w:name="_Toc531189837"/>
      <w:r>
        <w:rPr>
          <w:rFonts w:hint="eastAsia" w:ascii="仿宋" w:hAnsi="仿宋" w:eastAsia="仿宋" w:cs="仿宋"/>
          <w:b/>
          <w:color w:val="000000" w:themeColor="text1"/>
          <w:szCs w:val="21"/>
          <w:highlight w:val="none"/>
          <w14:textFill>
            <w14:solidFill>
              <w14:schemeClr w14:val="tx1"/>
            </w14:solidFill>
          </w14:textFill>
        </w:rPr>
        <w:t>2.1.投标委托</w:t>
      </w:r>
    </w:p>
    <w:p w14:paraId="370F272B">
      <w:pPr>
        <w:pStyle w:val="12"/>
        <w:shd w:val="clear"/>
        <w:overflowPunct w:val="0"/>
        <w:snapToGrid w:val="0"/>
        <w:spacing w:line="360" w:lineRule="auto"/>
        <w:ind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如投标人代表不是法定代表人，须持有《法定代表人授权委托书》，格式见本招标文件。</w:t>
      </w:r>
    </w:p>
    <w:p w14:paraId="419A7A66">
      <w:pPr>
        <w:shd w:val="clear"/>
        <w:snapToGrid w:val="0"/>
        <w:spacing w:line="360" w:lineRule="auto"/>
        <w:ind w:firstLine="211" w:firstLineChars="1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 xml:space="preserve">2.2.投标费用 </w:t>
      </w:r>
    </w:p>
    <w:p w14:paraId="1A80ADBE">
      <w:pPr>
        <w:pStyle w:val="12"/>
        <w:shd w:val="clear"/>
        <w:overflowPunct w:val="0"/>
        <w:snapToGrid w:val="0"/>
        <w:spacing w:line="360" w:lineRule="auto"/>
        <w:ind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无论投标过程中的做法和结果如何，投标人自行承担所有与参加投标有关的全部费用。</w:t>
      </w:r>
    </w:p>
    <w:p w14:paraId="32655B7D">
      <w:pPr>
        <w:pStyle w:val="12"/>
        <w:shd w:val="clear"/>
        <w:overflowPunct w:val="0"/>
        <w:snapToGrid w:val="0"/>
        <w:spacing w:line="360" w:lineRule="auto"/>
        <w:ind w:firstLine="211" w:firstLineChars="1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w:t>
      </w:r>
      <w:r>
        <w:rPr>
          <w:rFonts w:hint="eastAsia" w:ascii="仿宋" w:hAnsi="仿宋" w:eastAsia="仿宋" w:cs="仿宋"/>
          <w:b/>
          <w:bCs/>
          <w:color w:val="000000" w:themeColor="text1"/>
          <w:szCs w:val="21"/>
          <w:highlight w:val="none"/>
          <w14:textFill>
            <w14:solidFill>
              <w14:schemeClr w14:val="tx1"/>
            </w14:solidFill>
          </w14:textFill>
        </w:rPr>
        <w:t>3.合格的投标人应具备以下条件：</w:t>
      </w:r>
    </w:p>
    <w:p w14:paraId="3CBF30FF">
      <w:pPr>
        <w:pStyle w:val="12"/>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（1）具备且满足本招标文件规定的投标人资格条件；</w:t>
      </w:r>
    </w:p>
    <w:p w14:paraId="5CB50287">
      <w:pPr>
        <w:pStyle w:val="12"/>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（2）从采购代理机构购获取了招标文件；</w:t>
      </w:r>
    </w:p>
    <w:p w14:paraId="3043AF48">
      <w:pPr>
        <w:pStyle w:val="12"/>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（3）遵守国家和地方有关的法律法规、规章和规范性文件要求。</w:t>
      </w:r>
    </w:p>
    <w:p w14:paraId="6D6A846C">
      <w:pPr>
        <w:pStyle w:val="12"/>
        <w:shd w:val="clear"/>
        <w:overflowPunct w:val="0"/>
        <w:snapToGrid w:val="0"/>
        <w:spacing w:line="360" w:lineRule="auto"/>
        <w:ind w:firstLine="211" w:firstLineChars="1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w:t>
      </w:r>
      <w:r>
        <w:rPr>
          <w:rFonts w:hint="eastAsia" w:ascii="仿宋" w:hAnsi="仿宋" w:eastAsia="仿宋" w:cs="仿宋"/>
          <w:b/>
          <w:bCs/>
          <w:color w:val="000000" w:themeColor="text1"/>
          <w:szCs w:val="21"/>
          <w:highlight w:val="none"/>
          <w14:textFill>
            <w14:solidFill>
              <w14:schemeClr w14:val="tx1"/>
            </w14:solidFill>
          </w14:textFill>
        </w:rPr>
        <w:t>4. 投标人不得存在下列情形之一：</w:t>
      </w:r>
    </w:p>
    <w:p w14:paraId="546330EC">
      <w:pPr>
        <w:pStyle w:val="12"/>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（1）与采购人、采购代理机构存在隶属关系或者其他利害关系，且可能影响招标公正性；</w:t>
      </w:r>
    </w:p>
    <w:p w14:paraId="039DA04B">
      <w:pPr>
        <w:pStyle w:val="12"/>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（2）与本采购项目其他投标人的法定代表人（或者负责人）为同一人；</w:t>
      </w:r>
    </w:p>
    <w:p w14:paraId="7CC0E28E">
      <w:pPr>
        <w:pStyle w:val="12"/>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（3）与本采购项目其他投标人存在控股、管理关系；</w:t>
      </w:r>
    </w:p>
    <w:p w14:paraId="2EFD5FAE">
      <w:pPr>
        <w:pStyle w:val="12"/>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（4）为本项目采购代理机构；</w:t>
      </w:r>
    </w:p>
    <w:p w14:paraId="014B2E28">
      <w:pPr>
        <w:pStyle w:val="12"/>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（5）为本项目代理投标的为其采购代理机构；</w:t>
      </w:r>
    </w:p>
    <w:p w14:paraId="4F85C507">
      <w:pPr>
        <w:pStyle w:val="12"/>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（6）为本项目提供整体设计、规范编制或者项目管理、监理、检测、咨询服务；</w:t>
      </w:r>
    </w:p>
    <w:p w14:paraId="2DFCA768">
      <w:pPr>
        <w:pStyle w:val="12"/>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（7）受到刑事处罚；</w:t>
      </w:r>
    </w:p>
    <w:p w14:paraId="6717D4ED">
      <w:pPr>
        <w:pStyle w:val="12"/>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（8）投标人因违法经营受到刑事处罚或者责令停产停业、吊销许可证或者执照、较大数额罚款等行政处罚</w:t>
      </w:r>
      <w:r>
        <w:rPr>
          <w:rFonts w:hint="eastAsia" w:ascii="仿宋" w:hAnsi="仿宋" w:eastAsia="仿宋" w:cs="仿宋"/>
          <w:color w:val="000000" w:themeColor="text1"/>
          <w:szCs w:val="21"/>
          <w:highlight w:val="none"/>
          <w:lang w:val="en-US" w:eastAsia="zh-CN"/>
          <w14:textFill>
            <w14:solidFill>
              <w14:schemeClr w14:val="tx1"/>
            </w14:solidFill>
          </w14:textFill>
        </w:rPr>
        <w:t>的</w:t>
      </w:r>
      <w:r>
        <w:rPr>
          <w:rFonts w:hint="eastAsia" w:ascii="仿宋" w:hAnsi="仿宋" w:eastAsia="仿宋" w:cs="仿宋"/>
          <w:color w:val="000000" w:themeColor="text1"/>
          <w:szCs w:val="21"/>
          <w:highlight w:val="none"/>
          <w14:textFill>
            <w14:solidFill>
              <w14:schemeClr w14:val="tx1"/>
            </w14:solidFill>
          </w14:textFill>
        </w:rPr>
        <w:t>；</w:t>
      </w:r>
    </w:p>
    <w:p w14:paraId="7B9369D8">
      <w:pPr>
        <w:pStyle w:val="12"/>
        <w:shd w:val="clear"/>
        <w:overflowPunct w:val="0"/>
        <w:snapToGrid w:val="0"/>
        <w:spacing w:line="360" w:lineRule="auto"/>
        <w:ind w:firstLine="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（9）被责令停产停业、暂扣或者吊销许可证、暂扣或者吊销执照的行政处罚；</w:t>
      </w:r>
    </w:p>
    <w:p w14:paraId="2AA9894E">
      <w:pPr>
        <w:pStyle w:val="12"/>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（10）被列入失信被执行人名单；</w:t>
      </w:r>
    </w:p>
    <w:p w14:paraId="2220C8B7">
      <w:pPr>
        <w:pStyle w:val="12"/>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（11）被列入重大税收违法案件当事人名单；</w:t>
      </w:r>
    </w:p>
    <w:p w14:paraId="7B07AF55">
      <w:pPr>
        <w:pStyle w:val="12"/>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（12）被禁止在一至三年内参加政府采购活动或存在财政部门认定的其他重大违法记录；</w:t>
      </w:r>
    </w:p>
    <w:p w14:paraId="79EA62E8">
      <w:pPr>
        <w:pStyle w:val="12"/>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（13）法律法规规定的其他情形。</w:t>
      </w:r>
    </w:p>
    <w:p w14:paraId="2C870DE7">
      <w:pPr>
        <w:pStyle w:val="12"/>
        <w:shd w:val="clear"/>
        <w:overflowPunct w:val="0"/>
        <w:snapToGrid w:val="0"/>
        <w:spacing w:line="360" w:lineRule="auto"/>
        <w:ind w:firstLine="211" w:firstLineChars="1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w:t>
      </w:r>
      <w:r>
        <w:rPr>
          <w:rFonts w:hint="eastAsia" w:ascii="仿宋" w:hAnsi="仿宋" w:eastAsia="仿宋" w:cs="仿宋"/>
          <w:b/>
          <w:bCs/>
          <w:color w:val="000000" w:themeColor="text1"/>
          <w:szCs w:val="21"/>
          <w:highlight w:val="none"/>
          <w14:textFill>
            <w14:solidFill>
              <w14:schemeClr w14:val="tx1"/>
            </w14:solidFill>
          </w14:textFill>
        </w:rPr>
        <w:t>5.享受的政府采购政策</w:t>
      </w:r>
    </w:p>
    <w:p w14:paraId="43A5D6FA">
      <w:pPr>
        <w:pStyle w:val="12"/>
        <w:shd w:val="clear"/>
        <w:overflowPunct w:val="0"/>
        <w:snapToGrid w:val="0"/>
        <w:spacing w:line="360" w:lineRule="auto"/>
        <w:ind w:firstLine="422" w:firstLineChars="2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w:t>
      </w:r>
      <w:r>
        <w:rPr>
          <w:rFonts w:hint="eastAsia" w:ascii="仿宋" w:hAnsi="仿宋" w:eastAsia="仿宋" w:cs="仿宋"/>
          <w:b/>
          <w:bCs/>
          <w:color w:val="000000" w:themeColor="text1"/>
          <w:szCs w:val="21"/>
          <w:highlight w:val="none"/>
          <w14:textFill>
            <w14:solidFill>
              <w14:schemeClr w14:val="tx1"/>
            </w14:solidFill>
          </w14:textFill>
        </w:rPr>
        <w:t>5.1 节能产品、环境标志产品</w:t>
      </w:r>
    </w:p>
    <w:p w14:paraId="220F90C2">
      <w:pPr>
        <w:pStyle w:val="12"/>
        <w:shd w:val="clear"/>
        <w:overflowPunct w:val="0"/>
        <w:snapToGrid w:val="0"/>
        <w:spacing w:line="360" w:lineRule="auto"/>
        <w:ind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2.5.1.1. 投标人所投产品，将依据《节能产品、环境标志产品品目清单》和认证证书实施政府优先采购和强制采购。</w:t>
      </w:r>
    </w:p>
    <w:p w14:paraId="6BA0FB23">
      <w:pPr>
        <w:pStyle w:val="12"/>
        <w:shd w:val="clear"/>
        <w:overflowPunct w:val="0"/>
        <w:snapToGrid w:val="0"/>
        <w:spacing w:line="360" w:lineRule="auto"/>
        <w:ind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2.5.1.2.投标人可以提供所投产品经国家确定的认证机构出具的、处于有效期之内的节能产品、环境标志产品认证证书复印件。采购代理机构通过中国政府采购网（</w:t>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"http://www.ccgp.gov.cn/"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bCs/>
          <w:color w:val="000000" w:themeColor="text1"/>
          <w:szCs w:val="21"/>
          <w:highlight w:val="none"/>
          <w14:textFill>
            <w14:solidFill>
              <w14:schemeClr w14:val="tx1"/>
            </w14:solidFill>
          </w14:textFill>
        </w:rPr>
        <w:t>http://www.ccgp.gov.cn/</w:t>
      </w:r>
      <w:r>
        <w:rPr>
          <w:rFonts w:hint="eastAsia" w:ascii="仿宋" w:hAnsi="仿宋" w:eastAsia="仿宋" w:cs="仿宋"/>
          <w:bCs/>
          <w:color w:val="000000" w:themeColor="text1"/>
          <w:szCs w:val="21"/>
          <w:highlight w:val="none"/>
          <w14:textFill>
            <w14:solidFill>
              <w14:schemeClr w14:val="tx1"/>
            </w14:solidFill>
          </w14:textFill>
        </w:rPr>
        <w:fldChar w:fldCharType="end"/>
      </w:r>
      <w:r>
        <w:rPr>
          <w:rFonts w:hint="eastAsia" w:ascii="仿宋" w:hAnsi="仿宋" w:eastAsia="仿宋" w:cs="仿宋"/>
          <w:bCs/>
          <w:color w:val="000000" w:themeColor="text1"/>
          <w:szCs w:val="21"/>
          <w:highlight w:val="none"/>
          <w14:textFill>
            <w14:solidFill>
              <w14:schemeClr w14:val="tx1"/>
            </w14:solidFill>
          </w14:textFill>
        </w:rPr>
        <w:t>）对获证产品信息进行核对。</w:t>
      </w:r>
    </w:p>
    <w:p w14:paraId="46616884">
      <w:pPr>
        <w:pStyle w:val="12"/>
        <w:shd w:val="clear"/>
        <w:overflowPunct w:val="0"/>
        <w:snapToGrid w:val="0"/>
        <w:spacing w:line="360" w:lineRule="auto"/>
        <w:ind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 xml:space="preserve">2.5.1.3. </w:t>
      </w:r>
      <w:r>
        <w:rPr>
          <w:rFonts w:hint="eastAsia" w:ascii="仿宋" w:hAnsi="仿宋" w:eastAsia="仿宋" w:cs="仿宋"/>
          <w:color w:val="000000" w:themeColor="text1"/>
          <w:szCs w:val="21"/>
          <w:highlight w:val="none"/>
          <w14:textFill>
            <w14:solidFill>
              <w14:schemeClr w14:val="tx1"/>
            </w14:solidFill>
          </w14:textFill>
        </w:rPr>
        <w:t>投标人所投产品属于下列情形之一的，属于优先采购的不再享受优先采购政策，或者属于强制采购的按无效投标文件处理：</w:t>
      </w:r>
    </w:p>
    <w:p w14:paraId="38A73219">
      <w:pPr>
        <w:pStyle w:val="12"/>
        <w:shd w:val="clear"/>
        <w:overflowPunct w:val="0"/>
        <w:snapToGrid w:val="0"/>
        <w:spacing w:line="360" w:lineRule="auto"/>
        <w:ind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（1）不属于《节能产品、环境标志产品品目清单》中的产品；</w:t>
      </w:r>
    </w:p>
    <w:p w14:paraId="134ECE09">
      <w:pPr>
        <w:pStyle w:val="12"/>
        <w:shd w:val="clear"/>
        <w:overflowPunct w:val="0"/>
        <w:snapToGrid w:val="0"/>
        <w:spacing w:line="360" w:lineRule="auto"/>
        <w:ind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（2）未提供认证证书复印件或经核对认证证书存在信息有误的。</w:t>
      </w:r>
    </w:p>
    <w:p w14:paraId="38861900">
      <w:pPr>
        <w:pStyle w:val="12"/>
        <w:shd w:val="clear"/>
        <w:overflowPunct w:val="0"/>
        <w:snapToGrid w:val="0"/>
        <w:spacing w:line="360" w:lineRule="auto"/>
        <w:ind w:firstLine="211" w:firstLineChars="1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2.5.2 中小企业</w:t>
      </w:r>
    </w:p>
    <w:p w14:paraId="36BC16F6">
      <w:pPr>
        <w:pStyle w:val="12"/>
        <w:shd w:val="clear"/>
        <w:overflowPunct w:val="0"/>
        <w:snapToGrid w:val="0"/>
        <w:spacing w:line="360" w:lineRule="auto"/>
        <w:ind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2.5.2.1、投标人按《工</w:t>
      </w:r>
      <w:r>
        <w:rPr>
          <w:rFonts w:hint="eastAsia" w:ascii="仿宋" w:hAnsi="仿宋" w:eastAsia="仿宋" w:cs="仿宋"/>
          <w:color w:val="000000" w:themeColor="text1"/>
          <w:szCs w:val="21"/>
          <w14:textFill>
            <w14:solidFill>
              <w14:schemeClr w14:val="tx1"/>
            </w14:solidFill>
          </w14:textFill>
        </w:rPr>
        <w:t>业和信息化部、国家统计局、国家发展和改革委员会、财政部关于印</w:t>
      </w:r>
      <w:r>
        <w:rPr>
          <w:rFonts w:hint="eastAsia" w:ascii="仿宋" w:hAnsi="仿宋" w:eastAsia="仿宋" w:cs="仿宋"/>
          <w:color w:val="000000" w:themeColor="text1"/>
          <w:highlight w:val="none"/>
          <w14:textFill>
            <w14:solidFill>
              <w14:schemeClr w14:val="tx1"/>
            </w14:solidFill>
          </w14:textFill>
        </w:rPr>
        <w:t>发中小企业划型标准规定的通知》规定划分标准，属于中小企业的可享受支持中小型企业发展优惠政策。</w:t>
      </w:r>
    </w:p>
    <w:p w14:paraId="295ACBB8">
      <w:pPr>
        <w:pStyle w:val="12"/>
        <w:shd w:val="clear"/>
        <w:overflowPunct w:val="0"/>
        <w:snapToGrid w:val="0"/>
        <w:spacing w:line="360" w:lineRule="auto"/>
        <w:ind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2.5.2.2、投标人作为中小企业参加政府采购活动时，依据《政府采购促进中小企业发展管理办法》(财库〔2020〕46号）之规定执行。提交的声明函应当按采购文件中（见第六章投标文件格式及构成）规定的统一格式填写，信息完整，不得随意增删或修改其内容。《中小企业声明函》落款、盖章的主体应当是参加政府采购活动的投标人，且由其承担保证信息真实性的法律责任。非专门面向中小企业的，中小企业声明函不属于资格审查部分。</w:t>
      </w:r>
    </w:p>
    <w:p w14:paraId="64F742A1">
      <w:pPr>
        <w:pStyle w:val="12"/>
        <w:shd w:val="clear"/>
        <w:overflowPunct w:val="0"/>
        <w:snapToGrid w:val="0"/>
        <w:spacing w:line="360" w:lineRule="auto"/>
        <w:ind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2.5.2.3、监狱企业参加政府采购活动时，依照&lt;财政部、司法部关于政府采购支持监狱企业发展有关问题的通知&gt;（财库〔2014〕68号）之规定。应当提供由省级以上监狱管理局、戒毒管理局出具的属于监狱企业的证明文件，若《声明函》出现明显错误，可要求投标人进行澄清修改，澄清修改后符合条件的投标人，非专门面向中小企业的，中小企业声明函不属于资格审查部分。</w:t>
      </w:r>
    </w:p>
    <w:p w14:paraId="33D8689C">
      <w:pPr>
        <w:pStyle w:val="12"/>
        <w:shd w:val="clear"/>
        <w:overflowPunct w:val="0"/>
        <w:snapToGrid w:val="0"/>
        <w:spacing w:line="360" w:lineRule="auto"/>
        <w:ind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2.5.2.4、残疾人福利性单位参加政府采购活动时，依据《三部门联合发布关于促进残疾人就业政府采购政策的通知》（财库【2017】141号）之规定执行（见第六章投标文件格式），提供《残疾人福利性单位声明函》， 若《残疾人福利性单位声明函》出现明显错误，可要求投标人进行澄清修改，澄清修改后符合条件的投标人，非专门面向中小企业的，中小企业声明函不属于资格审查部分。  </w:t>
      </w:r>
    </w:p>
    <w:p w14:paraId="76DAAF41">
      <w:pPr>
        <w:pStyle w:val="12"/>
        <w:shd w:val="clear"/>
        <w:overflowPunct w:val="0"/>
        <w:snapToGrid w:val="0"/>
        <w:spacing w:line="360" w:lineRule="auto"/>
        <w:ind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2.5.2.5、中小企业可以同时享受节能产品、环境标志产品优先采购政策。同一项目中部分产品属于优先采购政策的，评标时只对该部分产品实行优先采购。</w:t>
      </w:r>
    </w:p>
    <w:p w14:paraId="69E15F01">
      <w:pPr>
        <w:pStyle w:val="12"/>
        <w:shd w:val="clear"/>
        <w:overflowPunct w:val="0"/>
        <w:snapToGrid w:val="0"/>
        <w:spacing w:line="360" w:lineRule="auto"/>
        <w:ind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2.5.2.7、政府采购监督检查和投诉处理中对中小企业的认定，由企业所在地的县级以上中小企业主管部门负责。</w:t>
      </w:r>
    </w:p>
    <w:p w14:paraId="05E696FB">
      <w:pPr>
        <w:pStyle w:val="12"/>
        <w:shd w:val="clear"/>
        <w:overflowPunct w:val="0"/>
        <w:snapToGrid w:val="0"/>
        <w:spacing w:line="360" w:lineRule="auto"/>
        <w:ind w:firstLine="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w:t>
      </w:r>
      <w:r>
        <w:rPr>
          <w:rFonts w:hint="eastAsia" w:ascii="仿宋" w:hAnsi="仿宋" w:eastAsia="仿宋" w:cs="仿宋"/>
          <w:b/>
          <w:bCs/>
          <w:color w:val="000000" w:themeColor="text1"/>
          <w:szCs w:val="21"/>
          <w:highlight w:val="none"/>
          <w14:textFill>
            <w14:solidFill>
              <w14:schemeClr w14:val="tx1"/>
            </w14:solidFill>
          </w14:textFill>
        </w:rPr>
        <w:t>5.3 进口产品</w:t>
      </w:r>
    </w:p>
    <w:p w14:paraId="5D947964">
      <w:pPr>
        <w:pStyle w:val="12"/>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投标人须知前附表规定采购进口产品的，可以由进口产品参加投标，但不得拒绝国内产品投标。本条款适合经财政部门批准采购进口产品的项目。</w:t>
      </w:r>
    </w:p>
    <w:p w14:paraId="4B29686D">
      <w:pPr>
        <w:pStyle w:val="3"/>
        <w:shd w:val="clear"/>
        <w:snapToGrid w:val="0"/>
        <w:jc w:val="both"/>
        <w:rPr>
          <w:rFonts w:hint="eastAsia" w:ascii="仿宋" w:hAnsi="仿宋" w:eastAsia="仿宋" w:cs="仿宋"/>
          <w:color w:val="000000" w:themeColor="text1"/>
          <w:sz w:val="21"/>
          <w:szCs w:val="21"/>
          <w:highlight w:val="none"/>
          <w14:textFill>
            <w14:solidFill>
              <w14:schemeClr w14:val="tx1"/>
            </w14:solidFill>
          </w14:textFill>
        </w:rPr>
      </w:pPr>
      <w:bookmarkStart w:id="75" w:name="_Toc17220"/>
      <w:bookmarkStart w:id="76" w:name="_Toc28121"/>
      <w:r>
        <w:rPr>
          <w:rFonts w:hint="eastAsia" w:ascii="仿宋" w:hAnsi="仿宋" w:eastAsia="仿宋" w:cs="仿宋"/>
          <w:color w:val="000000" w:themeColor="text1"/>
          <w:sz w:val="21"/>
          <w:szCs w:val="21"/>
          <w:highlight w:val="none"/>
          <w14:textFill>
            <w14:solidFill>
              <w14:schemeClr w14:val="tx1"/>
            </w14:solidFill>
          </w14:textFill>
        </w:rPr>
        <w:t>2.6.投标人的风险</w:t>
      </w:r>
      <w:bookmarkEnd w:id="75"/>
      <w:bookmarkEnd w:id="76"/>
    </w:p>
    <w:p w14:paraId="02700125">
      <w:pPr>
        <w:pStyle w:val="3"/>
        <w:shd w:val="clear"/>
        <w:snapToGrid w:val="0"/>
        <w:ind w:firstLine="420" w:firstLineChars="200"/>
        <w:jc w:val="both"/>
        <w:rPr>
          <w:rFonts w:hint="eastAsia" w:ascii="仿宋" w:hAnsi="仿宋" w:eastAsia="仿宋" w:cs="仿宋"/>
          <w:b w:val="0"/>
          <w:bCs w:val="0"/>
          <w:color w:val="000000" w:themeColor="text1"/>
          <w:sz w:val="21"/>
          <w:szCs w:val="21"/>
          <w:highlight w:val="none"/>
          <w14:textFill>
            <w14:solidFill>
              <w14:schemeClr w14:val="tx1"/>
            </w14:solidFill>
          </w14:textFill>
        </w:rPr>
      </w:pPr>
      <w:bookmarkStart w:id="77" w:name="_Toc20881"/>
      <w:bookmarkStart w:id="78" w:name="_Toc17731"/>
      <w:r>
        <w:rPr>
          <w:rFonts w:hint="eastAsia" w:ascii="仿宋" w:hAnsi="仿宋" w:eastAsia="仿宋" w:cs="仿宋"/>
          <w:b w:val="0"/>
          <w:bCs w:val="0"/>
          <w:color w:val="000000" w:themeColor="text1"/>
          <w:sz w:val="21"/>
          <w:szCs w:val="21"/>
          <w:highlight w:val="none"/>
          <w14:textFill>
            <w14:solidFill>
              <w14:schemeClr w14:val="tx1"/>
            </w14:solidFill>
          </w14:textFill>
        </w:rPr>
        <w:t>投标人应认真阅读和充分理解招标文件中所有的事项、格式条款和规范要求，任何对招标文件的忽略或误解不能作为投标文件存在缺陷或瑕疵的理由；投标人没有按照招标文件要求提供全部资料，或对招标文件全面做出实质性响应是投标人的风险，并可能导致其投标文件被拒绝。</w:t>
      </w:r>
      <w:bookmarkEnd w:id="77"/>
      <w:bookmarkEnd w:id="78"/>
    </w:p>
    <w:p w14:paraId="4FE66B14">
      <w:pPr>
        <w:pStyle w:val="3"/>
        <w:shd w:val="clear"/>
        <w:snapToGrid w:val="0"/>
        <w:jc w:val="both"/>
        <w:rPr>
          <w:rFonts w:hint="eastAsia" w:ascii="仿宋" w:hAnsi="仿宋" w:eastAsia="仿宋" w:cs="仿宋"/>
          <w:color w:val="000000" w:themeColor="text1"/>
          <w:sz w:val="24"/>
          <w:szCs w:val="24"/>
          <w:highlight w:val="none"/>
          <w14:textFill>
            <w14:solidFill>
              <w14:schemeClr w14:val="tx1"/>
            </w14:solidFill>
          </w14:textFill>
        </w:rPr>
      </w:pPr>
      <w:bookmarkStart w:id="79" w:name="_Toc21252"/>
      <w:bookmarkStart w:id="80" w:name="_Toc29008"/>
      <w:r>
        <w:rPr>
          <w:rFonts w:hint="eastAsia" w:ascii="仿宋" w:hAnsi="仿宋" w:eastAsia="仿宋" w:cs="仿宋"/>
          <w:color w:val="000000" w:themeColor="text1"/>
          <w:sz w:val="24"/>
          <w:szCs w:val="24"/>
          <w:highlight w:val="none"/>
          <w14:textFill>
            <w14:solidFill>
              <w14:schemeClr w14:val="tx1"/>
            </w14:solidFill>
          </w14:textFill>
        </w:rPr>
        <w:t>三、招标文件</w:t>
      </w:r>
      <w:bookmarkEnd w:id="73"/>
      <w:bookmarkEnd w:id="74"/>
      <w:bookmarkEnd w:id="79"/>
      <w:bookmarkEnd w:id="80"/>
    </w:p>
    <w:p w14:paraId="63EE29E2">
      <w:pPr>
        <w:shd w:val="clear"/>
        <w:snapToGrid w:val="0"/>
        <w:spacing w:line="360" w:lineRule="auto"/>
        <w:ind w:firstLine="211" w:firstLineChars="100"/>
        <w:outlineLvl w:val="0"/>
        <w:rPr>
          <w:rFonts w:hint="eastAsia" w:ascii="仿宋" w:hAnsi="仿宋" w:eastAsia="仿宋" w:cs="仿宋"/>
          <w:b/>
          <w:color w:val="000000" w:themeColor="text1"/>
          <w:szCs w:val="21"/>
          <w:highlight w:val="none"/>
          <w14:textFill>
            <w14:solidFill>
              <w14:schemeClr w14:val="tx1"/>
            </w14:solidFill>
          </w14:textFill>
        </w:rPr>
      </w:pPr>
      <w:bookmarkStart w:id="81" w:name="_Toc11463"/>
      <w:bookmarkStart w:id="82" w:name="_Toc31061"/>
      <w:bookmarkStart w:id="83" w:name="_Toc20533"/>
      <w:bookmarkStart w:id="84" w:name="_Toc932"/>
      <w:bookmarkStart w:id="85" w:name="_Toc1085"/>
      <w:bookmarkStart w:id="86" w:name="_Toc21552"/>
      <w:bookmarkStart w:id="87" w:name="_Toc10221"/>
      <w:bookmarkStart w:id="88" w:name="_Toc2191"/>
      <w:bookmarkStart w:id="89" w:name="_Toc13228"/>
      <w:bookmarkStart w:id="90" w:name="_Toc19210"/>
      <w:bookmarkStart w:id="91" w:name="_Toc27443"/>
      <w:bookmarkStart w:id="92" w:name="_Toc1800"/>
      <w:bookmarkStart w:id="93" w:name="_Toc4800"/>
      <w:bookmarkStart w:id="94" w:name="_Toc12727"/>
      <w:bookmarkStart w:id="95" w:name="_Toc14956"/>
      <w:r>
        <w:rPr>
          <w:rFonts w:hint="eastAsia" w:ascii="仿宋" w:hAnsi="仿宋" w:eastAsia="仿宋" w:cs="仿宋"/>
          <w:b/>
          <w:color w:val="000000" w:themeColor="text1"/>
          <w:szCs w:val="21"/>
          <w:highlight w:val="none"/>
          <w14:textFill>
            <w14:solidFill>
              <w14:schemeClr w14:val="tx1"/>
            </w14:solidFill>
          </w14:textFill>
        </w:rPr>
        <w:t>3.1.招标文件</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12FFE39C">
      <w:pPr>
        <w:shd w:val="clear"/>
        <w:snapToGrid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3. 1.1.招标文件由招标文件总目录所列内容及招标文件所作的澄清、修改，构成招标文件组成部分及组成。</w:t>
      </w:r>
    </w:p>
    <w:p w14:paraId="2F2B9A7A">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3.1.2.投标人应详细阅读招标文件的全部内容。不按招标文件要求提供的投标文件和资料可能导致投标被拒绝。</w:t>
      </w:r>
    </w:p>
    <w:p w14:paraId="0AECF5DE">
      <w:pPr>
        <w:shd w:val="clear"/>
        <w:snapToGrid w:val="0"/>
        <w:spacing w:line="360" w:lineRule="auto"/>
        <w:ind w:firstLine="44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3.1.3.适用范围：本次招标依据采购人的采购计划，本招标文件仅适用于本次公开招标所叙述的货物（产品）项目采购活动。</w:t>
      </w:r>
    </w:p>
    <w:p w14:paraId="7FC5784E">
      <w:pPr>
        <w:shd w:val="clear"/>
        <w:snapToGrid w:val="0"/>
        <w:spacing w:line="360" w:lineRule="auto"/>
        <w:ind w:firstLine="44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3.1.4.招标文件的获取：招标公告发布后，投标人应从采购代理机构获取招标文件并填报信息，投标人自行转让或复制的招标文件视为无效招标文件。</w:t>
      </w:r>
    </w:p>
    <w:p w14:paraId="1D186534">
      <w:pPr>
        <w:shd w:val="clear"/>
        <w:snapToGrid w:val="0"/>
        <w:spacing w:line="360" w:lineRule="auto"/>
        <w:ind w:firstLine="42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3.1.5.解释权归属：本招标文件的解释权归采购代理机构</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招标文件与现行法律法规不一致时，按现行法律法规执行</w:t>
      </w:r>
      <w:r>
        <w:rPr>
          <w:rFonts w:hint="eastAsia" w:ascii="仿宋" w:hAnsi="仿宋" w:eastAsia="仿宋" w:cs="仿宋"/>
          <w:color w:val="000000" w:themeColor="text1"/>
          <w:szCs w:val="21"/>
          <w:highlight w:val="none"/>
          <w14:textFill>
            <w14:solidFill>
              <w14:schemeClr w14:val="tx1"/>
            </w14:solidFill>
          </w14:textFill>
        </w:rPr>
        <w:t>。</w:t>
      </w:r>
    </w:p>
    <w:p w14:paraId="3D4B2B61">
      <w:pPr>
        <w:shd w:val="clear"/>
        <w:snapToGrid w:val="0"/>
        <w:spacing w:line="360" w:lineRule="auto"/>
        <w:ind w:firstLine="211" w:firstLineChars="100"/>
        <w:outlineLvl w:val="0"/>
        <w:rPr>
          <w:rFonts w:hint="eastAsia" w:ascii="仿宋" w:hAnsi="仿宋" w:eastAsia="仿宋" w:cs="仿宋"/>
          <w:b/>
          <w:color w:val="000000" w:themeColor="text1"/>
          <w:szCs w:val="21"/>
          <w:highlight w:val="none"/>
          <w14:textFill>
            <w14:solidFill>
              <w14:schemeClr w14:val="tx1"/>
            </w14:solidFill>
          </w14:textFill>
        </w:rPr>
      </w:pPr>
      <w:bookmarkStart w:id="96" w:name="_Toc14366"/>
      <w:bookmarkStart w:id="97" w:name="_Toc6878"/>
      <w:bookmarkStart w:id="98" w:name="_Toc23311"/>
      <w:bookmarkStart w:id="99" w:name="_Toc8203"/>
      <w:bookmarkStart w:id="100" w:name="_Toc917"/>
      <w:bookmarkStart w:id="101" w:name="_Toc25814"/>
      <w:bookmarkStart w:id="102" w:name="_Toc25015"/>
      <w:bookmarkStart w:id="103" w:name="_Toc18391"/>
      <w:bookmarkStart w:id="104" w:name="_Toc29982"/>
      <w:bookmarkStart w:id="105" w:name="_Toc12920"/>
      <w:bookmarkStart w:id="106" w:name="_Toc6601"/>
      <w:bookmarkStart w:id="107" w:name="_Toc15987"/>
      <w:bookmarkStart w:id="108" w:name="_Toc14390"/>
      <w:bookmarkStart w:id="109" w:name="_Toc10056"/>
      <w:bookmarkStart w:id="110" w:name="_Toc16042"/>
      <w:r>
        <w:rPr>
          <w:rFonts w:hint="eastAsia" w:ascii="仿宋" w:hAnsi="仿宋" w:eastAsia="仿宋" w:cs="仿宋"/>
          <w:b/>
          <w:color w:val="000000" w:themeColor="text1"/>
          <w:szCs w:val="21"/>
          <w:highlight w:val="none"/>
          <w14:textFill>
            <w14:solidFill>
              <w14:schemeClr w14:val="tx1"/>
            </w14:solidFill>
          </w14:textFill>
        </w:rPr>
        <w:t>3.2.</w:t>
      </w:r>
      <w:bookmarkEnd w:id="96"/>
      <w:bookmarkEnd w:id="97"/>
      <w:bookmarkEnd w:id="98"/>
      <w:bookmarkEnd w:id="99"/>
      <w:bookmarkEnd w:id="100"/>
      <w:bookmarkEnd w:id="101"/>
      <w:bookmarkEnd w:id="102"/>
      <w:bookmarkEnd w:id="103"/>
      <w:bookmarkEnd w:id="104"/>
      <w:bookmarkEnd w:id="105"/>
      <w:bookmarkEnd w:id="106"/>
      <w:bookmarkEnd w:id="107"/>
      <w:r>
        <w:rPr>
          <w:rFonts w:hint="eastAsia" w:ascii="仿宋" w:hAnsi="仿宋" w:eastAsia="仿宋" w:cs="仿宋"/>
          <w:b/>
          <w:color w:val="000000" w:themeColor="text1"/>
          <w:szCs w:val="21"/>
          <w:highlight w:val="none"/>
          <w14:textFill>
            <w14:solidFill>
              <w14:schemeClr w14:val="tx1"/>
            </w14:solidFill>
          </w14:textFill>
        </w:rPr>
        <w:t>招标文件的澄清或修改</w:t>
      </w:r>
      <w:bookmarkEnd w:id="108"/>
      <w:bookmarkEnd w:id="109"/>
      <w:bookmarkEnd w:id="110"/>
    </w:p>
    <w:p w14:paraId="28833C4B">
      <w:pPr>
        <w:pStyle w:val="73"/>
        <w:shd w:val="clear"/>
        <w:spacing w:before="0" w:beforeAutospacing="0" w:after="0" w:afterAutospacing="0" w:line="360" w:lineRule="auto"/>
        <w:ind w:firstLine="420" w:firstLineChars="200"/>
        <w:rPr>
          <w:rFonts w:hint="eastAsia" w:ascii="仿宋" w:hAnsi="仿宋" w:eastAsia="仿宋" w:cs="仿宋"/>
          <w:color w:val="000000" w:themeColor="text1"/>
          <w:spacing w:val="0"/>
          <w:szCs w:val="21"/>
          <w:highlight w:val="none"/>
          <w14:textFill>
            <w14:solidFill>
              <w14:schemeClr w14:val="tx1"/>
            </w14:solidFill>
          </w14:textFill>
        </w:rPr>
      </w:pPr>
      <w:r>
        <w:rPr>
          <w:rFonts w:hint="eastAsia" w:ascii="仿宋" w:hAnsi="仿宋" w:eastAsia="仿宋" w:cs="仿宋"/>
          <w:color w:val="000000" w:themeColor="text1"/>
          <w:spacing w:val="0"/>
          <w:szCs w:val="21"/>
          <w:highlight w:val="none"/>
          <w14:textFill>
            <w14:solidFill>
              <w14:schemeClr w14:val="tx1"/>
            </w14:solidFill>
          </w14:textFill>
        </w:rPr>
        <w:t>3.2.1.在投标截止时间前，采购代理机构无论出于何种原因，可以对已发出的招标文件进行必要的澄清或者修改，但不得修改采购标的和资格条件。</w:t>
      </w:r>
    </w:p>
    <w:p w14:paraId="65D4C6EB">
      <w:pPr>
        <w:pStyle w:val="73"/>
        <w:shd w:val="clear"/>
        <w:spacing w:before="0" w:beforeAutospacing="0" w:after="0" w:afterAutospacing="0" w:line="360" w:lineRule="auto"/>
        <w:ind w:firstLine="420" w:firstLineChars="200"/>
        <w:rPr>
          <w:rFonts w:hint="eastAsia" w:ascii="仿宋" w:hAnsi="仿宋" w:eastAsia="仿宋" w:cs="仿宋"/>
          <w:color w:val="000000" w:themeColor="text1"/>
          <w:spacing w:val="0"/>
          <w:szCs w:val="21"/>
          <w:highlight w:val="none"/>
          <w14:textFill>
            <w14:solidFill>
              <w14:schemeClr w14:val="tx1"/>
            </w14:solidFill>
          </w14:textFill>
        </w:rPr>
      </w:pPr>
      <w:r>
        <w:rPr>
          <w:rFonts w:hint="eastAsia" w:ascii="仿宋" w:hAnsi="仿宋" w:eastAsia="仿宋" w:cs="仿宋"/>
          <w:color w:val="000000" w:themeColor="text1"/>
          <w:spacing w:val="0"/>
          <w:szCs w:val="21"/>
          <w:highlight w:val="none"/>
          <w14:textFill>
            <w14:solidFill>
              <w14:schemeClr w14:val="tx1"/>
            </w14:solidFill>
          </w14:textFill>
        </w:rPr>
        <w:t>3.2.2.采购人或采购代理机构对已发出的招标文件进行必要的澄清或者修改，澄清或修改的内容可能影响投标文件编制的，应当在投标文件截止时间15日前，以书面形式将澄清或者修改的内容通知所有获取招标文件的投标人，同时在原信息发布媒体上发布更正（澄清）公告。投标人在收到上述通知后，应立即以书面形式向采购代理机构确认。如果澄清或者修改发出的时间距规定的投标截止时间不足15日，将相应顺延投标截止时间。</w:t>
      </w:r>
    </w:p>
    <w:p w14:paraId="26CD26B5">
      <w:pPr>
        <w:pStyle w:val="73"/>
        <w:shd w:val="clear"/>
        <w:spacing w:before="0" w:beforeAutospacing="0" w:after="0" w:afterAutospacing="0" w:line="360" w:lineRule="auto"/>
        <w:ind w:firstLine="420" w:firstLineChars="200"/>
        <w:rPr>
          <w:rFonts w:hint="eastAsia" w:ascii="仿宋" w:hAnsi="仿宋" w:eastAsia="仿宋" w:cs="仿宋"/>
          <w:color w:val="000000" w:themeColor="text1"/>
          <w:spacing w:val="0"/>
          <w:szCs w:val="21"/>
          <w:highlight w:val="none"/>
          <w14:textFill>
            <w14:solidFill>
              <w14:schemeClr w14:val="tx1"/>
            </w14:solidFill>
          </w14:textFill>
        </w:rPr>
      </w:pPr>
      <w:r>
        <w:rPr>
          <w:rFonts w:hint="eastAsia" w:ascii="仿宋" w:hAnsi="仿宋" w:eastAsia="仿宋" w:cs="仿宋"/>
          <w:color w:val="000000" w:themeColor="text1"/>
          <w:spacing w:val="0"/>
          <w:szCs w:val="21"/>
          <w:highlight w:val="none"/>
          <w14:textFill>
            <w14:solidFill>
              <w14:schemeClr w14:val="tx1"/>
            </w14:solidFill>
          </w14:textFill>
        </w:rPr>
        <w:t>3.2.3.投标人应仔细阅读和检查招标文件的全部内容。如发现缺页或附件不全，应及时向采购代理机构提出，以便补齐。如需要询问或澄清的（除质疑外），或认为有必要与采购代理机构进行技术交流的，均应在投标截止时间10日前按招标文件中的联系方式，以书面形式向采购代理机构提出，采购代理机构应当在3个工作日内，以书面形式予以答复，或认为有必要召开答疑会。超过该时间收到的需要询问或澄清的内容，采购代理机构有权不予答复。</w:t>
      </w:r>
    </w:p>
    <w:p w14:paraId="7F761673">
      <w:pPr>
        <w:pStyle w:val="73"/>
        <w:shd w:val="clear"/>
        <w:spacing w:before="0" w:beforeAutospacing="0" w:after="0" w:afterAutospacing="0" w:line="360" w:lineRule="auto"/>
        <w:ind w:firstLine="420" w:firstLineChars="200"/>
        <w:rPr>
          <w:rFonts w:hint="eastAsia" w:ascii="仿宋" w:hAnsi="仿宋" w:eastAsia="仿宋" w:cs="仿宋"/>
          <w:color w:val="000000" w:themeColor="text1"/>
          <w:spacing w:val="0"/>
          <w:szCs w:val="21"/>
          <w:highlight w:val="none"/>
          <w14:textFill>
            <w14:solidFill>
              <w14:schemeClr w14:val="tx1"/>
            </w14:solidFill>
          </w14:textFill>
        </w:rPr>
      </w:pPr>
      <w:r>
        <w:rPr>
          <w:rFonts w:hint="eastAsia" w:ascii="仿宋" w:hAnsi="仿宋" w:eastAsia="仿宋" w:cs="仿宋"/>
          <w:color w:val="000000" w:themeColor="text1"/>
          <w:spacing w:val="0"/>
          <w:szCs w:val="21"/>
          <w:highlight w:val="none"/>
          <w14:textFill>
            <w14:solidFill>
              <w14:schemeClr w14:val="tx1"/>
            </w14:solidFill>
          </w14:textFill>
        </w:rPr>
        <w:t>3.2.4.在投标截止时间前，采购代理机构可以视采购具体情况，延长投标截止时间和开标时间，并在招标文件要求提交投标文件的截止时间前，将变更时间以书面文件通知所有获取招标文件的投标人，同时在原信息发布媒体上发布更正公告。</w:t>
      </w:r>
    </w:p>
    <w:p w14:paraId="69B8BB0E">
      <w:pPr>
        <w:pStyle w:val="73"/>
        <w:shd w:val="clear"/>
        <w:spacing w:before="0" w:beforeAutospacing="0" w:after="0" w:afterAutospacing="0" w:line="360" w:lineRule="auto"/>
        <w:ind w:firstLine="420" w:firstLineChars="200"/>
        <w:rPr>
          <w:rFonts w:hint="eastAsia" w:ascii="仿宋" w:hAnsi="仿宋" w:eastAsia="仿宋" w:cs="仿宋"/>
          <w:color w:val="000000" w:themeColor="text1"/>
          <w:spacing w:val="0"/>
          <w:szCs w:val="21"/>
          <w:highlight w:val="none"/>
          <w14:textFill>
            <w14:solidFill>
              <w14:schemeClr w14:val="tx1"/>
            </w14:solidFill>
          </w14:textFill>
        </w:rPr>
      </w:pPr>
      <w:r>
        <w:rPr>
          <w:rFonts w:hint="eastAsia" w:ascii="仿宋" w:hAnsi="仿宋" w:eastAsia="仿宋" w:cs="仿宋"/>
          <w:color w:val="000000" w:themeColor="text1"/>
          <w:spacing w:val="0"/>
          <w:szCs w:val="21"/>
          <w:highlight w:val="none"/>
          <w14:textFill>
            <w14:solidFill>
              <w14:schemeClr w14:val="tx1"/>
            </w14:solidFill>
          </w14:textFill>
        </w:rPr>
        <w:t>3.2.5. 当招标文件澄清、答复、修改或补充通知与招标文件就同一内容表述不一致时，以最后发出的书面文件内容为准。</w:t>
      </w:r>
    </w:p>
    <w:p w14:paraId="33A04A91">
      <w:pPr>
        <w:pStyle w:val="3"/>
        <w:shd w:val="clear"/>
        <w:snapToGrid w:val="0"/>
        <w:jc w:val="both"/>
        <w:rPr>
          <w:rFonts w:hint="eastAsia" w:ascii="仿宋" w:hAnsi="仿宋" w:eastAsia="仿宋" w:cs="仿宋"/>
          <w:color w:val="000000" w:themeColor="text1"/>
          <w:sz w:val="24"/>
          <w:szCs w:val="24"/>
          <w:highlight w:val="none"/>
          <w14:textFill>
            <w14:solidFill>
              <w14:schemeClr w14:val="tx1"/>
            </w14:solidFill>
          </w14:textFill>
        </w:rPr>
      </w:pPr>
      <w:bookmarkStart w:id="111" w:name="_Toc175973399"/>
      <w:bookmarkStart w:id="112" w:name="_Toc22861"/>
      <w:bookmarkStart w:id="113" w:name="_Toc531189838"/>
      <w:bookmarkStart w:id="114" w:name="_Toc19569"/>
      <w:r>
        <w:rPr>
          <w:rFonts w:hint="eastAsia" w:ascii="仿宋" w:hAnsi="仿宋" w:eastAsia="仿宋" w:cs="仿宋"/>
          <w:color w:val="000000" w:themeColor="text1"/>
          <w:sz w:val="24"/>
          <w:szCs w:val="24"/>
          <w:highlight w:val="none"/>
          <w14:textFill>
            <w14:solidFill>
              <w14:schemeClr w14:val="tx1"/>
            </w14:solidFill>
          </w14:textFill>
        </w:rPr>
        <w:t>四、投标文件</w:t>
      </w:r>
      <w:bookmarkEnd w:id="111"/>
      <w:bookmarkEnd w:id="112"/>
      <w:bookmarkEnd w:id="113"/>
      <w:bookmarkEnd w:id="114"/>
    </w:p>
    <w:p w14:paraId="7723819D">
      <w:pPr>
        <w:shd w:val="clear"/>
        <w:snapToGrid w:val="0"/>
        <w:spacing w:line="360" w:lineRule="auto"/>
        <w:ind w:firstLine="211" w:firstLineChars="100"/>
        <w:outlineLvl w:val="0"/>
        <w:rPr>
          <w:rFonts w:hint="eastAsia" w:ascii="仿宋" w:hAnsi="仿宋" w:eastAsia="仿宋" w:cs="仿宋"/>
          <w:b/>
          <w:color w:val="000000" w:themeColor="text1"/>
          <w:szCs w:val="21"/>
          <w:highlight w:val="none"/>
          <w14:textFill>
            <w14:solidFill>
              <w14:schemeClr w14:val="tx1"/>
            </w14:solidFill>
          </w14:textFill>
        </w:rPr>
      </w:pPr>
      <w:bookmarkStart w:id="115" w:name="_Toc31296"/>
      <w:bookmarkStart w:id="116" w:name="_Toc32220"/>
      <w:bookmarkStart w:id="117" w:name="_Toc12629"/>
      <w:bookmarkStart w:id="118" w:name="_Toc26594"/>
      <w:bookmarkStart w:id="119" w:name="_Toc7093"/>
      <w:bookmarkStart w:id="120" w:name="_Toc26751"/>
      <w:bookmarkStart w:id="121" w:name="_Toc10790"/>
      <w:bookmarkStart w:id="122" w:name="_Toc11474"/>
      <w:bookmarkStart w:id="123" w:name="_Toc12665"/>
      <w:bookmarkStart w:id="124" w:name="_Toc8539"/>
      <w:bookmarkStart w:id="125" w:name="_Toc16867"/>
      <w:bookmarkStart w:id="126" w:name="_Toc15209"/>
      <w:bookmarkStart w:id="127" w:name="_Toc6474"/>
      <w:bookmarkStart w:id="128" w:name="_Toc1158"/>
      <w:bookmarkStart w:id="129" w:name="_Toc29688"/>
      <w:r>
        <w:rPr>
          <w:rFonts w:hint="eastAsia" w:ascii="仿宋" w:hAnsi="仿宋" w:eastAsia="仿宋" w:cs="仿宋"/>
          <w:b/>
          <w:color w:val="000000" w:themeColor="text1"/>
          <w:szCs w:val="21"/>
          <w:highlight w:val="none"/>
          <w14:textFill>
            <w14:solidFill>
              <w14:schemeClr w14:val="tx1"/>
            </w14:solidFill>
          </w14:textFill>
        </w:rPr>
        <w:t>4.1.投标文件计量单位</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799A5699">
      <w:pPr>
        <w:shd w:val="clear"/>
        <w:snapToGrid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投标文件中所使用的计量单位，除有特殊要求外，均采用国家法定计量单位。</w:t>
      </w:r>
    </w:p>
    <w:p w14:paraId="5E3EB218">
      <w:pPr>
        <w:shd w:val="clear"/>
        <w:snapToGrid w:val="0"/>
        <w:spacing w:line="360" w:lineRule="auto"/>
        <w:ind w:firstLine="211" w:firstLineChars="100"/>
        <w:outlineLvl w:val="0"/>
        <w:rPr>
          <w:rFonts w:hint="eastAsia" w:ascii="仿宋" w:hAnsi="仿宋" w:eastAsia="仿宋" w:cs="仿宋"/>
          <w:b/>
          <w:color w:val="000000" w:themeColor="text1"/>
          <w:szCs w:val="21"/>
          <w:highlight w:val="none"/>
          <w14:textFill>
            <w14:solidFill>
              <w14:schemeClr w14:val="tx1"/>
            </w14:solidFill>
          </w14:textFill>
        </w:rPr>
      </w:pPr>
      <w:bookmarkStart w:id="130" w:name="_Toc6883"/>
      <w:bookmarkStart w:id="131" w:name="_Toc21383"/>
      <w:bookmarkStart w:id="132" w:name="_Toc8520"/>
      <w:bookmarkStart w:id="133" w:name="_Toc23774"/>
      <w:bookmarkStart w:id="134" w:name="_Toc31575"/>
      <w:bookmarkStart w:id="135" w:name="_Toc10279"/>
      <w:bookmarkStart w:id="136" w:name="_Toc31096"/>
      <w:bookmarkStart w:id="137" w:name="_Toc7527"/>
      <w:bookmarkStart w:id="138" w:name="_Toc1336"/>
      <w:bookmarkStart w:id="139" w:name="_Toc8592"/>
      <w:bookmarkStart w:id="140" w:name="_Toc3816"/>
      <w:bookmarkStart w:id="141" w:name="_Toc18709"/>
      <w:bookmarkStart w:id="142" w:name="_Toc17142"/>
      <w:bookmarkStart w:id="143" w:name="_Toc32437"/>
      <w:bookmarkStart w:id="144" w:name="_Toc4977"/>
      <w:r>
        <w:rPr>
          <w:rFonts w:hint="eastAsia" w:ascii="仿宋" w:hAnsi="仿宋" w:eastAsia="仿宋" w:cs="仿宋"/>
          <w:b/>
          <w:color w:val="000000" w:themeColor="text1"/>
          <w:szCs w:val="21"/>
          <w:highlight w:val="none"/>
          <w14:textFill>
            <w14:solidFill>
              <w14:schemeClr w14:val="tx1"/>
            </w14:solidFill>
          </w14:textFill>
        </w:rPr>
        <w:t>4.2.投标文件的组成</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4031A9D0">
      <w:pPr>
        <w:shd w:val="clear"/>
        <w:snapToGrid w:val="0"/>
        <w:spacing w:line="360" w:lineRule="auto"/>
        <w:ind w:firstLine="210" w:firstLineChars="100"/>
        <w:outlineLvl w:val="1"/>
        <w:rPr>
          <w:rFonts w:hint="eastAsia" w:ascii="仿宋" w:hAnsi="仿宋" w:eastAsia="仿宋" w:cs="仿宋"/>
          <w:bCs/>
          <w:color w:val="000000" w:themeColor="text1"/>
          <w:szCs w:val="21"/>
          <w:highlight w:val="none"/>
          <w14:textFill>
            <w14:solidFill>
              <w14:schemeClr w14:val="tx1"/>
            </w14:solidFill>
          </w14:textFill>
        </w:rPr>
      </w:pPr>
      <w:bookmarkStart w:id="145" w:name="_Toc17590"/>
      <w:bookmarkStart w:id="146" w:name="_Toc9580"/>
      <w:bookmarkStart w:id="147" w:name="_Toc29331"/>
      <w:r>
        <w:rPr>
          <w:rFonts w:hint="eastAsia" w:ascii="仿宋" w:hAnsi="仿宋" w:eastAsia="仿宋" w:cs="仿宋"/>
          <w:bCs/>
          <w:color w:val="000000" w:themeColor="text1"/>
          <w:szCs w:val="21"/>
          <w:highlight w:val="none"/>
          <w14:textFill>
            <w14:solidFill>
              <w14:schemeClr w14:val="tx1"/>
            </w14:solidFill>
          </w14:textFill>
        </w:rPr>
        <w:t> 投标文件应包括下列内容：</w:t>
      </w:r>
      <w:bookmarkEnd w:id="145"/>
      <w:bookmarkEnd w:id="146"/>
      <w:bookmarkEnd w:id="147"/>
    </w:p>
    <w:p w14:paraId="22826F39">
      <w:pPr>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outlineLvl w:val="0"/>
        <w:rPr>
          <w:rFonts w:hint="eastAsia" w:ascii="仿宋" w:hAnsi="仿宋" w:eastAsia="仿宋" w:cs="仿宋"/>
          <w:bCs/>
          <w:color w:val="000000" w:themeColor="text1"/>
          <w:kern w:val="2"/>
          <w:sz w:val="21"/>
          <w:szCs w:val="21"/>
          <w:highlight w:val="none"/>
          <w:lang w:val="en-US" w:eastAsia="zh-CN" w:bidi="ar-SA"/>
          <w14:textFill>
            <w14:solidFill>
              <w14:schemeClr w14:val="tx1"/>
            </w14:solidFill>
          </w14:textFill>
        </w:rPr>
      </w:pPr>
      <w:bookmarkStart w:id="148" w:name="_Toc23916"/>
      <w:bookmarkStart w:id="149" w:name="_Toc30905"/>
      <w:bookmarkStart w:id="150" w:name="_Toc28374"/>
      <w:bookmarkStart w:id="151" w:name="_Toc28241"/>
      <w:bookmarkStart w:id="152" w:name="_Toc20030"/>
      <w:bookmarkStart w:id="153" w:name="_Toc13883"/>
      <w:bookmarkStart w:id="154" w:name="_Toc10147"/>
      <w:bookmarkStart w:id="155" w:name="_Toc25254"/>
      <w:bookmarkStart w:id="156" w:name="_Toc19212"/>
      <w:bookmarkStart w:id="157" w:name="_Toc6108"/>
      <w:bookmarkStart w:id="158" w:name="_Toc4919"/>
      <w:bookmarkStart w:id="159" w:name="_Toc13931"/>
      <w:bookmarkStart w:id="160" w:name="_Toc29990"/>
      <w:bookmarkStart w:id="161" w:name="_Toc11541"/>
      <w:bookmarkStart w:id="162" w:name="_Toc5350"/>
      <w:r>
        <w:rPr>
          <w:rFonts w:hint="eastAsia" w:ascii="仿宋" w:hAnsi="仿宋" w:eastAsia="仿宋" w:cs="仿宋"/>
          <w:bCs/>
          <w:color w:val="000000" w:themeColor="text1"/>
          <w:kern w:val="2"/>
          <w:sz w:val="21"/>
          <w:szCs w:val="21"/>
          <w:highlight w:val="none"/>
          <w:lang w:val="en-US" w:eastAsia="zh-CN" w:bidi="ar-SA"/>
          <w14:textFill>
            <w14:solidFill>
              <w14:schemeClr w14:val="tx1"/>
            </w14:solidFill>
          </w14:textFill>
        </w:rPr>
        <w:t>第1部分  投标函</w:t>
      </w:r>
      <w:bookmarkEnd w:id="148"/>
    </w:p>
    <w:p w14:paraId="54A5E7FB">
      <w:pPr>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outlineLvl w:val="0"/>
        <w:rPr>
          <w:rFonts w:hint="eastAsia" w:ascii="仿宋" w:hAnsi="仿宋" w:eastAsia="仿宋" w:cs="仿宋"/>
          <w:bCs/>
          <w:color w:val="000000" w:themeColor="text1"/>
          <w:kern w:val="2"/>
          <w:sz w:val="21"/>
          <w:szCs w:val="21"/>
          <w:highlight w:val="none"/>
          <w:lang w:val="en-US" w:eastAsia="zh-CN" w:bidi="ar-SA"/>
          <w14:textFill>
            <w14:solidFill>
              <w14:schemeClr w14:val="tx1"/>
            </w14:solidFill>
          </w14:textFill>
        </w:rPr>
      </w:pPr>
      <w:bookmarkStart w:id="163" w:name="_Toc15119"/>
      <w:r>
        <w:rPr>
          <w:rFonts w:hint="eastAsia" w:ascii="仿宋" w:hAnsi="仿宋" w:eastAsia="仿宋" w:cs="仿宋"/>
          <w:bCs/>
          <w:color w:val="000000" w:themeColor="text1"/>
          <w:kern w:val="2"/>
          <w:sz w:val="21"/>
          <w:szCs w:val="21"/>
          <w:highlight w:val="none"/>
          <w:lang w:val="en-US" w:eastAsia="zh-CN" w:bidi="ar-SA"/>
          <w14:textFill>
            <w14:solidFill>
              <w14:schemeClr w14:val="tx1"/>
            </w14:solidFill>
          </w14:textFill>
        </w:rPr>
        <w:t>第2部分  开标一览表</w:t>
      </w:r>
      <w:bookmarkEnd w:id="163"/>
    </w:p>
    <w:p w14:paraId="22302742">
      <w:pPr>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outlineLvl w:val="0"/>
        <w:rPr>
          <w:rFonts w:hint="eastAsia" w:ascii="仿宋" w:hAnsi="仿宋" w:eastAsia="仿宋" w:cs="仿宋"/>
          <w:bCs/>
          <w:color w:val="000000" w:themeColor="text1"/>
          <w:kern w:val="2"/>
          <w:sz w:val="21"/>
          <w:szCs w:val="21"/>
          <w:highlight w:val="none"/>
          <w:lang w:val="en-US" w:eastAsia="zh-CN" w:bidi="ar-SA"/>
          <w14:textFill>
            <w14:solidFill>
              <w14:schemeClr w14:val="tx1"/>
            </w14:solidFill>
          </w14:textFill>
        </w:rPr>
      </w:pPr>
      <w:bookmarkStart w:id="164" w:name="_Toc6149"/>
      <w:r>
        <w:rPr>
          <w:rFonts w:hint="eastAsia" w:ascii="仿宋" w:hAnsi="仿宋" w:eastAsia="仿宋" w:cs="仿宋"/>
          <w:bCs/>
          <w:color w:val="000000" w:themeColor="text1"/>
          <w:kern w:val="2"/>
          <w:sz w:val="21"/>
          <w:szCs w:val="21"/>
          <w:highlight w:val="none"/>
          <w:lang w:val="en-US" w:eastAsia="zh-CN" w:bidi="ar-SA"/>
          <w14:textFill>
            <w14:solidFill>
              <w14:schemeClr w14:val="tx1"/>
            </w14:solidFill>
          </w14:textFill>
        </w:rPr>
        <w:t>第3部分  技术文件</w:t>
      </w:r>
      <w:bookmarkEnd w:id="164"/>
    </w:p>
    <w:p w14:paraId="767AB901">
      <w:pPr>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outlineLvl w:val="0"/>
        <w:rPr>
          <w:rFonts w:hint="eastAsia" w:ascii="仿宋" w:hAnsi="仿宋" w:eastAsia="仿宋" w:cs="仿宋"/>
          <w:bCs/>
          <w:color w:val="000000" w:themeColor="text1"/>
          <w:kern w:val="2"/>
          <w:sz w:val="21"/>
          <w:szCs w:val="21"/>
          <w:highlight w:val="none"/>
          <w:lang w:val="en-US" w:eastAsia="zh-CN" w:bidi="ar-SA"/>
          <w14:textFill>
            <w14:solidFill>
              <w14:schemeClr w14:val="tx1"/>
            </w14:solidFill>
          </w14:textFill>
        </w:rPr>
      </w:pPr>
      <w:bookmarkStart w:id="165" w:name="_Toc26547"/>
      <w:r>
        <w:rPr>
          <w:rFonts w:hint="eastAsia" w:ascii="仿宋" w:hAnsi="仿宋" w:eastAsia="仿宋" w:cs="仿宋"/>
          <w:bCs/>
          <w:color w:val="000000" w:themeColor="text1"/>
          <w:kern w:val="2"/>
          <w:sz w:val="21"/>
          <w:szCs w:val="21"/>
          <w:highlight w:val="none"/>
          <w:lang w:val="en-US" w:eastAsia="zh-CN" w:bidi="ar-SA"/>
          <w14:textFill>
            <w14:solidFill>
              <w14:schemeClr w14:val="tx1"/>
            </w14:solidFill>
          </w14:textFill>
        </w:rPr>
        <w:t>第4部分  商务文件</w:t>
      </w:r>
      <w:bookmarkEnd w:id="165"/>
    </w:p>
    <w:p w14:paraId="1D4CC299">
      <w:pPr>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outlineLvl w:val="0"/>
        <w:rPr>
          <w:rFonts w:hint="eastAsia" w:ascii="仿宋" w:hAnsi="仿宋" w:eastAsia="仿宋" w:cs="仿宋"/>
          <w:bCs/>
          <w:color w:val="000000" w:themeColor="text1"/>
          <w:kern w:val="2"/>
          <w:sz w:val="21"/>
          <w:szCs w:val="21"/>
          <w:highlight w:val="none"/>
          <w:lang w:val="en-US" w:eastAsia="zh-CN" w:bidi="ar-SA"/>
          <w14:textFill>
            <w14:solidFill>
              <w14:schemeClr w14:val="tx1"/>
            </w14:solidFill>
          </w14:textFill>
        </w:rPr>
      </w:pPr>
      <w:bookmarkStart w:id="166" w:name="_Toc1267"/>
      <w:r>
        <w:rPr>
          <w:rFonts w:hint="eastAsia" w:ascii="仿宋" w:hAnsi="仿宋" w:eastAsia="仿宋" w:cs="仿宋"/>
          <w:bCs/>
          <w:color w:val="000000" w:themeColor="text1"/>
          <w:kern w:val="2"/>
          <w:sz w:val="21"/>
          <w:szCs w:val="21"/>
          <w:highlight w:val="none"/>
          <w:lang w:val="en-US" w:eastAsia="zh-CN" w:bidi="ar-SA"/>
          <w14:textFill>
            <w14:solidFill>
              <w14:schemeClr w14:val="tx1"/>
            </w14:solidFill>
          </w14:textFill>
        </w:rPr>
        <w:t>第5部分  投标人认为有必要补充说明的事项</w:t>
      </w:r>
      <w:bookmarkEnd w:id="166"/>
    </w:p>
    <w:p w14:paraId="674D30DE">
      <w:pPr>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outlineLvl w:val="0"/>
        <w:rPr>
          <w:rFonts w:hint="eastAsia" w:ascii="仿宋" w:hAnsi="仿宋" w:eastAsia="仿宋" w:cs="仿宋"/>
          <w:bCs/>
          <w:color w:val="000000" w:themeColor="text1"/>
          <w:kern w:val="2"/>
          <w:sz w:val="21"/>
          <w:szCs w:val="21"/>
          <w:highlight w:val="none"/>
          <w:lang w:val="en-US" w:eastAsia="zh-CN" w:bidi="ar-SA"/>
          <w14:textFill>
            <w14:solidFill>
              <w14:schemeClr w14:val="tx1"/>
            </w14:solidFill>
          </w14:textFill>
        </w:rPr>
      </w:pPr>
      <w:bookmarkStart w:id="167" w:name="_Toc20729"/>
      <w:r>
        <w:rPr>
          <w:rFonts w:hint="eastAsia" w:ascii="仿宋" w:hAnsi="仿宋" w:eastAsia="仿宋" w:cs="仿宋"/>
          <w:bCs/>
          <w:color w:val="000000" w:themeColor="text1"/>
          <w:kern w:val="2"/>
          <w:sz w:val="21"/>
          <w:szCs w:val="21"/>
          <w:highlight w:val="none"/>
          <w:lang w:val="en-US" w:eastAsia="zh-CN" w:bidi="ar-SA"/>
          <w14:textFill>
            <w14:solidFill>
              <w14:schemeClr w14:val="tx1"/>
            </w14:solidFill>
          </w14:textFill>
        </w:rPr>
        <w:t>第6部分  投标人资格证明文件</w:t>
      </w:r>
      <w:bookmarkEnd w:id="167"/>
    </w:p>
    <w:p w14:paraId="503A22D6">
      <w:pPr>
        <w:shd w:val="clear"/>
        <w:snapToGrid w:val="0"/>
        <w:spacing w:line="360" w:lineRule="auto"/>
        <w:outlineLvl w:val="0"/>
        <w:rPr>
          <w:rFonts w:hint="eastAsia" w:ascii="仿宋" w:hAnsi="仿宋" w:eastAsia="仿宋" w:cs="仿宋"/>
          <w:color w:val="000000" w:themeColor="text1"/>
          <w:szCs w:val="21"/>
          <w:highlight w:val="none"/>
          <w14:textFill>
            <w14:solidFill>
              <w14:schemeClr w14:val="tx1"/>
            </w14:solidFill>
          </w14:textFill>
        </w:rPr>
      </w:pPr>
      <w:bookmarkStart w:id="168" w:name="_Toc13543"/>
      <w:r>
        <w:rPr>
          <w:rFonts w:hint="eastAsia" w:ascii="仿宋" w:hAnsi="仿宋" w:eastAsia="仿宋" w:cs="仿宋"/>
          <w:b/>
          <w:color w:val="000000" w:themeColor="text1"/>
          <w:szCs w:val="21"/>
          <w:highlight w:val="none"/>
          <w14:textFill>
            <w14:solidFill>
              <w14:schemeClr w14:val="tx1"/>
            </w14:solidFill>
          </w14:textFill>
        </w:rPr>
        <w:t>4.3.</w:t>
      </w:r>
      <w:bookmarkEnd w:id="149"/>
      <w:bookmarkEnd w:id="150"/>
      <w:bookmarkEnd w:id="151"/>
      <w:bookmarkEnd w:id="152"/>
      <w:bookmarkEnd w:id="153"/>
      <w:bookmarkEnd w:id="154"/>
      <w:bookmarkEnd w:id="155"/>
      <w:bookmarkEnd w:id="156"/>
      <w:bookmarkEnd w:id="157"/>
      <w:bookmarkEnd w:id="158"/>
      <w:bookmarkEnd w:id="159"/>
      <w:bookmarkEnd w:id="160"/>
      <w:r>
        <w:rPr>
          <w:rFonts w:hint="eastAsia" w:ascii="仿宋" w:hAnsi="仿宋" w:eastAsia="仿宋" w:cs="仿宋"/>
          <w:b/>
          <w:color w:val="000000" w:themeColor="text1"/>
          <w:szCs w:val="21"/>
          <w:highlight w:val="none"/>
          <w14:textFill>
            <w14:solidFill>
              <w14:schemeClr w14:val="tx1"/>
            </w14:solidFill>
          </w14:textFill>
        </w:rPr>
        <w:t>投标文件的编写原则</w:t>
      </w:r>
      <w:bookmarkEnd w:id="161"/>
      <w:bookmarkEnd w:id="162"/>
      <w:bookmarkEnd w:id="168"/>
    </w:p>
    <w:p w14:paraId="67B72790">
      <w:pPr>
        <w:shd w:val="clear"/>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4.3.1.投标人应仔细阅读招标文件的所有内容，按招标文件规定及要求编写，应当对招标文件提出的实质性要求做出响应，并提交完整的投标文件。投标人应对投标货物和服务提供完整详细的技术说明，若投标人对指定的技术要求不能完全响应，应在投标文件中清楚地注明。投标人拟在中标后将中标段目的非主体、非关键性工作交由他人完成的，应当在投标文件中载明。投标人对本招标文件的每一项要求所给予的响应必须是唯一的，否则将视为无效投标文件。</w:t>
      </w:r>
    </w:p>
    <w:p w14:paraId="101B208D">
      <w:pPr>
        <w:pStyle w:val="21"/>
        <w:shd w:val="clear"/>
        <w:spacing w:line="360" w:lineRule="auto"/>
        <w:ind w:firstLine="210" w:firstLineChars="100"/>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4.3.</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.投标文件形式</w:t>
      </w:r>
    </w:p>
    <w:p w14:paraId="26D39243">
      <w:pPr>
        <w:pStyle w:val="21"/>
        <w:shd w:val="clear"/>
        <w:spacing w:line="360" w:lineRule="auto"/>
        <w:ind w:firstLine="420" w:firstLineChars="200"/>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本项目投标文件应采用书面文件形式，电报、传真、电子邮件形式的投标文件不予接受。</w:t>
      </w:r>
    </w:p>
    <w:p w14:paraId="7023F186">
      <w:pPr>
        <w:shd w:val="clear"/>
        <w:snapToGrid w:val="0"/>
        <w:spacing w:line="360" w:lineRule="auto"/>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4.4.投标报价</w:t>
      </w:r>
    </w:p>
    <w:p w14:paraId="6DCE737F">
      <w:pPr>
        <w:shd w:val="clear"/>
        <w:snapToGrid w:val="0"/>
        <w:spacing w:line="360" w:lineRule="auto"/>
        <w:ind w:firstLine="210" w:firstLineChars="100"/>
        <w:outlineLvl w:val="0"/>
        <w:rPr>
          <w:rFonts w:hint="eastAsia" w:ascii="仿宋" w:hAnsi="仿宋" w:eastAsia="仿宋" w:cs="仿宋"/>
          <w:bCs/>
          <w:color w:val="000000" w:themeColor="text1"/>
          <w:szCs w:val="21"/>
          <w:highlight w:val="none"/>
          <w14:textFill>
            <w14:solidFill>
              <w14:schemeClr w14:val="tx1"/>
            </w14:solidFill>
          </w14:textFill>
        </w:rPr>
      </w:pPr>
      <w:bookmarkStart w:id="169" w:name="_Toc4453"/>
      <w:bookmarkStart w:id="170" w:name="_Toc15552"/>
      <w:bookmarkStart w:id="171" w:name="_Toc7490"/>
      <w:bookmarkStart w:id="172" w:name="_Toc31307"/>
      <w:bookmarkStart w:id="173" w:name="_Toc26696"/>
      <w:bookmarkStart w:id="174" w:name="_Toc16405"/>
      <w:bookmarkStart w:id="175" w:name="_Toc24530"/>
      <w:bookmarkStart w:id="176" w:name="_Toc14199"/>
      <w:bookmarkStart w:id="177" w:name="_Toc26477"/>
      <w:bookmarkStart w:id="178" w:name="_Toc19144"/>
      <w:bookmarkStart w:id="179" w:name="_Toc21354"/>
      <w:bookmarkStart w:id="180" w:name="_Toc26542"/>
      <w:bookmarkStart w:id="181" w:name="_Toc30478"/>
      <w:bookmarkStart w:id="182" w:name="_Toc32557"/>
      <w:bookmarkStart w:id="183" w:name="_Toc15478"/>
      <w:r>
        <w:rPr>
          <w:rFonts w:hint="eastAsia" w:ascii="仿宋" w:hAnsi="仿宋" w:eastAsia="仿宋" w:cs="仿宋"/>
          <w:bCs/>
          <w:color w:val="000000" w:themeColor="text1"/>
          <w:szCs w:val="21"/>
          <w:highlight w:val="none"/>
          <w14:textFill>
            <w14:solidFill>
              <w14:schemeClr w14:val="tx1"/>
            </w14:solidFill>
          </w14:textFill>
        </w:rPr>
        <w:t>（1）投标报价是指完成本项目的所有费用，以招标文件的内容和要求作为投标依据；</w:t>
      </w:r>
      <w:bookmarkEnd w:id="169"/>
      <w:bookmarkEnd w:id="170"/>
      <w:bookmarkEnd w:id="171"/>
      <w:r>
        <w:rPr>
          <w:rFonts w:hint="eastAsia" w:ascii="仿宋" w:hAnsi="仿宋" w:eastAsia="仿宋" w:cs="仿宋"/>
          <w:bCs/>
          <w:color w:val="000000" w:themeColor="text1"/>
          <w:szCs w:val="21"/>
          <w:highlight w:val="none"/>
          <w14:textFill>
            <w14:solidFill>
              <w14:schemeClr w14:val="tx1"/>
            </w14:solidFill>
          </w14:textFill>
        </w:rPr>
        <w:t>投标人应当按照招标文件要求填报投标报价，并充分了解该采购项目的总体情况以及影响投标报价的其他要素，凡因投标人对招标文件阅读不深、理解不透、误解、疏漏、或因市场行情了解不清造成的后果和风险均由投标人自负。</w:t>
      </w:r>
      <w:bookmarkEnd w:id="172"/>
      <w:bookmarkEnd w:id="173"/>
      <w:bookmarkEnd w:id="174"/>
    </w:p>
    <w:p w14:paraId="6AAB1DCB">
      <w:pPr>
        <w:shd w:val="clear"/>
        <w:snapToGrid w:val="0"/>
        <w:spacing w:line="360" w:lineRule="auto"/>
        <w:ind w:firstLine="210" w:firstLineChars="100"/>
        <w:outlineLvl w:val="0"/>
        <w:rPr>
          <w:rFonts w:hint="eastAsia" w:ascii="仿宋" w:hAnsi="仿宋" w:eastAsia="仿宋" w:cs="仿宋"/>
          <w:bCs/>
          <w:color w:val="000000" w:themeColor="text1"/>
          <w:szCs w:val="21"/>
          <w:highlight w:val="none"/>
          <w14:textFill>
            <w14:solidFill>
              <w14:schemeClr w14:val="tx1"/>
            </w14:solidFill>
          </w14:textFill>
        </w:rPr>
      </w:pPr>
      <w:bookmarkStart w:id="184" w:name="_Toc8496"/>
      <w:bookmarkStart w:id="185" w:name="_Toc20508"/>
      <w:bookmarkStart w:id="186" w:name="_Toc81"/>
      <w:bookmarkStart w:id="187" w:name="_Toc22069"/>
      <w:bookmarkStart w:id="188" w:name="_Toc15250"/>
      <w:bookmarkStart w:id="189" w:name="_Toc15110"/>
      <w:r>
        <w:rPr>
          <w:rFonts w:hint="eastAsia" w:ascii="仿宋" w:hAnsi="仿宋" w:eastAsia="仿宋" w:cs="仿宋"/>
          <w:bCs/>
          <w:color w:val="000000" w:themeColor="text1"/>
          <w:szCs w:val="21"/>
          <w:highlight w:val="none"/>
          <w14:textFill>
            <w14:solidFill>
              <w14:schemeClr w14:val="tx1"/>
            </w14:solidFill>
          </w14:textFill>
        </w:rPr>
        <w:t>（2）</w:t>
      </w:r>
      <w:bookmarkEnd w:id="184"/>
      <w:bookmarkEnd w:id="185"/>
      <w:bookmarkEnd w:id="186"/>
      <w:r>
        <w:rPr>
          <w:rFonts w:hint="eastAsia" w:ascii="仿宋" w:hAnsi="仿宋" w:eastAsia="仿宋" w:cs="仿宋"/>
          <w:bCs/>
          <w:color w:val="000000" w:themeColor="text1"/>
          <w:szCs w:val="21"/>
          <w:highlight w:val="none"/>
          <w14:textFill>
            <w14:solidFill>
              <w14:schemeClr w14:val="tx1"/>
            </w14:solidFill>
          </w14:textFill>
        </w:rPr>
        <w:t>投标人每种产品只允许有一个报价，并且在合同履行过程中是固定不变的，任何有选择或可调整的报价将不予接受并按无效投标处理。</w:t>
      </w:r>
      <w:bookmarkEnd w:id="187"/>
      <w:bookmarkEnd w:id="188"/>
      <w:bookmarkEnd w:id="189"/>
    </w:p>
    <w:p w14:paraId="7A48F8A3">
      <w:pPr>
        <w:shd w:val="clear"/>
        <w:snapToGrid w:val="0"/>
        <w:spacing w:line="360" w:lineRule="auto"/>
        <w:ind w:firstLine="210" w:firstLineChars="100"/>
        <w:outlineLvl w:val="0"/>
        <w:rPr>
          <w:rFonts w:hint="eastAsia" w:ascii="仿宋" w:hAnsi="仿宋" w:eastAsia="仿宋" w:cs="仿宋"/>
          <w:bCs/>
          <w:color w:val="000000" w:themeColor="text1"/>
          <w:szCs w:val="21"/>
          <w:highlight w:val="none"/>
          <w14:textFill>
            <w14:solidFill>
              <w14:schemeClr w14:val="tx1"/>
            </w14:solidFill>
          </w14:textFill>
        </w:rPr>
      </w:pPr>
      <w:bookmarkStart w:id="190" w:name="_Toc19151"/>
      <w:bookmarkStart w:id="191" w:name="_Toc22741"/>
      <w:bookmarkStart w:id="192" w:name="_Toc27300"/>
      <w:r>
        <w:rPr>
          <w:rFonts w:hint="eastAsia" w:ascii="仿宋" w:hAnsi="仿宋" w:eastAsia="仿宋" w:cs="仿宋"/>
          <w:bCs/>
          <w:color w:val="000000" w:themeColor="text1"/>
          <w:szCs w:val="21"/>
          <w:highlight w:val="none"/>
          <w14:textFill>
            <w14:solidFill>
              <w14:schemeClr w14:val="tx1"/>
            </w14:solidFill>
          </w14:textFill>
        </w:rPr>
        <w:t>（3）投标人的报价是投标人响应招标段目要求的全部工作内容的价格体现，包括投标人完成本项目所需的一切费用，即：产品费、运输费、保险费、服务费（含售后）、招标代理费、税金及不可预见费等全部费用。投标总价中不得包含招标文件要求以外的内容，否则，在评标时不予核减。在供货、</w:t>
      </w:r>
      <w:r>
        <w:rPr>
          <w:rFonts w:hint="eastAsia" w:ascii="仿宋" w:hAnsi="仿宋" w:eastAsia="仿宋" w:cs="仿宋"/>
          <w:bCs/>
          <w:color w:val="000000" w:themeColor="text1"/>
          <w:szCs w:val="21"/>
          <w:highlight w:val="none"/>
          <w:lang w:val="en-US" w:eastAsia="zh-CN"/>
          <w14:textFill>
            <w14:solidFill>
              <w14:schemeClr w14:val="tx1"/>
            </w14:solidFill>
          </w14:textFill>
        </w:rPr>
        <w:t>运输</w:t>
      </w:r>
      <w:r>
        <w:rPr>
          <w:rFonts w:hint="eastAsia" w:ascii="仿宋" w:hAnsi="仿宋" w:eastAsia="仿宋" w:cs="仿宋"/>
          <w:bCs/>
          <w:color w:val="000000" w:themeColor="text1"/>
          <w:szCs w:val="21"/>
          <w:highlight w:val="none"/>
          <w14:textFill>
            <w14:solidFill>
              <w14:schemeClr w14:val="tx1"/>
            </w14:solidFill>
          </w14:textFill>
        </w:rPr>
        <w:t>等工作中出现任何遗漏，均由中标人免费提供，采购人将不再支付任何费用。</w:t>
      </w:r>
      <w:bookmarkEnd w:id="190"/>
      <w:bookmarkEnd w:id="191"/>
      <w:bookmarkEnd w:id="192"/>
    </w:p>
    <w:p w14:paraId="42C9D049">
      <w:pPr>
        <w:shd w:val="clear"/>
        <w:snapToGrid w:val="0"/>
        <w:spacing w:line="360" w:lineRule="auto"/>
        <w:ind w:firstLine="210" w:firstLineChars="100"/>
        <w:outlineLvl w:val="0"/>
        <w:rPr>
          <w:rFonts w:hint="eastAsia" w:ascii="仿宋" w:hAnsi="仿宋" w:eastAsia="仿宋" w:cs="仿宋"/>
          <w:bCs/>
          <w:color w:val="000000" w:themeColor="text1"/>
          <w:szCs w:val="21"/>
          <w:highlight w:val="none"/>
          <w14:textFill>
            <w14:solidFill>
              <w14:schemeClr w14:val="tx1"/>
            </w14:solidFill>
          </w14:textFill>
        </w:rPr>
      </w:pPr>
      <w:bookmarkStart w:id="193" w:name="_Toc26451"/>
      <w:bookmarkStart w:id="194" w:name="_Toc27373"/>
      <w:bookmarkStart w:id="195" w:name="_Toc31336"/>
      <w:bookmarkStart w:id="196" w:name="_Toc20847"/>
      <w:bookmarkStart w:id="197" w:name="_Toc3937"/>
      <w:bookmarkStart w:id="198" w:name="_Toc11845"/>
      <w:r>
        <w:rPr>
          <w:rFonts w:hint="eastAsia" w:ascii="仿宋" w:hAnsi="仿宋" w:eastAsia="仿宋" w:cs="仿宋"/>
          <w:bCs/>
          <w:color w:val="000000" w:themeColor="text1"/>
          <w:szCs w:val="21"/>
          <w:highlight w:val="none"/>
          <w14:textFill>
            <w14:solidFill>
              <w14:schemeClr w14:val="tx1"/>
            </w14:solidFill>
          </w14:textFill>
        </w:rPr>
        <w:t>（4）投标货币：人民币；单位：元（最多保留到小数点后两位）；</w:t>
      </w:r>
      <w:bookmarkEnd w:id="193"/>
      <w:bookmarkEnd w:id="194"/>
      <w:bookmarkEnd w:id="195"/>
      <w:bookmarkEnd w:id="196"/>
      <w:bookmarkEnd w:id="197"/>
      <w:bookmarkEnd w:id="198"/>
    </w:p>
    <w:p w14:paraId="4C1D290D">
      <w:pPr>
        <w:shd w:val="clear"/>
        <w:snapToGrid w:val="0"/>
        <w:spacing w:line="360" w:lineRule="auto"/>
        <w:ind w:firstLine="210" w:firstLineChars="100"/>
        <w:outlineLvl w:val="0"/>
        <w:rPr>
          <w:rFonts w:hint="eastAsia" w:ascii="仿宋" w:hAnsi="仿宋" w:eastAsia="仿宋" w:cs="仿宋"/>
          <w:bCs/>
          <w:color w:val="000000" w:themeColor="text1"/>
          <w:szCs w:val="21"/>
          <w:highlight w:val="none"/>
          <w14:textFill>
            <w14:solidFill>
              <w14:schemeClr w14:val="tx1"/>
            </w14:solidFill>
          </w14:textFill>
        </w:rPr>
      </w:pPr>
      <w:bookmarkStart w:id="199" w:name="_Toc21233"/>
      <w:bookmarkStart w:id="200" w:name="_Toc30343"/>
      <w:bookmarkStart w:id="201" w:name="_Toc14272"/>
      <w:bookmarkStart w:id="202" w:name="_Toc17662"/>
      <w:bookmarkStart w:id="203" w:name="_Toc11333"/>
      <w:bookmarkStart w:id="204" w:name="_Toc27744"/>
      <w:r>
        <w:rPr>
          <w:rFonts w:hint="eastAsia" w:ascii="仿宋" w:hAnsi="仿宋" w:eastAsia="仿宋" w:cs="仿宋"/>
          <w:bCs/>
          <w:color w:val="000000" w:themeColor="text1"/>
          <w:szCs w:val="21"/>
          <w:highlight w:val="none"/>
          <w14:textFill>
            <w14:solidFill>
              <w14:schemeClr w14:val="tx1"/>
            </w14:solidFill>
          </w14:textFill>
        </w:rPr>
        <w:t>（</w:t>
      </w:r>
      <w:bookmarkEnd w:id="199"/>
      <w:bookmarkEnd w:id="200"/>
      <w:bookmarkEnd w:id="201"/>
      <w:bookmarkStart w:id="205" w:name="_Toc6396"/>
      <w:bookmarkStart w:id="206" w:name="_Toc24503"/>
      <w:bookmarkStart w:id="207" w:name="_Toc7876"/>
      <w:r>
        <w:rPr>
          <w:rFonts w:hint="eastAsia" w:ascii="仿宋" w:hAnsi="仿宋" w:eastAsia="仿宋" w:cs="仿宋"/>
          <w:bCs/>
          <w:color w:val="000000" w:themeColor="text1"/>
          <w:szCs w:val="21"/>
          <w:highlight w:val="none"/>
          <w14:textFill>
            <w14:solidFill>
              <w14:schemeClr w14:val="tx1"/>
            </w14:solidFill>
          </w14:textFill>
        </w:rPr>
        <w:t>5）最低报价不是中标的唯一依据；</w:t>
      </w:r>
      <w:bookmarkEnd w:id="202"/>
      <w:bookmarkEnd w:id="203"/>
      <w:bookmarkEnd w:id="204"/>
      <w:bookmarkEnd w:id="205"/>
      <w:bookmarkEnd w:id="206"/>
      <w:bookmarkEnd w:id="207"/>
    </w:p>
    <w:p w14:paraId="688EEACB">
      <w:pPr>
        <w:shd w:val="clear"/>
        <w:snapToGrid w:val="0"/>
        <w:spacing w:line="360" w:lineRule="auto"/>
        <w:ind w:firstLine="210" w:firstLineChars="100"/>
        <w:outlineLvl w:val="0"/>
        <w:rPr>
          <w:rFonts w:hint="eastAsia" w:ascii="仿宋" w:hAnsi="仿宋" w:eastAsia="仿宋" w:cs="仿宋"/>
          <w:bCs/>
          <w:color w:val="000000" w:themeColor="text1"/>
          <w:szCs w:val="21"/>
          <w:highlight w:val="none"/>
          <w14:textFill>
            <w14:solidFill>
              <w14:schemeClr w14:val="tx1"/>
            </w14:solidFill>
          </w14:textFill>
        </w:rPr>
      </w:pPr>
      <w:bookmarkStart w:id="208" w:name="_Toc2586"/>
      <w:bookmarkStart w:id="209" w:name="_Toc30448"/>
      <w:bookmarkStart w:id="210" w:name="_Toc19028"/>
      <w:bookmarkStart w:id="211" w:name="_Toc28858"/>
      <w:bookmarkStart w:id="212" w:name="_Toc6877"/>
      <w:bookmarkStart w:id="213" w:name="_Toc21405"/>
      <w:r>
        <w:rPr>
          <w:rFonts w:hint="eastAsia" w:ascii="仿宋" w:hAnsi="仿宋" w:eastAsia="仿宋" w:cs="仿宋"/>
          <w:bCs/>
          <w:color w:val="000000" w:themeColor="text1"/>
          <w:szCs w:val="21"/>
          <w:highlight w:val="none"/>
          <w14:textFill>
            <w14:solidFill>
              <w14:schemeClr w14:val="tx1"/>
            </w14:solidFill>
          </w14:textFill>
        </w:rPr>
        <w:t>（6）投标人不得以低于成本的报价参加投标。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bookmarkEnd w:id="208"/>
      <w:bookmarkEnd w:id="209"/>
      <w:bookmarkEnd w:id="210"/>
      <w:bookmarkEnd w:id="211"/>
      <w:bookmarkEnd w:id="212"/>
      <w:bookmarkEnd w:id="213"/>
      <w:bookmarkStart w:id="214" w:name="_Toc20106"/>
      <w:bookmarkStart w:id="215" w:name="_Toc13368"/>
      <w:bookmarkStart w:id="216" w:name="_Toc25787"/>
      <w:bookmarkStart w:id="217" w:name="_Toc4036"/>
      <w:bookmarkStart w:id="218" w:name="_Toc21775"/>
      <w:bookmarkStart w:id="219" w:name="_Toc12707"/>
    </w:p>
    <w:p w14:paraId="221B7D30">
      <w:pPr>
        <w:shd w:val="clear"/>
        <w:snapToGrid w:val="0"/>
        <w:spacing w:line="360" w:lineRule="auto"/>
        <w:ind w:firstLine="210" w:firstLineChars="100"/>
        <w:outlineLvl w:val="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7）投标人的投标报价不得超过投标人须知前附表规定的预算金额，否则，作为不实质性响应招标文件，按无效投标处理；投标人须知前附表设定了最高限价的，投标人的投标报价也不得超过最高限价，否则，作为不实质性响应招标文件，按无效投标处理。</w:t>
      </w:r>
      <w:bookmarkEnd w:id="214"/>
      <w:bookmarkEnd w:id="215"/>
      <w:bookmarkEnd w:id="216"/>
    </w:p>
    <w:p w14:paraId="712D4358">
      <w:pPr>
        <w:shd w:val="clear"/>
        <w:snapToGrid w:val="0"/>
        <w:spacing w:line="360" w:lineRule="auto"/>
        <w:ind w:firstLine="210" w:firstLineChars="100"/>
        <w:outlineLvl w:val="0"/>
        <w:rPr>
          <w:rFonts w:hint="eastAsia" w:ascii="仿宋" w:hAnsi="仿宋" w:eastAsia="仿宋" w:cs="仿宋"/>
          <w:bCs/>
          <w:color w:val="000000" w:themeColor="text1"/>
          <w:szCs w:val="21"/>
          <w:highlight w:val="none"/>
          <w14:textFill>
            <w14:solidFill>
              <w14:schemeClr w14:val="tx1"/>
            </w14:solidFill>
          </w14:textFill>
        </w:rPr>
      </w:pPr>
      <w:bookmarkStart w:id="220" w:name="_Toc1878"/>
      <w:bookmarkStart w:id="221" w:name="_Toc30407"/>
      <w:bookmarkStart w:id="222" w:name="_Toc7907"/>
      <w:r>
        <w:rPr>
          <w:rFonts w:hint="eastAsia" w:ascii="仿宋" w:hAnsi="仿宋" w:eastAsia="仿宋" w:cs="仿宋"/>
          <w:bCs/>
          <w:color w:val="000000" w:themeColor="text1"/>
          <w:szCs w:val="21"/>
          <w:highlight w:val="none"/>
          <w14:textFill>
            <w14:solidFill>
              <w14:schemeClr w14:val="tx1"/>
            </w14:solidFill>
          </w14:textFill>
        </w:rPr>
        <w:t>（8）采购人不接受投标人给予的赠品、回扣或者与采购无关的其他商品、服务。如有赠与行为，其投标无效。</w:t>
      </w:r>
      <w:bookmarkEnd w:id="220"/>
      <w:bookmarkEnd w:id="221"/>
      <w:bookmarkEnd w:id="222"/>
    </w:p>
    <w:bookmarkEnd w:id="175"/>
    <w:bookmarkEnd w:id="176"/>
    <w:bookmarkEnd w:id="177"/>
    <w:bookmarkEnd w:id="178"/>
    <w:bookmarkEnd w:id="179"/>
    <w:bookmarkEnd w:id="180"/>
    <w:bookmarkEnd w:id="181"/>
    <w:bookmarkEnd w:id="182"/>
    <w:bookmarkEnd w:id="183"/>
    <w:bookmarkEnd w:id="217"/>
    <w:bookmarkEnd w:id="218"/>
    <w:bookmarkEnd w:id="219"/>
    <w:p w14:paraId="7769D9D5">
      <w:pPr>
        <w:shd w:val="clear"/>
        <w:snapToGrid w:val="0"/>
        <w:spacing w:line="360" w:lineRule="auto"/>
        <w:outlineLvl w:val="2"/>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4.5.投标文件的编制</w:t>
      </w:r>
    </w:p>
    <w:p w14:paraId="0EA59125">
      <w:pPr>
        <w:shd w:val="clear"/>
        <w:tabs>
          <w:tab w:val="left" w:pos="720"/>
        </w:tabs>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4.5.1.投标人应仔细阅读招标文件的所有内容，按招标文件规定及要求编制投标文件，并对招标文件提出的实质性要求做出响应，提交完整的投标文件。投标内容应完整，如有遗漏，将被视为无效。</w:t>
      </w:r>
    </w:p>
    <w:p w14:paraId="1994D212">
      <w:pPr>
        <w:shd w:val="clear"/>
        <w:tabs>
          <w:tab w:val="left" w:pos="720"/>
        </w:tabs>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r>
        <w:rPr>
          <w:rFonts w:hint="eastAsia" w:ascii="仿宋" w:hAnsi="仿宋" w:eastAsia="仿宋" w:cs="仿宋"/>
          <w:bCs/>
          <w:color w:val="000000" w:themeColor="text1"/>
          <w:szCs w:val="21"/>
          <w:highlight w:val="none"/>
          <w14:textFill>
            <w14:solidFill>
              <w14:schemeClr w14:val="tx1"/>
            </w14:solidFill>
          </w14:textFill>
        </w:rPr>
        <w:t>5.2.投标文件的语言：投标人</w:t>
      </w:r>
      <w:r>
        <w:rPr>
          <w:rFonts w:hint="eastAsia" w:ascii="仿宋" w:hAnsi="仿宋" w:eastAsia="仿宋" w:cs="仿宋"/>
          <w:color w:val="000000" w:themeColor="text1"/>
          <w:szCs w:val="21"/>
          <w:highlight w:val="none"/>
          <w14:textFill>
            <w14:solidFill>
              <w14:schemeClr w14:val="tx1"/>
            </w14:solidFill>
          </w14:textFill>
        </w:rPr>
        <w:t>提交的投标文件以及投标人与采购代理机构就有关本项目所有文件、资料、函电文字均应使用中文（通用缩写、代号、名称除外）。</w:t>
      </w:r>
    </w:p>
    <w:p w14:paraId="47DC7434">
      <w:pPr>
        <w:shd w:val="clear"/>
        <w:tabs>
          <w:tab w:val="left" w:pos="720"/>
        </w:tabs>
        <w:snapToGrid w:val="0"/>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4.5.3.投标文件的计量单位：</w:t>
      </w:r>
      <w:r>
        <w:rPr>
          <w:rFonts w:hint="eastAsia" w:ascii="仿宋" w:hAnsi="仿宋" w:eastAsia="仿宋" w:cs="仿宋"/>
          <w:color w:val="000000" w:themeColor="text1"/>
          <w:kern w:val="0"/>
          <w:szCs w:val="21"/>
          <w:highlight w:val="none"/>
          <w14:textFill>
            <w14:solidFill>
              <w14:schemeClr w14:val="tx1"/>
            </w14:solidFill>
          </w14:textFill>
        </w:rPr>
        <w:t>投标文件已有明确规定的，使用投标文件规定的计量单位；投标文件没有规定的，应采用中华人民共和国法定计量单位</w:t>
      </w:r>
      <w:r>
        <w:rPr>
          <w:rFonts w:hint="eastAsia" w:ascii="仿宋" w:hAnsi="仿宋" w:eastAsia="仿宋" w:cs="仿宋"/>
          <w:color w:val="000000" w:themeColor="text1"/>
          <w:szCs w:val="21"/>
          <w:highlight w:val="none"/>
          <w14:textFill>
            <w14:solidFill>
              <w14:schemeClr w14:val="tx1"/>
            </w14:solidFill>
          </w14:textFill>
        </w:rPr>
        <w:t>(国际单位制和国家选定的其他计量单位)</w:t>
      </w:r>
      <w:r>
        <w:rPr>
          <w:rFonts w:hint="eastAsia" w:ascii="仿宋" w:hAnsi="仿宋" w:eastAsia="仿宋" w:cs="仿宋"/>
          <w:color w:val="000000" w:themeColor="text1"/>
          <w:kern w:val="0"/>
          <w:szCs w:val="21"/>
          <w:highlight w:val="none"/>
          <w14:textFill>
            <w14:solidFill>
              <w14:schemeClr w14:val="tx1"/>
            </w14:solidFill>
          </w14:textFill>
        </w:rPr>
        <w:t>。</w:t>
      </w:r>
    </w:p>
    <w:p w14:paraId="7E19DED5">
      <w:pPr>
        <w:shd w:val="clear"/>
        <w:tabs>
          <w:tab w:val="left" w:pos="0"/>
          <w:tab w:val="left" w:pos="420"/>
        </w:tabs>
        <w:snapToGrid w:val="0"/>
        <w:spacing w:line="360" w:lineRule="auto"/>
        <w:ind w:firstLine="420" w:firstLineChars="2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5.4.备选方案：本项目不接受备选投标方案，投标文件的报价只允许有一个报价，不接受有任何选择或具有附加条件的报价，否则，在评审时将其视为无效报价。</w:t>
      </w:r>
    </w:p>
    <w:p w14:paraId="13D88DEC">
      <w:pPr>
        <w:shd w:val="clear"/>
        <w:tabs>
          <w:tab w:val="left" w:pos="0"/>
          <w:tab w:val="left" w:pos="420"/>
        </w:tabs>
        <w:snapToGrid w:val="0"/>
        <w:spacing w:line="360" w:lineRule="auto"/>
        <w:ind w:firstLine="420" w:firstLineChars="2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5.5.投标文件有效期：投标文件有效期自投标截止之日起计算不得少于90天。</w:t>
      </w:r>
    </w:p>
    <w:p w14:paraId="6668B17C">
      <w:pPr>
        <w:shd w:val="clear"/>
        <w:tabs>
          <w:tab w:val="left" w:pos="0"/>
        </w:tabs>
        <w:snapToGrid w:val="0"/>
        <w:spacing w:line="360" w:lineRule="auto"/>
        <w:ind w:firstLine="420" w:firstLineChars="2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5.6.投标文件格式：投标人应严格按照招标文件《</w:t>
      </w:r>
      <w:r>
        <w:rPr>
          <w:rFonts w:hint="eastAsia" w:ascii="仿宋" w:hAnsi="仿宋" w:eastAsia="仿宋" w:cs="仿宋"/>
          <w:color w:val="000000" w:themeColor="text1"/>
          <w:kern w:val="1"/>
          <w:szCs w:val="21"/>
          <w:highlight w:val="none"/>
          <w:lang w:eastAsia="zh-CN"/>
          <w14:textFill>
            <w14:solidFill>
              <w14:schemeClr w14:val="tx1"/>
            </w14:solidFill>
          </w14:textFill>
        </w:rPr>
        <w:t>第五章</w:t>
      </w:r>
      <w:r>
        <w:rPr>
          <w:rFonts w:hint="eastAsia" w:ascii="仿宋" w:hAnsi="仿宋" w:eastAsia="仿宋" w:cs="仿宋"/>
          <w:color w:val="000000" w:themeColor="text1"/>
          <w:kern w:val="1"/>
          <w:szCs w:val="21"/>
          <w:highlight w:val="none"/>
          <w14:textFill>
            <w14:solidFill>
              <w14:schemeClr w14:val="tx1"/>
            </w14:solidFill>
          </w14:textFill>
        </w:rPr>
        <w:t xml:space="preserve"> 投标文件格式及构成》填写相关内容。除明确允许投标人可以自行编写的外，投标人不得以规定之外的方式填写相关内容。</w:t>
      </w:r>
    </w:p>
    <w:p w14:paraId="0B6AEFFA">
      <w:pPr>
        <w:shd w:val="clear"/>
        <w:tabs>
          <w:tab w:val="left" w:pos="0"/>
        </w:tabs>
        <w:snapToGrid w:val="0"/>
        <w:spacing w:line="360" w:lineRule="auto"/>
        <w:ind w:firstLine="420" w:firstLineChars="2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5.7.投标文件的签署、盖章</w:t>
      </w:r>
    </w:p>
    <w:p w14:paraId="6F0ABCB8">
      <w:pPr>
        <w:shd w:val="clear"/>
        <w:tabs>
          <w:tab w:val="left" w:pos="0"/>
        </w:tabs>
        <w:snapToGrid w:val="0"/>
        <w:spacing w:line="360" w:lineRule="auto"/>
        <w:ind w:firstLine="420" w:firstLineChars="2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5.7.1.投标文件须由投标人的法定代表人或经法定代表人正式授权的代表签字（招标文件要求投标文件中法定代表人签字处由法定代表人签署，要求授权代表签字处由授权代表签署），若由授权代表签署，须按招标文件规定的格式出具“法定代表人授权书”附在投标文件中，所有要求签字（名）处，均须由签字（名）者本人用不褪色的蓝(黑)色墨水(汁)书写，不得用任何形式的图章代替）；投标文件的任何行间插字、涂改和增删，改动处须由法定代表人或授权代表签字并加盖公章方为有效；因字迹潦草或表达不清所引起的后果由投标人自行负责。</w:t>
      </w:r>
    </w:p>
    <w:p w14:paraId="66B2E77B">
      <w:pPr>
        <w:shd w:val="clear"/>
        <w:tabs>
          <w:tab w:val="left" w:pos="0"/>
        </w:tabs>
        <w:snapToGrid w:val="0"/>
        <w:spacing w:line="360" w:lineRule="auto"/>
        <w:ind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5.7.2.投标人必须按照招标文件的规定和要求在投标文件中指定的页面处加盖公章。</w:t>
      </w:r>
    </w:p>
    <w:p w14:paraId="0ADD41A0">
      <w:pPr>
        <w:shd w:val="clear"/>
        <w:tabs>
          <w:tab w:val="left" w:pos="0"/>
          <w:tab w:val="left" w:pos="420"/>
        </w:tabs>
        <w:snapToGrid w:val="0"/>
        <w:spacing w:line="360" w:lineRule="auto"/>
        <w:ind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5.8.封装及封套注释</w:t>
      </w:r>
      <w:r>
        <w:rPr>
          <w:rFonts w:hint="eastAsia" w:ascii="仿宋" w:hAnsi="仿宋" w:eastAsia="仿宋" w:cs="仿宋"/>
          <w:color w:val="000000" w:themeColor="text1"/>
          <w:kern w:val="1"/>
          <w:szCs w:val="21"/>
          <w:highlight w:val="none"/>
          <w14:textFill>
            <w14:solidFill>
              <w14:schemeClr w14:val="tx1"/>
            </w14:solidFill>
          </w14:textFill>
        </w:rPr>
        <w:tab/>
      </w:r>
    </w:p>
    <w:p w14:paraId="4D72D6E5">
      <w:pPr>
        <w:keepNext w:val="0"/>
        <w:keepLines w:val="0"/>
        <w:pageBreakBefore w:val="0"/>
        <w:widowControl w:val="0"/>
        <w:shd w:val="clear"/>
        <w:tabs>
          <w:tab w:val="left" w:pos="0"/>
          <w:tab w:val="left" w:pos="420"/>
        </w:tabs>
        <w:kinsoku/>
        <w:wordWrap/>
        <w:overflowPunct/>
        <w:topLinePunct w:val="0"/>
        <w:autoSpaceDE/>
        <w:autoSpaceDN/>
        <w:bidi w:val="0"/>
        <w:adjustRightInd/>
        <w:snapToGrid w:val="0"/>
        <w:spacing w:line="360" w:lineRule="auto"/>
        <w:ind w:firstLine="210" w:firstLineChars="100"/>
        <w:textAlignment w:val="auto"/>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5.8.1.</w:t>
      </w:r>
      <w:r>
        <w:rPr>
          <w:rFonts w:hint="eastAsia" w:ascii="仿宋" w:hAnsi="仿宋" w:eastAsia="仿宋" w:cs="仿宋"/>
          <w:b/>
          <w:bCs/>
          <w:color w:val="000000" w:themeColor="text1"/>
          <w:kern w:val="1"/>
          <w:szCs w:val="21"/>
          <w:highlight w:val="none"/>
          <w14:textFill>
            <w14:solidFill>
              <w14:schemeClr w14:val="tx1"/>
            </w14:solidFill>
          </w14:textFill>
        </w:rPr>
        <w:t>投标文件的正本、副本</w:t>
      </w:r>
      <w:r>
        <w:rPr>
          <w:rFonts w:hint="eastAsia" w:ascii="仿宋" w:hAnsi="仿宋" w:eastAsia="仿宋" w:cs="仿宋"/>
          <w:b/>
          <w:bCs/>
          <w:color w:val="000000" w:themeColor="text1"/>
          <w:kern w:val="1"/>
          <w:szCs w:val="21"/>
          <w:highlight w:val="none"/>
          <w:lang w:eastAsia="zh-CN"/>
          <w14:textFill>
            <w14:solidFill>
              <w14:schemeClr w14:val="tx1"/>
            </w14:solidFill>
          </w14:textFill>
        </w:rPr>
        <w:t>、开标一览表</w:t>
      </w:r>
      <w:r>
        <w:rPr>
          <w:rFonts w:hint="eastAsia" w:ascii="仿宋" w:hAnsi="仿宋" w:eastAsia="仿宋" w:cs="仿宋"/>
          <w:b/>
          <w:bCs/>
          <w:color w:val="000000" w:themeColor="text1"/>
          <w:kern w:val="1"/>
          <w:szCs w:val="21"/>
          <w:highlight w:val="none"/>
          <w14:textFill>
            <w14:solidFill>
              <w14:schemeClr w14:val="tx1"/>
            </w14:solidFill>
          </w14:textFill>
        </w:rPr>
        <w:t>要求各自分装密封（封袋不得有破损），同时在封口处加贴封条并在骑缝处加盖投标人公章；投标文件电子版U盘须用抠取纸或其他方式标明投标人名称，并用小信封包装后随</w:t>
      </w:r>
      <w:r>
        <w:rPr>
          <w:rFonts w:hint="eastAsia" w:ascii="仿宋" w:hAnsi="仿宋" w:eastAsia="仿宋" w:cs="仿宋"/>
          <w:b/>
          <w:bCs/>
          <w:color w:val="000000" w:themeColor="text1"/>
          <w:kern w:val="1"/>
          <w:szCs w:val="21"/>
          <w:highlight w:val="none"/>
          <w:lang w:eastAsia="zh-CN"/>
          <w14:textFill>
            <w14:solidFill>
              <w14:schemeClr w14:val="tx1"/>
            </w14:solidFill>
          </w14:textFill>
        </w:rPr>
        <w:t>开标一览表一起</w:t>
      </w:r>
      <w:r>
        <w:rPr>
          <w:rFonts w:hint="eastAsia" w:ascii="仿宋" w:hAnsi="仿宋" w:eastAsia="仿宋" w:cs="仿宋"/>
          <w:b/>
          <w:bCs/>
          <w:color w:val="000000" w:themeColor="text1"/>
          <w:kern w:val="1"/>
          <w:szCs w:val="21"/>
          <w:highlight w:val="none"/>
          <w14:textFill>
            <w14:solidFill>
              <w14:schemeClr w14:val="tx1"/>
            </w14:solidFill>
          </w14:textFill>
        </w:rPr>
        <w:t>封装，U盘须安全无病毒。电子文件与纸质正本投标文件的内容应保持一致，具有同等法律效力。电子文件采用PDF格式，需要签字和盖章的，可采用电子印章，或将有盖章和签字的纸质页面、证件等扫描文件一起编辑到PDF格式文件中，盖章和签字页不能遗漏。未按规定制作电子文件或开标现场电子U盘因自身原因导致无法读取的</w:t>
      </w:r>
      <w:r>
        <w:rPr>
          <w:rFonts w:hint="eastAsia" w:ascii="仿宋" w:hAnsi="仿宋" w:eastAsia="仿宋" w:cs="仿宋"/>
          <w:b/>
          <w:bCs/>
          <w:color w:val="000000" w:themeColor="text1"/>
          <w:kern w:val="1"/>
          <w:szCs w:val="21"/>
          <w:highlight w:val="none"/>
          <w:lang w:eastAsia="zh-CN"/>
          <w14:textFill>
            <w14:solidFill>
              <w14:schemeClr w14:val="tx1"/>
            </w14:solidFill>
          </w14:textFill>
        </w:rPr>
        <w:t>、投标人</w:t>
      </w:r>
      <w:r>
        <w:rPr>
          <w:rFonts w:hint="eastAsia" w:ascii="仿宋" w:hAnsi="仿宋" w:eastAsia="仿宋" w:cs="仿宋"/>
          <w:b/>
          <w:bCs/>
          <w:color w:val="000000" w:themeColor="text1"/>
          <w:kern w:val="1"/>
          <w:sz w:val="21"/>
          <w:szCs w:val="21"/>
          <w:highlight w:val="none"/>
          <w14:textFill>
            <w14:solidFill>
              <w14:schemeClr w14:val="tx1"/>
            </w14:solidFill>
          </w14:textFill>
        </w:rPr>
        <w:t>电子文件属性相同的</w:t>
      </w:r>
      <w:r>
        <w:rPr>
          <w:rFonts w:hint="eastAsia" w:ascii="仿宋" w:hAnsi="仿宋" w:eastAsia="仿宋" w:cs="仿宋"/>
          <w:b/>
          <w:bCs/>
          <w:color w:val="000000" w:themeColor="text1"/>
          <w:kern w:val="1"/>
          <w:szCs w:val="21"/>
          <w:highlight w:val="none"/>
          <w14:textFill>
            <w14:solidFill>
              <w14:schemeClr w14:val="tx1"/>
            </w14:solidFill>
          </w14:textFill>
        </w:rPr>
        <w:t>，按无效投标文件处理。</w:t>
      </w:r>
    </w:p>
    <w:p w14:paraId="32405D39">
      <w:pPr>
        <w:shd w:val="clear"/>
        <w:tabs>
          <w:tab w:val="left" w:pos="0"/>
          <w:tab w:val="left" w:pos="420"/>
        </w:tabs>
        <w:snapToGrid w:val="0"/>
        <w:spacing w:line="360" w:lineRule="auto"/>
        <w:ind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5.8.2.封套上应载明的信息：</w:t>
      </w:r>
    </w:p>
    <w:p w14:paraId="616BF4CD">
      <w:pPr>
        <w:shd w:val="clear"/>
        <w:tabs>
          <w:tab w:val="left" w:pos="0"/>
          <w:tab w:val="left" w:pos="420"/>
        </w:tabs>
        <w:snapToGrid w:val="0"/>
        <w:spacing w:line="360" w:lineRule="auto"/>
        <w:ind w:firstLine="420" w:firstLineChars="2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kern w:val="1"/>
          <w:szCs w:val="21"/>
          <w:highlight w:val="none"/>
          <w:lang w:val="en-US" w:eastAsia="zh-CN"/>
          <w14:textFill>
            <w14:solidFill>
              <w14:schemeClr w14:val="tx1"/>
            </w14:solidFill>
          </w14:textFill>
        </w:rPr>
        <w:t>项目</w:t>
      </w:r>
      <w:r>
        <w:rPr>
          <w:rFonts w:hint="eastAsia" w:ascii="仿宋" w:hAnsi="仿宋" w:eastAsia="仿宋" w:cs="仿宋"/>
          <w:color w:val="000000" w:themeColor="text1"/>
          <w:kern w:val="1"/>
          <w:szCs w:val="21"/>
          <w:highlight w:val="none"/>
          <w14:textFill>
            <w14:solidFill>
              <w14:schemeClr w14:val="tx1"/>
            </w14:solidFill>
          </w14:textFill>
        </w:rPr>
        <w:t>名称及编号、采购人名称、投标人名称，并注明“正副本”及“在    年  月  日  时  分前不得开启”字样</w:t>
      </w:r>
    </w:p>
    <w:p w14:paraId="62B2C8DD">
      <w:pPr>
        <w:shd w:val="clear"/>
        <w:tabs>
          <w:tab w:val="left" w:pos="0"/>
          <w:tab w:val="left" w:pos="420"/>
        </w:tabs>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5.8.3.</w:t>
      </w:r>
      <w:r>
        <w:rPr>
          <w:rFonts w:hint="eastAsia" w:ascii="仿宋" w:hAnsi="仿宋" w:eastAsia="仿宋" w:cs="仿宋"/>
          <w:color w:val="000000" w:themeColor="text1"/>
          <w:szCs w:val="21"/>
          <w:highlight w:val="none"/>
          <w14:textFill>
            <w14:solidFill>
              <w14:schemeClr w14:val="tx1"/>
            </w14:solidFill>
          </w14:textFill>
        </w:rPr>
        <w:t>投标文件正本和副本</w:t>
      </w:r>
      <w:r>
        <w:rPr>
          <w:rFonts w:hint="eastAsia" w:ascii="仿宋" w:hAnsi="仿宋" w:eastAsia="仿宋" w:cs="仿宋"/>
          <w:color w:val="000000" w:themeColor="text1"/>
          <w:szCs w:val="21"/>
          <w:highlight w:val="none"/>
          <w:lang w:val="zh-CN"/>
          <w14:textFill>
            <w14:solidFill>
              <w14:schemeClr w14:val="tx1"/>
            </w14:solidFill>
          </w14:textFill>
        </w:rPr>
        <w:t>一律采用A4纸幅面加胶装分别装订成册，</w:t>
      </w:r>
      <w:r>
        <w:rPr>
          <w:rFonts w:hint="eastAsia" w:ascii="仿宋" w:hAnsi="仿宋" w:eastAsia="仿宋" w:cs="仿宋"/>
          <w:bCs/>
          <w:color w:val="000000" w:themeColor="text1"/>
          <w:kern w:val="1"/>
          <w:szCs w:val="21"/>
          <w:highlight w:val="none"/>
          <w14:textFill>
            <w14:solidFill>
              <w14:schemeClr w14:val="tx1"/>
            </w14:solidFill>
          </w14:textFill>
        </w:rPr>
        <w:t>按序从目录开始编制页码“第  页,共  页”。</w:t>
      </w:r>
      <w:r>
        <w:rPr>
          <w:rFonts w:hint="eastAsia" w:ascii="仿宋" w:hAnsi="仿宋" w:eastAsia="仿宋" w:cs="仿宋"/>
          <w:color w:val="000000" w:themeColor="text1"/>
          <w:szCs w:val="21"/>
          <w:highlight w:val="none"/>
          <w14:textFill>
            <w14:solidFill>
              <w14:schemeClr w14:val="tx1"/>
            </w14:solidFill>
          </w14:textFill>
        </w:rPr>
        <w:t>文件胶装装订后，页面不可抽取，不得有活动页，无破损、不可拆分。</w:t>
      </w:r>
    </w:p>
    <w:p w14:paraId="29628B47">
      <w:pPr>
        <w:shd w:val="clear"/>
        <w:tabs>
          <w:tab w:val="left" w:pos="0"/>
          <w:tab w:val="left" w:pos="420"/>
        </w:tabs>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5.8.4</w:t>
      </w:r>
      <w:r>
        <w:rPr>
          <w:rFonts w:hint="eastAsia" w:ascii="仿宋" w:hAnsi="仿宋" w:eastAsia="仿宋" w:cs="仿宋"/>
          <w:color w:val="000000" w:themeColor="text1"/>
          <w:szCs w:val="21"/>
          <w:highlight w:val="none"/>
          <w14:textFill>
            <w14:solidFill>
              <w14:schemeClr w14:val="tx1"/>
            </w14:solidFill>
          </w14:textFill>
        </w:rPr>
        <w:t>.如果投标人未按上述要求密封标识，采购人及采购代理机构将拒绝接收投标文件。</w:t>
      </w:r>
    </w:p>
    <w:p w14:paraId="6BBC7DCB">
      <w:pPr>
        <w:shd w:val="clear"/>
        <w:snapToGrid w:val="0"/>
        <w:spacing w:line="360" w:lineRule="auto"/>
        <w:outlineLvl w:val="0"/>
        <w:rPr>
          <w:rFonts w:hint="eastAsia" w:ascii="仿宋" w:hAnsi="仿宋" w:eastAsia="仿宋" w:cs="仿宋"/>
          <w:b/>
          <w:color w:val="000000" w:themeColor="text1"/>
          <w:szCs w:val="21"/>
          <w:highlight w:val="none"/>
          <w:lang w:eastAsia="zh-CN"/>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4.6、投标保证金</w:t>
      </w:r>
      <w:r>
        <w:rPr>
          <w:rFonts w:hint="eastAsia" w:ascii="仿宋" w:hAnsi="仿宋" w:eastAsia="仿宋" w:cs="仿宋"/>
          <w:b/>
          <w:color w:val="000000" w:themeColor="text1"/>
          <w:szCs w:val="21"/>
          <w:highlight w:val="none"/>
          <w:lang w:eastAsia="zh-CN"/>
          <w14:textFill>
            <w14:solidFill>
              <w14:schemeClr w14:val="tx1"/>
            </w14:solidFill>
          </w14:textFill>
        </w:rPr>
        <w:t>：</w:t>
      </w:r>
      <w:bookmarkEnd w:id="65"/>
      <w:bookmarkEnd w:id="66"/>
    </w:p>
    <w:p w14:paraId="25327D0B">
      <w:pPr>
        <w:tabs>
          <w:tab w:val="left" w:pos="7665"/>
        </w:tabs>
        <w:spacing w:line="360" w:lineRule="auto"/>
        <w:ind w:left="13" w:leftChars="6" w:firstLine="420" w:firstLineChars="20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4.6</w:t>
      </w:r>
      <w:r>
        <w:rPr>
          <w:rFonts w:hint="eastAsia" w:ascii="仿宋" w:hAnsi="仿宋" w:eastAsia="仿宋" w:cs="仿宋"/>
          <w:color w:val="000000" w:themeColor="text1"/>
          <w:sz w:val="21"/>
          <w:szCs w:val="21"/>
          <w14:textFill>
            <w14:solidFill>
              <w14:schemeClr w14:val="tx1"/>
            </w14:solidFill>
          </w14:textFill>
        </w:rPr>
        <w:t>.1、</w:t>
      </w:r>
      <w:r>
        <w:rPr>
          <w:rFonts w:hint="eastAsia" w:ascii="仿宋" w:hAnsi="仿宋" w:eastAsia="仿宋" w:cs="仿宋"/>
          <w:color w:val="000000" w:themeColor="text1"/>
          <w:sz w:val="21"/>
          <w:szCs w:val="21"/>
          <w:lang w:val="en-US" w:eastAsia="zh-CN"/>
          <w14:textFill>
            <w14:solidFill>
              <w14:schemeClr w14:val="tx1"/>
            </w14:solidFill>
          </w14:textFill>
        </w:rPr>
        <w:t>投标保证金</w:t>
      </w:r>
      <w:r>
        <w:rPr>
          <w:rFonts w:hint="eastAsia" w:ascii="仿宋" w:hAnsi="仿宋" w:eastAsia="仿宋" w:cs="仿宋"/>
          <w:color w:val="000000" w:themeColor="text1"/>
          <w:sz w:val="21"/>
          <w:szCs w:val="21"/>
          <w14:textFill>
            <w14:solidFill>
              <w14:schemeClr w14:val="tx1"/>
            </w14:solidFill>
          </w14:textFill>
        </w:rPr>
        <w:t>数额见供应商须知前附表。</w:t>
      </w:r>
      <w:r>
        <w:rPr>
          <w:rFonts w:hint="eastAsia" w:ascii="仿宋" w:hAnsi="仿宋" w:eastAsia="仿宋" w:cs="仿宋"/>
          <w:color w:val="000000" w:themeColor="text1"/>
          <w:sz w:val="21"/>
          <w:szCs w:val="21"/>
          <w:lang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参加</w:t>
      </w:r>
      <w:r>
        <w:rPr>
          <w:rFonts w:hint="eastAsia" w:ascii="仿宋" w:hAnsi="仿宋" w:eastAsia="仿宋" w:cs="仿宋"/>
          <w:color w:val="000000" w:themeColor="text1"/>
          <w:sz w:val="21"/>
          <w:szCs w:val="21"/>
          <w:lang w:val="en-US" w:eastAsia="zh-CN"/>
          <w14:textFill>
            <w14:solidFill>
              <w14:schemeClr w14:val="tx1"/>
            </w14:solidFill>
          </w14:textFill>
        </w:rPr>
        <w:t>投标</w:t>
      </w:r>
      <w:r>
        <w:rPr>
          <w:rFonts w:hint="eastAsia" w:ascii="仿宋" w:hAnsi="仿宋" w:eastAsia="仿宋" w:cs="仿宋"/>
          <w:color w:val="000000" w:themeColor="text1"/>
          <w:sz w:val="21"/>
          <w:szCs w:val="21"/>
          <w14:textFill>
            <w14:solidFill>
              <w14:schemeClr w14:val="tx1"/>
            </w14:solidFill>
          </w14:textFill>
        </w:rPr>
        <w:t>时，应当以人民币提交足额的</w:t>
      </w:r>
      <w:r>
        <w:rPr>
          <w:rFonts w:hint="eastAsia" w:ascii="仿宋" w:hAnsi="仿宋" w:eastAsia="仿宋" w:cs="仿宋"/>
          <w:color w:val="000000" w:themeColor="text1"/>
          <w:sz w:val="21"/>
          <w:szCs w:val="21"/>
          <w:lang w:eastAsia="zh-CN"/>
          <w14:textFill>
            <w14:solidFill>
              <w14:schemeClr w14:val="tx1"/>
            </w14:solidFill>
          </w14:textFill>
        </w:rPr>
        <w:t>投标保证金</w:t>
      </w:r>
      <w:r>
        <w:rPr>
          <w:rFonts w:hint="eastAsia" w:ascii="仿宋" w:hAnsi="仿宋" w:eastAsia="仿宋" w:cs="仿宋"/>
          <w:color w:val="000000" w:themeColor="text1"/>
          <w:sz w:val="21"/>
          <w:szCs w:val="21"/>
          <w14:textFill>
            <w14:solidFill>
              <w14:schemeClr w14:val="tx1"/>
            </w14:solidFill>
          </w14:textFill>
        </w:rPr>
        <w:t>，并作为其</w:t>
      </w:r>
      <w:r>
        <w:rPr>
          <w:rFonts w:hint="eastAsia" w:ascii="仿宋" w:hAnsi="仿宋" w:eastAsia="仿宋" w:cs="仿宋"/>
          <w:color w:val="000000" w:themeColor="text1"/>
          <w:sz w:val="21"/>
          <w:szCs w:val="21"/>
          <w:lang w:val="en-US" w:eastAsia="zh-CN"/>
          <w14:textFill>
            <w14:solidFill>
              <w14:schemeClr w14:val="tx1"/>
            </w14:solidFill>
          </w14:textFill>
        </w:rPr>
        <w:t>投标</w:t>
      </w:r>
      <w:r>
        <w:rPr>
          <w:rFonts w:hint="eastAsia" w:ascii="仿宋" w:hAnsi="仿宋" w:eastAsia="仿宋" w:cs="仿宋"/>
          <w:color w:val="000000" w:themeColor="text1"/>
          <w:sz w:val="21"/>
          <w:szCs w:val="21"/>
          <w14:textFill>
            <w14:solidFill>
              <w14:schemeClr w14:val="tx1"/>
            </w14:solidFill>
          </w14:textFill>
        </w:rPr>
        <w:t>文件的一部分。</w:t>
      </w:r>
    </w:p>
    <w:p w14:paraId="4422CC38">
      <w:pPr>
        <w:tabs>
          <w:tab w:val="left" w:pos="7665"/>
        </w:tabs>
        <w:spacing w:line="360" w:lineRule="auto"/>
        <w:ind w:left="13" w:leftChars="6" w:firstLine="420" w:firstLineChars="20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4.6</w:t>
      </w:r>
      <w:r>
        <w:rPr>
          <w:rFonts w:hint="eastAsia" w:ascii="仿宋" w:hAnsi="仿宋" w:eastAsia="仿宋" w:cs="仿宋"/>
          <w:color w:val="000000" w:themeColor="text1"/>
          <w:sz w:val="21"/>
          <w:szCs w:val="21"/>
          <w14:textFill>
            <w14:solidFill>
              <w14:schemeClr w14:val="tx1"/>
            </w14:solidFill>
          </w14:textFill>
        </w:rPr>
        <w:t>.2、</w:t>
      </w:r>
      <w:r>
        <w:rPr>
          <w:rFonts w:hint="eastAsia" w:ascii="仿宋" w:hAnsi="仿宋" w:eastAsia="仿宋" w:cs="仿宋"/>
          <w:color w:val="000000" w:themeColor="text1"/>
          <w:sz w:val="21"/>
          <w:szCs w:val="21"/>
          <w:lang w:eastAsia="zh-CN"/>
          <w14:textFill>
            <w14:solidFill>
              <w14:schemeClr w14:val="tx1"/>
            </w14:solidFill>
          </w14:textFill>
        </w:rPr>
        <w:t>投标保证金</w:t>
      </w:r>
      <w:r>
        <w:rPr>
          <w:rFonts w:hint="eastAsia" w:ascii="仿宋" w:hAnsi="仿宋" w:eastAsia="仿宋" w:cs="仿宋"/>
          <w:color w:val="000000" w:themeColor="text1"/>
          <w:sz w:val="21"/>
          <w:szCs w:val="21"/>
          <w14:textFill>
            <w14:solidFill>
              <w14:schemeClr w14:val="tx1"/>
            </w14:solidFill>
          </w14:textFill>
        </w:rPr>
        <w:t>是为了保护采购人和采购代理机构免遭</w:t>
      </w:r>
      <w:r>
        <w:rPr>
          <w:rFonts w:hint="eastAsia" w:ascii="仿宋" w:hAnsi="仿宋" w:eastAsia="仿宋" w:cs="仿宋"/>
          <w:color w:val="000000" w:themeColor="text1"/>
          <w:sz w:val="21"/>
          <w:szCs w:val="21"/>
          <w:lang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的不良行为而蒙受损失。采购人和采购代理机构在因</w:t>
      </w:r>
      <w:r>
        <w:rPr>
          <w:rFonts w:hint="eastAsia" w:ascii="仿宋" w:hAnsi="仿宋" w:eastAsia="仿宋" w:cs="仿宋"/>
          <w:color w:val="000000" w:themeColor="text1"/>
          <w:sz w:val="21"/>
          <w:szCs w:val="21"/>
          <w:lang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的不良行为受到损害时，可根据</w:t>
      </w:r>
      <w:r>
        <w:rPr>
          <w:rFonts w:hint="eastAsia" w:ascii="仿宋" w:hAnsi="仿宋" w:eastAsia="仿宋" w:cs="仿宋"/>
          <w:color w:val="000000" w:themeColor="text1"/>
          <w:sz w:val="21"/>
          <w:szCs w:val="21"/>
          <w:lang w:val="en-US" w:eastAsia="zh-CN"/>
          <w14:textFill>
            <w14:solidFill>
              <w14:schemeClr w14:val="tx1"/>
            </w14:solidFill>
          </w14:textFill>
        </w:rPr>
        <w:t>招标</w:t>
      </w:r>
      <w:r>
        <w:rPr>
          <w:rFonts w:hint="eastAsia" w:ascii="仿宋" w:hAnsi="仿宋" w:eastAsia="仿宋" w:cs="仿宋"/>
          <w:color w:val="000000" w:themeColor="text1"/>
          <w:sz w:val="21"/>
          <w:szCs w:val="21"/>
          <w14:textFill>
            <w14:solidFill>
              <w14:schemeClr w14:val="tx1"/>
            </w14:solidFill>
          </w14:textFill>
        </w:rPr>
        <w:t>文件的规定不予退还其</w:t>
      </w:r>
      <w:r>
        <w:rPr>
          <w:rFonts w:hint="eastAsia" w:ascii="仿宋" w:hAnsi="仿宋" w:eastAsia="仿宋" w:cs="仿宋"/>
          <w:color w:val="000000" w:themeColor="text1"/>
          <w:sz w:val="21"/>
          <w:szCs w:val="21"/>
          <w:lang w:eastAsia="zh-CN"/>
          <w14:textFill>
            <w14:solidFill>
              <w14:schemeClr w14:val="tx1"/>
            </w14:solidFill>
          </w14:textFill>
        </w:rPr>
        <w:t>投标保证金</w:t>
      </w:r>
      <w:r>
        <w:rPr>
          <w:rFonts w:hint="eastAsia" w:ascii="仿宋" w:hAnsi="仿宋" w:eastAsia="仿宋" w:cs="仿宋"/>
          <w:color w:val="000000" w:themeColor="text1"/>
          <w:sz w:val="21"/>
          <w:szCs w:val="21"/>
          <w14:textFill>
            <w14:solidFill>
              <w14:schemeClr w14:val="tx1"/>
            </w14:solidFill>
          </w14:textFill>
        </w:rPr>
        <w:t>。</w:t>
      </w:r>
    </w:p>
    <w:p w14:paraId="7AC9D4BD">
      <w:pPr>
        <w:tabs>
          <w:tab w:val="left" w:pos="7665"/>
        </w:tabs>
        <w:spacing w:line="360" w:lineRule="auto"/>
        <w:ind w:left="13" w:leftChars="6" w:firstLine="420" w:firstLineChars="200"/>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4.6</w:t>
      </w:r>
      <w:r>
        <w:rPr>
          <w:rFonts w:hint="eastAsia" w:ascii="仿宋" w:hAnsi="仿宋" w:eastAsia="仿宋" w:cs="仿宋"/>
          <w:color w:val="000000" w:themeColor="text1"/>
          <w:sz w:val="21"/>
          <w:szCs w:val="21"/>
          <w:lang w:eastAsia="zh-CN"/>
          <w14:textFill>
            <w14:solidFill>
              <w14:schemeClr w14:val="tx1"/>
            </w14:solidFill>
          </w14:textFill>
        </w:rPr>
        <w:t>.3、投标保证金的提交</w:t>
      </w:r>
    </w:p>
    <w:p w14:paraId="06E746A5">
      <w:pPr>
        <w:tabs>
          <w:tab w:val="left" w:pos="7665"/>
        </w:tabs>
        <w:spacing w:line="360" w:lineRule="auto"/>
        <w:ind w:left="13" w:leftChars="6" w:firstLine="420" w:firstLineChars="200"/>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4.6</w:t>
      </w:r>
      <w:r>
        <w:rPr>
          <w:rFonts w:hint="eastAsia" w:ascii="仿宋" w:hAnsi="仿宋" w:eastAsia="仿宋" w:cs="仿宋"/>
          <w:color w:val="000000" w:themeColor="text1"/>
          <w:sz w:val="21"/>
          <w:szCs w:val="21"/>
          <w:lang w:eastAsia="zh-CN"/>
          <w14:textFill>
            <w14:solidFill>
              <w14:schemeClr w14:val="tx1"/>
            </w14:solidFill>
          </w14:textFill>
        </w:rPr>
        <w:t>.3.1、投标保证金逾期交纳的投标人</w:t>
      </w:r>
      <w:r>
        <w:rPr>
          <w:rFonts w:hint="eastAsia" w:ascii="仿宋" w:hAnsi="仿宋" w:eastAsia="仿宋" w:cs="仿宋"/>
          <w:color w:val="000000" w:themeColor="text1"/>
          <w:sz w:val="21"/>
          <w:szCs w:val="21"/>
          <w:lang w:val="en-US" w:eastAsia="zh-CN"/>
          <w14:textFill>
            <w14:solidFill>
              <w14:schemeClr w14:val="tx1"/>
            </w14:solidFill>
          </w14:textFill>
        </w:rPr>
        <w:t>投标</w:t>
      </w:r>
      <w:r>
        <w:rPr>
          <w:rFonts w:hint="eastAsia" w:ascii="仿宋" w:hAnsi="仿宋" w:eastAsia="仿宋" w:cs="仿宋"/>
          <w:color w:val="000000" w:themeColor="text1"/>
          <w:sz w:val="21"/>
          <w:szCs w:val="21"/>
          <w:lang w:eastAsia="zh-CN"/>
          <w14:textFill>
            <w14:solidFill>
              <w14:schemeClr w14:val="tx1"/>
            </w14:solidFill>
          </w14:textFill>
        </w:rPr>
        <w:t>文件将被拒绝。</w:t>
      </w:r>
    </w:p>
    <w:p w14:paraId="6ABC4A34">
      <w:pPr>
        <w:tabs>
          <w:tab w:val="left" w:pos="7665"/>
        </w:tabs>
        <w:spacing w:line="360" w:lineRule="auto"/>
        <w:ind w:left="13" w:leftChars="6" w:firstLine="420" w:firstLineChars="200"/>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4.6</w:t>
      </w:r>
      <w:r>
        <w:rPr>
          <w:rFonts w:hint="eastAsia" w:ascii="仿宋" w:hAnsi="仿宋" w:eastAsia="仿宋" w:cs="仿宋"/>
          <w:color w:val="000000" w:themeColor="text1"/>
          <w:sz w:val="21"/>
          <w:szCs w:val="21"/>
          <w:lang w:eastAsia="zh-CN"/>
          <w14:textFill>
            <w14:solidFill>
              <w14:schemeClr w14:val="tx1"/>
            </w14:solidFill>
          </w14:textFill>
        </w:rPr>
        <w:t>.3.2、投标保证金应以银行转账或者金融机构、担保机构出具的保函等非现金形式提交。</w:t>
      </w:r>
    </w:p>
    <w:p w14:paraId="6D1FF94B">
      <w:pPr>
        <w:tabs>
          <w:tab w:val="left" w:pos="7665"/>
        </w:tabs>
        <w:spacing w:line="360" w:lineRule="auto"/>
        <w:ind w:left="13" w:leftChars="6" w:firstLine="420" w:firstLineChars="200"/>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4.6</w:t>
      </w:r>
      <w:r>
        <w:rPr>
          <w:rFonts w:hint="eastAsia" w:ascii="仿宋" w:hAnsi="仿宋" w:eastAsia="仿宋" w:cs="仿宋"/>
          <w:color w:val="000000" w:themeColor="text1"/>
          <w:sz w:val="21"/>
          <w:szCs w:val="21"/>
          <w:lang w:eastAsia="zh-CN"/>
          <w14:textFill>
            <w14:solidFill>
              <w14:schemeClr w14:val="tx1"/>
            </w14:solidFill>
          </w14:textFill>
        </w:rPr>
        <w:t>.3.2.1、以银行转账交纳投标保证金的，可以采取支票、电汇、网银、汇票、本票等方式，应从其基本账户转出。</w:t>
      </w:r>
    </w:p>
    <w:p w14:paraId="551F0929">
      <w:pPr>
        <w:tabs>
          <w:tab w:val="left" w:pos="7665"/>
        </w:tabs>
        <w:spacing w:line="360" w:lineRule="auto"/>
        <w:ind w:left="13" w:leftChars="6" w:firstLine="420" w:firstLineChars="200"/>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4.6</w:t>
      </w:r>
      <w:r>
        <w:rPr>
          <w:rFonts w:hint="eastAsia" w:ascii="仿宋" w:hAnsi="仿宋" w:eastAsia="仿宋" w:cs="仿宋"/>
          <w:color w:val="000000" w:themeColor="text1"/>
          <w:sz w:val="21"/>
          <w:szCs w:val="21"/>
          <w:lang w:eastAsia="zh-CN"/>
          <w14:textFill>
            <w14:solidFill>
              <w14:schemeClr w14:val="tx1"/>
            </w14:solidFill>
          </w14:textFill>
        </w:rPr>
        <w:t>.3.2.2、以信用担保函形式交纳投标保证金的，应按照</w:t>
      </w:r>
      <w:r>
        <w:rPr>
          <w:rFonts w:hint="eastAsia" w:ascii="仿宋" w:hAnsi="仿宋" w:eastAsia="仿宋" w:cs="仿宋"/>
          <w:color w:val="000000" w:themeColor="text1"/>
          <w:sz w:val="21"/>
          <w:szCs w:val="21"/>
          <w:lang w:val="en-US" w:eastAsia="zh-CN"/>
          <w14:textFill>
            <w14:solidFill>
              <w14:schemeClr w14:val="tx1"/>
            </w14:solidFill>
          </w14:textFill>
        </w:rPr>
        <w:t>招标</w:t>
      </w:r>
      <w:r>
        <w:rPr>
          <w:rFonts w:hint="eastAsia" w:ascii="仿宋" w:hAnsi="仿宋" w:eastAsia="仿宋" w:cs="仿宋"/>
          <w:color w:val="000000" w:themeColor="text1"/>
          <w:sz w:val="21"/>
          <w:szCs w:val="21"/>
          <w:lang w:eastAsia="zh-CN"/>
          <w14:textFill>
            <w14:solidFill>
              <w14:schemeClr w14:val="tx1"/>
            </w14:solidFill>
          </w14:textFill>
        </w:rPr>
        <w:t>文件规定的格式提交，且是陕西省有关部门认定的具有开具保函资格的单位开具的保函。投标人违约，开具保函单位承担连带责任。</w:t>
      </w:r>
    </w:p>
    <w:p w14:paraId="6F86D268">
      <w:pPr>
        <w:tabs>
          <w:tab w:val="left" w:pos="7665"/>
        </w:tabs>
        <w:spacing w:line="360" w:lineRule="auto"/>
        <w:ind w:left="13" w:leftChars="6" w:firstLine="420" w:firstLineChars="200"/>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4.6</w:t>
      </w:r>
      <w:r>
        <w:rPr>
          <w:rFonts w:hint="eastAsia" w:ascii="仿宋" w:hAnsi="仿宋" w:eastAsia="仿宋" w:cs="仿宋"/>
          <w:color w:val="000000" w:themeColor="text1"/>
          <w:sz w:val="21"/>
          <w:szCs w:val="21"/>
          <w:lang w:eastAsia="zh-CN"/>
          <w14:textFill>
            <w14:solidFill>
              <w14:schemeClr w14:val="tx1"/>
            </w14:solidFill>
          </w14:textFill>
        </w:rPr>
        <w:t>.4、投标保证金的退还：</w:t>
      </w:r>
    </w:p>
    <w:p w14:paraId="36C9C5BC">
      <w:pPr>
        <w:tabs>
          <w:tab w:val="left" w:pos="7665"/>
        </w:tabs>
        <w:spacing w:line="360" w:lineRule="auto"/>
        <w:ind w:left="13" w:leftChars="6" w:firstLine="420" w:firstLineChars="200"/>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4.6</w:t>
      </w:r>
      <w:r>
        <w:rPr>
          <w:rFonts w:hint="eastAsia" w:ascii="仿宋" w:hAnsi="仿宋" w:eastAsia="仿宋" w:cs="仿宋"/>
          <w:color w:val="000000" w:themeColor="text1"/>
          <w:sz w:val="21"/>
          <w:szCs w:val="21"/>
          <w:lang w:eastAsia="zh-CN"/>
          <w14:textFill>
            <w14:solidFill>
              <w14:schemeClr w14:val="tx1"/>
            </w14:solidFill>
          </w14:textFill>
        </w:rPr>
        <w:t>.4.1、未</w:t>
      </w:r>
      <w:r>
        <w:rPr>
          <w:rFonts w:hint="eastAsia" w:ascii="仿宋" w:hAnsi="仿宋" w:eastAsia="仿宋" w:cs="仿宋"/>
          <w:color w:val="000000" w:themeColor="text1"/>
          <w:sz w:val="21"/>
          <w:szCs w:val="21"/>
          <w:lang w:val="en-US" w:eastAsia="zh-CN"/>
          <w14:textFill>
            <w14:solidFill>
              <w14:schemeClr w14:val="tx1"/>
            </w14:solidFill>
          </w14:textFill>
        </w:rPr>
        <w:t>中标</w:t>
      </w:r>
      <w:r>
        <w:rPr>
          <w:rFonts w:hint="eastAsia" w:ascii="仿宋" w:hAnsi="仿宋" w:eastAsia="仿宋" w:cs="仿宋"/>
          <w:color w:val="000000" w:themeColor="text1"/>
          <w:sz w:val="21"/>
          <w:szCs w:val="21"/>
          <w:lang w:eastAsia="zh-CN"/>
          <w14:textFill>
            <w14:solidFill>
              <w14:schemeClr w14:val="tx1"/>
            </w14:solidFill>
          </w14:textFill>
        </w:rPr>
        <w:t>人的投标保证金，将在</w:t>
      </w:r>
      <w:r>
        <w:rPr>
          <w:rFonts w:hint="eastAsia" w:ascii="仿宋" w:hAnsi="仿宋" w:eastAsia="仿宋" w:cs="仿宋"/>
          <w:color w:val="000000" w:themeColor="text1"/>
          <w:sz w:val="21"/>
          <w:szCs w:val="21"/>
          <w:lang w:val="en-US" w:eastAsia="zh-CN"/>
          <w14:textFill>
            <w14:solidFill>
              <w14:schemeClr w14:val="tx1"/>
            </w14:solidFill>
          </w14:textFill>
        </w:rPr>
        <w:t>中标</w:t>
      </w:r>
      <w:r>
        <w:rPr>
          <w:rFonts w:hint="eastAsia" w:ascii="仿宋" w:hAnsi="仿宋" w:eastAsia="仿宋" w:cs="仿宋"/>
          <w:color w:val="000000" w:themeColor="text1"/>
          <w:sz w:val="21"/>
          <w:szCs w:val="21"/>
          <w:lang w:eastAsia="zh-CN"/>
          <w14:textFill>
            <w14:solidFill>
              <w14:schemeClr w14:val="tx1"/>
            </w14:solidFill>
          </w14:textFill>
        </w:rPr>
        <w:t>通知书发出之日起5个工作日内不计利息全额退还。</w:t>
      </w:r>
      <w:r>
        <w:rPr>
          <w:rFonts w:hint="eastAsia" w:ascii="仿宋" w:hAnsi="仿宋" w:eastAsia="仿宋" w:cs="仿宋"/>
          <w:color w:val="000000" w:themeColor="text1"/>
          <w:sz w:val="21"/>
          <w:szCs w:val="21"/>
          <w:lang w:val="en-US" w:eastAsia="zh-CN"/>
          <w14:textFill>
            <w14:solidFill>
              <w14:schemeClr w14:val="tx1"/>
            </w14:solidFill>
          </w14:textFill>
        </w:rPr>
        <w:t>中标人</w:t>
      </w:r>
      <w:r>
        <w:rPr>
          <w:rFonts w:hint="eastAsia" w:ascii="仿宋" w:hAnsi="仿宋" w:eastAsia="仿宋" w:cs="仿宋"/>
          <w:color w:val="000000" w:themeColor="text1"/>
          <w:sz w:val="21"/>
          <w:szCs w:val="21"/>
          <w:lang w:eastAsia="zh-CN"/>
          <w14:textFill>
            <w14:solidFill>
              <w14:schemeClr w14:val="tx1"/>
            </w14:solidFill>
          </w14:textFill>
        </w:rPr>
        <w:t>的投标保证金，将在采购合同签订生效后5个工作日内不计利息全额退还。未及时办理退还者，由投标人自行负责。</w:t>
      </w:r>
    </w:p>
    <w:p w14:paraId="09F9A070">
      <w:pPr>
        <w:tabs>
          <w:tab w:val="left" w:pos="7665"/>
        </w:tabs>
        <w:spacing w:line="360" w:lineRule="auto"/>
        <w:ind w:left="13" w:leftChars="6" w:firstLine="420" w:firstLineChars="200"/>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4.6</w:t>
      </w:r>
      <w:r>
        <w:rPr>
          <w:rFonts w:hint="eastAsia" w:ascii="仿宋" w:hAnsi="仿宋" w:eastAsia="仿宋" w:cs="仿宋"/>
          <w:color w:val="000000" w:themeColor="text1"/>
          <w:sz w:val="21"/>
          <w:szCs w:val="21"/>
          <w:lang w:eastAsia="zh-CN"/>
          <w14:textFill>
            <w14:solidFill>
              <w14:schemeClr w14:val="tx1"/>
            </w14:solidFill>
          </w14:textFill>
        </w:rPr>
        <w:t>.4.2、下列任何情况发生时，采购代理机构将不予退还投标人缴纳的投标保证金：</w:t>
      </w:r>
    </w:p>
    <w:p w14:paraId="2C2329C9">
      <w:pPr>
        <w:tabs>
          <w:tab w:val="left" w:pos="7665"/>
        </w:tabs>
        <w:spacing w:line="360" w:lineRule="auto"/>
        <w:ind w:left="13" w:leftChars="6" w:firstLine="420" w:firstLineChars="200"/>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4.6</w:t>
      </w:r>
      <w:r>
        <w:rPr>
          <w:rFonts w:hint="eastAsia" w:ascii="仿宋" w:hAnsi="仿宋" w:eastAsia="仿宋" w:cs="仿宋"/>
          <w:color w:val="000000" w:themeColor="text1"/>
          <w:sz w:val="21"/>
          <w:szCs w:val="21"/>
          <w:lang w:eastAsia="zh-CN"/>
          <w14:textFill>
            <w14:solidFill>
              <w14:schemeClr w14:val="tx1"/>
            </w14:solidFill>
          </w14:textFill>
        </w:rPr>
        <w:t>.4.2.1、投标人在</w:t>
      </w:r>
      <w:r>
        <w:rPr>
          <w:rFonts w:hint="eastAsia" w:ascii="仿宋" w:hAnsi="仿宋" w:eastAsia="仿宋" w:cs="仿宋"/>
          <w:color w:val="000000" w:themeColor="text1"/>
          <w:sz w:val="21"/>
          <w:szCs w:val="21"/>
          <w:lang w:val="en-US" w:eastAsia="zh-CN"/>
          <w14:textFill>
            <w14:solidFill>
              <w14:schemeClr w14:val="tx1"/>
            </w14:solidFill>
          </w14:textFill>
        </w:rPr>
        <w:t>招标</w:t>
      </w:r>
      <w:r>
        <w:rPr>
          <w:rFonts w:hint="eastAsia" w:ascii="仿宋" w:hAnsi="仿宋" w:eastAsia="仿宋" w:cs="仿宋"/>
          <w:color w:val="000000" w:themeColor="text1"/>
          <w:sz w:val="21"/>
          <w:szCs w:val="21"/>
          <w:lang w:eastAsia="zh-CN"/>
          <w14:textFill>
            <w14:solidFill>
              <w14:schemeClr w14:val="tx1"/>
            </w14:solidFill>
          </w14:textFill>
        </w:rPr>
        <w:t>文件规定的</w:t>
      </w:r>
      <w:r>
        <w:rPr>
          <w:rFonts w:hint="eastAsia" w:ascii="仿宋" w:hAnsi="仿宋" w:eastAsia="仿宋" w:cs="仿宋"/>
          <w:color w:val="000000" w:themeColor="text1"/>
          <w:sz w:val="21"/>
          <w:szCs w:val="21"/>
          <w:lang w:val="en-US" w:eastAsia="zh-CN"/>
          <w14:textFill>
            <w14:solidFill>
              <w14:schemeClr w14:val="tx1"/>
            </w14:solidFill>
          </w14:textFill>
        </w:rPr>
        <w:t>投标</w:t>
      </w:r>
      <w:r>
        <w:rPr>
          <w:rFonts w:hint="eastAsia" w:ascii="仿宋" w:hAnsi="仿宋" w:eastAsia="仿宋" w:cs="仿宋"/>
          <w:color w:val="000000" w:themeColor="text1"/>
          <w:sz w:val="21"/>
          <w:szCs w:val="21"/>
          <w:lang w:eastAsia="zh-CN"/>
          <w14:textFill>
            <w14:solidFill>
              <w14:schemeClr w14:val="tx1"/>
            </w14:solidFill>
          </w14:textFill>
        </w:rPr>
        <w:t>有效期内撤回</w:t>
      </w:r>
      <w:r>
        <w:rPr>
          <w:rFonts w:hint="eastAsia" w:ascii="仿宋" w:hAnsi="仿宋" w:eastAsia="仿宋" w:cs="仿宋"/>
          <w:color w:val="000000" w:themeColor="text1"/>
          <w:sz w:val="21"/>
          <w:szCs w:val="21"/>
          <w:lang w:val="en-US" w:eastAsia="zh-CN"/>
          <w14:textFill>
            <w14:solidFill>
              <w14:schemeClr w14:val="tx1"/>
            </w14:solidFill>
          </w14:textFill>
        </w:rPr>
        <w:t>投标</w:t>
      </w:r>
      <w:r>
        <w:rPr>
          <w:rFonts w:hint="eastAsia" w:ascii="仿宋" w:hAnsi="仿宋" w:eastAsia="仿宋" w:cs="仿宋"/>
          <w:color w:val="000000" w:themeColor="text1"/>
          <w:sz w:val="21"/>
          <w:szCs w:val="21"/>
          <w:lang w:eastAsia="zh-CN"/>
          <w14:textFill>
            <w14:solidFill>
              <w14:schemeClr w14:val="tx1"/>
            </w14:solidFill>
          </w14:textFill>
        </w:rPr>
        <w:t>文件的；</w:t>
      </w:r>
    </w:p>
    <w:p w14:paraId="7C1B2521">
      <w:pPr>
        <w:tabs>
          <w:tab w:val="left" w:pos="7665"/>
        </w:tabs>
        <w:spacing w:line="360" w:lineRule="auto"/>
        <w:ind w:left="13" w:leftChars="6" w:firstLine="420" w:firstLineChars="200"/>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4.6</w:t>
      </w:r>
      <w:r>
        <w:rPr>
          <w:rFonts w:hint="eastAsia" w:ascii="仿宋" w:hAnsi="仿宋" w:eastAsia="仿宋" w:cs="仿宋"/>
          <w:color w:val="000000" w:themeColor="text1"/>
          <w:sz w:val="21"/>
          <w:szCs w:val="21"/>
          <w:lang w:eastAsia="zh-CN"/>
          <w14:textFill>
            <w14:solidFill>
              <w14:schemeClr w14:val="tx1"/>
            </w14:solidFill>
          </w14:textFill>
        </w:rPr>
        <w:t>.4.2.2、由于</w:t>
      </w:r>
      <w:r>
        <w:rPr>
          <w:rFonts w:hint="eastAsia" w:ascii="仿宋" w:hAnsi="仿宋" w:eastAsia="仿宋" w:cs="仿宋"/>
          <w:color w:val="000000" w:themeColor="text1"/>
          <w:sz w:val="21"/>
          <w:szCs w:val="21"/>
          <w:lang w:val="en-US" w:eastAsia="zh-CN"/>
          <w14:textFill>
            <w14:solidFill>
              <w14:schemeClr w14:val="tx1"/>
            </w14:solidFill>
          </w14:textFill>
        </w:rPr>
        <w:t>中标人</w:t>
      </w:r>
      <w:r>
        <w:rPr>
          <w:rFonts w:hint="eastAsia" w:ascii="仿宋" w:hAnsi="仿宋" w:eastAsia="仿宋" w:cs="仿宋"/>
          <w:color w:val="000000" w:themeColor="text1"/>
          <w:sz w:val="21"/>
          <w:szCs w:val="21"/>
          <w:lang w:eastAsia="zh-CN"/>
          <w14:textFill>
            <w14:solidFill>
              <w14:schemeClr w14:val="tx1"/>
            </w14:solidFill>
          </w14:textFill>
        </w:rPr>
        <w:t>的原因未能按照</w:t>
      </w:r>
      <w:r>
        <w:rPr>
          <w:rFonts w:hint="eastAsia" w:ascii="仿宋" w:hAnsi="仿宋" w:eastAsia="仿宋" w:cs="仿宋"/>
          <w:color w:val="000000" w:themeColor="text1"/>
          <w:sz w:val="21"/>
          <w:szCs w:val="21"/>
          <w:lang w:val="en-US" w:eastAsia="zh-CN"/>
          <w14:textFill>
            <w14:solidFill>
              <w14:schemeClr w14:val="tx1"/>
            </w14:solidFill>
          </w14:textFill>
        </w:rPr>
        <w:t>招标</w:t>
      </w:r>
      <w:r>
        <w:rPr>
          <w:rFonts w:hint="eastAsia" w:ascii="仿宋" w:hAnsi="仿宋" w:eastAsia="仿宋" w:cs="仿宋"/>
          <w:color w:val="000000" w:themeColor="text1"/>
          <w:sz w:val="21"/>
          <w:szCs w:val="21"/>
          <w:lang w:eastAsia="zh-CN"/>
          <w14:textFill>
            <w14:solidFill>
              <w14:schemeClr w14:val="tx1"/>
            </w14:solidFill>
          </w14:textFill>
        </w:rPr>
        <w:t>文件的规定与采购人签订合同的；</w:t>
      </w:r>
    </w:p>
    <w:p w14:paraId="05F9FC17">
      <w:pPr>
        <w:tabs>
          <w:tab w:val="left" w:pos="7665"/>
        </w:tabs>
        <w:spacing w:line="360" w:lineRule="auto"/>
        <w:ind w:left="13" w:leftChars="6" w:firstLine="420" w:firstLineChars="200"/>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4.6</w:t>
      </w:r>
      <w:r>
        <w:rPr>
          <w:rFonts w:hint="eastAsia" w:ascii="仿宋" w:hAnsi="仿宋" w:eastAsia="仿宋" w:cs="仿宋"/>
          <w:color w:val="000000" w:themeColor="text1"/>
          <w:sz w:val="21"/>
          <w:szCs w:val="21"/>
          <w:lang w:eastAsia="zh-CN"/>
          <w14:textFill>
            <w14:solidFill>
              <w14:schemeClr w14:val="tx1"/>
            </w14:solidFill>
          </w14:textFill>
        </w:rPr>
        <w:t>.4.2.3、由于</w:t>
      </w:r>
      <w:r>
        <w:rPr>
          <w:rFonts w:hint="eastAsia" w:ascii="仿宋" w:hAnsi="仿宋" w:eastAsia="仿宋" w:cs="仿宋"/>
          <w:color w:val="000000" w:themeColor="text1"/>
          <w:sz w:val="21"/>
          <w:szCs w:val="21"/>
          <w:lang w:val="en-US" w:eastAsia="zh-CN"/>
          <w14:textFill>
            <w14:solidFill>
              <w14:schemeClr w14:val="tx1"/>
            </w14:solidFill>
          </w14:textFill>
        </w:rPr>
        <w:t>中标人</w:t>
      </w:r>
      <w:r>
        <w:rPr>
          <w:rFonts w:hint="eastAsia" w:ascii="仿宋" w:hAnsi="仿宋" w:eastAsia="仿宋" w:cs="仿宋"/>
          <w:color w:val="000000" w:themeColor="text1"/>
          <w:sz w:val="21"/>
          <w:szCs w:val="21"/>
          <w:lang w:eastAsia="zh-CN"/>
          <w14:textFill>
            <w14:solidFill>
              <w14:schemeClr w14:val="tx1"/>
            </w14:solidFill>
          </w14:textFill>
        </w:rPr>
        <w:t>的原因未能在规定时间内领取《</w:t>
      </w:r>
      <w:r>
        <w:rPr>
          <w:rFonts w:hint="eastAsia" w:ascii="仿宋" w:hAnsi="仿宋" w:eastAsia="仿宋" w:cs="仿宋"/>
          <w:color w:val="000000" w:themeColor="text1"/>
          <w:sz w:val="21"/>
          <w:szCs w:val="21"/>
          <w:lang w:val="en-US" w:eastAsia="zh-CN"/>
          <w14:textFill>
            <w14:solidFill>
              <w14:schemeClr w14:val="tx1"/>
            </w14:solidFill>
          </w14:textFill>
        </w:rPr>
        <w:t>中标</w:t>
      </w:r>
      <w:r>
        <w:rPr>
          <w:rFonts w:hint="eastAsia" w:ascii="仿宋" w:hAnsi="仿宋" w:eastAsia="仿宋" w:cs="仿宋"/>
          <w:color w:val="000000" w:themeColor="text1"/>
          <w:sz w:val="21"/>
          <w:szCs w:val="21"/>
          <w:lang w:eastAsia="zh-CN"/>
          <w14:textFill>
            <w14:solidFill>
              <w14:schemeClr w14:val="tx1"/>
            </w14:solidFill>
          </w14:textFill>
        </w:rPr>
        <w:t>通知书》的；</w:t>
      </w:r>
    </w:p>
    <w:p w14:paraId="0F543604">
      <w:pPr>
        <w:tabs>
          <w:tab w:val="left" w:pos="7665"/>
        </w:tabs>
        <w:spacing w:line="360" w:lineRule="auto"/>
        <w:ind w:left="13" w:leftChars="6" w:firstLine="420" w:firstLineChars="200"/>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4.6</w:t>
      </w:r>
      <w:r>
        <w:rPr>
          <w:rFonts w:hint="eastAsia" w:ascii="仿宋" w:hAnsi="仿宋" w:eastAsia="仿宋" w:cs="仿宋"/>
          <w:color w:val="000000" w:themeColor="text1"/>
          <w:sz w:val="21"/>
          <w:szCs w:val="21"/>
          <w:lang w:eastAsia="zh-CN"/>
          <w14:textFill>
            <w14:solidFill>
              <w14:schemeClr w14:val="tx1"/>
            </w14:solidFill>
          </w14:textFill>
        </w:rPr>
        <w:t>.4.2.4、由于</w:t>
      </w:r>
      <w:r>
        <w:rPr>
          <w:rFonts w:hint="eastAsia" w:ascii="仿宋" w:hAnsi="仿宋" w:eastAsia="仿宋" w:cs="仿宋"/>
          <w:color w:val="000000" w:themeColor="text1"/>
          <w:sz w:val="21"/>
          <w:szCs w:val="21"/>
          <w:lang w:val="en-US" w:eastAsia="zh-CN"/>
          <w14:textFill>
            <w14:solidFill>
              <w14:schemeClr w14:val="tx1"/>
            </w14:solidFill>
          </w14:textFill>
        </w:rPr>
        <w:t>中标人</w:t>
      </w:r>
      <w:r>
        <w:rPr>
          <w:rFonts w:hint="eastAsia" w:ascii="仿宋" w:hAnsi="仿宋" w:eastAsia="仿宋" w:cs="仿宋"/>
          <w:color w:val="000000" w:themeColor="text1"/>
          <w:sz w:val="21"/>
          <w:szCs w:val="21"/>
          <w:lang w:eastAsia="zh-CN"/>
          <w14:textFill>
            <w14:solidFill>
              <w14:schemeClr w14:val="tx1"/>
            </w14:solidFill>
          </w14:textFill>
        </w:rPr>
        <w:t>的原因未能按</w:t>
      </w:r>
      <w:r>
        <w:rPr>
          <w:rFonts w:hint="eastAsia" w:ascii="仿宋" w:hAnsi="仿宋" w:eastAsia="仿宋" w:cs="仿宋"/>
          <w:color w:val="000000" w:themeColor="text1"/>
          <w:sz w:val="21"/>
          <w:szCs w:val="21"/>
          <w:lang w:val="en-US" w:eastAsia="zh-CN"/>
          <w14:textFill>
            <w14:solidFill>
              <w14:schemeClr w14:val="tx1"/>
            </w14:solidFill>
          </w14:textFill>
        </w:rPr>
        <w:t>招标</w:t>
      </w:r>
      <w:r>
        <w:rPr>
          <w:rFonts w:hint="eastAsia" w:ascii="仿宋" w:hAnsi="仿宋" w:eastAsia="仿宋" w:cs="仿宋"/>
          <w:color w:val="000000" w:themeColor="text1"/>
          <w:sz w:val="21"/>
          <w:szCs w:val="21"/>
          <w:lang w:eastAsia="zh-CN"/>
          <w14:textFill>
            <w14:solidFill>
              <w14:schemeClr w14:val="tx1"/>
            </w14:solidFill>
          </w14:textFill>
        </w:rPr>
        <w:t>文件规定支付采购代理服务费的；</w:t>
      </w:r>
    </w:p>
    <w:p w14:paraId="1336271F">
      <w:pPr>
        <w:tabs>
          <w:tab w:val="left" w:pos="7665"/>
        </w:tabs>
        <w:spacing w:line="360" w:lineRule="auto"/>
        <w:ind w:left="13" w:leftChars="6" w:firstLine="420" w:firstLineChars="200"/>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4.6</w:t>
      </w:r>
      <w:r>
        <w:rPr>
          <w:rFonts w:hint="eastAsia" w:ascii="仿宋" w:hAnsi="仿宋" w:eastAsia="仿宋" w:cs="仿宋"/>
          <w:color w:val="000000" w:themeColor="text1"/>
          <w:sz w:val="21"/>
          <w:szCs w:val="21"/>
          <w:lang w:eastAsia="zh-CN"/>
          <w14:textFill>
            <w14:solidFill>
              <w14:schemeClr w14:val="tx1"/>
            </w14:solidFill>
          </w14:textFill>
        </w:rPr>
        <w:t>.4.2.5、由于</w:t>
      </w:r>
      <w:r>
        <w:rPr>
          <w:rFonts w:hint="eastAsia" w:ascii="仿宋" w:hAnsi="仿宋" w:eastAsia="仿宋" w:cs="仿宋"/>
          <w:color w:val="000000" w:themeColor="text1"/>
          <w:sz w:val="21"/>
          <w:szCs w:val="21"/>
          <w:lang w:val="en-US" w:eastAsia="zh-CN"/>
          <w14:textFill>
            <w14:solidFill>
              <w14:schemeClr w14:val="tx1"/>
            </w14:solidFill>
          </w14:textFill>
        </w:rPr>
        <w:t>中标人</w:t>
      </w:r>
      <w:r>
        <w:rPr>
          <w:rFonts w:hint="eastAsia" w:ascii="仿宋" w:hAnsi="仿宋" w:eastAsia="仿宋" w:cs="仿宋"/>
          <w:color w:val="000000" w:themeColor="text1"/>
          <w:sz w:val="21"/>
          <w:szCs w:val="21"/>
          <w:lang w:eastAsia="zh-CN"/>
          <w14:textFill>
            <w14:solidFill>
              <w14:schemeClr w14:val="tx1"/>
            </w14:solidFill>
          </w14:textFill>
        </w:rPr>
        <w:t>的原因未能按</w:t>
      </w:r>
      <w:r>
        <w:rPr>
          <w:rFonts w:hint="eastAsia" w:ascii="仿宋" w:hAnsi="仿宋" w:eastAsia="仿宋" w:cs="仿宋"/>
          <w:color w:val="000000" w:themeColor="text1"/>
          <w:sz w:val="21"/>
          <w:szCs w:val="21"/>
          <w:lang w:val="en-US" w:eastAsia="zh-CN"/>
          <w14:textFill>
            <w14:solidFill>
              <w14:schemeClr w14:val="tx1"/>
            </w14:solidFill>
          </w14:textFill>
        </w:rPr>
        <w:t>招标</w:t>
      </w:r>
      <w:r>
        <w:rPr>
          <w:rFonts w:hint="eastAsia" w:ascii="仿宋" w:hAnsi="仿宋" w:eastAsia="仿宋" w:cs="仿宋"/>
          <w:color w:val="000000" w:themeColor="text1"/>
          <w:sz w:val="21"/>
          <w:szCs w:val="21"/>
          <w:lang w:eastAsia="zh-CN"/>
          <w14:textFill>
            <w14:solidFill>
              <w14:schemeClr w14:val="tx1"/>
            </w14:solidFill>
          </w14:textFill>
        </w:rPr>
        <w:t>文件规定缴纳履约保证金的；</w:t>
      </w:r>
    </w:p>
    <w:p w14:paraId="696330BE">
      <w:pPr>
        <w:tabs>
          <w:tab w:val="left" w:pos="7665"/>
        </w:tabs>
        <w:spacing w:line="360" w:lineRule="auto"/>
        <w:ind w:left="13" w:leftChars="6" w:firstLine="420" w:firstLineChars="200"/>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4.6</w:t>
      </w:r>
      <w:r>
        <w:rPr>
          <w:rFonts w:hint="eastAsia" w:ascii="仿宋" w:hAnsi="仿宋" w:eastAsia="仿宋" w:cs="仿宋"/>
          <w:color w:val="000000" w:themeColor="text1"/>
          <w:sz w:val="21"/>
          <w:szCs w:val="21"/>
          <w:lang w:eastAsia="zh-CN"/>
          <w14:textFill>
            <w14:solidFill>
              <w14:schemeClr w14:val="tx1"/>
            </w14:solidFill>
          </w14:textFill>
        </w:rPr>
        <w:t>.4.2.6、</w:t>
      </w:r>
      <w:r>
        <w:rPr>
          <w:rFonts w:hint="eastAsia" w:ascii="仿宋" w:hAnsi="仿宋" w:eastAsia="仿宋" w:cs="仿宋"/>
          <w:color w:val="000000" w:themeColor="text1"/>
          <w:sz w:val="21"/>
          <w:szCs w:val="21"/>
          <w:lang w:val="en-US" w:eastAsia="zh-CN"/>
          <w14:textFill>
            <w14:solidFill>
              <w14:schemeClr w14:val="tx1"/>
            </w14:solidFill>
          </w14:textFill>
        </w:rPr>
        <w:t>中标人</w:t>
      </w:r>
      <w:r>
        <w:rPr>
          <w:rFonts w:hint="eastAsia" w:ascii="仿宋" w:hAnsi="仿宋" w:eastAsia="仿宋" w:cs="仿宋"/>
          <w:color w:val="000000" w:themeColor="text1"/>
          <w:sz w:val="21"/>
          <w:szCs w:val="21"/>
          <w:lang w:eastAsia="zh-CN"/>
          <w14:textFill>
            <w14:solidFill>
              <w14:schemeClr w14:val="tx1"/>
            </w14:solidFill>
          </w14:textFill>
        </w:rPr>
        <w:t>违反</w:t>
      </w:r>
      <w:r>
        <w:rPr>
          <w:rFonts w:hint="eastAsia" w:ascii="仿宋" w:hAnsi="仿宋" w:eastAsia="仿宋" w:cs="仿宋"/>
          <w:color w:val="000000" w:themeColor="text1"/>
          <w:sz w:val="21"/>
          <w:szCs w:val="21"/>
          <w:lang w:val="en-US" w:eastAsia="zh-CN"/>
          <w14:textFill>
            <w14:solidFill>
              <w14:schemeClr w14:val="tx1"/>
            </w14:solidFill>
          </w14:textFill>
        </w:rPr>
        <w:t>招标</w:t>
      </w:r>
      <w:r>
        <w:rPr>
          <w:rFonts w:hint="eastAsia" w:ascii="仿宋" w:hAnsi="仿宋" w:eastAsia="仿宋" w:cs="仿宋"/>
          <w:color w:val="000000" w:themeColor="text1"/>
          <w:sz w:val="21"/>
          <w:szCs w:val="21"/>
          <w:lang w:eastAsia="zh-CN"/>
          <w14:textFill>
            <w14:solidFill>
              <w14:schemeClr w14:val="tx1"/>
            </w14:solidFill>
          </w14:textFill>
        </w:rPr>
        <w:t>文件中承诺函相关内容和条款的；</w:t>
      </w:r>
    </w:p>
    <w:p w14:paraId="4AC8BC73">
      <w:pPr>
        <w:tabs>
          <w:tab w:val="left" w:pos="7665"/>
        </w:tabs>
        <w:spacing w:line="360" w:lineRule="auto"/>
        <w:ind w:left="13" w:leftChars="6" w:firstLine="420" w:firstLineChars="200"/>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4.6</w:t>
      </w:r>
      <w:r>
        <w:rPr>
          <w:rFonts w:hint="eastAsia" w:ascii="仿宋" w:hAnsi="仿宋" w:eastAsia="仿宋" w:cs="仿宋"/>
          <w:color w:val="000000" w:themeColor="text1"/>
          <w:sz w:val="21"/>
          <w:szCs w:val="21"/>
          <w:lang w:eastAsia="zh-CN"/>
          <w14:textFill>
            <w14:solidFill>
              <w14:schemeClr w14:val="tx1"/>
            </w14:solidFill>
          </w14:textFill>
        </w:rPr>
        <w:t>.4.2.7、</w:t>
      </w:r>
      <w:r>
        <w:rPr>
          <w:rFonts w:hint="eastAsia" w:ascii="仿宋" w:hAnsi="仿宋" w:eastAsia="仿宋" w:cs="仿宋"/>
          <w:color w:val="000000" w:themeColor="text1"/>
          <w:sz w:val="21"/>
          <w:szCs w:val="21"/>
          <w:lang w:val="en-US" w:eastAsia="zh-CN"/>
          <w14:textFill>
            <w14:solidFill>
              <w14:schemeClr w14:val="tx1"/>
            </w14:solidFill>
          </w14:textFill>
        </w:rPr>
        <w:t>投标</w:t>
      </w:r>
      <w:r>
        <w:rPr>
          <w:rFonts w:hint="eastAsia" w:ascii="仿宋" w:hAnsi="仿宋" w:eastAsia="仿宋" w:cs="仿宋"/>
          <w:color w:val="000000" w:themeColor="text1"/>
          <w:sz w:val="21"/>
          <w:szCs w:val="21"/>
          <w:lang w:eastAsia="zh-CN"/>
          <w14:textFill>
            <w14:solidFill>
              <w14:schemeClr w14:val="tx1"/>
            </w14:solidFill>
          </w14:textFill>
        </w:rPr>
        <w:t>有效期内，投标人在政府采购活动中有违规、违纪和违法行为的；</w:t>
      </w:r>
    </w:p>
    <w:p w14:paraId="0870AB5C">
      <w:pPr>
        <w:tabs>
          <w:tab w:val="left" w:pos="7665"/>
        </w:tabs>
        <w:spacing w:line="360" w:lineRule="auto"/>
        <w:ind w:left="13" w:leftChars="6" w:firstLine="420" w:firstLineChars="200"/>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4.6</w:t>
      </w:r>
      <w:r>
        <w:rPr>
          <w:rFonts w:hint="eastAsia" w:ascii="仿宋" w:hAnsi="仿宋" w:eastAsia="仿宋" w:cs="仿宋"/>
          <w:color w:val="000000" w:themeColor="text1"/>
          <w:sz w:val="21"/>
          <w:szCs w:val="21"/>
          <w:lang w:eastAsia="zh-CN"/>
          <w14:textFill>
            <w14:solidFill>
              <w14:schemeClr w14:val="tx1"/>
            </w14:solidFill>
          </w14:textFill>
        </w:rPr>
        <w:t>.4.2.8、法律法规规定的其他情况。</w:t>
      </w:r>
    </w:p>
    <w:p w14:paraId="0A97C164">
      <w:pPr>
        <w:tabs>
          <w:tab w:val="left" w:pos="7665"/>
        </w:tabs>
        <w:spacing w:line="360" w:lineRule="auto"/>
        <w:ind w:left="13" w:leftChars="6" w:firstLine="420" w:firstLineChars="200"/>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4.6</w:t>
      </w:r>
      <w:r>
        <w:rPr>
          <w:rFonts w:hint="eastAsia" w:ascii="仿宋" w:hAnsi="仿宋" w:eastAsia="仿宋" w:cs="仿宋"/>
          <w:color w:val="000000" w:themeColor="text1"/>
          <w:sz w:val="21"/>
          <w:szCs w:val="21"/>
          <w:lang w:eastAsia="zh-CN"/>
          <w14:textFill>
            <w14:solidFill>
              <w14:schemeClr w14:val="tx1"/>
            </w14:solidFill>
          </w14:textFill>
        </w:rPr>
        <w:t>.4.3、投标保证金退还方式：代理机构通过银行转账将投标保证金退还至投标人基本账户。</w:t>
      </w:r>
    </w:p>
    <w:p w14:paraId="4AAD868D">
      <w:pPr>
        <w:tabs>
          <w:tab w:val="left" w:pos="7665"/>
        </w:tabs>
        <w:spacing w:line="360" w:lineRule="auto"/>
        <w:ind w:left="13" w:leftChars="6" w:firstLine="420" w:firstLineChars="200"/>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4.6</w:t>
      </w:r>
      <w:r>
        <w:rPr>
          <w:rFonts w:hint="eastAsia" w:ascii="仿宋" w:hAnsi="仿宋" w:eastAsia="仿宋" w:cs="仿宋"/>
          <w:color w:val="000000" w:themeColor="text1"/>
          <w:sz w:val="21"/>
          <w:szCs w:val="21"/>
          <w:lang w:eastAsia="zh-CN"/>
          <w14:textFill>
            <w14:solidFill>
              <w14:schemeClr w14:val="tx1"/>
            </w14:solidFill>
          </w14:textFill>
        </w:rPr>
        <w:t>.4.4、投标保证金退还程序：</w:t>
      </w:r>
    </w:p>
    <w:p w14:paraId="71B305CA">
      <w:pPr>
        <w:tabs>
          <w:tab w:val="left" w:pos="7665"/>
        </w:tabs>
        <w:spacing w:line="360" w:lineRule="auto"/>
        <w:ind w:left="13" w:leftChars="6" w:firstLine="420" w:firstLineChars="200"/>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退还投标保证金手续。未</w:t>
      </w:r>
      <w:r>
        <w:rPr>
          <w:rFonts w:hint="eastAsia" w:ascii="仿宋" w:hAnsi="仿宋" w:eastAsia="仿宋" w:cs="仿宋"/>
          <w:color w:val="000000" w:themeColor="text1"/>
          <w:sz w:val="21"/>
          <w:szCs w:val="21"/>
          <w:lang w:val="en-US" w:eastAsia="zh-CN"/>
          <w14:textFill>
            <w14:solidFill>
              <w14:schemeClr w14:val="tx1"/>
            </w14:solidFill>
          </w14:textFill>
        </w:rPr>
        <w:t>中标</w:t>
      </w:r>
      <w:r>
        <w:rPr>
          <w:rFonts w:hint="eastAsia" w:ascii="仿宋" w:hAnsi="仿宋" w:eastAsia="仿宋" w:cs="仿宋"/>
          <w:color w:val="000000" w:themeColor="text1"/>
          <w:sz w:val="21"/>
          <w:szCs w:val="21"/>
          <w:lang w:eastAsia="zh-CN"/>
          <w14:textFill>
            <w14:solidFill>
              <w14:schemeClr w14:val="tx1"/>
            </w14:solidFill>
          </w14:textFill>
        </w:rPr>
        <w:t>人凭投标保证金基本账户信息复印件、收款收据原件办理；</w:t>
      </w:r>
      <w:r>
        <w:rPr>
          <w:rFonts w:hint="eastAsia" w:ascii="仿宋" w:hAnsi="仿宋" w:eastAsia="仿宋" w:cs="仿宋"/>
          <w:color w:val="000000" w:themeColor="text1"/>
          <w:sz w:val="21"/>
          <w:szCs w:val="21"/>
          <w:lang w:val="en-US" w:eastAsia="zh-CN"/>
          <w14:textFill>
            <w14:solidFill>
              <w14:schemeClr w14:val="tx1"/>
            </w14:solidFill>
          </w14:textFill>
        </w:rPr>
        <w:t>中标人</w:t>
      </w:r>
      <w:r>
        <w:rPr>
          <w:rFonts w:hint="eastAsia" w:ascii="仿宋" w:hAnsi="仿宋" w:eastAsia="仿宋" w:cs="仿宋"/>
          <w:color w:val="000000" w:themeColor="text1"/>
          <w:sz w:val="21"/>
          <w:szCs w:val="21"/>
          <w:lang w:eastAsia="zh-CN"/>
          <w14:textFill>
            <w14:solidFill>
              <w14:schemeClr w14:val="tx1"/>
            </w14:solidFill>
          </w14:textFill>
        </w:rPr>
        <w:t>须持投标保证金基本账户信息复印件、收款收据原件、采购合同</w:t>
      </w:r>
      <w:r>
        <w:rPr>
          <w:rFonts w:hint="eastAsia" w:ascii="仿宋" w:hAnsi="仿宋" w:eastAsia="仿宋" w:cs="仿宋"/>
          <w:color w:val="000000" w:themeColor="text1"/>
          <w:sz w:val="21"/>
          <w:szCs w:val="21"/>
          <w:lang w:val="en-US" w:eastAsia="zh-CN"/>
          <w14:textFill>
            <w14:solidFill>
              <w14:schemeClr w14:val="tx1"/>
            </w14:solidFill>
          </w14:textFill>
        </w:rPr>
        <w:t>原件或复印件</w:t>
      </w:r>
      <w:r>
        <w:rPr>
          <w:rFonts w:hint="eastAsia" w:ascii="仿宋" w:hAnsi="仿宋" w:eastAsia="仿宋" w:cs="仿宋"/>
          <w:color w:val="000000" w:themeColor="text1"/>
          <w:sz w:val="21"/>
          <w:szCs w:val="21"/>
          <w:lang w:eastAsia="zh-CN"/>
          <w14:textFill>
            <w14:solidFill>
              <w14:schemeClr w14:val="tx1"/>
            </w14:solidFill>
          </w14:textFill>
        </w:rPr>
        <w:t>办理。</w:t>
      </w:r>
    </w:p>
    <w:p w14:paraId="270B7CBA">
      <w:pPr>
        <w:tabs>
          <w:tab w:val="left" w:pos="7665"/>
        </w:tabs>
        <w:spacing w:line="360" w:lineRule="auto"/>
        <w:ind w:left="13" w:leftChars="6" w:firstLine="420" w:firstLineChars="200"/>
        <w:rPr>
          <w:rFonts w:hint="eastAsia" w:ascii="仿宋" w:hAnsi="仿宋" w:eastAsia="仿宋" w:cs="仿宋"/>
          <w:b/>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4.6</w:t>
      </w:r>
      <w:r>
        <w:rPr>
          <w:rFonts w:hint="eastAsia" w:ascii="仿宋" w:hAnsi="仿宋" w:eastAsia="仿宋" w:cs="仿宋"/>
          <w:color w:val="000000" w:themeColor="text1"/>
          <w:sz w:val="21"/>
          <w:szCs w:val="21"/>
          <w:lang w:eastAsia="zh-CN"/>
          <w14:textFill>
            <w14:solidFill>
              <w14:schemeClr w14:val="tx1"/>
            </w14:solidFill>
          </w14:textFill>
        </w:rPr>
        <w:t>.4.5、投标保证金收据丢失处理办法。投标人收款收据丢失的，须提供单位证明、加盖投标人公章及法定代表人印章的丢失情况说明，以及</w:t>
      </w:r>
      <w:r>
        <w:rPr>
          <w:rFonts w:hint="eastAsia" w:ascii="仿宋" w:hAnsi="仿宋" w:eastAsia="仿宋" w:cs="仿宋"/>
          <w:color w:val="000000" w:themeColor="text1"/>
          <w:sz w:val="21"/>
          <w:szCs w:val="21"/>
          <w:lang w:val="en-US" w:eastAsia="zh-CN"/>
          <w14:textFill>
            <w14:solidFill>
              <w14:schemeClr w14:val="tx1"/>
            </w14:solidFill>
          </w14:textFill>
        </w:rPr>
        <w:t>4.6</w:t>
      </w:r>
      <w:r>
        <w:rPr>
          <w:rFonts w:hint="eastAsia" w:ascii="仿宋" w:hAnsi="仿宋" w:eastAsia="仿宋" w:cs="仿宋"/>
          <w:color w:val="000000" w:themeColor="text1"/>
          <w:sz w:val="21"/>
          <w:szCs w:val="21"/>
          <w:lang w:eastAsia="zh-CN"/>
          <w14:textFill>
            <w14:solidFill>
              <w14:schemeClr w14:val="tx1"/>
            </w14:solidFill>
          </w14:textFill>
        </w:rPr>
        <w:t>.4.4条所需资料，代理机构将投标保证金退还至投标人基本账户。</w:t>
      </w:r>
    </w:p>
    <w:p w14:paraId="2C9A7AF4">
      <w:pPr>
        <w:pStyle w:val="3"/>
        <w:shd w:val="clear"/>
        <w:snapToGrid w:val="0"/>
        <w:jc w:val="both"/>
        <w:rPr>
          <w:rFonts w:hint="eastAsia" w:ascii="仿宋" w:hAnsi="仿宋" w:eastAsia="仿宋" w:cs="仿宋"/>
          <w:color w:val="000000" w:themeColor="text1"/>
          <w:sz w:val="24"/>
          <w:szCs w:val="24"/>
          <w:highlight w:val="none"/>
          <w14:textFill>
            <w14:solidFill>
              <w14:schemeClr w14:val="tx1"/>
            </w14:solidFill>
          </w14:textFill>
        </w:rPr>
      </w:pPr>
      <w:bookmarkStart w:id="223" w:name="_Toc25167"/>
      <w:r>
        <w:rPr>
          <w:rFonts w:hint="eastAsia" w:ascii="仿宋" w:hAnsi="仿宋" w:eastAsia="仿宋" w:cs="仿宋"/>
          <w:color w:val="000000" w:themeColor="text1"/>
          <w:sz w:val="24"/>
          <w:szCs w:val="24"/>
          <w:highlight w:val="none"/>
          <w14:textFill>
            <w14:solidFill>
              <w14:schemeClr w14:val="tx1"/>
            </w14:solidFill>
          </w14:textFill>
        </w:rPr>
        <w:t>五、投标文件的递交</w:t>
      </w:r>
      <w:bookmarkEnd w:id="67"/>
      <w:bookmarkEnd w:id="68"/>
      <w:bookmarkEnd w:id="223"/>
    </w:p>
    <w:p w14:paraId="330AC503">
      <w:pPr>
        <w:shd w:val="clear"/>
        <w:snapToGrid w:val="0"/>
        <w:spacing w:line="360" w:lineRule="auto"/>
        <w:ind w:firstLine="211" w:firstLineChars="1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5.1.投标文件的递交</w:t>
      </w:r>
    </w:p>
    <w:p w14:paraId="69A8DBAA">
      <w:pPr>
        <w:shd w:val="clear"/>
        <w:snapToGrid w:val="0"/>
        <w:spacing w:line="360" w:lineRule="auto"/>
        <w:ind w:firstLine="420" w:firstLineChars="2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5.1.1.投标人应当在招标文件要求提交投标文件的截止时间前，将投标文件密封送达投标地点。采购人或者采购代理机构收到投标文件后，如实记载投标文件的送达时间和密封情况，签收保存，向投标人出具签收回执。任何单位和个人不得在开标前开启投标文件。</w:t>
      </w:r>
    </w:p>
    <w:p w14:paraId="64F46F5B">
      <w:pPr>
        <w:shd w:val="clear"/>
        <w:snapToGrid w:val="0"/>
        <w:spacing w:line="360" w:lineRule="auto"/>
        <w:ind w:firstLine="420" w:firstLineChars="2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5.1.2.逾期送达或者未按照招标文件要求密封的投标文件，采购人、采购代理机构将拒收。</w:t>
      </w:r>
    </w:p>
    <w:p w14:paraId="13434BE9">
      <w:pPr>
        <w:shd w:val="clear"/>
        <w:snapToGrid w:val="0"/>
        <w:spacing w:line="360" w:lineRule="auto"/>
        <w:ind w:firstLine="211" w:firstLineChars="1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5.2.投标截止时间</w:t>
      </w:r>
    </w:p>
    <w:p w14:paraId="71469D90">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5.2.1.采购人推迟投标截止时间时，应以书面或传真的形式通知所有投标人。采购人和投标人的权利和义务将受到新的截止期的约束。</w:t>
      </w:r>
    </w:p>
    <w:p w14:paraId="75B9F7C1">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5.2.2.投标截止时间以后送达的投标文件，采购人及采购代理机构拒绝接收。</w:t>
      </w:r>
    </w:p>
    <w:p w14:paraId="3F41425B">
      <w:pPr>
        <w:shd w:val="clear"/>
        <w:snapToGrid w:val="0"/>
        <w:spacing w:line="360" w:lineRule="auto"/>
        <w:ind w:firstLine="211" w:firstLineChars="1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5.3.投标文件的修改和撤回</w:t>
      </w:r>
    </w:p>
    <w:p w14:paraId="02BD6F34">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5.3.1.投标以后，如果投标人提出书面修改，须在投标截止时间前密封送达</w:t>
      </w:r>
      <w:r>
        <w:rPr>
          <w:rFonts w:hint="eastAsia" w:ascii="仿宋" w:hAnsi="仿宋" w:eastAsia="仿宋" w:cs="仿宋"/>
          <w:color w:val="000000" w:themeColor="text1"/>
          <w:szCs w:val="21"/>
          <w:highlight w:val="none"/>
          <w:lang w:eastAsia="zh-CN"/>
          <w14:textFill>
            <w14:solidFill>
              <w14:schemeClr w14:val="tx1"/>
            </w14:solidFill>
          </w14:textFill>
        </w:rPr>
        <w:t>同正项目管理有限公司</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eastAsia="zh-CN"/>
          <w14:textFill>
            <w14:solidFill>
              <w14:schemeClr w14:val="tx1"/>
            </w14:solidFill>
          </w14:textFill>
        </w:rPr>
        <w:t>同正项目管理有限公司</w:t>
      </w:r>
      <w:r>
        <w:rPr>
          <w:rFonts w:hint="eastAsia" w:ascii="仿宋" w:hAnsi="仿宋" w:eastAsia="仿宋" w:cs="仿宋"/>
          <w:color w:val="000000" w:themeColor="text1"/>
          <w:szCs w:val="21"/>
          <w:highlight w:val="none"/>
          <w14:textFill>
            <w14:solidFill>
              <w14:schemeClr w14:val="tx1"/>
            </w14:solidFill>
          </w14:textFill>
        </w:rPr>
        <w:t>可以予以接受，但不退还原投标文件。</w:t>
      </w:r>
    </w:p>
    <w:p w14:paraId="13833DEF">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5.3.2.撤回投标应以书面或传真的形式在投标截止时间前送达</w:t>
      </w:r>
      <w:r>
        <w:rPr>
          <w:rFonts w:hint="eastAsia" w:ascii="仿宋" w:hAnsi="仿宋" w:eastAsia="仿宋" w:cs="仿宋"/>
          <w:color w:val="000000" w:themeColor="text1"/>
          <w:szCs w:val="21"/>
          <w:highlight w:val="none"/>
          <w:lang w:eastAsia="zh-CN"/>
          <w14:textFill>
            <w14:solidFill>
              <w14:schemeClr w14:val="tx1"/>
            </w14:solidFill>
          </w14:textFill>
        </w:rPr>
        <w:t>同正项目管理有限公司</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eastAsia="zh-CN"/>
          <w14:textFill>
            <w14:solidFill>
              <w14:schemeClr w14:val="tx1"/>
            </w14:solidFill>
          </w14:textFill>
        </w:rPr>
        <w:t>同正项目管理有限公司</w:t>
      </w:r>
      <w:r>
        <w:rPr>
          <w:rFonts w:hint="eastAsia" w:ascii="仿宋" w:hAnsi="仿宋" w:eastAsia="仿宋" w:cs="仿宋"/>
          <w:color w:val="000000" w:themeColor="text1"/>
          <w:szCs w:val="21"/>
          <w:highlight w:val="none"/>
          <w14:textFill>
            <w14:solidFill>
              <w14:schemeClr w14:val="tx1"/>
            </w14:solidFill>
          </w14:textFill>
        </w:rPr>
        <w:t>可以予以接受，但不退还原投标文件。</w:t>
      </w:r>
    </w:p>
    <w:p w14:paraId="34183F75">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5.3.3.如采取传真形式撤回投标，随后必须补充有法人代表或授权代表签署的要求撤回投标的正式文件。撤回投标的时间以送达</w:t>
      </w:r>
      <w:r>
        <w:rPr>
          <w:rFonts w:hint="eastAsia" w:ascii="仿宋" w:hAnsi="仿宋" w:eastAsia="仿宋" w:cs="仿宋"/>
          <w:color w:val="000000" w:themeColor="text1"/>
          <w:szCs w:val="21"/>
          <w:highlight w:val="none"/>
          <w:lang w:eastAsia="zh-CN"/>
          <w14:textFill>
            <w14:solidFill>
              <w14:schemeClr w14:val="tx1"/>
            </w14:solidFill>
          </w14:textFill>
        </w:rPr>
        <w:t>同正项目管理有限公司</w:t>
      </w:r>
      <w:r>
        <w:rPr>
          <w:rFonts w:hint="eastAsia" w:ascii="仿宋" w:hAnsi="仿宋" w:eastAsia="仿宋" w:cs="仿宋"/>
          <w:color w:val="000000" w:themeColor="text1"/>
          <w:szCs w:val="21"/>
          <w:highlight w:val="none"/>
          <w14:textFill>
            <w14:solidFill>
              <w14:schemeClr w14:val="tx1"/>
            </w14:solidFill>
          </w14:textFill>
        </w:rPr>
        <w:t>的时间为准。</w:t>
      </w:r>
      <w:bookmarkStart w:id="224" w:name="_Toc519941192"/>
      <w:bookmarkStart w:id="225" w:name="_Toc531189840"/>
    </w:p>
    <w:p w14:paraId="5CB097A2">
      <w:pPr>
        <w:pStyle w:val="3"/>
        <w:shd w:val="clear"/>
        <w:tabs>
          <w:tab w:val="left" w:pos="3930"/>
          <w:tab w:val="center" w:pos="4819"/>
        </w:tabs>
        <w:snapToGrid w:val="0"/>
        <w:jc w:val="both"/>
        <w:rPr>
          <w:rFonts w:hint="eastAsia" w:ascii="仿宋" w:hAnsi="仿宋" w:eastAsia="仿宋" w:cs="仿宋"/>
          <w:color w:val="000000" w:themeColor="text1"/>
          <w:sz w:val="24"/>
          <w:szCs w:val="24"/>
          <w:highlight w:val="none"/>
          <w14:textFill>
            <w14:solidFill>
              <w14:schemeClr w14:val="tx1"/>
            </w14:solidFill>
          </w14:textFill>
        </w:rPr>
      </w:pPr>
      <w:bookmarkStart w:id="226" w:name="_Toc27922"/>
      <w:bookmarkStart w:id="227" w:name="_Toc30677"/>
      <w:r>
        <w:rPr>
          <w:rFonts w:hint="eastAsia" w:ascii="仿宋" w:hAnsi="仿宋" w:eastAsia="仿宋" w:cs="仿宋"/>
          <w:color w:val="000000" w:themeColor="text1"/>
          <w:sz w:val="24"/>
          <w:szCs w:val="24"/>
          <w:highlight w:val="none"/>
          <w14:textFill>
            <w14:solidFill>
              <w14:schemeClr w14:val="tx1"/>
            </w14:solidFill>
          </w14:textFill>
        </w:rPr>
        <w:t>六、开标、资格审查及评标</w:t>
      </w:r>
      <w:bookmarkEnd w:id="224"/>
      <w:bookmarkEnd w:id="225"/>
      <w:bookmarkEnd w:id="226"/>
      <w:bookmarkEnd w:id="227"/>
    </w:p>
    <w:p w14:paraId="21E88013">
      <w:pPr>
        <w:shd w:val="clear"/>
        <w:snapToGrid w:val="0"/>
        <w:spacing w:line="360" w:lineRule="auto"/>
        <w:ind w:firstLine="211" w:firstLineChars="1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6.1.开标</w:t>
      </w:r>
    </w:p>
    <w:p w14:paraId="777364D3">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开标由采购代理机构主持。主持人按照招标文件规定的开标时间宣布开标，并按下列程序进行（但不限于）：</w:t>
      </w:r>
    </w:p>
    <w:p w14:paraId="6FA9D669">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（1）宣布</w:t>
      </w:r>
      <w:r>
        <w:rPr>
          <w:rFonts w:hint="eastAsia" w:ascii="仿宋" w:hAnsi="仿宋" w:eastAsia="仿宋" w:cs="仿宋"/>
          <w:color w:val="000000" w:themeColor="text1"/>
          <w:szCs w:val="21"/>
          <w:highlight w:val="none"/>
          <w:lang w:val="en-US" w:eastAsia="zh-CN"/>
          <w14:textFill>
            <w14:solidFill>
              <w14:schemeClr w14:val="tx1"/>
            </w14:solidFill>
          </w14:textFill>
        </w:rPr>
        <w:t>开标会议</w:t>
      </w:r>
      <w:r>
        <w:rPr>
          <w:rFonts w:hint="eastAsia" w:ascii="仿宋" w:hAnsi="仿宋" w:eastAsia="仿宋" w:cs="仿宋"/>
          <w:color w:val="000000" w:themeColor="text1"/>
          <w:szCs w:val="21"/>
          <w:highlight w:val="none"/>
          <w14:textFill>
            <w14:solidFill>
              <w14:schemeClr w14:val="tx1"/>
            </w14:solidFill>
          </w14:textFill>
        </w:rPr>
        <w:t>开始和开启录音录像设备并致辞；</w:t>
      </w:r>
    </w:p>
    <w:p w14:paraId="74A4816D">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（2）宣布开标纪律和有关注意事项；</w:t>
      </w:r>
    </w:p>
    <w:p w14:paraId="7D17F208">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（3）公布在投标截止时间前递交投标文件的投标人名称；</w:t>
      </w:r>
    </w:p>
    <w:p w14:paraId="1D339625">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（4）宣布</w:t>
      </w:r>
      <w:r>
        <w:rPr>
          <w:rFonts w:hint="eastAsia" w:ascii="仿宋" w:hAnsi="仿宋" w:eastAsia="仿宋" w:cs="仿宋"/>
          <w:color w:val="000000" w:themeColor="text1"/>
          <w:szCs w:val="21"/>
          <w:highlight w:val="none"/>
          <w:lang w:val="en-US" w:eastAsia="zh-CN"/>
          <w14:textFill>
            <w14:solidFill>
              <w14:schemeClr w14:val="tx1"/>
            </w14:solidFill>
          </w14:textFill>
        </w:rPr>
        <w:t>参加</w:t>
      </w:r>
      <w:r>
        <w:rPr>
          <w:rFonts w:hint="eastAsia" w:ascii="仿宋" w:hAnsi="仿宋" w:eastAsia="仿宋" w:cs="仿宋"/>
          <w:color w:val="000000" w:themeColor="text1"/>
          <w:szCs w:val="21"/>
          <w:highlight w:val="none"/>
          <w14:textFill>
            <w14:solidFill>
              <w14:schemeClr w14:val="tx1"/>
            </w14:solidFill>
          </w14:textFill>
        </w:rPr>
        <w:t>开标</w:t>
      </w:r>
      <w:r>
        <w:rPr>
          <w:rFonts w:hint="eastAsia" w:ascii="仿宋" w:hAnsi="仿宋" w:eastAsia="仿宋" w:cs="仿宋"/>
          <w:color w:val="000000" w:themeColor="text1"/>
          <w:szCs w:val="21"/>
          <w:highlight w:val="none"/>
          <w:lang w:val="en-US" w:eastAsia="zh-CN"/>
          <w14:textFill>
            <w14:solidFill>
              <w14:schemeClr w14:val="tx1"/>
            </w14:solidFill>
          </w14:textFill>
        </w:rPr>
        <w:t>会议的现场</w:t>
      </w:r>
      <w:r>
        <w:rPr>
          <w:rFonts w:hint="eastAsia" w:ascii="仿宋" w:hAnsi="仿宋" w:eastAsia="仿宋" w:cs="仿宋"/>
          <w:color w:val="000000" w:themeColor="text1"/>
          <w:szCs w:val="21"/>
          <w:highlight w:val="none"/>
          <w14:textFill>
            <w14:solidFill>
              <w14:schemeClr w14:val="tx1"/>
            </w14:solidFill>
          </w14:textFill>
        </w:rPr>
        <w:t>监标</w:t>
      </w:r>
      <w:r>
        <w:rPr>
          <w:rFonts w:hint="eastAsia" w:ascii="仿宋" w:hAnsi="仿宋" w:eastAsia="仿宋" w:cs="仿宋"/>
          <w:color w:val="000000" w:themeColor="text1"/>
          <w:szCs w:val="21"/>
          <w:highlight w:val="none"/>
          <w:lang w:val="en-US" w:eastAsia="zh-CN"/>
          <w14:textFill>
            <w14:solidFill>
              <w14:schemeClr w14:val="tx1"/>
            </w14:solidFill>
          </w14:textFill>
        </w:rPr>
        <w:t>人员和主持人、会议记录等有关工作人员</w:t>
      </w:r>
      <w:r>
        <w:rPr>
          <w:rFonts w:hint="eastAsia" w:ascii="仿宋" w:hAnsi="仿宋" w:eastAsia="仿宋" w:cs="仿宋"/>
          <w:color w:val="000000" w:themeColor="text1"/>
          <w:szCs w:val="21"/>
          <w:highlight w:val="none"/>
          <w14:textFill>
            <w14:solidFill>
              <w14:schemeClr w14:val="tx1"/>
            </w14:solidFill>
          </w14:textFill>
        </w:rPr>
        <w:t>；</w:t>
      </w:r>
    </w:p>
    <w:p w14:paraId="685A6873">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（5）检查并宣布投标文件的密封情况；</w:t>
      </w:r>
    </w:p>
    <w:p w14:paraId="7B17D9F0">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（6）开标唱标：主持人宣布开标后，由现场工作人员按照投标人须知前附表规定的顺序对投标人的“投标文件（正本）”当众进行拆封，由唱标人对其中“开标一览表”的投标人名称、投标总价、</w:t>
      </w:r>
      <w:r>
        <w:rPr>
          <w:rFonts w:hint="eastAsia" w:ascii="仿宋" w:hAnsi="仿宋" w:eastAsia="仿宋" w:cs="仿宋"/>
          <w:color w:val="000000" w:themeColor="text1"/>
          <w:szCs w:val="21"/>
          <w:highlight w:val="none"/>
          <w:lang w:eastAsia="zh-CN"/>
          <w14:textFill>
            <w14:solidFill>
              <w14:schemeClr w14:val="tx1"/>
            </w14:solidFill>
          </w14:textFill>
        </w:rPr>
        <w:t>交付期</w:t>
      </w:r>
      <w:r>
        <w:rPr>
          <w:rFonts w:hint="eastAsia" w:ascii="仿宋" w:hAnsi="仿宋" w:eastAsia="仿宋" w:cs="仿宋"/>
          <w:color w:val="000000" w:themeColor="text1"/>
          <w:szCs w:val="21"/>
          <w:highlight w:val="none"/>
          <w14:textFill>
            <w14:solidFill>
              <w14:schemeClr w14:val="tx1"/>
            </w14:solidFill>
          </w14:textFill>
        </w:rPr>
        <w:t>等内容进行宣读并做开标记录；所有投标唱标完毕，如投标人对宣读的“开标一览表”上的内容有异议的，应当举手示意，在获得主持人同意后当场提出；如确实属于唱标人宣读错误的，经现场监标</w:t>
      </w:r>
      <w:r>
        <w:rPr>
          <w:rFonts w:hint="eastAsia" w:ascii="仿宋" w:hAnsi="仿宋" w:eastAsia="仿宋" w:cs="仿宋"/>
          <w:color w:val="000000" w:themeColor="text1"/>
          <w:szCs w:val="21"/>
          <w:highlight w:val="none"/>
          <w:lang w:val="en-US" w:eastAsia="zh-CN"/>
          <w14:textFill>
            <w14:solidFill>
              <w14:schemeClr w14:val="tx1"/>
            </w14:solidFill>
          </w14:textFill>
        </w:rPr>
        <w:t>人员</w:t>
      </w:r>
      <w:r>
        <w:rPr>
          <w:rFonts w:hint="eastAsia" w:ascii="仿宋" w:hAnsi="仿宋" w:eastAsia="仿宋" w:cs="仿宋"/>
          <w:color w:val="000000" w:themeColor="text1"/>
          <w:szCs w:val="21"/>
          <w:highlight w:val="none"/>
          <w14:textFill>
            <w14:solidFill>
              <w14:schemeClr w14:val="tx1"/>
            </w14:solidFill>
          </w14:textFill>
        </w:rPr>
        <w:t>核实后，当场予以更正；无异议后，由投标人</w:t>
      </w:r>
      <w:r>
        <w:rPr>
          <w:rFonts w:hint="eastAsia" w:ascii="仿宋" w:hAnsi="仿宋" w:eastAsia="仿宋" w:cs="仿宋"/>
          <w:color w:val="000000" w:themeColor="text1"/>
          <w:szCs w:val="21"/>
          <w:highlight w:val="none"/>
          <w:lang w:eastAsia="zh-CN"/>
          <w14:textFill>
            <w14:solidFill>
              <w14:schemeClr w14:val="tx1"/>
            </w14:solidFill>
          </w14:textFill>
        </w:rPr>
        <w:t>法定代表人或授权代表</w:t>
      </w:r>
      <w:r>
        <w:rPr>
          <w:rFonts w:hint="eastAsia" w:ascii="仿宋" w:hAnsi="仿宋" w:eastAsia="仿宋" w:cs="仿宋"/>
          <w:color w:val="000000" w:themeColor="text1"/>
          <w:szCs w:val="21"/>
          <w:highlight w:val="none"/>
          <w14:textFill>
            <w14:solidFill>
              <w14:schemeClr w14:val="tx1"/>
            </w14:solidFill>
          </w14:textFill>
        </w:rPr>
        <w:t>及监标</w:t>
      </w:r>
      <w:r>
        <w:rPr>
          <w:rFonts w:hint="eastAsia" w:ascii="仿宋" w:hAnsi="仿宋" w:eastAsia="仿宋" w:cs="仿宋"/>
          <w:color w:val="000000" w:themeColor="text1"/>
          <w:szCs w:val="21"/>
          <w:highlight w:val="none"/>
          <w:lang w:val="en-US" w:eastAsia="zh-CN"/>
          <w14:textFill>
            <w14:solidFill>
              <w14:schemeClr w14:val="tx1"/>
            </w14:solidFill>
          </w14:textFill>
        </w:rPr>
        <w:t>人员</w:t>
      </w:r>
      <w:r>
        <w:rPr>
          <w:rFonts w:hint="eastAsia" w:ascii="仿宋" w:hAnsi="仿宋" w:eastAsia="仿宋" w:cs="仿宋"/>
          <w:color w:val="000000" w:themeColor="text1"/>
          <w:szCs w:val="21"/>
          <w:highlight w:val="none"/>
          <w14:textFill>
            <w14:solidFill>
              <w14:schemeClr w14:val="tx1"/>
            </w14:solidFill>
          </w14:textFill>
        </w:rPr>
        <w:t>代表签字确认唱标内容；</w:t>
      </w:r>
    </w:p>
    <w:p w14:paraId="7D91C904">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宣布开标结束：主持人宣布开标结束后，所有投标人应立即退场（招标文件要求演示、述标的除外）；同时所有投标人应保持通讯设备的畅通，以方便在评标过程中评标委员会要求投标人对投标文件的必要澄清、说明和纠正。</w:t>
      </w:r>
    </w:p>
    <w:p w14:paraId="5DC01E52">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注：检查投标文件密封情况是指，由投标人法定代表人或授权代表检查其自己递交的投标文件的密封情况，经检查无误后，签字确认。</w:t>
      </w:r>
    </w:p>
    <w:p w14:paraId="0682AA5B">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法定代表人或授权代表确认投标文件情况，仅限于确认其自己递交的投标文件的密封情况，不代表对其他投标人的投标文件的密封情况确认。法定代表人或授权代表对其他投标人的投标文件密封情况有异议的，可以当场反映开标主持人或者现场监标</w:t>
      </w:r>
      <w:r>
        <w:rPr>
          <w:rFonts w:hint="eastAsia" w:ascii="仿宋" w:hAnsi="仿宋" w:eastAsia="仿宋" w:cs="仿宋"/>
          <w:color w:val="000000" w:themeColor="text1"/>
          <w:szCs w:val="21"/>
          <w:highlight w:val="none"/>
          <w:lang w:val="en-US" w:eastAsia="zh-CN"/>
          <w14:textFill>
            <w14:solidFill>
              <w14:schemeClr w14:val="tx1"/>
            </w14:solidFill>
          </w14:textFill>
        </w:rPr>
        <w:t>人员</w:t>
      </w:r>
      <w:r>
        <w:rPr>
          <w:rFonts w:hint="eastAsia" w:ascii="仿宋" w:hAnsi="仿宋" w:eastAsia="仿宋" w:cs="仿宋"/>
          <w:color w:val="000000" w:themeColor="text1"/>
          <w:szCs w:val="21"/>
          <w:highlight w:val="none"/>
          <w14:textFill>
            <w14:solidFill>
              <w14:schemeClr w14:val="tx1"/>
            </w14:solidFill>
          </w14:textFill>
        </w:rPr>
        <w:t>，要求开标现场记录人员予以记录，但不得干扰、阻挠开标工作的正常进行。</w:t>
      </w:r>
    </w:p>
    <w:p w14:paraId="567D4A8D">
      <w:pPr>
        <w:numPr>
          <w:ilvl w:val="0"/>
          <w:numId w:val="0"/>
        </w:num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（8）</w:t>
      </w:r>
      <w:r>
        <w:rPr>
          <w:rFonts w:hint="eastAsia" w:ascii="仿宋" w:hAnsi="仿宋" w:eastAsia="仿宋" w:cs="仿宋"/>
          <w:color w:val="000000" w:themeColor="text1"/>
          <w:szCs w:val="21"/>
          <w:highlight w:val="none"/>
          <w14:textFill>
            <w14:solidFill>
              <w14:schemeClr w14:val="tx1"/>
            </w14:solidFill>
          </w14:textFill>
        </w:rPr>
        <w:t>投标人对开标过程和开标记录有疑义，以及认为采购人、采购代理机构相关工作人员有需要回避情形的，应当场提出询问或者回避申请。采购人、采购代理机构对投标人代表提出的询问或者回避申请应当及时处理，并制作记录。</w:t>
      </w:r>
    </w:p>
    <w:p w14:paraId="15B0493F">
      <w:pPr>
        <w:pStyle w:val="21"/>
        <w:shd w:val="clear"/>
        <w:spacing w:line="360" w:lineRule="auto"/>
        <w:jc w:val="both"/>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6.2、投标人资格审查</w:t>
      </w:r>
    </w:p>
    <w:p w14:paraId="555D6151">
      <w:pPr>
        <w:numPr>
          <w:ilvl w:val="0"/>
          <w:numId w:val="0"/>
        </w:numPr>
        <w:shd w:val="clear"/>
        <w:snapToGrid w:val="0"/>
        <w:spacing w:line="360" w:lineRule="auto"/>
        <w:ind w:firstLine="442" w:firstLineChars="2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b/>
          <w:color w:val="000000" w:themeColor="text1"/>
          <w:sz w:val="22"/>
          <w:szCs w:val="22"/>
          <w:lang w:val="en-US" w:eastAsia="zh-CN"/>
          <w14:textFill>
            <w14:solidFill>
              <w14:schemeClr w14:val="tx1"/>
            </w14:solidFill>
          </w14:textFill>
        </w:rPr>
        <w:t>6.2</w:t>
      </w:r>
      <w:r>
        <w:rPr>
          <w:rFonts w:hint="eastAsia" w:ascii="仿宋" w:hAnsi="仿宋" w:eastAsia="仿宋" w:cs="仿宋"/>
          <w:b/>
          <w:color w:val="000000" w:themeColor="text1"/>
          <w:sz w:val="22"/>
          <w:szCs w:val="22"/>
          <w14:textFill>
            <w14:solidFill>
              <w14:schemeClr w14:val="tx1"/>
            </w14:solidFill>
          </w14:textFill>
        </w:rPr>
        <w:t>.1</w:t>
      </w:r>
      <w:r>
        <w:rPr>
          <w:rFonts w:hint="eastAsia" w:ascii="仿宋" w:hAnsi="仿宋" w:eastAsia="仿宋" w:cs="仿宋"/>
          <w:color w:val="000000" w:themeColor="text1"/>
          <w:sz w:val="22"/>
          <w:szCs w:val="22"/>
          <w14:textFill>
            <w14:solidFill>
              <w14:schemeClr w14:val="tx1"/>
            </w14:solidFill>
          </w14:textFill>
        </w:rPr>
        <w:t xml:space="preserve"> </w:t>
      </w:r>
      <w:r>
        <w:rPr>
          <w:rFonts w:hint="eastAsia" w:ascii="仿宋" w:hAnsi="仿宋" w:eastAsia="仿宋" w:cs="仿宋"/>
          <w:b/>
          <w:color w:val="000000" w:themeColor="text1"/>
          <w:sz w:val="22"/>
          <w:szCs w:val="22"/>
          <w14:textFill>
            <w14:solidFill>
              <w14:schemeClr w14:val="tx1"/>
            </w14:solidFill>
          </w14:textFill>
        </w:rPr>
        <w:t>基本资格条件</w:t>
      </w:r>
      <w:r>
        <w:rPr>
          <w:rFonts w:hint="eastAsia" w:ascii="仿宋" w:hAnsi="仿宋" w:eastAsia="仿宋" w:cs="仿宋"/>
          <w:color w:val="000000" w:themeColor="text1"/>
          <w:sz w:val="22"/>
          <w:szCs w:val="22"/>
          <w14:textFill>
            <w14:solidFill>
              <w14:schemeClr w14:val="tx1"/>
            </w14:solidFill>
          </w14:textFill>
        </w:rPr>
        <w:t xml:space="preserve">。 </w:t>
      </w:r>
      <w:r>
        <w:rPr>
          <w:rFonts w:hint="eastAsia" w:ascii="仿宋" w:hAnsi="仿宋" w:eastAsia="仿宋" w:cs="仿宋"/>
          <w:color w:val="000000" w:themeColor="text1"/>
          <w:szCs w:val="21"/>
          <w:highlight w:val="none"/>
          <w:lang w:eastAsia="zh-CN"/>
          <w14:textFill>
            <w14:solidFill>
              <w14:schemeClr w14:val="tx1"/>
            </w14:solidFill>
          </w14:textFill>
        </w:rPr>
        <w:t>投标人</w:t>
      </w:r>
      <w:r>
        <w:rPr>
          <w:rFonts w:hint="eastAsia" w:ascii="仿宋" w:hAnsi="仿宋" w:eastAsia="仿宋" w:cs="仿宋"/>
          <w:color w:val="000000" w:themeColor="text1"/>
          <w:szCs w:val="21"/>
          <w:highlight w:val="none"/>
          <w14:textFill>
            <w14:solidFill>
              <w14:schemeClr w14:val="tx1"/>
            </w14:solidFill>
          </w14:textFill>
        </w:rPr>
        <w:t>应符合《中华人民共和国政府采购法》第二十二条第一款规定，</w:t>
      </w:r>
      <w:r>
        <w:rPr>
          <w:rFonts w:hint="eastAsia" w:ascii="仿宋" w:hAnsi="仿宋" w:eastAsia="仿宋" w:cs="仿宋"/>
          <w:color w:val="000000" w:themeColor="text1"/>
          <w:szCs w:val="21"/>
          <w:highlight w:val="none"/>
          <w:lang w:val="zh-CN"/>
          <w14:textFill>
            <w14:solidFill>
              <w14:schemeClr w14:val="tx1"/>
            </w14:solidFill>
          </w14:textFill>
        </w:rPr>
        <w:t>并按照《政府采购法实施条例》第十七条规定提供下列材料：</w:t>
      </w:r>
    </w:p>
    <w:p w14:paraId="6B4B3DDB">
      <w:pPr>
        <w:numPr>
          <w:ilvl w:val="0"/>
          <w:numId w:val="0"/>
        </w:numPr>
        <w:shd w:val="clear"/>
        <w:snapToGrid w:val="0"/>
        <w:spacing w:line="360" w:lineRule="auto"/>
        <w:ind w:firstLine="420" w:firstLineChars="200"/>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i w:val="0"/>
          <w:caps w:val="0"/>
          <w:color w:val="000000" w:themeColor="text1"/>
          <w:spacing w:val="0"/>
          <w:sz w:val="21"/>
          <w:szCs w:val="21"/>
          <w:shd w:val="clear" w:fill="FFFFFF"/>
          <w:vertAlign w:val="baseline"/>
          <w14:textFill>
            <w14:solidFill>
              <w14:schemeClr w14:val="tx1"/>
            </w14:solidFill>
          </w14:textFill>
        </w:rPr>
        <w:t>（1）投标人须为具有独立承担民事责任能力的法人、其他组织或自然人;出具合法有效的营业执照或事业单位法人证书等国家规定的相关证明，自然人参与的提供其身份证明；</w:t>
      </w:r>
      <w:r>
        <w:rPr>
          <w:rFonts w:hint="eastAsia" w:ascii="仿宋" w:hAnsi="仿宋" w:eastAsia="仿宋" w:cs="仿宋"/>
          <w:i w:val="0"/>
          <w:caps w:val="0"/>
          <w:color w:val="000000" w:themeColor="text1"/>
          <w:spacing w:val="0"/>
          <w:sz w:val="21"/>
          <w:szCs w:val="21"/>
          <w:shd w:val="clear" w:fill="FFFFFF"/>
          <w:vertAlign w:val="baseline"/>
          <w14:textFill>
            <w14:solidFill>
              <w14:schemeClr w14:val="tx1"/>
            </w14:solidFill>
          </w14:textFill>
        </w:rPr>
        <w:br w:type="textWrapping"/>
      </w:r>
      <w:r>
        <w:rPr>
          <w:rFonts w:hint="eastAsia" w:ascii="仿宋" w:hAnsi="仿宋" w:eastAsia="仿宋" w:cs="仿宋"/>
          <w:i w:val="0"/>
          <w:caps w:val="0"/>
          <w:color w:val="000000" w:themeColor="text1"/>
          <w:spacing w:val="0"/>
          <w:sz w:val="21"/>
          <w:szCs w:val="21"/>
          <w:shd w:val="clear" w:fill="FFFFFF"/>
          <w:vertAlign w:val="baseline"/>
          <w:lang w:val="en-US" w:eastAsia="zh-CN"/>
          <w14:textFill>
            <w14:solidFill>
              <w14:schemeClr w14:val="tx1"/>
            </w14:solidFill>
          </w14:textFill>
        </w:rPr>
        <w:t xml:space="preserve">    </w:t>
      </w:r>
      <w:r>
        <w:rPr>
          <w:rFonts w:hint="eastAsia" w:ascii="仿宋" w:hAnsi="仿宋" w:eastAsia="仿宋" w:cs="仿宋"/>
          <w:i w:val="0"/>
          <w:caps w:val="0"/>
          <w:color w:val="000000" w:themeColor="text1"/>
          <w:spacing w:val="0"/>
          <w:sz w:val="21"/>
          <w:szCs w:val="21"/>
          <w:shd w:val="clear" w:fill="FFFFFF"/>
          <w:vertAlign w:val="baseline"/>
          <w14:textFill>
            <w14:solidFill>
              <w14:schemeClr w14:val="tx1"/>
            </w14:solidFill>
          </w14:textFill>
        </w:rPr>
        <w:t>（2）投标人须提供《汉中市政府采购供应商资格承诺函》。</w:t>
      </w:r>
    </w:p>
    <w:p w14:paraId="4CC27012">
      <w:pPr>
        <w:pStyle w:val="38"/>
        <w:keepNext w:val="0"/>
        <w:pageBreakBefore w:val="0"/>
        <w:shd w:val="clear"/>
        <w:kinsoku/>
        <w:wordWrap w:val="0"/>
        <w:overflowPunct/>
        <w:topLinePunct w:val="0"/>
        <w:autoSpaceDE/>
        <w:autoSpaceDN/>
        <w:bidi w:val="0"/>
        <w:adjustRightInd w:val="0"/>
        <w:snapToGrid w:val="0"/>
        <w:spacing w:beforeAutospacing="0" w:afterAutospacing="0" w:line="360" w:lineRule="auto"/>
        <w:ind w:left="0" w:leftChars="0" w:right="0" w:rightChars="0" w:firstLine="221" w:firstLineChars="100"/>
        <w:jc w:val="both"/>
        <w:textAlignment w:val="auto"/>
        <w:rPr>
          <w:rFonts w:hint="eastAsia" w:ascii="仿宋" w:hAnsi="仿宋" w:eastAsia="仿宋" w:cs="仿宋"/>
          <w:color w:val="000000" w:themeColor="text1"/>
          <w:sz w:val="22"/>
          <w:szCs w:val="22"/>
          <w:highlight w:val="yellow"/>
          <w14:textFill>
            <w14:solidFill>
              <w14:schemeClr w14:val="tx1"/>
            </w14:solidFill>
          </w14:textFill>
        </w:rPr>
      </w:pPr>
      <w:r>
        <w:rPr>
          <w:rFonts w:hint="eastAsia" w:ascii="仿宋" w:hAnsi="仿宋" w:eastAsia="仿宋" w:cs="仿宋"/>
          <w:b/>
          <w:color w:val="000000" w:themeColor="text1"/>
          <w:sz w:val="22"/>
          <w:szCs w:val="22"/>
          <w:lang w:val="en-US" w:eastAsia="zh-CN"/>
          <w14:textFill>
            <w14:solidFill>
              <w14:schemeClr w14:val="tx1"/>
            </w14:solidFill>
          </w14:textFill>
        </w:rPr>
        <w:t>6.2</w:t>
      </w:r>
      <w:r>
        <w:rPr>
          <w:rFonts w:hint="eastAsia" w:ascii="仿宋" w:hAnsi="仿宋" w:eastAsia="仿宋" w:cs="仿宋"/>
          <w:b/>
          <w:color w:val="000000" w:themeColor="text1"/>
          <w:sz w:val="22"/>
          <w:szCs w:val="22"/>
          <w14:textFill>
            <w14:solidFill>
              <w14:schemeClr w14:val="tx1"/>
            </w14:solidFill>
          </w14:textFill>
        </w:rPr>
        <w:t>.2 落实政府采购政策资格条件</w:t>
      </w: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：无。</w:t>
      </w:r>
    </w:p>
    <w:p w14:paraId="1E7DED95">
      <w:pPr>
        <w:pStyle w:val="38"/>
        <w:keepNext w:val="0"/>
        <w:pageBreakBefore w:val="0"/>
        <w:shd w:val="clear"/>
        <w:kinsoku/>
        <w:wordWrap w:val="0"/>
        <w:overflowPunct/>
        <w:topLinePunct w:val="0"/>
        <w:autoSpaceDE/>
        <w:autoSpaceDN/>
        <w:bidi w:val="0"/>
        <w:adjustRightInd w:val="0"/>
        <w:snapToGrid w:val="0"/>
        <w:spacing w:beforeAutospacing="0" w:afterAutospacing="0" w:line="360" w:lineRule="auto"/>
        <w:ind w:left="0" w:leftChars="0" w:right="0" w:rightChars="0" w:firstLine="221" w:firstLineChars="100"/>
        <w:jc w:val="both"/>
        <w:textAlignment w:val="auto"/>
        <w:rPr>
          <w:rFonts w:hint="eastAsia" w:ascii="仿宋" w:hAnsi="仿宋" w:eastAsia="仿宋" w:cs="仿宋"/>
          <w:b/>
          <w:color w:val="000000" w:themeColor="text1"/>
          <w:kern w:val="0"/>
          <w:sz w:val="22"/>
          <w:szCs w:val="22"/>
          <w14:textFill>
            <w14:solidFill>
              <w14:schemeClr w14:val="tx1"/>
            </w14:solidFill>
          </w14:textFill>
        </w:rPr>
      </w:pPr>
      <w:r>
        <w:rPr>
          <w:rFonts w:hint="eastAsia" w:ascii="仿宋" w:hAnsi="仿宋" w:eastAsia="仿宋" w:cs="仿宋"/>
          <w:b/>
          <w:color w:val="000000" w:themeColor="text1"/>
          <w:kern w:val="0"/>
          <w:sz w:val="22"/>
          <w:szCs w:val="22"/>
          <w:lang w:val="en-US" w:eastAsia="zh-CN"/>
          <w14:textFill>
            <w14:solidFill>
              <w14:schemeClr w14:val="tx1"/>
            </w14:solidFill>
          </w14:textFill>
        </w:rPr>
        <w:t>6.2</w:t>
      </w:r>
      <w:r>
        <w:rPr>
          <w:rFonts w:hint="eastAsia" w:ascii="仿宋" w:hAnsi="仿宋" w:eastAsia="仿宋" w:cs="仿宋"/>
          <w:b/>
          <w:color w:val="000000" w:themeColor="text1"/>
          <w:kern w:val="0"/>
          <w:sz w:val="22"/>
          <w:szCs w:val="22"/>
          <w14:textFill>
            <w14:solidFill>
              <w14:schemeClr w14:val="tx1"/>
            </w14:solidFill>
          </w14:textFill>
        </w:rPr>
        <w:t>.3 特定资格条件。</w:t>
      </w:r>
    </w:p>
    <w:p w14:paraId="4E8B5CEC">
      <w:pPr>
        <w:pStyle w:val="38"/>
        <w:keepNext w:val="0"/>
        <w:pageBreakBefore w:val="0"/>
        <w:shd w:val="clear"/>
        <w:kinsoku/>
        <w:wordWrap w:val="0"/>
        <w:overflowPunct/>
        <w:topLinePunct w:val="0"/>
        <w:autoSpaceDE/>
        <w:autoSpaceDN/>
        <w:bidi w:val="0"/>
        <w:adjustRightInd w:val="0"/>
        <w:snapToGrid w:val="0"/>
        <w:spacing w:beforeAutospacing="0" w:afterAutospacing="0" w:line="360" w:lineRule="auto"/>
        <w:ind w:left="218" w:leftChars="104" w:right="0" w:rightChars="0" w:firstLine="420" w:firstLineChars="200"/>
        <w:jc w:val="both"/>
        <w:textAlignment w:val="auto"/>
        <w:rPr>
          <w:rFonts w:hint="eastAsia" w:ascii="仿宋" w:hAnsi="仿宋" w:eastAsia="仿宋" w:cs="仿宋"/>
          <w:i w:val="0"/>
          <w:caps w:val="0"/>
          <w:color w:val="000000" w:themeColor="text1"/>
          <w:spacing w:val="0"/>
          <w:sz w:val="21"/>
          <w:szCs w:val="21"/>
          <w:shd w:val="clear" w:fill="FFFFFF"/>
          <w:vertAlign w:val="baseline"/>
          <w14:textFill>
            <w14:solidFill>
              <w14:schemeClr w14:val="tx1"/>
            </w14:solidFill>
          </w14:textFill>
        </w:rPr>
      </w:pPr>
      <w:r>
        <w:rPr>
          <w:rFonts w:hint="eastAsia" w:ascii="仿宋" w:hAnsi="仿宋" w:eastAsia="仿宋" w:cs="仿宋"/>
          <w:i w:val="0"/>
          <w:caps w:val="0"/>
          <w:color w:val="000000" w:themeColor="text1"/>
          <w:spacing w:val="0"/>
          <w:sz w:val="21"/>
          <w:szCs w:val="21"/>
          <w:shd w:val="clear" w:fill="FFFFFF"/>
          <w:vertAlign w:val="baseline"/>
          <w14:textFill>
            <w14:solidFill>
              <w14:schemeClr w14:val="tx1"/>
            </w14:solidFill>
          </w14:textFill>
        </w:rPr>
        <w:t>（1）法定代表人直接参加投标的，须出具法人身份证；法定代表人授权代表参加投标的，须出具法定代表人授权书及授权代表身份证；</w:t>
      </w:r>
    </w:p>
    <w:p w14:paraId="31D17178">
      <w:pPr>
        <w:pStyle w:val="38"/>
        <w:keepNext w:val="0"/>
        <w:pageBreakBefore w:val="0"/>
        <w:shd w:val="clear"/>
        <w:kinsoku/>
        <w:wordWrap w:val="0"/>
        <w:overflowPunct/>
        <w:topLinePunct w:val="0"/>
        <w:autoSpaceDE/>
        <w:autoSpaceDN/>
        <w:bidi w:val="0"/>
        <w:adjustRightInd w:val="0"/>
        <w:snapToGrid w:val="0"/>
        <w:spacing w:beforeAutospacing="0" w:afterAutospacing="0" w:line="360" w:lineRule="auto"/>
        <w:ind w:left="218" w:leftChars="104" w:right="0" w:rightChars="0" w:firstLine="420" w:firstLineChars="200"/>
        <w:jc w:val="both"/>
        <w:textAlignment w:val="auto"/>
        <w:rPr>
          <w:rFonts w:hint="eastAsia" w:ascii="仿宋" w:hAnsi="仿宋" w:eastAsia="仿宋" w:cs="仿宋"/>
          <w:i w:val="0"/>
          <w:caps w:val="0"/>
          <w:color w:val="000000" w:themeColor="text1"/>
          <w:spacing w:val="0"/>
          <w:sz w:val="21"/>
          <w:szCs w:val="21"/>
          <w:shd w:val="clear" w:fill="FFFFFF"/>
          <w:vertAlign w:val="baseline"/>
          <w:lang w:val="en-US" w:eastAsia="zh-CN"/>
          <w14:textFill>
            <w14:solidFill>
              <w14:schemeClr w14:val="tx1"/>
            </w14:solidFill>
          </w14:textFill>
        </w:rPr>
      </w:pPr>
      <w:r>
        <w:rPr>
          <w:rFonts w:hint="eastAsia" w:ascii="仿宋" w:hAnsi="仿宋" w:eastAsia="仿宋" w:cs="仿宋"/>
          <w:i w:val="0"/>
          <w:caps w:val="0"/>
          <w:color w:val="000000" w:themeColor="text1"/>
          <w:spacing w:val="0"/>
          <w:sz w:val="21"/>
          <w:szCs w:val="21"/>
          <w:shd w:val="clear" w:fill="FFFFFF"/>
          <w:vertAlign w:val="baseline"/>
          <w:lang w:eastAsia="zh-CN"/>
          <w14:textFill>
            <w14:solidFill>
              <w14:schemeClr w14:val="tx1"/>
            </w14:solidFill>
          </w14:textFill>
        </w:rPr>
        <w:t>（</w:t>
      </w:r>
      <w:r>
        <w:rPr>
          <w:rFonts w:hint="eastAsia" w:ascii="仿宋" w:hAnsi="仿宋" w:eastAsia="仿宋" w:cs="仿宋"/>
          <w:i w:val="0"/>
          <w:caps w:val="0"/>
          <w:color w:val="000000" w:themeColor="text1"/>
          <w:spacing w:val="0"/>
          <w:sz w:val="21"/>
          <w:szCs w:val="21"/>
          <w:shd w:val="clear" w:fill="FFFFFF"/>
          <w:vertAlign w:val="baseline"/>
          <w:lang w:val="en-US" w:eastAsia="zh-CN"/>
          <w14:textFill>
            <w14:solidFill>
              <w14:schemeClr w14:val="tx1"/>
            </w14:solidFill>
          </w14:textFill>
        </w:rPr>
        <w:t>2</w:t>
      </w:r>
      <w:r>
        <w:rPr>
          <w:rFonts w:hint="eastAsia" w:ascii="仿宋" w:hAnsi="仿宋" w:eastAsia="仿宋" w:cs="仿宋"/>
          <w:i w:val="0"/>
          <w:caps w:val="0"/>
          <w:color w:val="000000" w:themeColor="text1"/>
          <w:spacing w:val="0"/>
          <w:sz w:val="21"/>
          <w:szCs w:val="21"/>
          <w:shd w:val="clear" w:fill="FFFFFF"/>
          <w:vertAlign w:val="baseline"/>
          <w:lang w:eastAsia="zh-CN"/>
          <w14:textFill>
            <w14:solidFill>
              <w14:schemeClr w14:val="tx1"/>
            </w14:solidFill>
          </w14:textFill>
        </w:rPr>
        <w:t>）</w:t>
      </w:r>
      <w:r>
        <w:rPr>
          <w:rFonts w:hint="eastAsia" w:ascii="仿宋" w:hAnsi="仿宋" w:eastAsia="仿宋" w:cs="仿宋"/>
          <w:i w:val="0"/>
          <w:caps w:val="0"/>
          <w:color w:val="000000" w:themeColor="text1"/>
          <w:spacing w:val="0"/>
          <w:sz w:val="21"/>
          <w:szCs w:val="21"/>
          <w:shd w:val="clear" w:fill="FFFFFF"/>
          <w:vertAlign w:val="baseline"/>
          <w14:textFill>
            <w14:solidFill>
              <w14:schemeClr w14:val="tx1"/>
            </w14:solidFill>
          </w14:textFill>
        </w:rPr>
        <w:t>投标人为经销商的应提供《医疗器械经营许可证》和《医疗器械经营备案凭证》（投标产品须在其经营范围内）和生产厂家的《医疗器械生产许可证》或《医疗器械生产备案凭证》（投标产品须在其生产范围内）；投标人为生产厂家的应提供《医疗器械经营许可证》或《医疗器械经营备案凭证》（投标产品须在其经营范围内）和《医疗器械生产许可证》（投标产品须在其生产范围内），投标产品属于医疗器械管理的提供《医疗器械注册证》。</w:t>
      </w:r>
    </w:p>
    <w:p w14:paraId="4689B751">
      <w:pPr>
        <w:keepNext w:val="0"/>
        <w:keepLines w:val="0"/>
        <w:pageBreakBefore w:val="0"/>
        <w:kinsoku/>
        <w:wordWrap/>
        <w:overflowPunct/>
        <w:topLinePunct w:val="0"/>
        <w:autoSpaceDE w:val="0"/>
        <w:autoSpaceDN w:val="0"/>
        <w:bidi w:val="0"/>
        <w:spacing w:line="360" w:lineRule="auto"/>
        <w:ind w:firstLine="440" w:firstLineChars="200"/>
        <w:textAlignment w:val="auto"/>
        <w:outlineLvl w:val="9"/>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6.2</w:t>
      </w:r>
      <w:r>
        <w:rPr>
          <w:rFonts w:hint="eastAsia" w:ascii="仿宋" w:hAnsi="仿宋" w:eastAsia="仿宋" w:cs="仿宋"/>
          <w:color w:val="000000" w:themeColor="text1"/>
          <w:kern w:val="0"/>
          <w:sz w:val="22"/>
          <w:szCs w:val="22"/>
          <w:lang w:val="zh-CN"/>
          <w14:textFill>
            <w14:solidFill>
              <w14:schemeClr w14:val="tx1"/>
            </w14:solidFill>
          </w14:textFill>
        </w:rPr>
        <w:t xml:space="preserve">.3.1 </w:t>
      </w:r>
      <w:r>
        <w:rPr>
          <w:rFonts w:hint="eastAsia" w:ascii="仿宋" w:hAnsi="仿宋" w:eastAsia="仿宋" w:cs="仿宋"/>
          <w:color w:val="000000" w:themeColor="text1"/>
          <w:kern w:val="0"/>
          <w:sz w:val="22"/>
          <w:szCs w:val="22"/>
          <w:lang w:val="en-US" w:eastAsia="zh-CN"/>
          <w14:textFill>
            <w14:solidFill>
              <w14:schemeClr w14:val="tx1"/>
            </w14:solidFill>
          </w14:textFill>
        </w:rPr>
        <w:t>投标人</w:t>
      </w:r>
      <w:r>
        <w:rPr>
          <w:rFonts w:hint="eastAsia" w:ascii="仿宋" w:hAnsi="仿宋" w:eastAsia="仿宋" w:cs="仿宋"/>
          <w:color w:val="000000" w:themeColor="text1"/>
          <w:kern w:val="0"/>
          <w:sz w:val="22"/>
          <w:szCs w:val="22"/>
          <w:lang w:val="zh-CN"/>
          <w14:textFill>
            <w14:solidFill>
              <w14:schemeClr w14:val="tx1"/>
            </w14:solidFill>
          </w14:textFill>
        </w:rPr>
        <w:t>提供产品属于特定行业有法定准入要求的，提供下列材料：</w:t>
      </w:r>
      <w:r>
        <w:rPr>
          <w:rFonts w:hint="eastAsia" w:ascii="仿宋" w:hAnsi="仿宋" w:eastAsia="仿宋" w:cs="仿宋"/>
          <w:color w:val="000000" w:themeColor="text1"/>
          <w:kern w:val="0"/>
          <w:sz w:val="22"/>
          <w:szCs w:val="22"/>
          <w14:textFill>
            <w14:solidFill>
              <w14:schemeClr w14:val="tx1"/>
            </w14:solidFill>
          </w14:textFill>
        </w:rPr>
        <w:t>无</w:t>
      </w:r>
    </w:p>
    <w:p w14:paraId="22B0E8F2">
      <w:pPr>
        <w:keepNext w:val="0"/>
        <w:keepLines w:val="0"/>
        <w:pageBreakBefore w:val="0"/>
        <w:kinsoku/>
        <w:wordWrap/>
        <w:overflowPunct/>
        <w:topLinePunct w:val="0"/>
        <w:autoSpaceDE w:val="0"/>
        <w:autoSpaceDN w:val="0"/>
        <w:bidi w:val="0"/>
        <w:spacing w:line="360" w:lineRule="auto"/>
        <w:ind w:firstLine="442" w:firstLineChars="200"/>
        <w:textAlignment w:val="auto"/>
        <w:outlineLvl w:val="9"/>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b/>
          <w:color w:val="000000" w:themeColor="text1"/>
          <w:kern w:val="0"/>
          <w:sz w:val="22"/>
          <w:szCs w:val="22"/>
          <w:lang w:val="en-US" w:eastAsia="zh-CN"/>
          <w14:textFill>
            <w14:solidFill>
              <w14:schemeClr w14:val="tx1"/>
            </w14:solidFill>
          </w14:textFill>
        </w:rPr>
        <w:t>6.2.</w:t>
      </w:r>
      <w:r>
        <w:rPr>
          <w:rFonts w:hint="eastAsia" w:ascii="仿宋" w:hAnsi="仿宋" w:eastAsia="仿宋" w:cs="仿宋"/>
          <w:b/>
          <w:color w:val="000000" w:themeColor="text1"/>
          <w:kern w:val="0"/>
          <w:sz w:val="22"/>
          <w:szCs w:val="22"/>
          <w14:textFill>
            <w14:solidFill>
              <w14:schemeClr w14:val="tx1"/>
            </w14:solidFill>
          </w14:textFill>
        </w:rPr>
        <w:t>4 限定资格条件。</w:t>
      </w:r>
      <w:r>
        <w:rPr>
          <w:rFonts w:hint="eastAsia" w:ascii="仿宋" w:hAnsi="仿宋" w:eastAsia="仿宋" w:cs="仿宋"/>
          <w:color w:val="000000" w:themeColor="text1"/>
          <w:kern w:val="0"/>
          <w:sz w:val="22"/>
          <w:szCs w:val="22"/>
          <w14:textFill>
            <w14:solidFill>
              <w14:schemeClr w14:val="tx1"/>
            </w14:solidFill>
          </w14:textFill>
        </w:rPr>
        <w:t>根据政府采购的法律法规、规章和规范性文件的规定，</w:t>
      </w:r>
      <w:r>
        <w:rPr>
          <w:rFonts w:hint="eastAsia" w:ascii="仿宋" w:hAnsi="仿宋" w:eastAsia="仿宋" w:cs="仿宋"/>
          <w:color w:val="000000" w:themeColor="text1"/>
          <w:kern w:val="0"/>
          <w:sz w:val="22"/>
          <w:szCs w:val="22"/>
          <w:lang w:eastAsia="zh-CN"/>
          <w14:textFill>
            <w14:solidFill>
              <w14:schemeClr w14:val="tx1"/>
            </w14:solidFill>
          </w14:textFill>
        </w:rPr>
        <w:t>投标人</w:t>
      </w:r>
      <w:r>
        <w:rPr>
          <w:rFonts w:hint="eastAsia" w:ascii="仿宋" w:hAnsi="仿宋" w:eastAsia="仿宋" w:cs="仿宋"/>
          <w:color w:val="000000" w:themeColor="text1"/>
          <w:kern w:val="0"/>
          <w:sz w:val="22"/>
          <w:szCs w:val="22"/>
          <w14:textFill>
            <w14:solidFill>
              <w14:schemeClr w14:val="tx1"/>
            </w14:solidFill>
          </w14:textFill>
        </w:rPr>
        <w:t>不得存在本章第</w:t>
      </w:r>
      <w:r>
        <w:rPr>
          <w:rFonts w:hint="eastAsia" w:ascii="仿宋" w:hAnsi="仿宋" w:eastAsia="仿宋" w:cs="仿宋"/>
          <w:color w:val="000000" w:themeColor="text1"/>
          <w:kern w:val="0"/>
          <w:sz w:val="22"/>
          <w:szCs w:val="22"/>
          <w:lang w:val="en-US" w:eastAsia="zh-CN"/>
          <w14:textFill>
            <w14:solidFill>
              <w14:schemeClr w14:val="tx1"/>
            </w14:solidFill>
          </w14:textFill>
        </w:rPr>
        <w:t>2.4</w:t>
      </w:r>
      <w:r>
        <w:rPr>
          <w:rFonts w:hint="eastAsia" w:ascii="仿宋" w:hAnsi="仿宋" w:eastAsia="仿宋" w:cs="仿宋"/>
          <w:color w:val="000000" w:themeColor="text1"/>
          <w:kern w:val="0"/>
          <w:sz w:val="22"/>
          <w:szCs w:val="22"/>
          <w14:textFill>
            <w14:solidFill>
              <w14:schemeClr w14:val="tx1"/>
            </w14:solidFill>
          </w14:textFill>
        </w:rPr>
        <w:t>规定的情形。</w:t>
      </w:r>
    </w:p>
    <w:p w14:paraId="317199F6">
      <w:pPr>
        <w:keepNext w:val="0"/>
        <w:keepLines w:val="0"/>
        <w:pageBreakBefore w:val="0"/>
        <w:kinsoku/>
        <w:wordWrap/>
        <w:overflowPunct/>
        <w:topLinePunct w:val="0"/>
        <w:autoSpaceDE w:val="0"/>
        <w:autoSpaceDN w:val="0"/>
        <w:bidi w:val="0"/>
        <w:spacing w:line="360" w:lineRule="auto"/>
        <w:ind w:firstLine="420" w:firstLineChars="200"/>
        <w:textAlignment w:val="auto"/>
        <w:outlineLvl w:val="9"/>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代理机构</w:t>
      </w:r>
      <w:r>
        <w:rPr>
          <w:rFonts w:hint="eastAsia" w:ascii="仿宋" w:hAnsi="仿宋" w:eastAsia="仿宋" w:cs="仿宋"/>
          <w:color w:val="000000" w:themeColor="text1"/>
          <w:sz w:val="21"/>
          <w:szCs w:val="21"/>
          <w14:textFill>
            <w14:solidFill>
              <w14:schemeClr w14:val="tx1"/>
            </w14:solidFill>
          </w14:textFill>
        </w:rPr>
        <w:t>将通过“信用中国”网站（www.creditchina.gov.cn）和中国政府采购网站（www.ccgp.gov.cn）查询</w:t>
      </w:r>
      <w:r>
        <w:rPr>
          <w:rFonts w:hint="eastAsia" w:ascii="仿宋" w:hAnsi="仿宋" w:eastAsia="仿宋" w:cs="仿宋"/>
          <w:color w:val="000000" w:themeColor="text1"/>
          <w:sz w:val="21"/>
          <w:szCs w:val="21"/>
          <w:lang w:val="en-US"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信用记录，被列入失信被执行人、</w:t>
      </w:r>
      <w:r>
        <w:rPr>
          <w:rFonts w:hint="eastAsia" w:ascii="仿宋" w:hAnsi="仿宋" w:eastAsia="仿宋" w:cs="仿宋"/>
          <w:i w:val="0"/>
          <w:iCs w:val="0"/>
          <w:caps w:val="0"/>
          <w:color w:val="000000" w:themeColor="text1"/>
          <w:spacing w:val="0"/>
          <w:sz w:val="21"/>
          <w:szCs w:val="21"/>
          <w:shd w:val="clear" w:color="auto" w:fill="FFFFFF"/>
          <w:vertAlign w:val="baseline"/>
          <w14:textFill>
            <w14:solidFill>
              <w14:schemeClr w14:val="tx1"/>
            </w14:solidFill>
          </w14:textFill>
        </w:rPr>
        <w:t>重大税收违法失信主体名单</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i w:val="0"/>
          <w:iCs w:val="0"/>
          <w:caps w:val="0"/>
          <w:color w:val="000000" w:themeColor="text1"/>
          <w:spacing w:val="0"/>
          <w:sz w:val="21"/>
          <w:szCs w:val="21"/>
          <w:shd w:val="clear" w:color="auto" w:fill="FFFFFF"/>
          <w:vertAlign w:val="baseline"/>
          <w14:textFill>
            <w14:solidFill>
              <w14:schemeClr w14:val="tx1"/>
            </w14:solidFill>
          </w14:textFill>
        </w:rPr>
        <w:t>政府采购严重违法失信行为记录名单</w:t>
      </w:r>
      <w:r>
        <w:rPr>
          <w:rFonts w:hint="eastAsia" w:ascii="仿宋" w:hAnsi="仿宋" w:eastAsia="仿宋" w:cs="仿宋"/>
          <w:color w:val="000000" w:themeColor="text1"/>
          <w:sz w:val="21"/>
          <w:szCs w:val="21"/>
          <w14:textFill>
            <w14:solidFill>
              <w14:schemeClr w14:val="tx1"/>
            </w14:solidFill>
          </w14:textFill>
        </w:rPr>
        <w:t>的</w:t>
      </w:r>
      <w:r>
        <w:rPr>
          <w:rFonts w:hint="eastAsia" w:ascii="仿宋" w:hAnsi="仿宋" w:eastAsia="仿宋" w:cs="仿宋"/>
          <w:color w:val="000000" w:themeColor="text1"/>
          <w:sz w:val="21"/>
          <w:szCs w:val="21"/>
          <w:lang w:val="en-US"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将被拒绝参与本项目</w:t>
      </w:r>
      <w:r>
        <w:rPr>
          <w:rFonts w:hint="eastAsia" w:ascii="仿宋" w:hAnsi="仿宋" w:eastAsia="仿宋" w:cs="仿宋"/>
          <w:color w:val="000000" w:themeColor="text1"/>
          <w:sz w:val="21"/>
          <w:szCs w:val="21"/>
          <w:lang w:val="en-US" w:eastAsia="zh-CN"/>
          <w14:textFill>
            <w14:solidFill>
              <w14:schemeClr w14:val="tx1"/>
            </w14:solidFill>
          </w14:textFill>
        </w:rPr>
        <w:t>投标</w:t>
      </w:r>
      <w:r>
        <w:rPr>
          <w:rFonts w:hint="eastAsia" w:ascii="仿宋" w:hAnsi="仿宋" w:eastAsia="仿宋" w:cs="仿宋"/>
          <w:color w:val="000000" w:themeColor="text1"/>
          <w:sz w:val="21"/>
          <w:szCs w:val="21"/>
          <w14:textFill>
            <w14:solidFill>
              <w14:schemeClr w14:val="tx1"/>
            </w14:solidFill>
          </w14:textFill>
        </w:rPr>
        <w:t>。</w:t>
      </w:r>
    </w:p>
    <w:p w14:paraId="74023FEF">
      <w:pPr>
        <w:keepNext w:val="0"/>
        <w:keepLines w:val="0"/>
        <w:pageBreakBefore w:val="0"/>
        <w:kinsoku/>
        <w:wordWrap/>
        <w:overflowPunct/>
        <w:topLinePunct w:val="0"/>
        <w:bidi w:val="0"/>
        <w:spacing w:line="360" w:lineRule="auto"/>
        <w:ind w:firstLine="442" w:firstLineChars="200"/>
        <w:textAlignment w:val="auto"/>
        <w:outlineLvl w:val="9"/>
        <w:rPr>
          <w:rFonts w:hint="eastAsia" w:ascii="仿宋" w:hAnsi="仿宋" w:eastAsia="仿宋" w:cs="仿宋"/>
          <w:b/>
          <w:color w:val="000000" w:themeColor="text1"/>
          <w:sz w:val="22"/>
          <w:szCs w:val="22"/>
          <w:lang w:eastAsia="zh-CN"/>
          <w14:textFill>
            <w14:solidFill>
              <w14:schemeClr w14:val="tx1"/>
            </w14:solidFill>
          </w14:textFill>
        </w:rPr>
      </w:pPr>
      <w:r>
        <w:rPr>
          <w:rFonts w:hint="eastAsia" w:ascii="仿宋" w:hAnsi="仿宋" w:eastAsia="仿宋" w:cs="仿宋"/>
          <w:b/>
          <w:color w:val="000000" w:themeColor="text1"/>
          <w:sz w:val="22"/>
          <w:szCs w:val="22"/>
          <w:lang w:val="en-US" w:eastAsia="zh-CN"/>
          <w14:textFill>
            <w14:solidFill>
              <w14:schemeClr w14:val="tx1"/>
            </w14:solidFill>
          </w14:textFill>
        </w:rPr>
        <w:t>6.2.</w:t>
      </w:r>
      <w:r>
        <w:rPr>
          <w:rFonts w:hint="eastAsia" w:ascii="仿宋" w:hAnsi="仿宋" w:eastAsia="仿宋" w:cs="仿宋"/>
          <w:b/>
          <w:color w:val="000000" w:themeColor="text1"/>
          <w:sz w:val="22"/>
          <w:szCs w:val="22"/>
          <w14:textFill>
            <w14:solidFill>
              <w14:schemeClr w14:val="tx1"/>
            </w14:solidFill>
          </w14:textFill>
        </w:rPr>
        <w:t xml:space="preserve">5 </w:t>
      </w:r>
      <w:r>
        <w:rPr>
          <w:rFonts w:hint="eastAsia" w:ascii="仿宋" w:hAnsi="仿宋" w:eastAsia="仿宋" w:cs="仿宋"/>
          <w:b/>
          <w:color w:val="000000" w:themeColor="text1"/>
          <w:sz w:val="22"/>
          <w:szCs w:val="22"/>
          <w:lang w:val="en-US" w:eastAsia="zh-CN"/>
          <w14:textFill>
            <w14:solidFill>
              <w14:schemeClr w14:val="tx1"/>
            </w14:solidFill>
          </w14:textFill>
        </w:rPr>
        <w:t>投标人</w:t>
      </w:r>
      <w:r>
        <w:rPr>
          <w:rFonts w:hint="eastAsia" w:ascii="仿宋" w:hAnsi="仿宋" w:eastAsia="仿宋" w:cs="仿宋"/>
          <w:b/>
          <w:color w:val="000000" w:themeColor="text1"/>
          <w:sz w:val="22"/>
          <w:szCs w:val="22"/>
          <w14:textFill>
            <w14:solidFill>
              <w14:schemeClr w14:val="tx1"/>
            </w14:solidFill>
          </w14:textFill>
        </w:rPr>
        <w:t>根据采购项目的具体情况，在</w:t>
      </w:r>
      <w:r>
        <w:rPr>
          <w:rFonts w:hint="eastAsia" w:ascii="仿宋" w:hAnsi="仿宋" w:eastAsia="仿宋" w:cs="仿宋"/>
          <w:b/>
          <w:color w:val="000000" w:themeColor="text1"/>
          <w:sz w:val="22"/>
          <w:szCs w:val="22"/>
          <w:lang w:eastAsia="zh-CN"/>
          <w14:textFill>
            <w14:solidFill>
              <w14:schemeClr w14:val="tx1"/>
            </w14:solidFill>
          </w14:textFill>
        </w:rPr>
        <w:t>投标文件</w:t>
      </w:r>
      <w:r>
        <w:rPr>
          <w:rFonts w:hint="eastAsia" w:ascii="仿宋" w:hAnsi="仿宋" w:eastAsia="仿宋" w:cs="仿宋"/>
          <w:b/>
          <w:color w:val="000000" w:themeColor="text1"/>
          <w:sz w:val="22"/>
          <w:szCs w:val="22"/>
          <w14:textFill>
            <w14:solidFill>
              <w14:schemeClr w14:val="tx1"/>
            </w14:solidFill>
          </w14:textFill>
        </w:rPr>
        <w:t>正本中应附一套完整的资格证明材料，缺少一项或某项达不到</w:t>
      </w:r>
      <w:r>
        <w:rPr>
          <w:rFonts w:hint="eastAsia" w:ascii="仿宋" w:hAnsi="仿宋" w:eastAsia="仿宋" w:cs="仿宋"/>
          <w:b/>
          <w:color w:val="000000" w:themeColor="text1"/>
          <w:sz w:val="22"/>
          <w:szCs w:val="22"/>
          <w:lang w:eastAsia="zh-CN"/>
          <w14:textFill>
            <w14:solidFill>
              <w14:schemeClr w14:val="tx1"/>
            </w14:solidFill>
          </w14:textFill>
        </w:rPr>
        <w:t>投标</w:t>
      </w:r>
      <w:r>
        <w:rPr>
          <w:rFonts w:hint="eastAsia" w:ascii="仿宋" w:hAnsi="仿宋" w:eastAsia="仿宋" w:cs="仿宋"/>
          <w:b/>
          <w:color w:val="000000" w:themeColor="text1"/>
          <w:sz w:val="22"/>
          <w:szCs w:val="22"/>
          <w14:textFill>
            <w14:solidFill>
              <w14:schemeClr w14:val="tx1"/>
            </w14:solidFill>
          </w14:textFill>
        </w:rPr>
        <w:t>文件要求的按无效</w:t>
      </w:r>
      <w:r>
        <w:rPr>
          <w:rFonts w:hint="eastAsia" w:ascii="仿宋" w:hAnsi="仿宋" w:eastAsia="仿宋" w:cs="仿宋"/>
          <w:b/>
          <w:color w:val="000000" w:themeColor="text1"/>
          <w:sz w:val="22"/>
          <w:szCs w:val="22"/>
          <w:lang w:eastAsia="zh-CN"/>
          <w14:textFill>
            <w14:solidFill>
              <w14:schemeClr w14:val="tx1"/>
            </w14:solidFill>
          </w14:textFill>
        </w:rPr>
        <w:t>投标文件</w:t>
      </w:r>
      <w:r>
        <w:rPr>
          <w:rFonts w:hint="eastAsia" w:ascii="仿宋" w:hAnsi="仿宋" w:eastAsia="仿宋" w:cs="仿宋"/>
          <w:b/>
          <w:color w:val="000000" w:themeColor="text1"/>
          <w:sz w:val="22"/>
          <w:szCs w:val="22"/>
          <w14:textFill>
            <w14:solidFill>
              <w14:schemeClr w14:val="tx1"/>
            </w14:solidFill>
          </w14:textFill>
        </w:rPr>
        <w:t>处理，复印件加盖</w:t>
      </w:r>
      <w:r>
        <w:rPr>
          <w:rFonts w:hint="eastAsia" w:ascii="仿宋" w:hAnsi="仿宋" w:eastAsia="仿宋" w:cs="仿宋"/>
          <w:b/>
          <w:color w:val="000000" w:themeColor="text1"/>
          <w:sz w:val="22"/>
          <w:szCs w:val="22"/>
          <w:lang w:eastAsia="zh-CN"/>
          <w14:textFill>
            <w14:solidFill>
              <w14:schemeClr w14:val="tx1"/>
            </w14:solidFill>
          </w14:textFill>
        </w:rPr>
        <w:t>投标人</w:t>
      </w:r>
      <w:r>
        <w:rPr>
          <w:rFonts w:hint="eastAsia" w:ascii="仿宋" w:hAnsi="仿宋" w:eastAsia="仿宋" w:cs="仿宋"/>
          <w:b/>
          <w:color w:val="000000" w:themeColor="text1"/>
          <w:sz w:val="22"/>
          <w:szCs w:val="22"/>
          <w14:textFill>
            <w14:solidFill>
              <w14:schemeClr w14:val="tx1"/>
            </w14:solidFill>
          </w14:textFill>
        </w:rPr>
        <w:t>单位公章</w:t>
      </w:r>
      <w:r>
        <w:rPr>
          <w:rFonts w:hint="eastAsia" w:ascii="仿宋" w:hAnsi="仿宋" w:eastAsia="仿宋" w:cs="仿宋"/>
          <w:b/>
          <w:color w:val="000000" w:themeColor="text1"/>
          <w:sz w:val="22"/>
          <w:szCs w:val="22"/>
          <w:lang w:eastAsia="zh-CN"/>
          <w14:textFill>
            <w14:solidFill>
              <w14:schemeClr w14:val="tx1"/>
            </w14:solidFill>
          </w14:textFill>
        </w:rPr>
        <w:t>。</w:t>
      </w:r>
    </w:p>
    <w:p w14:paraId="0B5BE396">
      <w:pPr>
        <w:keepNext w:val="0"/>
        <w:keepLines w:val="0"/>
        <w:pageBreakBefore w:val="0"/>
        <w:kinsoku/>
        <w:wordWrap/>
        <w:overflowPunct/>
        <w:topLinePunct w:val="0"/>
        <w:bidi w:val="0"/>
        <w:spacing w:line="360" w:lineRule="auto"/>
        <w:ind w:firstLine="442" w:firstLineChars="200"/>
        <w:textAlignment w:val="auto"/>
        <w:outlineLvl w:val="9"/>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lang w:val="en-US" w:eastAsia="zh-CN"/>
          <w14:textFill>
            <w14:solidFill>
              <w14:schemeClr w14:val="tx1"/>
            </w14:solidFill>
          </w14:textFill>
        </w:rPr>
        <w:t>6.2.</w:t>
      </w:r>
      <w:r>
        <w:rPr>
          <w:rFonts w:hint="eastAsia" w:ascii="仿宋" w:hAnsi="仿宋" w:eastAsia="仿宋" w:cs="仿宋"/>
          <w:b/>
          <w:bCs/>
          <w:color w:val="000000" w:themeColor="text1"/>
          <w:sz w:val="22"/>
          <w:szCs w:val="22"/>
          <w14:textFill>
            <w14:solidFill>
              <w14:schemeClr w14:val="tx1"/>
            </w14:solidFill>
          </w14:textFill>
        </w:rPr>
        <w:t>6分公司独立参与</w:t>
      </w:r>
      <w:r>
        <w:rPr>
          <w:rFonts w:hint="eastAsia" w:ascii="仿宋" w:hAnsi="仿宋" w:eastAsia="仿宋" w:cs="仿宋"/>
          <w:b/>
          <w:bCs/>
          <w:color w:val="000000" w:themeColor="text1"/>
          <w:sz w:val="22"/>
          <w:szCs w:val="22"/>
          <w:lang w:val="en-US" w:eastAsia="zh-CN"/>
          <w14:textFill>
            <w14:solidFill>
              <w14:schemeClr w14:val="tx1"/>
            </w14:solidFill>
          </w14:textFill>
        </w:rPr>
        <w:t>投标</w:t>
      </w:r>
      <w:r>
        <w:rPr>
          <w:rFonts w:hint="eastAsia" w:ascii="仿宋" w:hAnsi="仿宋" w:eastAsia="仿宋" w:cs="仿宋"/>
          <w:b/>
          <w:bCs/>
          <w:color w:val="000000" w:themeColor="text1"/>
          <w:sz w:val="22"/>
          <w:szCs w:val="22"/>
          <w14:textFill>
            <w14:solidFill>
              <w14:schemeClr w14:val="tx1"/>
            </w14:solidFill>
          </w14:textFill>
        </w:rPr>
        <w:t>时，不能使用总公司的资质或业绩；总公司单独参与</w:t>
      </w:r>
      <w:r>
        <w:rPr>
          <w:rFonts w:hint="eastAsia" w:ascii="仿宋" w:hAnsi="仿宋" w:eastAsia="仿宋" w:cs="仿宋"/>
          <w:b/>
          <w:bCs/>
          <w:color w:val="000000" w:themeColor="text1"/>
          <w:sz w:val="22"/>
          <w:szCs w:val="22"/>
          <w:lang w:val="en-US" w:eastAsia="zh-CN"/>
          <w14:textFill>
            <w14:solidFill>
              <w14:schemeClr w14:val="tx1"/>
            </w14:solidFill>
          </w14:textFill>
        </w:rPr>
        <w:t>投标</w:t>
      </w:r>
      <w:r>
        <w:rPr>
          <w:rFonts w:hint="eastAsia" w:ascii="仿宋" w:hAnsi="仿宋" w:eastAsia="仿宋" w:cs="仿宋"/>
          <w:b/>
          <w:bCs/>
          <w:color w:val="000000" w:themeColor="text1"/>
          <w:sz w:val="22"/>
          <w:szCs w:val="22"/>
          <w14:textFill>
            <w14:solidFill>
              <w14:schemeClr w14:val="tx1"/>
            </w14:solidFill>
          </w14:textFill>
        </w:rPr>
        <w:t>时，除总公司所投产品为分公司生产的产品外，不能使用分公司的资质或业绩。总公司授权分公司或分支机构参与</w:t>
      </w:r>
      <w:r>
        <w:rPr>
          <w:rFonts w:hint="eastAsia" w:ascii="仿宋" w:hAnsi="仿宋" w:eastAsia="仿宋" w:cs="仿宋"/>
          <w:b/>
          <w:bCs/>
          <w:color w:val="000000" w:themeColor="text1"/>
          <w:sz w:val="22"/>
          <w:szCs w:val="22"/>
          <w:lang w:val="en-US" w:eastAsia="zh-CN"/>
          <w14:textFill>
            <w14:solidFill>
              <w14:schemeClr w14:val="tx1"/>
            </w14:solidFill>
          </w14:textFill>
        </w:rPr>
        <w:t>投标</w:t>
      </w:r>
      <w:r>
        <w:rPr>
          <w:rFonts w:hint="eastAsia" w:ascii="仿宋" w:hAnsi="仿宋" w:eastAsia="仿宋" w:cs="仿宋"/>
          <w:b/>
          <w:bCs/>
          <w:color w:val="000000" w:themeColor="text1"/>
          <w:sz w:val="22"/>
          <w:szCs w:val="22"/>
          <w14:textFill>
            <w14:solidFill>
              <w14:schemeClr w14:val="tx1"/>
            </w14:solidFill>
          </w14:textFill>
        </w:rPr>
        <w:t>，可以使用总公司的资质或业绩。</w:t>
      </w:r>
    </w:p>
    <w:p w14:paraId="690A1C63">
      <w:pPr>
        <w:shd w:val="clear"/>
        <w:snapToGrid w:val="0"/>
        <w:spacing w:line="360" w:lineRule="auto"/>
        <w:ind w:firstLine="422"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lang w:val="en-US" w:eastAsia="zh-CN"/>
          <w14:textFill>
            <w14:solidFill>
              <w14:schemeClr w14:val="tx1"/>
            </w14:solidFill>
          </w14:textFill>
        </w:rPr>
        <w:t>6.2.7</w:t>
      </w:r>
      <w:r>
        <w:rPr>
          <w:rFonts w:hint="eastAsia" w:ascii="仿宋" w:hAnsi="仿宋" w:eastAsia="仿宋" w:cs="仿宋"/>
          <w:color w:val="000000" w:themeColor="text1"/>
          <w:szCs w:val="21"/>
          <w:highlight w:val="none"/>
          <w14:textFill>
            <w14:solidFill>
              <w14:schemeClr w14:val="tx1"/>
            </w14:solidFill>
          </w14:textFill>
        </w:rPr>
        <w:t>开标结束后，由采购人及代理机构按照《政府采购货物和服务招标投标管理办法》（财政部第87号令）有关规定，对投标人进行资格审查，不符合要求的投标人将不再进入下面程序（在评标结束前发现投标人资格不符合要求的，经评标委员会同意后可作无效投标处理）</w:t>
      </w:r>
    </w:p>
    <w:p w14:paraId="0B4D1463">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资格审查出现下列情形的，投标文件将被视为无效：</w:t>
      </w:r>
    </w:p>
    <w:p w14:paraId="1D9884B9">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A.不具备招标文件中规定的资格要求或缺项的；</w:t>
      </w:r>
    </w:p>
    <w:p w14:paraId="528BC1FE">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B.未按招标文件要求提供资格证明</w:t>
      </w:r>
      <w:r>
        <w:rPr>
          <w:rFonts w:hint="eastAsia" w:ascii="仿宋" w:hAnsi="仿宋" w:eastAsia="仿宋" w:cs="仿宋"/>
          <w:color w:val="000000" w:themeColor="text1"/>
          <w:szCs w:val="21"/>
          <w:highlight w:val="none"/>
          <w:lang w:val="en-US" w:eastAsia="zh-CN"/>
          <w14:textFill>
            <w14:solidFill>
              <w14:schemeClr w14:val="tx1"/>
            </w14:solidFill>
          </w14:textFill>
        </w:rPr>
        <w:t>材料</w:t>
      </w:r>
      <w:r>
        <w:rPr>
          <w:rFonts w:hint="eastAsia" w:ascii="仿宋" w:hAnsi="仿宋" w:eastAsia="仿宋" w:cs="仿宋"/>
          <w:color w:val="000000" w:themeColor="text1"/>
          <w:szCs w:val="21"/>
          <w:highlight w:val="none"/>
          <w14:textFill>
            <w14:solidFill>
              <w14:schemeClr w14:val="tx1"/>
            </w14:solidFill>
          </w14:textFill>
        </w:rPr>
        <w:t>，或未按招标文件要求加盖公章的；</w:t>
      </w:r>
    </w:p>
    <w:p w14:paraId="090246B2">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C.采购人认为</w:t>
      </w:r>
      <w:r>
        <w:rPr>
          <w:rFonts w:hint="eastAsia" w:ascii="仿宋" w:hAnsi="仿宋" w:eastAsia="仿宋" w:cs="仿宋"/>
          <w:color w:val="000000" w:themeColor="text1"/>
          <w:szCs w:val="21"/>
          <w:highlight w:val="none"/>
          <w:lang w:eastAsia="zh-CN"/>
          <w14:textFill>
            <w14:solidFill>
              <w14:schemeClr w14:val="tx1"/>
            </w14:solidFill>
          </w14:textFill>
        </w:rPr>
        <w:t>投标人</w:t>
      </w:r>
      <w:r>
        <w:rPr>
          <w:rFonts w:hint="eastAsia" w:ascii="仿宋" w:hAnsi="仿宋" w:eastAsia="仿宋" w:cs="仿宋"/>
          <w:color w:val="000000" w:themeColor="text1"/>
          <w:szCs w:val="21"/>
          <w:highlight w:val="none"/>
          <w14:textFill>
            <w14:solidFill>
              <w14:schemeClr w14:val="tx1"/>
            </w14:solidFill>
          </w14:textFill>
        </w:rPr>
        <w:t>的资格证明文件存在疑点，要求投标人现场提供原件，投标人不能在规定时限内提供原件或其所提供的原件无法证实投标文件所附证明文件有效性的。</w:t>
      </w:r>
    </w:p>
    <w:p w14:paraId="59395EB3">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(2)资格审查结束后，采购人及代理机构应当对审查结果进行签字确认，并告知无效投标</w:t>
      </w:r>
      <w:r>
        <w:rPr>
          <w:rFonts w:hint="eastAsia" w:ascii="仿宋" w:hAnsi="仿宋" w:eastAsia="仿宋" w:cs="仿宋"/>
          <w:color w:val="000000" w:themeColor="text1"/>
          <w:szCs w:val="21"/>
          <w:highlight w:val="none"/>
          <w:lang w:val="en-US" w:eastAsia="zh-CN"/>
          <w14:textFill>
            <w14:solidFill>
              <w14:schemeClr w14:val="tx1"/>
            </w14:solidFill>
          </w14:textFill>
        </w:rPr>
        <w:t>人</w:t>
      </w:r>
      <w:r>
        <w:rPr>
          <w:rFonts w:hint="eastAsia" w:ascii="仿宋" w:hAnsi="仿宋" w:eastAsia="仿宋" w:cs="仿宋"/>
          <w:color w:val="000000" w:themeColor="text1"/>
          <w:szCs w:val="21"/>
          <w:highlight w:val="none"/>
          <w14:textFill>
            <w14:solidFill>
              <w14:schemeClr w14:val="tx1"/>
            </w14:solidFill>
          </w14:textFill>
        </w:rPr>
        <w:t>资格审查未通过的原因。</w:t>
      </w:r>
    </w:p>
    <w:p w14:paraId="22490135">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(3)合格投标人不足3家的，不得评标。</w:t>
      </w:r>
    </w:p>
    <w:bookmarkEnd w:id="47"/>
    <w:bookmarkEnd w:id="48"/>
    <w:bookmarkEnd w:id="49"/>
    <w:bookmarkEnd w:id="50"/>
    <w:bookmarkEnd w:id="51"/>
    <w:bookmarkEnd w:id="52"/>
    <w:bookmarkEnd w:id="53"/>
    <w:bookmarkEnd w:id="54"/>
    <w:bookmarkEnd w:id="55"/>
    <w:bookmarkEnd w:id="56"/>
    <w:bookmarkEnd w:id="57"/>
    <w:bookmarkEnd w:id="58"/>
    <w:p w14:paraId="6C7E3B59">
      <w:pPr>
        <w:shd w:val="clear"/>
        <w:snapToGrid w:val="0"/>
        <w:spacing w:line="360" w:lineRule="auto"/>
        <w:rPr>
          <w:rFonts w:hint="eastAsia" w:ascii="仿宋" w:hAnsi="仿宋" w:eastAsia="仿宋" w:cs="仿宋"/>
          <w:b/>
          <w:color w:val="000000" w:themeColor="text1"/>
          <w:szCs w:val="21"/>
          <w:highlight w:val="none"/>
          <w14:textFill>
            <w14:solidFill>
              <w14:schemeClr w14:val="tx1"/>
            </w14:solidFill>
          </w14:textFill>
        </w:rPr>
      </w:pPr>
      <w:bookmarkStart w:id="228" w:name="_Toc8932"/>
      <w:bookmarkStart w:id="229" w:name="_Toc4277"/>
      <w:bookmarkStart w:id="230" w:name="_Toc16587"/>
      <w:bookmarkStart w:id="231" w:name="_Toc32693"/>
      <w:bookmarkStart w:id="232" w:name="_Toc17928_WPSOffice_Level1"/>
      <w:bookmarkStart w:id="233" w:name="_Toc17517"/>
      <w:bookmarkStart w:id="234" w:name="_Toc28762"/>
      <w:bookmarkStart w:id="235" w:name="_Toc16168_WPSOffice_Level1"/>
      <w:bookmarkStart w:id="236" w:name="_Toc11152"/>
      <w:bookmarkStart w:id="237" w:name="_Toc27805"/>
      <w:bookmarkStart w:id="238" w:name="_Toc17139"/>
      <w:bookmarkStart w:id="239" w:name="_Toc10133"/>
      <w:r>
        <w:rPr>
          <w:rFonts w:hint="eastAsia" w:ascii="仿宋" w:hAnsi="仿宋" w:eastAsia="仿宋" w:cs="仿宋"/>
          <w:b/>
          <w:color w:val="000000" w:themeColor="text1"/>
          <w:szCs w:val="21"/>
          <w:highlight w:val="none"/>
          <w14:textFill>
            <w14:solidFill>
              <w14:schemeClr w14:val="tx1"/>
            </w14:solidFill>
          </w14:textFill>
        </w:rPr>
        <w:t>6.3.评标</w:t>
      </w:r>
    </w:p>
    <w:p w14:paraId="28B183F2">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6.3.1.</w:t>
      </w:r>
      <w:r>
        <w:rPr>
          <w:rFonts w:hint="eastAsia" w:ascii="仿宋" w:hAnsi="仿宋" w:eastAsia="仿宋" w:cs="仿宋"/>
          <w:color w:val="000000" w:themeColor="text1"/>
          <w:sz w:val="22"/>
          <w:szCs w:val="22"/>
          <w:lang w:val="en-US" w:eastAsia="zh-CN"/>
          <w14:textFill>
            <w14:solidFill>
              <w14:schemeClr w14:val="tx1"/>
            </w14:solidFill>
          </w14:textFill>
        </w:rPr>
        <w:t>评标委员会</w:t>
      </w:r>
      <w:r>
        <w:rPr>
          <w:rFonts w:hint="eastAsia" w:ascii="仿宋" w:hAnsi="仿宋" w:eastAsia="仿宋" w:cs="仿宋"/>
          <w:color w:val="000000" w:themeColor="text1"/>
          <w:sz w:val="22"/>
          <w:szCs w:val="22"/>
          <w14:textFill>
            <w14:solidFill>
              <w14:schemeClr w14:val="tx1"/>
            </w14:solidFill>
          </w14:textFill>
        </w:rPr>
        <w:t>根据</w:t>
      </w:r>
      <w:r>
        <w:rPr>
          <w:rFonts w:hint="eastAsia" w:ascii="仿宋" w:hAnsi="仿宋" w:eastAsia="仿宋" w:cs="仿宋"/>
          <w:color w:val="000000" w:themeColor="text1"/>
          <w:sz w:val="22"/>
          <w:szCs w:val="22"/>
          <w:lang w:val="en-US" w:eastAsia="zh-CN"/>
          <w14:textFill>
            <w14:solidFill>
              <w14:schemeClr w14:val="tx1"/>
            </w14:solidFill>
          </w14:textFill>
        </w:rPr>
        <w:t>招标</w:t>
      </w:r>
      <w:r>
        <w:rPr>
          <w:rFonts w:hint="eastAsia" w:ascii="仿宋" w:hAnsi="仿宋" w:eastAsia="仿宋" w:cs="仿宋"/>
          <w:color w:val="000000" w:themeColor="text1"/>
          <w:sz w:val="22"/>
          <w:szCs w:val="22"/>
          <w14:textFill>
            <w14:solidFill>
              <w14:schemeClr w14:val="tx1"/>
            </w14:solidFill>
          </w14:textFill>
        </w:rPr>
        <w:t>文件第三章“</w:t>
      </w:r>
      <w:r>
        <w:rPr>
          <w:rFonts w:hint="eastAsia" w:ascii="仿宋" w:hAnsi="仿宋" w:eastAsia="仿宋" w:cs="仿宋"/>
          <w:color w:val="000000" w:themeColor="text1"/>
          <w:sz w:val="22"/>
          <w:szCs w:val="22"/>
          <w:lang w:val="en-US" w:eastAsia="zh-CN"/>
          <w14:textFill>
            <w14:solidFill>
              <w14:schemeClr w14:val="tx1"/>
            </w14:solidFill>
          </w14:textFill>
        </w:rPr>
        <w:t>评标</w:t>
      </w:r>
      <w:r>
        <w:rPr>
          <w:rFonts w:hint="eastAsia" w:ascii="仿宋" w:hAnsi="仿宋" w:eastAsia="仿宋" w:cs="仿宋"/>
          <w:color w:val="000000" w:themeColor="text1"/>
          <w:sz w:val="22"/>
          <w:szCs w:val="22"/>
          <w14:textFill>
            <w14:solidFill>
              <w14:schemeClr w14:val="tx1"/>
            </w14:solidFill>
          </w14:textFill>
        </w:rPr>
        <w:t>办法”规定的方法、评</w:t>
      </w:r>
      <w:r>
        <w:rPr>
          <w:rFonts w:hint="eastAsia" w:ascii="仿宋" w:hAnsi="仿宋" w:eastAsia="仿宋" w:cs="仿宋"/>
          <w:color w:val="000000" w:themeColor="text1"/>
          <w:sz w:val="22"/>
          <w:szCs w:val="22"/>
          <w:lang w:val="en-US" w:eastAsia="zh-CN"/>
          <w14:textFill>
            <w14:solidFill>
              <w14:schemeClr w14:val="tx1"/>
            </w14:solidFill>
          </w14:textFill>
        </w:rPr>
        <w:t>标</w:t>
      </w:r>
      <w:r>
        <w:rPr>
          <w:rFonts w:hint="eastAsia" w:ascii="仿宋" w:hAnsi="仿宋" w:eastAsia="仿宋" w:cs="仿宋"/>
          <w:color w:val="000000" w:themeColor="text1"/>
          <w:sz w:val="22"/>
          <w:szCs w:val="22"/>
          <w14:textFill>
            <w14:solidFill>
              <w14:schemeClr w14:val="tx1"/>
            </w14:solidFill>
          </w14:textFill>
        </w:rPr>
        <w:t>因素、标准和程序，对其</w:t>
      </w:r>
      <w:r>
        <w:rPr>
          <w:rFonts w:hint="eastAsia" w:ascii="仿宋" w:hAnsi="仿宋" w:eastAsia="仿宋" w:cs="仿宋"/>
          <w:color w:val="000000" w:themeColor="text1"/>
          <w:sz w:val="22"/>
          <w:szCs w:val="22"/>
          <w:lang w:val="en-US" w:eastAsia="zh-CN"/>
          <w14:textFill>
            <w14:solidFill>
              <w14:schemeClr w14:val="tx1"/>
            </w14:solidFill>
          </w14:textFill>
        </w:rPr>
        <w:t>投标</w:t>
      </w:r>
      <w:r>
        <w:rPr>
          <w:rFonts w:hint="eastAsia" w:ascii="仿宋" w:hAnsi="仿宋" w:eastAsia="仿宋" w:cs="仿宋"/>
          <w:color w:val="000000" w:themeColor="text1"/>
          <w:sz w:val="22"/>
          <w:szCs w:val="22"/>
          <w14:textFill>
            <w14:solidFill>
              <w14:schemeClr w14:val="tx1"/>
            </w14:solidFill>
          </w14:textFill>
        </w:rPr>
        <w:t>文件进行</w:t>
      </w:r>
      <w:r>
        <w:rPr>
          <w:rFonts w:hint="eastAsia" w:ascii="仿宋" w:hAnsi="仿宋" w:eastAsia="仿宋" w:cs="仿宋"/>
          <w:color w:val="000000" w:themeColor="text1"/>
          <w:sz w:val="22"/>
          <w:szCs w:val="22"/>
          <w:lang w:val="en-US" w:eastAsia="zh-CN"/>
          <w14:textFill>
            <w14:solidFill>
              <w14:schemeClr w14:val="tx1"/>
            </w14:solidFill>
          </w14:textFill>
        </w:rPr>
        <w:t>评标</w:t>
      </w:r>
      <w:r>
        <w:rPr>
          <w:rFonts w:hint="eastAsia" w:ascii="仿宋" w:hAnsi="仿宋" w:eastAsia="仿宋" w:cs="仿宋"/>
          <w:color w:val="000000" w:themeColor="text1"/>
          <w:sz w:val="22"/>
          <w:szCs w:val="22"/>
          <w14:textFill>
            <w14:solidFill>
              <w14:schemeClr w14:val="tx1"/>
            </w14:solidFill>
          </w14:textFill>
        </w:rPr>
        <w:t>。第三章“</w:t>
      </w:r>
      <w:r>
        <w:rPr>
          <w:rFonts w:hint="eastAsia" w:ascii="仿宋" w:hAnsi="仿宋" w:eastAsia="仿宋" w:cs="仿宋"/>
          <w:color w:val="000000" w:themeColor="text1"/>
          <w:sz w:val="22"/>
          <w:szCs w:val="22"/>
          <w:lang w:val="en-US" w:eastAsia="zh-CN"/>
          <w14:textFill>
            <w14:solidFill>
              <w14:schemeClr w14:val="tx1"/>
            </w14:solidFill>
          </w14:textFill>
        </w:rPr>
        <w:t>评标</w:t>
      </w:r>
      <w:r>
        <w:rPr>
          <w:rFonts w:hint="eastAsia" w:ascii="仿宋" w:hAnsi="仿宋" w:eastAsia="仿宋" w:cs="仿宋"/>
          <w:color w:val="000000" w:themeColor="text1"/>
          <w:sz w:val="22"/>
          <w:szCs w:val="22"/>
          <w14:textFill>
            <w14:solidFill>
              <w14:schemeClr w14:val="tx1"/>
            </w14:solidFill>
          </w14:textFill>
        </w:rPr>
        <w:t>办法”没有规定的方法、评</w:t>
      </w:r>
      <w:r>
        <w:rPr>
          <w:rFonts w:hint="eastAsia" w:ascii="仿宋" w:hAnsi="仿宋" w:eastAsia="仿宋" w:cs="仿宋"/>
          <w:color w:val="000000" w:themeColor="text1"/>
          <w:sz w:val="22"/>
          <w:szCs w:val="22"/>
          <w:lang w:val="en-US" w:eastAsia="zh-CN"/>
          <w14:textFill>
            <w14:solidFill>
              <w14:schemeClr w14:val="tx1"/>
            </w14:solidFill>
          </w14:textFill>
        </w:rPr>
        <w:t>标</w:t>
      </w:r>
      <w:r>
        <w:rPr>
          <w:rFonts w:hint="eastAsia" w:ascii="仿宋" w:hAnsi="仿宋" w:eastAsia="仿宋" w:cs="仿宋"/>
          <w:color w:val="000000" w:themeColor="text1"/>
          <w:sz w:val="22"/>
          <w:szCs w:val="22"/>
          <w14:textFill>
            <w14:solidFill>
              <w14:schemeClr w14:val="tx1"/>
            </w14:solidFill>
          </w14:textFill>
        </w:rPr>
        <w:t>因素和标准，不作为评</w:t>
      </w:r>
      <w:r>
        <w:rPr>
          <w:rFonts w:hint="eastAsia" w:ascii="仿宋" w:hAnsi="仿宋" w:eastAsia="仿宋" w:cs="仿宋"/>
          <w:color w:val="000000" w:themeColor="text1"/>
          <w:sz w:val="22"/>
          <w:szCs w:val="22"/>
          <w:lang w:val="en-US" w:eastAsia="zh-CN"/>
          <w14:textFill>
            <w14:solidFill>
              <w14:schemeClr w14:val="tx1"/>
            </w14:solidFill>
          </w14:textFill>
        </w:rPr>
        <w:t>标</w:t>
      </w:r>
      <w:r>
        <w:rPr>
          <w:rFonts w:hint="eastAsia" w:ascii="仿宋" w:hAnsi="仿宋" w:eastAsia="仿宋" w:cs="仿宋"/>
          <w:color w:val="000000" w:themeColor="text1"/>
          <w:sz w:val="22"/>
          <w:szCs w:val="22"/>
          <w14:textFill>
            <w14:solidFill>
              <w14:schemeClr w14:val="tx1"/>
            </w14:solidFill>
          </w14:textFill>
        </w:rPr>
        <w:t>依据。</w:t>
      </w:r>
      <w:r>
        <w:rPr>
          <w:rFonts w:hint="eastAsia" w:ascii="仿宋" w:hAnsi="仿宋" w:eastAsia="仿宋" w:cs="仿宋"/>
          <w:color w:val="000000" w:themeColor="text1"/>
          <w:szCs w:val="21"/>
          <w:highlight w:val="none"/>
          <w14:textFill>
            <w14:solidFill>
              <w14:schemeClr w14:val="tx1"/>
            </w14:solidFill>
          </w14:textFill>
        </w:rPr>
        <w:t>投标文件有下列情况之一者将被认定为投标无效：</w:t>
      </w:r>
    </w:p>
    <w:p w14:paraId="349494B2">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6.3.1.1</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未按照招标文件规定和要求对投标文件进行签署、盖章的；</w:t>
      </w:r>
    </w:p>
    <w:p w14:paraId="537A1AD6">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6.3.1.2</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不具备招标文件中规定的资格条件和资格审查要求的；</w:t>
      </w:r>
    </w:p>
    <w:p w14:paraId="24B11046">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6.3.1.</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与招标文件有重大偏离；</w:t>
      </w:r>
    </w:p>
    <w:p w14:paraId="78CF7B33">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6.3.1.</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投标人拒绝修正错误；</w:t>
      </w:r>
    </w:p>
    <w:p w14:paraId="584F21D5">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6.3.1.</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投标人的报价是选择性的；</w:t>
      </w:r>
    </w:p>
    <w:p w14:paraId="608435E7">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6.3.1.</w:t>
      </w: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投标人的报价只投了同一项目中部分内容；</w:t>
      </w:r>
    </w:p>
    <w:p w14:paraId="3EE28B12">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6.3.1.</w:t>
      </w: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 xml:space="preserve">投标人的投标文件中出现评标委员会认为不应雷同的； </w:t>
      </w:r>
    </w:p>
    <w:p w14:paraId="38BFE992">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6.3.1.</w:t>
      </w:r>
      <w:r>
        <w:rPr>
          <w:rFonts w:hint="eastAsia" w:ascii="仿宋" w:hAnsi="仿宋" w:eastAsia="仿宋" w:cs="仿宋"/>
          <w:color w:val="000000" w:themeColor="text1"/>
          <w:szCs w:val="21"/>
          <w:highlight w:val="none"/>
          <w:lang w:val="en-US" w:eastAsia="zh-CN"/>
          <w14:textFill>
            <w14:solidFill>
              <w14:schemeClr w14:val="tx1"/>
            </w14:solidFill>
          </w14:textFill>
        </w:rPr>
        <w:t>8</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投标人名称与登记获取招标文件单位的名称不一致的；</w:t>
      </w:r>
    </w:p>
    <w:p w14:paraId="131A8141">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6.3.1.</w:t>
      </w:r>
      <w:r>
        <w:rPr>
          <w:rFonts w:hint="eastAsia" w:ascii="仿宋" w:hAnsi="仿宋" w:eastAsia="仿宋" w:cs="仿宋"/>
          <w:color w:val="000000" w:themeColor="text1"/>
          <w:szCs w:val="21"/>
          <w:highlight w:val="none"/>
          <w:lang w:val="en-US" w:eastAsia="zh-CN"/>
          <w14:textFill>
            <w14:solidFill>
              <w14:schemeClr w14:val="tx1"/>
            </w14:solidFill>
          </w14:textFill>
        </w:rPr>
        <w:t>9</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其他被</w:t>
      </w:r>
      <w:r>
        <w:rPr>
          <w:rFonts w:hint="eastAsia" w:ascii="仿宋" w:hAnsi="仿宋" w:eastAsia="仿宋" w:cs="仿宋"/>
          <w:color w:val="000000" w:themeColor="text1"/>
          <w:szCs w:val="21"/>
          <w:highlight w:val="none"/>
          <w:lang w:eastAsia="zh-CN"/>
          <w14:textFill>
            <w14:solidFill>
              <w14:schemeClr w14:val="tx1"/>
            </w14:solidFill>
          </w14:textFill>
        </w:rPr>
        <w:t>评标委员会</w:t>
      </w:r>
      <w:r>
        <w:rPr>
          <w:rFonts w:hint="eastAsia" w:ascii="仿宋" w:hAnsi="仿宋" w:eastAsia="仿宋" w:cs="仿宋"/>
          <w:color w:val="000000" w:themeColor="text1"/>
          <w:szCs w:val="21"/>
          <w:highlight w:val="none"/>
          <w14:textFill>
            <w14:solidFill>
              <w14:schemeClr w14:val="tx1"/>
            </w14:solidFill>
          </w14:textFill>
        </w:rPr>
        <w:t>认定无效的情况。</w:t>
      </w:r>
    </w:p>
    <w:p w14:paraId="7BA1E325">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6.3.2.在详细评标之前，评标委员会将首先审查每份投标书是否实质响应了招标文件的要求。实质上响应的投标应该是与招标文件的全部条款、条件和规格相符，没有重大偏离或保留。所谓重大偏离或保留是指影响合同的供货范围、质量等；或者在实质上与招标文件不一致〔如货物和服务的质量（包括品牌）、数量及</w:t>
      </w:r>
      <w:r>
        <w:rPr>
          <w:rFonts w:hint="eastAsia" w:ascii="仿宋" w:hAnsi="仿宋" w:eastAsia="仿宋" w:cs="仿宋"/>
          <w:color w:val="000000" w:themeColor="text1"/>
          <w:szCs w:val="21"/>
          <w:highlight w:val="none"/>
          <w:lang w:eastAsia="zh-CN"/>
          <w14:textFill>
            <w14:solidFill>
              <w14:schemeClr w14:val="tx1"/>
            </w14:solidFill>
          </w14:textFill>
        </w:rPr>
        <w:t>交付期</w:t>
      </w:r>
      <w:r>
        <w:rPr>
          <w:rFonts w:hint="eastAsia" w:ascii="仿宋" w:hAnsi="仿宋" w:eastAsia="仿宋" w:cs="仿宋"/>
          <w:color w:val="000000" w:themeColor="text1"/>
          <w:szCs w:val="21"/>
          <w:highlight w:val="none"/>
          <w14:textFill>
            <w14:solidFill>
              <w14:schemeClr w14:val="tx1"/>
            </w14:solidFill>
          </w14:textFill>
        </w:rPr>
        <w:t>等明显不能满足招标文件的要求〕，而且限制了合同中买方的权利或投标人的义务。这些偏离或保留将会对其他实质上响应要求的投标人的竞争地位产生不公正的影响。</w:t>
      </w:r>
    </w:p>
    <w:p w14:paraId="35F3BB6C">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6.3.3.招标文件提供的设备、参考的商标或样本目录号码等仅作为说明并没有限制性，投标人在投标中可以选用替代标准，但这些替代标准要优于或相当于技术规格中要求的标准，以满足采购人的需要。</w:t>
      </w:r>
    </w:p>
    <w:p w14:paraId="67D935C2">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6.3.4.评标委员会将允许修改投标中不构成重大偏离的微小的、非正规、不一致或不规则的地方，但这些修改不能影响任何投标人的名次相应排列。投标人不得对投标文件进行实质性修改。</w:t>
      </w:r>
    </w:p>
    <w:p w14:paraId="7D30DA72">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6.3.5.</w:t>
      </w:r>
      <w:r>
        <w:rPr>
          <w:rFonts w:hint="eastAsia" w:ascii="仿宋" w:hAnsi="仿宋" w:eastAsia="仿宋" w:cs="仿宋"/>
          <w:color w:val="000000" w:themeColor="text1"/>
          <w:szCs w:val="21"/>
          <w:highlight w:val="none"/>
          <w:lang w:eastAsia="zh-CN"/>
          <w14:textFill>
            <w14:solidFill>
              <w14:schemeClr w14:val="tx1"/>
            </w14:solidFill>
          </w14:textFill>
        </w:rPr>
        <w:t>评标委员会</w:t>
      </w:r>
      <w:r>
        <w:rPr>
          <w:rFonts w:hint="eastAsia" w:ascii="仿宋" w:hAnsi="仿宋" w:eastAsia="仿宋" w:cs="仿宋"/>
          <w:color w:val="000000" w:themeColor="text1"/>
          <w:szCs w:val="21"/>
          <w:highlight w:val="none"/>
          <w14:textFill>
            <w14:solidFill>
              <w14:schemeClr w14:val="tx1"/>
            </w14:solidFill>
          </w14:textFill>
        </w:rPr>
        <w:t>将对确定为实质上响应的投标进行审核，看其是否有计算上或累加上的算术错误，修正错误的原则如下：</w:t>
      </w:r>
    </w:p>
    <w:p w14:paraId="1FF29B22">
      <w:pPr>
        <w:shd w:val="clear"/>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（1）文字与图表不符以文字为准；</w:t>
      </w:r>
    </w:p>
    <w:p w14:paraId="419D3D83">
      <w:pPr>
        <w:shd w:val="clear"/>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（2）投标文件中开标一览表（报价表）内容与投标文件中相应内容不一致的，以开标一览表（报价表）为准；</w:t>
      </w:r>
    </w:p>
    <w:p w14:paraId="3F04737D">
      <w:pPr>
        <w:shd w:val="clear"/>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（3）大写金额和小写金额不一致的，以大写金额为准；</w:t>
      </w:r>
    </w:p>
    <w:p w14:paraId="59AC925C">
      <w:pPr>
        <w:shd w:val="clear"/>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（4）单价金额小数点或者百分比有明显错位的，以开标一览表的总价为准，并修改单价；</w:t>
      </w:r>
    </w:p>
    <w:p w14:paraId="167EE4FB">
      <w:pPr>
        <w:shd w:val="clear"/>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（5）总价金额与按单价汇总金额不一致的，以单价金额计算结果为准。</w:t>
      </w:r>
    </w:p>
    <w:p w14:paraId="5286AFFB">
      <w:pPr>
        <w:shd w:val="clear"/>
        <w:snapToGrid w:val="0"/>
        <w:spacing w:line="360" w:lineRule="auto"/>
        <w:ind w:firstLine="630" w:firstLineChars="3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同时出现两种以上不一致的，按照前款规定的顺序修正。修正后的报价按照《政府采购货物和服务招标投标管理办法》财政部第87号令第五十一条第二款的规定经投标人确认后产生约束力，投标人不确认的，其投标无效。</w:t>
      </w:r>
    </w:p>
    <w:p w14:paraId="7B872F09">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6.3.6.评标委员会对投标文件的判定，只依据投标内容本身，不依靠开标后的任何外来证明。</w:t>
      </w:r>
    </w:p>
    <w:p w14:paraId="4C242AD1">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6.3.7.评标委员会将拒绝被确定为非实质性响应的投标，投标人不能通过修正或撤销不符之处而使其投标成为实质性响应的投标。</w:t>
      </w:r>
    </w:p>
    <w:p w14:paraId="2925D69D">
      <w:pPr>
        <w:shd w:val="clear"/>
        <w:snapToGrid w:val="0"/>
        <w:spacing w:line="360" w:lineRule="auto"/>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6.4.投标的澄清</w:t>
      </w:r>
    </w:p>
    <w:p w14:paraId="0299841E">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6.4.1.为了有助于对投标文件进行审查、评估和比较，招标代理机构有权就投标文件中含混之处向投标人提出询问或澄清要求。投标人必须按照招标代理机构通知的时间、地点派技术和商务人员进行答疑和澄清。</w:t>
      </w:r>
    </w:p>
    <w:p w14:paraId="0C67EBF3">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6.4.2.有关澄清的答复应采用书面形式，该书面答复应有投标人全权代表签署确认，并将作为投标内容的一部分。</w:t>
      </w:r>
    </w:p>
    <w:p w14:paraId="2FD5C8AD">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6.4.3.投标人对投标文件的澄清不得改变投标的价格（校核时发现的算术错误除外）及实质内容。</w:t>
      </w:r>
    </w:p>
    <w:p w14:paraId="2269F086">
      <w:pPr>
        <w:shd w:val="clear"/>
        <w:snapToGrid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6.5、公开招标数额标准以上的采购项目，投标截止后投标人不足3家或者通过资格审查或符合性审查的投标人不足3家的，除采购任务取消情形外，按照以下方式处理：</w:t>
      </w:r>
    </w:p>
    <w:p w14:paraId="7604E6CC">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6.5.1.招标文件存在不合理条款或者招标程序不符合规定的，采购人、采购代理机构改正后依法重新招标；</w:t>
      </w:r>
    </w:p>
    <w:p w14:paraId="15418297">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6.5.2.招标文件没有不合理条款、招标程序符合规定，需要采用其他采购方式采购的，采购人应当依法报财政部门批准。</w:t>
      </w:r>
    </w:p>
    <w:p w14:paraId="6F51E48A">
      <w:pPr>
        <w:shd w:val="clear"/>
        <w:snapToGrid w:val="0"/>
        <w:spacing w:line="360" w:lineRule="auto"/>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6.6、投标文件的评价和比较</w:t>
      </w:r>
    </w:p>
    <w:p w14:paraId="50BE2A8B">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6.6.1.评标委员会将仅对按照本须知有关规定确定为实质上响应招标文件要求的投标文件进行评价和比较。</w:t>
      </w:r>
    </w:p>
    <w:p w14:paraId="5CF13BEA">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6.6.2.评价和比较采用综合评分法，</w:t>
      </w:r>
      <w:r>
        <w:rPr>
          <w:rFonts w:hint="eastAsia" w:ascii="仿宋" w:hAnsi="仿宋" w:eastAsia="仿宋" w:cs="仿宋"/>
          <w:color w:val="000000" w:themeColor="text1"/>
          <w:szCs w:val="21"/>
          <w:highlight w:val="none"/>
          <w:lang w:eastAsia="zh-CN"/>
          <w14:textFill>
            <w14:solidFill>
              <w14:schemeClr w14:val="tx1"/>
            </w14:solidFill>
          </w14:textFill>
        </w:rPr>
        <w:t>评标委员会</w:t>
      </w:r>
      <w:r>
        <w:rPr>
          <w:rFonts w:hint="eastAsia" w:ascii="仿宋" w:hAnsi="仿宋" w:eastAsia="仿宋" w:cs="仿宋"/>
          <w:color w:val="000000" w:themeColor="text1"/>
          <w:szCs w:val="21"/>
          <w:highlight w:val="none"/>
          <w14:textFill>
            <w14:solidFill>
              <w14:schemeClr w14:val="tx1"/>
            </w14:solidFill>
          </w14:textFill>
        </w:rPr>
        <w:t>严格按照招标文件的规定要求、条件、评分标准，对投标人所提供货物或服务的先进性、可靠性、售后服务承诺、质量保证承诺等实质性响应内容进行比较评价。</w:t>
      </w:r>
    </w:p>
    <w:p w14:paraId="3564A22B">
      <w:pPr>
        <w:shd w:val="clear"/>
        <w:snapToGrid w:val="0"/>
        <w:spacing w:line="360" w:lineRule="auto"/>
        <w:ind w:firstLine="420" w:firstLineChars="2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6.6.3.最低的投标报价或最高的折扣比例是中标条件之一，但不是唯一条件。</w:t>
      </w:r>
    </w:p>
    <w:p w14:paraId="6DFBF433">
      <w:pPr>
        <w:shd w:val="clear"/>
        <w:snapToGrid w:val="0"/>
        <w:spacing w:line="360" w:lineRule="auto"/>
        <w:outlineLvl w:val="0"/>
        <w:rPr>
          <w:rFonts w:hint="eastAsia" w:ascii="仿宋" w:hAnsi="仿宋" w:eastAsia="仿宋" w:cs="仿宋"/>
          <w:b/>
          <w:color w:val="000000" w:themeColor="text1"/>
          <w:szCs w:val="21"/>
          <w:highlight w:val="none"/>
          <w14:textFill>
            <w14:solidFill>
              <w14:schemeClr w14:val="tx1"/>
            </w14:solidFill>
          </w14:textFill>
        </w:rPr>
      </w:pPr>
      <w:bookmarkStart w:id="240" w:name="_Toc7400"/>
      <w:bookmarkStart w:id="241" w:name="_Toc2757"/>
      <w:bookmarkStart w:id="242" w:name="_Toc7897"/>
      <w:bookmarkStart w:id="243" w:name="_Toc26618"/>
      <w:bookmarkStart w:id="244" w:name="_Toc15027"/>
      <w:bookmarkStart w:id="245" w:name="_Toc18475"/>
      <w:bookmarkStart w:id="246" w:name="_Toc10418"/>
      <w:bookmarkStart w:id="247" w:name="_Toc5292"/>
      <w:bookmarkStart w:id="248" w:name="_Toc19460"/>
      <w:bookmarkStart w:id="249" w:name="_Toc14132"/>
      <w:bookmarkStart w:id="250" w:name="_Toc20387"/>
      <w:bookmarkStart w:id="251" w:name="_Toc21769"/>
      <w:bookmarkStart w:id="252" w:name="_Toc30370"/>
      <w:bookmarkStart w:id="253" w:name="_Toc24080"/>
      <w:bookmarkStart w:id="254" w:name="_Toc8045"/>
      <w:r>
        <w:rPr>
          <w:rFonts w:hint="eastAsia" w:ascii="仿宋" w:hAnsi="仿宋" w:eastAsia="仿宋" w:cs="仿宋"/>
          <w:b/>
          <w:color w:val="000000" w:themeColor="text1"/>
          <w:szCs w:val="21"/>
          <w:highlight w:val="none"/>
          <w14:textFill>
            <w14:solidFill>
              <w14:schemeClr w14:val="tx1"/>
            </w14:solidFill>
          </w14:textFill>
        </w:rPr>
        <w:t>6.7.评标过程保密</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41FE0DEC">
      <w:pPr>
        <w:shd w:val="clear"/>
        <w:snapToGrid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6.7.1.从开标之日到确定中标人止，评标人员不得向投标人或其他无关人员透露有关审查、澄清、评价和比较投标资料的情况或授标意向。</w:t>
      </w:r>
    </w:p>
    <w:p w14:paraId="52571890">
      <w:pPr>
        <w:shd w:val="clear"/>
        <w:snapToGrid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6.7.2.任何人员如发生泄密现象，将承担相应的法律责任。</w:t>
      </w:r>
    </w:p>
    <w:p w14:paraId="627941F4">
      <w:pPr>
        <w:shd w:val="clear"/>
        <w:snapToGrid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6.7.3.投标人企图影响招标方的任何行为，将导致该投标人被拒绝，并承担相应的法律责任。</w:t>
      </w:r>
    </w:p>
    <w:p w14:paraId="6FE4ECC4">
      <w:pPr>
        <w:shd w:val="clear"/>
        <w:snapToGrid w:val="0"/>
        <w:spacing w:line="360" w:lineRule="auto"/>
        <w:outlineLvl w:val="0"/>
        <w:rPr>
          <w:rFonts w:hint="eastAsia" w:ascii="仿宋" w:hAnsi="仿宋" w:eastAsia="仿宋" w:cs="仿宋"/>
          <w:b/>
          <w:color w:val="000000" w:themeColor="text1"/>
          <w:szCs w:val="21"/>
          <w:highlight w:val="none"/>
          <w14:textFill>
            <w14:solidFill>
              <w14:schemeClr w14:val="tx1"/>
            </w14:solidFill>
          </w14:textFill>
        </w:rPr>
      </w:pPr>
      <w:bookmarkStart w:id="255" w:name="_Toc453862260"/>
      <w:bookmarkStart w:id="256" w:name="_Toc3834"/>
      <w:bookmarkStart w:id="257" w:name="_Toc26856"/>
      <w:bookmarkStart w:id="258" w:name="_Toc23467"/>
      <w:bookmarkStart w:id="259" w:name="_Toc15131"/>
      <w:bookmarkStart w:id="260" w:name="_Toc28525"/>
      <w:bookmarkStart w:id="261" w:name="_Toc32173"/>
      <w:bookmarkStart w:id="262" w:name="_Toc19635"/>
      <w:bookmarkStart w:id="263" w:name="_Toc9463"/>
      <w:bookmarkStart w:id="264" w:name="_Toc18474"/>
      <w:bookmarkStart w:id="265" w:name="_Toc20614"/>
      <w:bookmarkStart w:id="266" w:name="_Toc5478"/>
      <w:bookmarkStart w:id="267" w:name="_Toc536"/>
      <w:bookmarkStart w:id="268" w:name="_Toc2790"/>
      <w:bookmarkStart w:id="269" w:name="_Toc22630"/>
      <w:bookmarkStart w:id="270" w:name="_Toc2269"/>
      <w:r>
        <w:rPr>
          <w:rFonts w:hint="eastAsia" w:ascii="仿宋" w:hAnsi="仿宋" w:eastAsia="仿宋" w:cs="仿宋"/>
          <w:b/>
          <w:color w:val="000000" w:themeColor="text1"/>
          <w:szCs w:val="21"/>
          <w:highlight w:val="none"/>
          <w14:textFill>
            <w14:solidFill>
              <w14:schemeClr w14:val="tx1"/>
            </w14:solidFill>
          </w14:textFill>
        </w:rPr>
        <w:t>6.8.</w:t>
      </w:r>
      <w:bookmarkEnd w:id="255"/>
      <w:r>
        <w:rPr>
          <w:rFonts w:hint="eastAsia" w:ascii="仿宋" w:hAnsi="仿宋" w:eastAsia="仿宋" w:cs="仿宋"/>
          <w:b/>
          <w:color w:val="000000" w:themeColor="text1"/>
          <w:szCs w:val="21"/>
          <w:highlight w:val="none"/>
          <w14:textFill>
            <w14:solidFill>
              <w14:schemeClr w14:val="tx1"/>
            </w14:solidFill>
          </w14:textFill>
        </w:rPr>
        <w:t>推荐中标候选人</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3122C3B6">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评标委员会按照招标文件确定的内容和评标方法对投标文件进行评审，按照得分由高到低的顺序，按排序推荐中标候选人。</w:t>
      </w:r>
    </w:p>
    <w:p w14:paraId="22B03E29">
      <w:pPr>
        <w:pStyle w:val="3"/>
        <w:shd w:val="clear"/>
        <w:tabs>
          <w:tab w:val="left" w:pos="3930"/>
          <w:tab w:val="center" w:pos="4819"/>
        </w:tabs>
        <w:snapToGrid w:val="0"/>
        <w:jc w:val="left"/>
        <w:rPr>
          <w:rFonts w:hint="eastAsia" w:ascii="仿宋" w:hAnsi="仿宋" w:eastAsia="仿宋" w:cs="仿宋"/>
          <w:color w:val="000000" w:themeColor="text1"/>
          <w:sz w:val="24"/>
          <w:szCs w:val="24"/>
          <w:highlight w:val="none"/>
          <w14:textFill>
            <w14:solidFill>
              <w14:schemeClr w14:val="tx1"/>
            </w14:solidFill>
          </w14:textFill>
        </w:rPr>
      </w:pPr>
      <w:bookmarkStart w:id="271" w:name="_Toc519941193"/>
      <w:bookmarkStart w:id="272" w:name="_Toc31550"/>
      <w:bookmarkStart w:id="273" w:name="_Toc2125"/>
      <w:bookmarkStart w:id="274" w:name="_Toc531189841"/>
      <w:r>
        <w:rPr>
          <w:rFonts w:hint="eastAsia" w:ascii="仿宋" w:hAnsi="仿宋" w:eastAsia="仿宋" w:cs="仿宋"/>
          <w:color w:val="000000" w:themeColor="text1"/>
          <w:sz w:val="24"/>
          <w:szCs w:val="24"/>
          <w:highlight w:val="none"/>
          <w14:textFill>
            <w14:solidFill>
              <w14:schemeClr w14:val="tx1"/>
            </w14:solidFill>
          </w14:textFill>
        </w:rPr>
        <w:t>七、确定中标及中标公示</w:t>
      </w:r>
      <w:bookmarkEnd w:id="271"/>
      <w:bookmarkEnd w:id="272"/>
      <w:bookmarkEnd w:id="273"/>
      <w:bookmarkEnd w:id="274"/>
    </w:p>
    <w:p w14:paraId="6DCC0954">
      <w:pPr>
        <w:shd w:val="clear"/>
        <w:snapToGrid w:val="0"/>
        <w:spacing w:line="360" w:lineRule="auto"/>
        <w:ind w:firstLine="211" w:firstLineChars="100"/>
        <w:outlineLvl w:val="0"/>
        <w:rPr>
          <w:rFonts w:hint="eastAsia" w:ascii="仿宋" w:hAnsi="仿宋" w:eastAsia="仿宋" w:cs="仿宋"/>
          <w:b/>
          <w:color w:val="000000" w:themeColor="text1"/>
          <w:szCs w:val="21"/>
          <w:highlight w:val="none"/>
          <w14:textFill>
            <w14:solidFill>
              <w14:schemeClr w14:val="tx1"/>
            </w14:solidFill>
          </w14:textFill>
        </w:rPr>
      </w:pPr>
      <w:bookmarkStart w:id="275" w:name="_Toc19446"/>
      <w:bookmarkStart w:id="276" w:name="_Toc24681"/>
      <w:bookmarkStart w:id="277" w:name="_Toc2216"/>
      <w:bookmarkStart w:id="278" w:name="_Toc6506"/>
      <w:bookmarkStart w:id="279" w:name="_Toc22568"/>
      <w:bookmarkStart w:id="280" w:name="_Toc17914"/>
      <w:bookmarkStart w:id="281" w:name="_Toc32063"/>
      <w:bookmarkStart w:id="282" w:name="_Toc25981"/>
      <w:bookmarkStart w:id="283" w:name="_Toc16701"/>
      <w:bookmarkStart w:id="284" w:name="_Toc1114"/>
      <w:bookmarkStart w:id="285" w:name="_Toc2805"/>
      <w:bookmarkStart w:id="286" w:name="_Toc8706"/>
      <w:bookmarkStart w:id="287" w:name="_Toc31722"/>
      <w:bookmarkStart w:id="288" w:name="_Toc2700"/>
      <w:bookmarkStart w:id="289" w:name="_Toc24051"/>
      <w:r>
        <w:rPr>
          <w:rFonts w:hint="eastAsia" w:ascii="仿宋" w:hAnsi="仿宋" w:eastAsia="仿宋" w:cs="仿宋"/>
          <w:b/>
          <w:color w:val="000000" w:themeColor="text1"/>
          <w:szCs w:val="21"/>
          <w:highlight w:val="none"/>
          <w14:textFill>
            <w14:solidFill>
              <w14:schemeClr w14:val="tx1"/>
            </w14:solidFill>
          </w14:textFill>
        </w:rPr>
        <w:t>7.1.中标公示</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15BAA485">
      <w:pPr>
        <w:shd w:val="clear"/>
        <w:snapToGrid w:val="0"/>
        <w:spacing w:line="360" w:lineRule="auto"/>
        <w:ind w:firstLine="411" w:firstLineChars="19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7.1.1. 采购人根据评标报告中推荐的中标候选人排列顺序确定中标人。</w:t>
      </w:r>
    </w:p>
    <w:p w14:paraId="73472F36">
      <w:pPr>
        <w:shd w:val="clear"/>
        <w:snapToGrid w:val="0"/>
        <w:spacing w:line="360" w:lineRule="auto"/>
        <w:ind w:firstLine="411" w:firstLineChars="19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7.1.2. 中标结果在</w:t>
      </w:r>
      <w:r>
        <w:rPr>
          <w:rFonts w:hint="eastAsia" w:ascii="仿宋" w:hAnsi="仿宋" w:eastAsia="仿宋" w:cs="仿宋"/>
          <w:color w:val="000000" w:themeColor="text1"/>
          <w:kern w:val="0"/>
          <w:szCs w:val="21"/>
          <w:highlight w:val="none"/>
          <w14:textFill>
            <w14:solidFill>
              <w14:schemeClr w14:val="tx1"/>
            </w14:solidFill>
          </w14:textFill>
        </w:rPr>
        <w:t>《陕西省政府采购网》</w:t>
      </w:r>
      <w:r>
        <w:rPr>
          <w:rFonts w:hint="eastAsia" w:ascii="仿宋" w:hAnsi="仿宋" w:eastAsia="仿宋" w:cs="仿宋"/>
          <w:color w:val="000000" w:themeColor="text1"/>
          <w:szCs w:val="21"/>
          <w:highlight w:val="none"/>
          <w14:textFill>
            <w14:solidFill>
              <w14:schemeClr w14:val="tx1"/>
            </w14:solidFill>
          </w14:textFill>
        </w:rPr>
        <w:t>发布采购结果公告，结果公告期限为1个工作日。投标人对评标结果有异议的，可以以书面形式提出质疑。提出质疑的投标人应保证提出的质疑内容及相应证明材料的真实性及来源的合法性，并承担相应的法律责任。</w:t>
      </w:r>
    </w:p>
    <w:p w14:paraId="27ACA085">
      <w:pPr>
        <w:shd w:val="clear"/>
        <w:snapToGrid w:val="0"/>
        <w:spacing w:line="360" w:lineRule="auto"/>
        <w:ind w:firstLine="411" w:firstLineChars="19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7.1.3.</w:t>
      </w:r>
      <w:r>
        <w:rPr>
          <w:rFonts w:hint="eastAsia" w:ascii="仿宋" w:hAnsi="仿宋" w:eastAsia="仿宋" w:cs="仿宋"/>
          <w:color w:val="000000" w:themeColor="text1"/>
          <w:szCs w:val="21"/>
          <w:highlight w:val="none"/>
          <w:lang w:eastAsia="zh-CN"/>
          <w14:textFill>
            <w14:solidFill>
              <w14:schemeClr w14:val="tx1"/>
            </w14:solidFill>
          </w14:textFill>
        </w:rPr>
        <w:t>评标委员会</w:t>
      </w:r>
      <w:r>
        <w:rPr>
          <w:rFonts w:hint="eastAsia" w:ascii="仿宋" w:hAnsi="仿宋" w:eastAsia="仿宋" w:cs="仿宋"/>
          <w:color w:val="000000" w:themeColor="text1"/>
          <w:szCs w:val="21"/>
          <w:highlight w:val="none"/>
          <w14:textFill>
            <w14:solidFill>
              <w14:schemeClr w14:val="tx1"/>
            </w14:solidFill>
          </w14:textFill>
        </w:rPr>
        <w:t>可以对已推荐的中标候选人进行履约能力的进一步审核，以确认其是否具备完全履约能力。中标候选人不得拒绝提供进一步的证明其有能力履约的资料，并应该接受实地考察，如果发现中标候选人在履约能力方面有缺陷，或中标候选人不接受对其履约能力的进一步审核，</w:t>
      </w:r>
      <w:r>
        <w:rPr>
          <w:rFonts w:hint="eastAsia" w:ascii="仿宋" w:hAnsi="仿宋" w:eastAsia="仿宋" w:cs="仿宋"/>
          <w:color w:val="000000" w:themeColor="text1"/>
          <w:szCs w:val="21"/>
          <w:highlight w:val="none"/>
          <w:lang w:eastAsia="zh-CN"/>
          <w14:textFill>
            <w14:solidFill>
              <w14:schemeClr w14:val="tx1"/>
            </w14:solidFill>
          </w14:textFill>
        </w:rPr>
        <w:t>评标委员会</w:t>
      </w:r>
      <w:r>
        <w:rPr>
          <w:rFonts w:hint="eastAsia" w:ascii="仿宋" w:hAnsi="仿宋" w:eastAsia="仿宋" w:cs="仿宋"/>
          <w:color w:val="000000" w:themeColor="text1"/>
          <w:szCs w:val="21"/>
          <w:highlight w:val="none"/>
          <w14:textFill>
            <w14:solidFill>
              <w14:schemeClr w14:val="tx1"/>
            </w14:solidFill>
          </w14:textFill>
        </w:rPr>
        <w:t>可以对原评标结果进行复议。</w:t>
      </w:r>
    </w:p>
    <w:p w14:paraId="158DFA1E">
      <w:pPr>
        <w:shd w:val="clear"/>
        <w:snapToGrid w:val="0"/>
        <w:spacing w:line="360" w:lineRule="auto"/>
        <w:ind w:firstLine="411" w:firstLineChars="19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7.1.4. 排名第一的中标候选人放弃中标、因不可抗力不能履行合同或者被查实存在影响中标结果的违法行为等情形，不符合中标条件的，采购人可以按照评标委员会提出的中标候选人名单排序依次确定其他中标候选人为中标人，也可以重新招标。</w:t>
      </w:r>
    </w:p>
    <w:p w14:paraId="54C2B592">
      <w:pPr>
        <w:shd w:val="clear"/>
        <w:snapToGrid w:val="0"/>
        <w:spacing w:line="360" w:lineRule="auto"/>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7.2.中标通知</w:t>
      </w:r>
    </w:p>
    <w:p w14:paraId="30F00A55">
      <w:pPr>
        <w:shd w:val="clear"/>
        <w:snapToGrid w:val="0"/>
        <w:spacing w:line="360" w:lineRule="auto"/>
        <w:ind w:firstLine="411" w:firstLineChars="19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7.2.1. 中标人确定之后，采购人根据评标报告，向采购代理机构提供定标函。采购代理机构发布结果公告的同时向中标人发放中标通知书。</w:t>
      </w:r>
    </w:p>
    <w:p w14:paraId="0776EF8D">
      <w:pPr>
        <w:shd w:val="clear"/>
        <w:snapToGrid w:val="0"/>
        <w:spacing w:line="360" w:lineRule="auto"/>
        <w:ind w:firstLine="411" w:firstLineChars="19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7.2.2.中标通知书对采购人和中标人具有同等法律效力。中标通知书发出之后，采购人改变中标结果，或者中标人放弃中标，均应当承担相应的法律责任。</w:t>
      </w:r>
    </w:p>
    <w:p w14:paraId="29419C68">
      <w:pPr>
        <w:shd w:val="clear"/>
        <w:snapToGrid w:val="0"/>
        <w:spacing w:line="360" w:lineRule="auto"/>
        <w:ind w:firstLine="411" w:firstLineChars="19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7.2.3.采购代理机构不做未中标原因的解释。</w:t>
      </w:r>
    </w:p>
    <w:p w14:paraId="16EE67EC">
      <w:pPr>
        <w:shd w:val="clear"/>
        <w:snapToGrid w:val="0"/>
        <w:spacing w:line="360" w:lineRule="auto"/>
        <w:ind w:firstLine="411" w:firstLineChars="19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7.2.4.中标通知书将是合同的一个组成部分。</w:t>
      </w:r>
    </w:p>
    <w:p w14:paraId="6C8CBD58">
      <w:pPr>
        <w:shd w:val="clear"/>
        <w:snapToGrid w:val="0"/>
        <w:spacing w:line="360" w:lineRule="auto"/>
        <w:ind w:firstLine="211" w:firstLineChars="1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7.3.签订合同</w:t>
      </w:r>
    </w:p>
    <w:p w14:paraId="599048D1">
      <w:pPr>
        <w:shd w:val="clear"/>
        <w:snapToGrid w:val="0"/>
        <w:spacing w:line="360" w:lineRule="auto"/>
        <w:ind w:firstLine="411" w:firstLineChars="19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7.3.1.中标人应依据中标通知书与采购人在法定期限内签订采购合同；如未能按时签订合同，采购人有权选择其它单位。</w:t>
      </w:r>
    </w:p>
    <w:p w14:paraId="422C9FA3">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7.3.2.招标文件、中标人的投标文件及评标过程中有关的澄清文件均作为合同附件。</w:t>
      </w:r>
    </w:p>
    <w:p w14:paraId="67AFB667">
      <w:pPr>
        <w:shd w:val="clear"/>
        <w:snapToGrid w:val="0"/>
        <w:spacing w:line="360" w:lineRule="auto"/>
        <w:ind w:firstLine="211" w:firstLineChars="1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7.4.</w:t>
      </w:r>
      <w:bookmarkStart w:id="290" w:name="_Toc322606648"/>
      <w:r>
        <w:rPr>
          <w:rFonts w:hint="eastAsia" w:ascii="仿宋" w:hAnsi="仿宋" w:eastAsia="仿宋" w:cs="仿宋"/>
          <w:b/>
          <w:bCs/>
          <w:color w:val="000000" w:themeColor="text1"/>
          <w:szCs w:val="21"/>
          <w:highlight w:val="none"/>
          <w14:textFill>
            <w14:solidFill>
              <w14:schemeClr w14:val="tx1"/>
            </w14:solidFill>
          </w14:textFill>
        </w:rPr>
        <w:t>合同履行</w:t>
      </w:r>
      <w:bookmarkEnd w:id="290"/>
    </w:p>
    <w:p w14:paraId="4C559807">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7.4.1.政府采购合同的履行、违约责任和解决争议的方法等适用《中华人民共和国民法典》。</w:t>
      </w:r>
    </w:p>
    <w:p w14:paraId="273659FA">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7.4.2.</w:t>
      </w:r>
      <w:r>
        <w:rPr>
          <w:rFonts w:hint="eastAsia" w:ascii="仿宋" w:hAnsi="仿宋" w:eastAsia="仿宋" w:cs="仿宋"/>
          <w:color w:val="000000" w:themeColor="text1"/>
          <w:szCs w:val="21"/>
          <w:highlight w:val="none"/>
          <w:lang w:eastAsia="zh-TW"/>
          <w14:textFill>
            <w14:solidFill>
              <w14:schemeClr w14:val="tx1"/>
            </w14:solidFill>
          </w14:textFill>
        </w:rPr>
        <w:t>政府采购合同订立后，合同各方不得擅自变更</w:t>
      </w:r>
      <w:r>
        <w:rPr>
          <w:rFonts w:hint="eastAsia" w:ascii="仿宋" w:hAnsi="仿宋" w:eastAsia="仿宋" w:cs="仿宋"/>
          <w:color w:val="000000" w:themeColor="text1"/>
          <w:szCs w:val="21"/>
          <w:highlight w:val="none"/>
          <w14:textFill>
            <w14:solidFill>
              <w14:schemeClr w14:val="tx1"/>
            </w14:solidFill>
          </w14:textFill>
        </w:rPr>
        <w:t>或者</w:t>
      </w:r>
      <w:r>
        <w:rPr>
          <w:rFonts w:hint="eastAsia" w:ascii="仿宋" w:hAnsi="仿宋" w:eastAsia="仿宋" w:cs="仿宋"/>
          <w:color w:val="000000" w:themeColor="text1"/>
          <w:szCs w:val="21"/>
          <w:highlight w:val="none"/>
          <w:lang w:eastAsia="zh-TW"/>
          <w14:textFill>
            <w14:solidFill>
              <w14:schemeClr w14:val="tx1"/>
            </w14:solidFill>
          </w14:textFill>
        </w:rPr>
        <w:t>中止或者终止合同。政府采购合同需要变更的，采购人应将有关合同变更内容，以书面形式报政府采购监督管理</w:t>
      </w:r>
      <w:r>
        <w:rPr>
          <w:rFonts w:hint="eastAsia" w:ascii="仿宋" w:hAnsi="仿宋" w:eastAsia="仿宋" w:cs="仿宋"/>
          <w:color w:val="000000" w:themeColor="text1"/>
          <w:szCs w:val="21"/>
          <w:highlight w:val="none"/>
          <w14:textFill>
            <w14:solidFill>
              <w14:schemeClr w14:val="tx1"/>
            </w14:solidFill>
          </w14:textFill>
        </w:rPr>
        <w:t>部门</w:t>
      </w:r>
      <w:r>
        <w:rPr>
          <w:rFonts w:hint="eastAsia" w:ascii="仿宋" w:hAnsi="仿宋" w:eastAsia="仿宋" w:cs="仿宋"/>
          <w:color w:val="000000" w:themeColor="text1"/>
          <w:szCs w:val="21"/>
          <w:highlight w:val="none"/>
          <w:lang w:eastAsia="zh-TW"/>
          <w14:textFill>
            <w14:solidFill>
              <w14:schemeClr w14:val="tx1"/>
            </w14:solidFill>
          </w14:textFill>
        </w:rPr>
        <w:t>备案；因特殊情况需要中止或终止合同的，采购人应将中止或终止合同的理由以及相应措施，以书面形式报政府采购监督管理</w:t>
      </w:r>
      <w:r>
        <w:rPr>
          <w:rFonts w:hint="eastAsia" w:ascii="仿宋" w:hAnsi="仿宋" w:eastAsia="仿宋" w:cs="仿宋"/>
          <w:color w:val="000000" w:themeColor="text1"/>
          <w:szCs w:val="21"/>
          <w:highlight w:val="none"/>
          <w14:textFill>
            <w14:solidFill>
              <w14:schemeClr w14:val="tx1"/>
            </w14:solidFill>
          </w14:textFill>
        </w:rPr>
        <w:t>部门</w:t>
      </w:r>
      <w:r>
        <w:rPr>
          <w:rFonts w:hint="eastAsia" w:ascii="仿宋" w:hAnsi="仿宋" w:eastAsia="仿宋" w:cs="仿宋"/>
          <w:color w:val="000000" w:themeColor="text1"/>
          <w:szCs w:val="21"/>
          <w:highlight w:val="none"/>
          <w:lang w:eastAsia="zh-TW"/>
          <w14:textFill>
            <w14:solidFill>
              <w14:schemeClr w14:val="tx1"/>
            </w14:solidFill>
          </w14:textFill>
        </w:rPr>
        <w:t>备案。</w:t>
      </w:r>
    </w:p>
    <w:p w14:paraId="56326031">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7.4.3.</w:t>
      </w:r>
      <w:r>
        <w:rPr>
          <w:rFonts w:hint="eastAsia" w:ascii="仿宋" w:hAnsi="仿宋" w:eastAsia="仿宋" w:cs="仿宋"/>
          <w:color w:val="000000" w:themeColor="text1"/>
          <w:szCs w:val="21"/>
          <w:highlight w:val="none"/>
          <w:lang w:eastAsia="zh-TW"/>
          <w14:textFill>
            <w14:solidFill>
              <w14:schemeClr w14:val="tx1"/>
            </w14:solidFill>
          </w14:textFill>
        </w:rPr>
        <w:t>政府采购合同履行中，采购人需追加与合同标的相同的货物的，在不改变合同其他条款的前提下，可以与</w:t>
      </w:r>
      <w:r>
        <w:rPr>
          <w:rFonts w:hint="eastAsia" w:ascii="仿宋" w:hAnsi="仿宋" w:eastAsia="仿宋" w:cs="仿宋"/>
          <w:color w:val="000000" w:themeColor="text1"/>
          <w:szCs w:val="21"/>
          <w:highlight w:val="none"/>
          <w14:textFill>
            <w14:solidFill>
              <w14:schemeClr w14:val="tx1"/>
            </w14:solidFill>
          </w14:textFill>
        </w:rPr>
        <w:t>中标人</w:t>
      </w:r>
      <w:r>
        <w:rPr>
          <w:rFonts w:hint="eastAsia" w:ascii="仿宋" w:hAnsi="仿宋" w:eastAsia="仿宋" w:cs="仿宋"/>
          <w:color w:val="000000" w:themeColor="text1"/>
          <w:szCs w:val="21"/>
          <w:highlight w:val="none"/>
          <w:lang w:eastAsia="zh-TW"/>
          <w14:textFill>
            <w14:solidFill>
              <w14:schemeClr w14:val="tx1"/>
            </w14:solidFill>
          </w14:textFill>
        </w:rPr>
        <w:t>签订补充合同，但所补充合同的采购金额不得超过原</w:t>
      </w:r>
      <w:r>
        <w:rPr>
          <w:rFonts w:hint="eastAsia" w:ascii="仿宋" w:hAnsi="仿宋" w:eastAsia="仿宋" w:cs="仿宋"/>
          <w:color w:val="000000" w:themeColor="text1"/>
          <w:szCs w:val="21"/>
          <w:highlight w:val="none"/>
          <w14:textFill>
            <w14:solidFill>
              <w14:schemeClr w14:val="tx1"/>
            </w14:solidFill>
          </w14:textFill>
        </w:rPr>
        <w:t>合同</w:t>
      </w:r>
      <w:r>
        <w:rPr>
          <w:rFonts w:hint="eastAsia" w:ascii="仿宋" w:hAnsi="仿宋" w:eastAsia="仿宋" w:cs="仿宋"/>
          <w:color w:val="000000" w:themeColor="text1"/>
          <w:szCs w:val="21"/>
          <w:highlight w:val="none"/>
          <w:lang w:eastAsia="zh-TW"/>
          <w14:textFill>
            <w14:solidFill>
              <w14:schemeClr w14:val="tx1"/>
            </w14:solidFill>
          </w14:textFill>
        </w:rPr>
        <w:t>采购金额的百分之十。签订补充合同的</w:t>
      </w:r>
      <w:r>
        <w:rPr>
          <w:rFonts w:hint="eastAsia" w:ascii="仿宋" w:hAnsi="仿宋" w:eastAsia="仿宋" w:cs="仿宋"/>
          <w:color w:val="000000" w:themeColor="text1"/>
          <w:szCs w:val="21"/>
          <w:highlight w:val="none"/>
          <w14:textFill>
            <w14:solidFill>
              <w14:schemeClr w14:val="tx1"/>
            </w14:solidFill>
          </w14:textFill>
        </w:rPr>
        <w:t>应</w:t>
      </w:r>
      <w:r>
        <w:rPr>
          <w:rFonts w:hint="eastAsia" w:ascii="仿宋" w:hAnsi="仿宋" w:eastAsia="仿宋" w:cs="仿宋"/>
          <w:color w:val="000000" w:themeColor="text1"/>
          <w:szCs w:val="21"/>
          <w:highlight w:val="none"/>
          <w:lang w:eastAsia="zh-TW"/>
          <w14:textFill>
            <w14:solidFill>
              <w14:schemeClr w14:val="tx1"/>
            </w14:solidFill>
          </w14:textFill>
        </w:rPr>
        <w:t>按规定备案。</w:t>
      </w:r>
    </w:p>
    <w:p w14:paraId="6480B30F">
      <w:pPr>
        <w:pStyle w:val="21"/>
        <w:shd w:val="clear"/>
        <w:spacing w:line="360" w:lineRule="auto"/>
        <w:jc w:val="both"/>
        <w:outlineLvl w:val="1"/>
        <w:rPr>
          <w:rFonts w:hint="eastAsia" w:ascii="仿宋" w:hAnsi="仿宋" w:eastAsia="仿宋" w:cs="仿宋"/>
          <w:b/>
          <w:bCs/>
          <w:color w:val="000000" w:themeColor="text1"/>
          <w:kern w:val="0"/>
          <w:sz w:val="24"/>
          <w:szCs w:val="24"/>
          <w:highlight w:val="none"/>
          <w14:textFill>
            <w14:solidFill>
              <w14:schemeClr w14:val="tx1"/>
            </w14:solidFill>
          </w14:textFill>
        </w:rPr>
      </w:pPr>
      <w:bookmarkStart w:id="291" w:name="_Toc23848"/>
      <w:bookmarkStart w:id="292" w:name="_Toc30510"/>
      <w:r>
        <w:rPr>
          <w:rFonts w:hint="eastAsia" w:ascii="仿宋" w:hAnsi="仿宋" w:eastAsia="仿宋" w:cs="仿宋"/>
          <w:b/>
          <w:bCs/>
          <w:color w:val="000000" w:themeColor="text1"/>
          <w:kern w:val="0"/>
          <w:sz w:val="24"/>
          <w:szCs w:val="24"/>
          <w:highlight w:val="none"/>
          <w14:textFill>
            <w14:solidFill>
              <w14:schemeClr w14:val="tx1"/>
            </w14:solidFill>
          </w14:textFill>
        </w:rPr>
        <w:t>八、转包与分包</w:t>
      </w:r>
      <w:bookmarkEnd w:id="291"/>
      <w:bookmarkEnd w:id="292"/>
    </w:p>
    <w:p w14:paraId="7350A4AC">
      <w:pPr>
        <w:pStyle w:val="21"/>
        <w:shd w:val="clear"/>
        <w:spacing w:line="360" w:lineRule="auto"/>
        <w:ind w:firstLine="210" w:firstLineChars="100"/>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8.1. 本项目严禁采取转包方式履行合同。本项项目所称转包，是指中标人将政府采购合同业务转让给第三人，并退出现有政府采购合同当事人双方权利业务关系，受让人（即第三人）成为政府采购合同的另一方当事人的行为。</w:t>
      </w:r>
    </w:p>
    <w:p w14:paraId="1D10C0D6">
      <w:pPr>
        <w:pStyle w:val="21"/>
        <w:shd w:val="clear"/>
        <w:spacing w:line="360" w:lineRule="auto"/>
        <w:ind w:firstLine="420" w:firstLineChars="200"/>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中标人转包的，视同拒绝履行政府采购合同业务，将依法追究法律责任。</w:t>
      </w:r>
    </w:p>
    <w:p w14:paraId="5341616D">
      <w:pPr>
        <w:pStyle w:val="21"/>
        <w:shd w:val="clear"/>
        <w:spacing w:line="360" w:lineRule="auto"/>
        <w:ind w:firstLine="210" w:firstLineChars="100"/>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8.2.本项目经采购人同意，可以将中标段目的部分非主体、非关键性工作分包给他人完成，本项目“主体和关键性工作”是指：</w:t>
      </w:r>
      <w:r>
        <w:rPr>
          <w:rFonts w:hint="eastAsia" w:ascii="仿宋" w:hAnsi="仿宋" w:eastAsia="仿宋" w:cs="仿宋"/>
          <w:color w:val="000000" w:themeColor="text1"/>
          <w:szCs w:val="21"/>
          <w:highlight w:val="none"/>
          <w:u w:val="single"/>
          <w14:textFill>
            <w14:solidFill>
              <w14:schemeClr w14:val="tx1"/>
            </w14:solidFill>
          </w14:textFill>
        </w:rPr>
        <w:t xml:space="preserve">        /     </w:t>
      </w:r>
      <w:r>
        <w:rPr>
          <w:rFonts w:hint="eastAsia" w:ascii="仿宋" w:hAnsi="仿宋" w:eastAsia="仿宋" w:cs="仿宋"/>
          <w:color w:val="000000" w:themeColor="text1"/>
          <w:szCs w:val="21"/>
          <w:highlight w:val="none"/>
          <w14:textFill>
            <w14:solidFill>
              <w14:schemeClr w14:val="tx1"/>
            </w14:solidFill>
          </w14:textFill>
        </w:rPr>
        <w:t>（根据项目具体情况确定）。</w:t>
      </w:r>
    </w:p>
    <w:p w14:paraId="29D5F4F3">
      <w:pPr>
        <w:pStyle w:val="21"/>
        <w:shd w:val="clear"/>
        <w:spacing w:line="360" w:lineRule="auto"/>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接受分包的</w:t>
      </w:r>
      <w:r>
        <w:rPr>
          <w:rFonts w:hint="eastAsia" w:ascii="仿宋" w:hAnsi="仿宋" w:eastAsia="仿宋" w:cs="仿宋"/>
          <w:color w:val="000000" w:themeColor="text1"/>
          <w:szCs w:val="21"/>
          <w:highlight w:val="none"/>
          <w:lang w:eastAsia="zh-CN"/>
          <w14:textFill>
            <w14:solidFill>
              <w14:schemeClr w14:val="tx1"/>
            </w14:solidFill>
          </w14:textFill>
        </w:rPr>
        <w:t>投标人</w:t>
      </w:r>
      <w:r>
        <w:rPr>
          <w:rFonts w:hint="eastAsia" w:ascii="仿宋" w:hAnsi="仿宋" w:eastAsia="仿宋" w:cs="仿宋"/>
          <w:color w:val="000000" w:themeColor="text1"/>
          <w:szCs w:val="21"/>
          <w:highlight w:val="none"/>
          <w14:textFill>
            <w14:solidFill>
              <w14:schemeClr w14:val="tx1"/>
            </w14:solidFill>
          </w14:textFill>
        </w:rPr>
        <w:t>应当具备相应的资格条件，并不得再次分包。采购合同实行分包履行的，中标人就采购项目和分包项目向采购人负责，分包</w:t>
      </w:r>
      <w:r>
        <w:rPr>
          <w:rFonts w:hint="eastAsia" w:ascii="仿宋" w:hAnsi="仿宋" w:eastAsia="仿宋" w:cs="仿宋"/>
          <w:color w:val="000000" w:themeColor="text1"/>
          <w:szCs w:val="21"/>
          <w:highlight w:val="none"/>
          <w:lang w:eastAsia="zh-CN"/>
          <w14:textFill>
            <w14:solidFill>
              <w14:schemeClr w14:val="tx1"/>
            </w14:solidFill>
          </w14:textFill>
        </w:rPr>
        <w:t>投标人</w:t>
      </w:r>
      <w:r>
        <w:rPr>
          <w:rFonts w:hint="eastAsia" w:ascii="仿宋" w:hAnsi="仿宋" w:eastAsia="仿宋" w:cs="仿宋"/>
          <w:color w:val="000000" w:themeColor="text1"/>
          <w:szCs w:val="21"/>
          <w:highlight w:val="none"/>
          <w14:textFill>
            <w14:solidFill>
              <w14:schemeClr w14:val="tx1"/>
            </w14:solidFill>
          </w14:textFill>
        </w:rPr>
        <w:t>就分包项目承担责任。</w:t>
      </w:r>
    </w:p>
    <w:p w14:paraId="6B6FAC9D">
      <w:pPr>
        <w:pStyle w:val="21"/>
        <w:shd w:val="clear"/>
        <w:spacing w:line="360" w:lineRule="auto"/>
        <w:jc w:val="both"/>
        <w:outlineLvl w:val="1"/>
        <w:rPr>
          <w:rFonts w:hint="eastAsia" w:ascii="仿宋" w:hAnsi="仿宋" w:eastAsia="仿宋" w:cs="仿宋"/>
          <w:b/>
          <w:bCs/>
          <w:color w:val="000000" w:themeColor="text1"/>
          <w:kern w:val="0"/>
          <w:sz w:val="24"/>
          <w:szCs w:val="24"/>
          <w:highlight w:val="none"/>
          <w14:textFill>
            <w14:solidFill>
              <w14:schemeClr w14:val="tx1"/>
            </w14:solidFill>
          </w14:textFill>
        </w:rPr>
      </w:pPr>
      <w:bookmarkStart w:id="293" w:name="_Toc18978"/>
      <w:bookmarkStart w:id="294" w:name="_Toc25720"/>
      <w:r>
        <w:rPr>
          <w:rFonts w:hint="eastAsia" w:ascii="仿宋" w:hAnsi="仿宋" w:eastAsia="仿宋" w:cs="仿宋"/>
          <w:b/>
          <w:bCs/>
          <w:color w:val="000000" w:themeColor="text1"/>
          <w:kern w:val="0"/>
          <w:sz w:val="24"/>
          <w:szCs w:val="24"/>
          <w:highlight w:val="none"/>
          <w14:textFill>
            <w14:solidFill>
              <w14:schemeClr w14:val="tx1"/>
            </w14:solidFill>
          </w14:textFill>
        </w:rPr>
        <w:t>九、质疑与投诉</w:t>
      </w:r>
      <w:bookmarkEnd w:id="293"/>
      <w:bookmarkEnd w:id="294"/>
    </w:p>
    <w:p w14:paraId="28E77F2E">
      <w:pPr>
        <w:shd w:val="clear"/>
        <w:tabs>
          <w:tab w:val="left" w:pos="1155"/>
        </w:tabs>
        <w:snapToGrid w:val="0"/>
        <w:spacing w:line="360" w:lineRule="auto"/>
        <w:ind w:firstLine="211" w:firstLineChars="1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9.1.关于质疑的提出与答复：</w:t>
      </w:r>
    </w:p>
    <w:p w14:paraId="4D4FBEFF">
      <w:pPr>
        <w:shd w:val="clear"/>
        <w:tabs>
          <w:tab w:val="left" w:pos="1155"/>
        </w:tabs>
        <w:snapToGrid w:val="0"/>
        <w:spacing w:line="360" w:lineRule="auto"/>
        <w:ind w:firstLine="630" w:firstLineChars="3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9.1.1.投标人质疑与投诉应当实名署名，其质疑与投诉应当有明确的请求和必要的证明材料。投标人可以委托代理人进行质疑与投诉。代理人应当提交授权委托书，授权委托书应当载明委托代理的具体权限、期限和相关事项。本项目接收质疑函法定信息：</w:t>
      </w:r>
    </w:p>
    <w:p w14:paraId="03089659">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36" w:lineRule="auto"/>
        <w:ind w:right="0" w:firstLine="502" w:firstLineChars="238"/>
        <w:jc w:val="both"/>
        <w:textAlignment w:val="auto"/>
        <w:rPr>
          <w:rFonts w:hint="eastAsia" w:ascii="仿宋" w:hAnsi="仿宋" w:eastAsia="仿宋" w:cs="仿宋"/>
          <w:b/>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color w:val="000000" w:themeColor="text1"/>
          <w:kern w:val="2"/>
          <w:sz w:val="21"/>
          <w:szCs w:val="21"/>
          <w:highlight w:val="none"/>
          <w:lang w:val="en-US" w:eastAsia="zh-CN" w:bidi="ar-SA"/>
          <w14:textFill>
            <w14:solidFill>
              <w14:schemeClr w14:val="tx1"/>
            </w14:solidFill>
          </w14:textFill>
        </w:rPr>
        <w:t xml:space="preserve">联系人：王丽              联系电话：0916-8897702 </w:t>
      </w:r>
    </w:p>
    <w:p w14:paraId="543A90B2">
      <w:pPr>
        <w:shd w:val="clear"/>
        <w:tabs>
          <w:tab w:val="left" w:pos="1155"/>
        </w:tabs>
        <w:snapToGrid w:val="0"/>
        <w:spacing w:line="360" w:lineRule="auto"/>
        <w:ind w:firstLine="422" w:firstLineChars="200"/>
        <w:rPr>
          <w:rFonts w:hint="eastAsia" w:ascii="仿宋" w:hAnsi="仿宋" w:eastAsia="仿宋" w:cs="仿宋"/>
          <w:b/>
          <w:color w:val="000000" w:themeColor="text1"/>
          <w:szCs w:val="21"/>
          <w:highlight w:val="none"/>
          <w:lang w:eastAsia="zh-CN"/>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通讯地址：</w:t>
      </w:r>
      <w:r>
        <w:rPr>
          <w:rFonts w:hint="eastAsia" w:ascii="仿宋" w:hAnsi="仿宋" w:eastAsia="仿宋" w:cs="仿宋"/>
          <w:b/>
          <w:color w:val="000000" w:themeColor="text1"/>
          <w:szCs w:val="21"/>
          <w:highlight w:val="none"/>
          <w:lang w:eastAsia="zh-CN"/>
          <w14:textFill>
            <w14:solidFill>
              <w14:schemeClr w14:val="tx1"/>
            </w14:solidFill>
          </w14:textFill>
        </w:rPr>
        <w:t>汉中市汉台区西一环路蓝天御苑小区商铺二层门面房南侧</w:t>
      </w:r>
    </w:p>
    <w:p w14:paraId="5BB85C54">
      <w:pPr>
        <w:shd w:val="clear"/>
        <w:tabs>
          <w:tab w:val="left" w:pos="1155"/>
        </w:tabs>
        <w:snapToGrid w:val="0"/>
        <w:spacing w:line="360" w:lineRule="auto"/>
        <w:ind w:left="0" w:leftChars="0" w:firstLine="420" w:firstLineChars="200"/>
        <w:rPr>
          <w:rFonts w:hint="eastAsia" w:ascii="仿宋" w:hAnsi="仿宋" w:eastAsia="仿宋" w:cs="仿宋"/>
          <w:b w:val="0"/>
          <w:bCs/>
          <w:color w:val="000000" w:themeColor="text1"/>
          <w:szCs w:val="21"/>
          <w:highlight w:val="none"/>
          <w14:textFill>
            <w14:solidFill>
              <w14:schemeClr w14:val="tx1"/>
            </w14:solidFill>
          </w14:textFill>
        </w:rPr>
      </w:pPr>
      <w:r>
        <w:rPr>
          <w:rFonts w:hint="eastAsia" w:ascii="仿宋" w:hAnsi="仿宋" w:eastAsia="仿宋" w:cs="仿宋"/>
          <w:b w:val="0"/>
          <w:bCs/>
          <w:color w:val="000000" w:themeColor="text1"/>
          <w:szCs w:val="21"/>
          <w:highlight w:val="none"/>
          <w14:textFill>
            <w14:solidFill>
              <w14:schemeClr w14:val="tx1"/>
            </w14:solidFill>
          </w14:textFill>
        </w:rPr>
        <w:t>9.1.2.投标人提出质疑应当提交质疑函(质疑函格式详见本章附件一)。质疑函应当包括但不限于下列内容：投标人的名称、地址、邮编、联系人及联系电话，质疑项目的名称、编号，质疑事项，事实依据和证明材料，法律依据，提出质疑的日期。质疑函应当署名。投标人为自然人的，应当由本人签字；投标人为法人或者其他组织的，应当由法定代表人或者主要负责人签字盖章并加盖公章。</w:t>
      </w:r>
    </w:p>
    <w:p w14:paraId="5A36935D">
      <w:pPr>
        <w:shd w:val="clear"/>
        <w:tabs>
          <w:tab w:val="left" w:pos="1155"/>
        </w:tabs>
        <w:snapToGrid w:val="0"/>
        <w:spacing w:line="360" w:lineRule="auto"/>
        <w:ind w:left="0" w:leftChars="0" w:firstLine="420" w:firstLineChars="200"/>
        <w:rPr>
          <w:rFonts w:hint="eastAsia" w:ascii="仿宋" w:hAnsi="仿宋" w:eastAsia="仿宋" w:cs="仿宋"/>
          <w:b w:val="0"/>
          <w:bCs/>
          <w:color w:val="000000" w:themeColor="text1"/>
          <w:szCs w:val="21"/>
          <w:highlight w:val="none"/>
          <w14:textFill>
            <w14:solidFill>
              <w14:schemeClr w14:val="tx1"/>
            </w14:solidFill>
          </w14:textFill>
        </w:rPr>
      </w:pPr>
      <w:r>
        <w:rPr>
          <w:rFonts w:hint="eastAsia" w:ascii="仿宋" w:hAnsi="仿宋" w:eastAsia="仿宋" w:cs="仿宋"/>
          <w:b w:val="0"/>
          <w:bCs/>
          <w:color w:val="000000" w:themeColor="text1"/>
          <w:szCs w:val="21"/>
          <w:highlight w:val="none"/>
          <w14:textFill>
            <w14:solidFill>
              <w14:schemeClr w14:val="tx1"/>
            </w14:solidFill>
          </w14:textFill>
        </w:rPr>
        <w:t>9.1.3.出现投标人认为采购文件、采购过程和中标、成交结果使自己的权益受到损害的，可以在知道或者应知其权益受到损害之日起七个工作日内，以书面形式向采购人提出质疑。投标人应知其权益受到损害之日，是指：对可以质疑的采购文件提出质疑的，为收到采购文件之日或者采购文件公告期限届满之日；对采购过程提出质疑的，为各采购程序环节结束之日；对中标或者成交结果提出质疑的，为中标或者成交结果公告期限届满之日（针对同一采购程序环节的质疑原则上应当一次性提出）。本项目投标人通过至代理机构现场获取招标文件，以投标人收到招标文件之日为起点计算法定质疑期。</w:t>
      </w:r>
    </w:p>
    <w:p w14:paraId="0298AC0A">
      <w:pPr>
        <w:shd w:val="clear"/>
        <w:tabs>
          <w:tab w:val="left" w:pos="1155"/>
        </w:tabs>
        <w:snapToGrid w:val="0"/>
        <w:spacing w:line="360" w:lineRule="auto"/>
        <w:ind w:left="0" w:leftChars="0" w:firstLine="420" w:firstLineChars="200"/>
        <w:rPr>
          <w:rFonts w:hint="eastAsia" w:ascii="仿宋" w:hAnsi="仿宋" w:eastAsia="仿宋" w:cs="仿宋"/>
          <w:b w:val="0"/>
          <w:bCs/>
          <w:color w:val="000000" w:themeColor="text1"/>
          <w:szCs w:val="21"/>
          <w:highlight w:val="none"/>
          <w14:textFill>
            <w14:solidFill>
              <w14:schemeClr w14:val="tx1"/>
            </w14:solidFill>
          </w14:textFill>
        </w:rPr>
      </w:pPr>
      <w:r>
        <w:rPr>
          <w:rFonts w:hint="eastAsia" w:ascii="仿宋" w:hAnsi="仿宋" w:eastAsia="仿宋" w:cs="仿宋"/>
          <w:b w:val="0"/>
          <w:bCs/>
          <w:color w:val="000000" w:themeColor="text1"/>
          <w:szCs w:val="21"/>
          <w:highlight w:val="none"/>
          <w14:textFill>
            <w14:solidFill>
              <w14:schemeClr w14:val="tx1"/>
            </w14:solidFill>
          </w14:textFill>
        </w:rPr>
        <w:t>9.1.4.采购人、采购代理机构认为投标人质疑不成立的，继续开展采购活动；认为质疑成立的，按照以下情况处理：对采购文件提出的质疑未对采购结果构成影响的，继续开展采购活动；对采购结果构成影响但依法通过澄清或者修改可以继续开展采购活动的，澄清或者修改采购文件后继续开展采购活动，否则应当修改采购文件后重新开展采购活动；对采购过程、采购结果提出的质疑未对采购结果构成影响的，继续开展采购活动；对采购结果构成影响但合格投标人仍不少于3家时，可以从合格的中标或者成交候选人中另行确定中标、成交投标人的，应当依法另行确定中标、成交投标人，否则应当重新开展采购活动。质疑答复导致中标、成交结果改变的，采购人或者采购代理机构应当将有关情况书面报告本级财政部门。</w:t>
      </w:r>
    </w:p>
    <w:p w14:paraId="11F30BFB">
      <w:pPr>
        <w:shd w:val="clear"/>
        <w:tabs>
          <w:tab w:val="left" w:pos="1155"/>
        </w:tabs>
        <w:snapToGrid w:val="0"/>
        <w:spacing w:line="360" w:lineRule="auto"/>
        <w:ind w:left="0" w:leftChars="0" w:firstLine="420" w:firstLineChars="200"/>
        <w:rPr>
          <w:rFonts w:hint="eastAsia" w:ascii="仿宋" w:hAnsi="仿宋" w:eastAsia="仿宋" w:cs="仿宋"/>
          <w:b w:val="0"/>
          <w:bCs/>
          <w:color w:val="000000" w:themeColor="text1"/>
          <w:szCs w:val="21"/>
          <w:highlight w:val="none"/>
          <w14:textFill>
            <w14:solidFill>
              <w14:schemeClr w14:val="tx1"/>
            </w14:solidFill>
          </w14:textFill>
        </w:rPr>
      </w:pPr>
      <w:r>
        <w:rPr>
          <w:rFonts w:hint="eastAsia" w:ascii="仿宋" w:hAnsi="仿宋" w:eastAsia="仿宋" w:cs="仿宋"/>
          <w:b w:val="0"/>
          <w:bCs/>
          <w:color w:val="000000" w:themeColor="text1"/>
          <w:szCs w:val="21"/>
          <w:highlight w:val="none"/>
          <w14:textFill>
            <w14:solidFill>
              <w14:schemeClr w14:val="tx1"/>
            </w14:solidFill>
          </w14:textFill>
        </w:rPr>
        <w:t>9.1.5.出现投标人认为采购文件、采购过程、中标和成交结果使自己的合法权益受到损害的，应当首先依法向采购人、采购代理机构提出质疑。对采购人、采购代理机构的质疑答复不满意，或者采购人、采购代理机构未在规定期限内作出答复的，投标人可以在答复期满后15个工作日内向同级财政部门提起投诉。</w:t>
      </w:r>
    </w:p>
    <w:p w14:paraId="3F6A4398">
      <w:pPr>
        <w:shd w:val="clear"/>
        <w:tabs>
          <w:tab w:val="left" w:pos="1155"/>
        </w:tabs>
        <w:snapToGrid w:val="0"/>
        <w:spacing w:line="360" w:lineRule="auto"/>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9.2.投诉提出</w:t>
      </w:r>
    </w:p>
    <w:p w14:paraId="586F5356">
      <w:pPr>
        <w:shd w:val="clear"/>
        <w:tabs>
          <w:tab w:val="left" w:pos="1155"/>
        </w:tabs>
        <w:snapToGrid w:val="0"/>
        <w:spacing w:line="360" w:lineRule="auto"/>
        <w:ind w:firstLine="420" w:firstLineChars="200"/>
        <w:rPr>
          <w:rFonts w:hint="eastAsia" w:ascii="仿宋" w:hAnsi="仿宋" w:eastAsia="仿宋" w:cs="仿宋"/>
          <w:b w:val="0"/>
          <w:bCs/>
          <w:color w:val="000000" w:themeColor="text1"/>
          <w:szCs w:val="21"/>
          <w:highlight w:val="none"/>
          <w14:textFill>
            <w14:solidFill>
              <w14:schemeClr w14:val="tx1"/>
            </w14:solidFill>
          </w14:textFill>
        </w:rPr>
      </w:pPr>
      <w:r>
        <w:rPr>
          <w:rFonts w:hint="eastAsia" w:ascii="仿宋" w:hAnsi="仿宋" w:eastAsia="仿宋" w:cs="仿宋"/>
          <w:b w:val="0"/>
          <w:bCs/>
          <w:color w:val="000000" w:themeColor="text1"/>
          <w:szCs w:val="21"/>
          <w:highlight w:val="none"/>
          <w14:textFill>
            <w14:solidFill>
              <w14:schemeClr w14:val="tx1"/>
            </w14:solidFill>
          </w14:textFill>
        </w:rPr>
        <w:t>9.2.1.质疑投标人对采购人、采购代理机构的答复不满意，或者采购人、采购代理机构未在规定时间内作出答复的，可以在答复期满后15个工作日内向同级财政部门提起投诉。</w:t>
      </w:r>
    </w:p>
    <w:p w14:paraId="3358DD3E">
      <w:pPr>
        <w:shd w:val="clear"/>
        <w:tabs>
          <w:tab w:val="left" w:pos="1155"/>
        </w:tabs>
        <w:snapToGrid w:val="0"/>
        <w:spacing w:line="360" w:lineRule="auto"/>
        <w:ind w:firstLine="420" w:firstLineChars="200"/>
        <w:rPr>
          <w:rFonts w:hint="eastAsia" w:ascii="仿宋" w:hAnsi="仿宋" w:eastAsia="仿宋" w:cs="仿宋"/>
          <w:b w:val="0"/>
          <w:bCs/>
          <w:color w:val="000000" w:themeColor="text1"/>
          <w:szCs w:val="21"/>
          <w:highlight w:val="none"/>
          <w14:textFill>
            <w14:solidFill>
              <w14:schemeClr w14:val="tx1"/>
            </w14:solidFill>
          </w14:textFill>
        </w:rPr>
      </w:pPr>
      <w:r>
        <w:rPr>
          <w:rFonts w:hint="eastAsia" w:ascii="仿宋" w:hAnsi="仿宋" w:eastAsia="仿宋" w:cs="仿宋"/>
          <w:b w:val="0"/>
          <w:bCs/>
          <w:color w:val="000000" w:themeColor="text1"/>
          <w:szCs w:val="21"/>
          <w:highlight w:val="none"/>
          <w14:textFill>
            <w14:solidFill>
              <w14:schemeClr w14:val="tx1"/>
            </w14:solidFill>
          </w14:textFill>
        </w:rPr>
        <w:t>9.2.2.投诉人投诉时,应当提交投诉书(投诉书格式详见本章附件二)，并按照被投诉采购人、采购代理机构（以下简称被投诉人）和与投诉事项有关的投标人数量提供投诉书的副本。投诉书应当包括但不限于下列内容：投诉人和被投诉人的名称、地址、联系人和联系电话；质疑和质疑答复情况及相关证明材料；具体、明确的投诉事项和投诉请求；必要的事实依据和法律依据；提起投诉的日期。投诉书应当署名。投诉人为自然人的，应当由本人签字；投诉人为法人或者其他组织的，应当由法定代表人或者主要负责人签字盖章并加盖公章。</w:t>
      </w:r>
    </w:p>
    <w:p w14:paraId="611CCEB5">
      <w:pPr>
        <w:shd w:val="clear"/>
        <w:tabs>
          <w:tab w:val="left" w:pos="1155"/>
        </w:tabs>
        <w:snapToGrid w:val="0"/>
        <w:spacing w:line="360" w:lineRule="auto"/>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9.3、法律责任</w:t>
      </w:r>
    </w:p>
    <w:p w14:paraId="1141AE73">
      <w:pPr>
        <w:shd w:val="clear"/>
        <w:tabs>
          <w:tab w:val="left" w:pos="1155"/>
        </w:tabs>
        <w:snapToGrid w:val="0"/>
        <w:spacing w:line="360" w:lineRule="auto"/>
        <w:ind w:firstLine="48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9.3.1.投诉人有下列行为之一的，属于虚假、恶意投诉，由财政部门列入不良行为记录名单，禁止其1至3年内参加政府采购活动：捏造事实；提供虚假材料；以非法手段取得证明材料或者无法提供证据的合法来源；法律法规规定的其他违法情形。</w:t>
      </w:r>
    </w:p>
    <w:p w14:paraId="1790CBD8">
      <w:pPr>
        <w:shd w:val="clear"/>
        <w:tabs>
          <w:tab w:val="left" w:pos="1155"/>
        </w:tabs>
        <w:snapToGrid w:val="0"/>
        <w:spacing w:line="360" w:lineRule="auto"/>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9.4、其他说明</w:t>
      </w:r>
    </w:p>
    <w:p w14:paraId="502A7899">
      <w:pPr>
        <w:shd w:val="clear"/>
        <w:tabs>
          <w:tab w:val="left" w:pos="1155"/>
        </w:tabs>
        <w:snapToGrid w:val="0"/>
        <w:spacing w:line="360" w:lineRule="auto"/>
        <w:ind w:firstLine="48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9.4.1.财政部门处理投诉不得向投诉人和被投诉人收取任何费用。但因处理投诉发生的第三方检验、检测、鉴定等费用，由提出申请的投标人先行垫付。在投诉处理决定明确双方责任后，按照“谁过错谁负担”的原则由承担责任的一方负担；双方都有责任的，各负担百分之五十。</w:t>
      </w:r>
    </w:p>
    <w:p w14:paraId="664EE289">
      <w:pPr>
        <w:shd w:val="clear"/>
        <w:tabs>
          <w:tab w:val="left" w:pos="1155"/>
        </w:tabs>
        <w:snapToGrid w:val="0"/>
        <w:spacing w:line="360" w:lineRule="auto"/>
        <w:ind w:firstLine="48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9.4.2.本办法规定的期间以时、日、月、年计算。期间开始的时和日，不计算在期间内。期间届满的最后一日是节假日的，以节假日后的第一日为期间届满的日期。期间不包括在途时间，质疑与投诉文书在期满前交邮的，不算超期。</w:t>
      </w:r>
    </w:p>
    <w:p w14:paraId="67137A3A">
      <w:pPr>
        <w:pStyle w:val="2"/>
        <w:widowControl/>
        <w:shd w:val="clear"/>
        <w:snapToGrid w:val="0"/>
        <w:spacing w:line="360" w:lineRule="auto"/>
        <w:ind w:left="0" w:leftChars="0" w:firstLine="420" w:firstLineChars="200"/>
        <w:jc w:val="left"/>
        <w:rPr>
          <w:rFonts w:hint="eastAsia" w:ascii="仿宋" w:hAnsi="仿宋" w:eastAsia="仿宋" w:cs="仿宋"/>
          <w:b w:val="0"/>
          <w:color w:val="000000" w:themeColor="text1"/>
          <w:sz w:val="21"/>
          <w:szCs w:val="21"/>
          <w:highlight w:val="none"/>
          <w14:textFill>
            <w14:solidFill>
              <w14:schemeClr w14:val="tx1"/>
            </w14:solidFill>
          </w14:textFill>
        </w:rPr>
      </w:pPr>
      <w:bookmarkStart w:id="295" w:name="_Toc28473"/>
      <w:bookmarkStart w:id="296" w:name="_Toc16148"/>
      <w:bookmarkStart w:id="297" w:name="_Toc3897"/>
      <w:bookmarkStart w:id="298" w:name="_Toc2410"/>
      <w:bookmarkStart w:id="299" w:name="_Toc21260"/>
      <w:bookmarkStart w:id="300" w:name="_Toc13717"/>
      <w:bookmarkStart w:id="301" w:name="_Toc14209"/>
      <w:bookmarkStart w:id="302" w:name="_Toc7240"/>
      <w:bookmarkStart w:id="303" w:name="_Toc21158"/>
      <w:bookmarkStart w:id="304" w:name="_Toc29096"/>
      <w:bookmarkStart w:id="305" w:name="_Toc15977"/>
      <w:bookmarkStart w:id="306" w:name="_Toc14987"/>
      <w:bookmarkStart w:id="307" w:name="_Toc5287"/>
      <w:bookmarkStart w:id="308" w:name="_Toc16957"/>
      <w:bookmarkStart w:id="309" w:name="_Toc10965"/>
      <w:r>
        <w:rPr>
          <w:rFonts w:hint="eastAsia" w:ascii="仿宋" w:hAnsi="仿宋" w:eastAsia="仿宋" w:cs="仿宋"/>
          <w:b w:val="0"/>
          <w:color w:val="000000" w:themeColor="text1"/>
          <w:sz w:val="21"/>
          <w:szCs w:val="21"/>
          <w:highlight w:val="none"/>
          <w14:textFill>
            <w14:solidFill>
              <w14:schemeClr w14:val="tx1"/>
            </w14:solidFill>
          </w14:textFill>
        </w:rPr>
        <w:t>9.4.3.质疑与投诉事宜依据《中华人民共和国政府采购法》、《政府采购法实施条例（国务院第658号令）》、《中华人民共和国财政部令第94号--政府采购质疑和投诉办法》及《陕财办采资（2016）53号》规定执行。</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4B1B5CE8">
      <w:pPr>
        <w:outlineLvl w:val="1"/>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pPr>
      <w:bookmarkStart w:id="310" w:name="_Toc11584"/>
    </w:p>
    <w:p w14:paraId="550B763E">
      <w:pPr>
        <w:outlineLvl w:val="1"/>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t>十、其他</w:t>
      </w:r>
      <w:bookmarkEnd w:id="310"/>
    </w:p>
    <w:p w14:paraId="0B9E19A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t>10.1录音录像</w:t>
      </w:r>
    </w:p>
    <w:p w14:paraId="1162D3AC">
      <w:pPr>
        <w:spacing w:line="360" w:lineRule="auto"/>
        <w:ind w:firstLine="420" w:firstLineChars="200"/>
        <w:outlineLvl w:val="9"/>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采购代理机构对开启</w:t>
      </w:r>
      <w:r>
        <w:rPr>
          <w:rFonts w:hint="eastAsia" w:ascii="仿宋" w:hAnsi="仿宋" w:eastAsia="仿宋" w:cs="仿宋"/>
          <w:color w:val="000000" w:themeColor="text1"/>
          <w:szCs w:val="21"/>
          <w:lang w:val="en-US" w:eastAsia="zh-CN"/>
          <w14:textFill>
            <w14:solidFill>
              <w14:schemeClr w14:val="tx1"/>
            </w14:solidFill>
          </w14:textFill>
        </w:rPr>
        <w:t>投标</w:t>
      </w:r>
      <w:r>
        <w:rPr>
          <w:rFonts w:hint="eastAsia" w:ascii="仿宋" w:hAnsi="仿宋" w:eastAsia="仿宋" w:cs="仿宋"/>
          <w:color w:val="000000" w:themeColor="text1"/>
          <w:szCs w:val="21"/>
          <w14:textFill>
            <w14:solidFill>
              <w14:schemeClr w14:val="tx1"/>
            </w14:solidFill>
          </w14:textFill>
        </w:rPr>
        <w:t>文件、</w:t>
      </w:r>
      <w:r>
        <w:rPr>
          <w:rFonts w:hint="eastAsia" w:ascii="仿宋" w:hAnsi="仿宋" w:eastAsia="仿宋" w:cs="仿宋"/>
          <w:color w:val="000000" w:themeColor="text1"/>
          <w:szCs w:val="21"/>
          <w:lang w:val="en-US" w:eastAsia="zh-CN"/>
          <w14:textFill>
            <w14:solidFill>
              <w14:schemeClr w14:val="tx1"/>
            </w14:solidFill>
          </w14:textFill>
        </w:rPr>
        <w:t>评标</w:t>
      </w:r>
      <w:r>
        <w:rPr>
          <w:rFonts w:hint="eastAsia" w:ascii="仿宋" w:hAnsi="仿宋" w:eastAsia="仿宋" w:cs="仿宋"/>
          <w:color w:val="000000" w:themeColor="text1"/>
          <w:szCs w:val="21"/>
          <w14:textFill>
            <w14:solidFill>
              <w14:schemeClr w14:val="tx1"/>
            </w14:solidFill>
          </w14:textFill>
        </w:rPr>
        <w:t>过程进行全程录音录像、文字记录，并存档备查。</w:t>
      </w:r>
    </w:p>
    <w:p w14:paraId="7A17E341">
      <w:pPr>
        <w:pStyle w:val="41"/>
        <w:rPr>
          <w:rFonts w:hint="eastAsia" w:ascii="仿宋" w:hAnsi="仿宋" w:eastAsia="仿宋" w:cs="仿宋"/>
          <w:color w:val="000000" w:themeColor="text1"/>
          <w:szCs w:val="21"/>
          <w14:textFill>
            <w14:solidFill>
              <w14:schemeClr w14:val="tx1"/>
            </w14:solidFill>
          </w14:textFill>
        </w:rPr>
      </w:pPr>
    </w:p>
    <w:p w14:paraId="1500CB34">
      <w:pPr>
        <w:pStyle w:val="13"/>
        <w:rPr>
          <w:rFonts w:hint="eastAsia" w:ascii="仿宋" w:hAnsi="仿宋" w:eastAsia="仿宋" w:cs="仿宋"/>
          <w:color w:val="000000" w:themeColor="text1"/>
          <w:szCs w:val="21"/>
          <w14:textFill>
            <w14:solidFill>
              <w14:schemeClr w14:val="tx1"/>
            </w14:solidFill>
          </w14:textFill>
        </w:rPr>
      </w:pPr>
    </w:p>
    <w:p w14:paraId="5F6E2734">
      <w:pPr>
        <w:rPr>
          <w:rFonts w:hint="eastAsia" w:ascii="仿宋" w:hAnsi="仿宋" w:eastAsia="仿宋" w:cs="仿宋"/>
          <w:color w:val="000000" w:themeColor="text1"/>
          <w:szCs w:val="21"/>
          <w14:textFill>
            <w14:solidFill>
              <w14:schemeClr w14:val="tx1"/>
            </w14:solidFill>
          </w14:textFill>
        </w:rPr>
      </w:pPr>
    </w:p>
    <w:p w14:paraId="6CFB650D">
      <w:pPr>
        <w:pStyle w:val="41"/>
        <w:rPr>
          <w:rFonts w:hint="eastAsia" w:ascii="仿宋" w:hAnsi="仿宋" w:eastAsia="仿宋" w:cs="仿宋"/>
          <w:color w:val="000000" w:themeColor="text1"/>
          <w:szCs w:val="21"/>
          <w14:textFill>
            <w14:solidFill>
              <w14:schemeClr w14:val="tx1"/>
            </w14:solidFill>
          </w14:textFill>
        </w:rPr>
      </w:pPr>
    </w:p>
    <w:p w14:paraId="35D424A5">
      <w:pPr>
        <w:pStyle w:val="41"/>
        <w:ind w:left="0" w:leftChars="0" w:firstLine="0" w:firstLineChars="0"/>
        <w:jc w:val="both"/>
        <w:rPr>
          <w:rFonts w:hint="eastAsia" w:ascii="仿宋" w:hAnsi="仿宋" w:eastAsia="仿宋" w:cs="仿宋"/>
          <w:color w:val="000000" w:themeColor="text1"/>
          <w:szCs w:val="21"/>
          <w14:textFill>
            <w14:solidFill>
              <w14:schemeClr w14:val="tx1"/>
            </w14:solidFill>
          </w14:textFill>
        </w:rPr>
      </w:pPr>
    </w:p>
    <w:p w14:paraId="76FBCA9C">
      <w:pPr>
        <w:widowControl w:val="0"/>
        <w:tabs>
          <w:tab w:val="left" w:pos="3310"/>
          <w:tab w:val="center" w:pos="4213"/>
        </w:tabs>
        <w:ind w:firstLine="2570" w:firstLineChars="800"/>
        <w:jc w:val="both"/>
        <w:outlineLvl w:val="9"/>
        <w:rPr>
          <w:rFonts w:hint="eastAsia" w:ascii="仿宋" w:hAnsi="仿宋" w:eastAsia="仿宋" w:cs="仿宋"/>
          <w:b/>
          <w:bCs w:val="0"/>
          <w:color w:val="000000" w:themeColor="text1"/>
          <w:kern w:val="2"/>
          <w:sz w:val="32"/>
          <w:szCs w:val="32"/>
          <w:lang w:val="en-US" w:eastAsia="zh-CN" w:bidi="ar-SA"/>
          <w14:textFill>
            <w14:solidFill>
              <w14:schemeClr w14:val="tx1"/>
            </w14:solidFill>
          </w14:textFill>
        </w:rPr>
      </w:pPr>
    </w:p>
    <w:p w14:paraId="0E731B15">
      <w:pPr>
        <w:widowControl w:val="0"/>
        <w:tabs>
          <w:tab w:val="left" w:pos="3310"/>
          <w:tab w:val="center" w:pos="4213"/>
        </w:tabs>
        <w:ind w:firstLine="2570" w:firstLineChars="800"/>
        <w:jc w:val="both"/>
        <w:outlineLvl w:val="9"/>
        <w:rPr>
          <w:rFonts w:hint="eastAsia" w:ascii="仿宋" w:hAnsi="仿宋" w:eastAsia="仿宋" w:cs="仿宋"/>
          <w:b/>
          <w:bCs w:val="0"/>
          <w:color w:val="000000" w:themeColor="text1"/>
          <w:kern w:val="2"/>
          <w:sz w:val="32"/>
          <w:szCs w:val="32"/>
          <w:lang w:val="en-US" w:eastAsia="zh-CN" w:bidi="ar-SA"/>
          <w14:textFill>
            <w14:solidFill>
              <w14:schemeClr w14:val="tx1"/>
            </w14:solidFill>
          </w14:textFill>
        </w:rPr>
      </w:pPr>
    </w:p>
    <w:p w14:paraId="0DED60BC">
      <w:pPr>
        <w:widowControl w:val="0"/>
        <w:tabs>
          <w:tab w:val="left" w:pos="3310"/>
          <w:tab w:val="center" w:pos="4213"/>
        </w:tabs>
        <w:ind w:firstLine="2570" w:firstLineChars="800"/>
        <w:jc w:val="both"/>
        <w:outlineLvl w:val="9"/>
        <w:rPr>
          <w:rFonts w:hint="eastAsia" w:ascii="仿宋" w:hAnsi="仿宋" w:eastAsia="仿宋" w:cs="仿宋"/>
          <w:b/>
          <w:bCs w:val="0"/>
          <w:color w:val="000000" w:themeColor="text1"/>
          <w:kern w:val="2"/>
          <w:sz w:val="32"/>
          <w:szCs w:val="32"/>
          <w:lang w:val="en-US" w:eastAsia="zh-CN" w:bidi="ar-SA"/>
          <w14:textFill>
            <w14:solidFill>
              <w14:schemeClr w14:val="tx1"/>
            </w14:solidFill>
          </w14:textFill>
        </w:rPr>
      </w:pPr>
    </w:p>
    <w:p w14:paraId="70BDEE3C">
      <w:pPr>
        <w:widowControl w:val="0"/>
        <w:tabs>
          <w:tab w:val="left" w:pos="3310"/>
          <w:tab w:val="center" w:pos="4213"/>
        </w:tabs>
        <w:ind w:firstLine="2570" w:firstLineChars="800"/>
        <w:jc w:val="both"/>
        <w:outlineLvl w:val="9"/>
        <w:rPr>
          <w:rFonts w:hint="eastAsia" w:ascii="仿宋" w:hAnsi="仿宋" w:eastAsia="仿宋" w:cs="仿宋"/>
          <w:b/>
          <w:bCs w:val="0"/>
          <w:color w:val="000000" w:themeColor="text1"/>
          <w:kern w:val="2"/>
          <w:sz w:val="32"/>
          <w:szCs w:val="32"/>
          <w:lang w:val="en-US" w:eastAsia="zh-CN" w:bidi="ar-SA"/>
          <w14:textFill>
            <w14:solidFill>
              <w14:schemeClr w14:val="tx1"/>
            </w14:solidFill>
          </w14:textFill>
        </w:rPr>
      </w:pPr>
    </w:p>
    <w:p w14:paraId="1FD69D2A">
      <w:pPr>
        <w:widowControl w:val="0"/>
        <w:tabs>
          <w:tab w:val="left" w:pos="3310"/>
          <w:tab w:val="center" w:pos="4213"/>
        </w:tabs>
        <w:ind w:firstLine="2570" w:firstLineChars="800"/>
        <w:jc w:val="both"/>
        <w:outlineLvl w:val="9"/>
        <w:rPr>
          <w:rFonts w:hint="eastAsia" w:ascii="仿宋" w:hAnsi="仿宋" w:eastAsia="仿宋" w:cs="仿宋"/>
          <w:b/>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bCs w:val="0"/>
          <w:color w:val="000000" w:themeColor="text1"/>
          <w:kern w:val="2"/>
          <w:sz w:val="32"/>
          <w:szCs w:val="32"/>
          <w:lang w:val="en-US" w:eastAsia="zh-CN" w:bidi="ar-SA"/>
          <w14:textFill>
            <w14:solidFill>
              <w14:schemeClr w14:val="tx1"/>
            </w14:solidFill>
          </w14:textFill>
        </w:rPr>
        <w:t>附件一、质疑函范本</w:t>
      </w:r>
    </w:p>
    <w:p w14:paraId="0721BD65">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bCs/>
          <w:color w:val="000000" w:themeColor="text1"/>
          <w:kern w:val="2"/>
          <w:sz w:val="28"/>
          <w:szCs w:val="28"/>
          <w14:textFill>
            <w14:solidFill>
              <w14:schemeClr w14:val="tx1"/>
            </w14:solidFill>
          </w14:textFill>
        </w:rPr>
      </w:pPr>
    </w:p>
    <w:p w14:paraId="571CCB3F">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bCs/>
          <w:color w:val="000000" w:themeColor="text1"/>
          <w:kern w:val="2"/>
          <w:sz w:val="24"/>
          <w:szCs w:val="24"/>
          <w14:textFill>
            <w14:solidFill>
              <w14:schemeClr w14:val="tx1"/>
            </w14:solidFill>
          </w14:textFill>
        </w:rPr>
      </w:pPr>
      <w:bookmarkStart w:id="311" w:name="_Toc31378"/>
      <w:r>
        <w:rPr>
          <w:rFonts w:hint="eastAsia" w:ascii="仿宋" w:hAnsi="仿宋" w:eastAsia="仿宋" w:cs="仿宋"/>
          <w:bCs/>
          <w:color w:val="000000" w:themeColor="text1"/>
          <w:kern w:val="2"/>
          <w:sz w:val="24"/>
          <w:szCs w:val="24"/>
          <w14:textFill>
            <w14:solidFill>
              <w14:schemeClr w14:val="tx1"/>
            </w14:solidFill>
          </w14:textFill>
        </w:rPr>
        <w:t>一、质疑</w:t>
      </w:r>
      <w:r>
        <w:rPr>
          <w:rFonts w:hint="eastAsia" w:ascii="仿宋" w:hAnsi="仿宋" w:eastAsia="仿宋" w:cs="仿宋"/>
          <w:bCs/>
          <w:color w:val="000000" w:themeColor="text1"/>
          <w:kern w:val="2"/>
          <w:sz w:val="24"/>
          <w:szCs w:val="24"/>
          <w:lang w:val="en-US" w:eastAsia="zh-CN"/>
          <w14:textFill>
            <w14:solidFill>
              <w14:schemeClr w14:val="tx1"/>
            </w14:solidFill>
          </w14:textFill>
        </w:rPr>
        <w:t>投标人</w:t>
      </w:r>
      <w:r>
        <w:rPr>
          <w:rFonts w:hint="eastAsia" w:ascii="仿宋" w:hAnsi="仿宋" w:eastAsia="仿宋" w:cs="仿宋"/>
          <w:bCs/>
          <w:color w:val="000000" w:themeColor="text1"/>
          <w:kern w:val="2"/>
          <w:sz w:val="24"/>
          <w:szCs w:val="24"/>
          <w14:textFill>
            <w14:solidFill>
              <w14:schemeClr w14:val="tx1"/>
            </w14:solidFill>
          </w14:textFill>
        </w:rPr>
        <w:t>基本信息</w:t>
      </w:r>
      <w:bookmarkEnd w:id="311"/>
    </w:p>
    <w:p w14:paraId="0E45166D">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4"/>
          <w:szCs w:val="24"/>
          <w:u w:val="dotted"/>
          <w:lang w:val="en-US" w:eastAsia="zh-CN"/>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质疑</w:t>
      </w:r>
      <w:r>
        <w:rPr>
          <w:rFonts w:hint="eastAsia" w:ascii="仿宋" w:hAnsi="仿宋" w:eastAsia="仿宋" w:cs="仿宋"/>
          <w:color w:val="000000" w:themeColor="text1"/>
          <w:kern w:val="2"/>
          <w:sz w:val="24"/>
          <w:szCs w:val="24"/>
          <w:lang w:val="en-US" w:eastAsia="zh-CN"/>
          <w14:textFill>
            <w14:solidFill>
              <w14:schemeClr w14:val="tx1"/>
            </w14:solidFill>
          </w14:textFill>
        </w:rPr>
        <w:t>投标人</w:t>
      </w:r>
      <w:r>
        <w:rPr>
          <w:rFonts w:hint="eastAsia" w:ascii="仿宋" w:hAnsi="仿宋" w:eastAsia="仿宋" w:cs="仿宋"/>
          <w:color w:val="000000" w:themeColor="text1"/>
          <w:kern w:val="2"/>
          <w:sz w:val="24"/>
          <w:szCs w:val="24"/>
          <w14:textFill>
            <w14:solidFill>
              <w14:schemeClr w14:val="tx1"/>
            </w14:solidFill>
          </w14:textFill>
        </w:rPr>
        <w:t>：</w:t>
      </w:r>
      <w:r>
        <w:rPr>
          <w:rFonts w:hint="eastAsia" w:ascii="仿宋" w:hAnsi="仿宋" w:eastAsia="仿宋" w:cs="仿宋"/>
          <w:color w:val="000000" w:themeColor="text1"/>
          <w:kern w:val="2"/>
          <w:sz w:val="24"/>
          <w:szCs w:val="24"/>
          <w:u w:val="dotted"/>
          <w14:textFill>
            <w14:solidFill>
              <w14:schemeClr w14:val="tx1"/>
            </w14:solidFill>
          </w14:textFill>
        </w:rPr>
        <w:t xml:space="preserve">                                        </w:t>
      </w:r>
      <w:r>
        <w:rPr>
          <w:rFonts w:hint="eastAsia" w:ascii="仿宋" w:hAnsi="仿宋" w:eastAsia="仿宋" w:cs="仿宋"/>
          <w:color w:val="000000" w:themeColor="text1"/>
          <w:kern w:val="2"/>
          <w:sz w:val="24"/>
          <w:szCs w:val="24"/>
          <w:u w:val="dotted"/>
          <w:lang w:val="en-US" w:eastAsia="zh-CN"/>
          <w14:textFill>
            <w14:solidFill>
              <w14:schemeClr w14:val="tx1"/>
            </w14:solidFill>
          </w14:textFill>
        </w:rPr>
        <w:t xml:space="preserve"> </w:t>
      </w:r>
    </w:p>
    <w:p w14:paraId="2755F187">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4"/>
          <w:szCs w:val="24"/>
          <w:u w:val="dotted"/>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地址：</w:t>
      </w:r>
      <w:r>
        <w:rPr>
          <w:rFonts w:hint="eastAsia" w:ascii="仿宋" w:hAnsi="仿宋" w:eastAsia="仿宋" w:cs="仿宋"/>
          <w:color w:val="000000" w:themeColor="text1"/>
          <w:kern w:val="2"/>
          <w:sz w:val="24"/>
          <w:szCs w:val="24"/>
          <w:u w:val="dotted"/>
          <w14:textFill>
            <w14:solidFill>
              <w14:schemeClr w14:val="tx1"/>
            </w14:solidFill>
          </w14:textFill>
        </w:rPr>
        <w:t xml:space="preserve">                      </w:t>
      </w:r>
      <w:r>
        <w:rPr>
          <w:rFonts w:hint="eastAsia" w:ascii="仿宋" w:hAnsi="仿宋" w:eastAsia="仿宋" w:cs="仿宋"/>
          <w:color w:val="000000" w:themeColor="text1"/>
          <w:kern w:val="2"/>
          <w:sz w:val="24"/>
          <w:szCs w:val="24"/>
          <w14:textFill>
            <w14:solidFill>
              <w14:schemeClr w14:val="tx1"/>
            </w14:solidFill>
          </w14:textFill>
        </w:rPr>
        <w:t>邮编：</w:t>
      </w:r>
      <w:r>
        <w:rPr>
          <w:rFonts w:hint="eastAsia" w:ascii="仿宋" w:hAnsi="仿宋" w:eastAsia="仿宋" w:cs="仿宋"/>
          <w:color w:val="000000" w:themeColor="text1"/>
          <w:kern w:val="2"/>
          <w:sz w:val="24"/>
          <w:szCs w:val="24"/>
          <w:u w:val="dotted"/>
          <w14:textFill>
            <w14:solidFill>
              <w14:schemeClr w14:val="tx1"/>
            </w14:solidFill>
          </w14:textFill>
        </w:rPr>
        <w:t xml:space="preserve">                    </w:t>
      </w:r>
    </w:p>
    <w:p w14:paraId="17034ED4">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联系人：</w:t>
      </w:r>
      <w:r>
        <w:rPr>
          <w:rFonts w:hint="eastAsia" w:ascii="仿宋" w:hAnsi="仿宋" w:eastAsia="仿宋" w:cs="仿宋"/>
          <w:color w:val="000000" w:themeColor="text1"/>
          <w:kern w:val="2"/>
          <w:sz w:val="24"/>
          <w:szCs w:val="24"/>
          <w:u w:val="dotted"/>
          <w14:textFill>
            <w14:solidFill>
              <w14:schemeClr w14:val="tx1"/>
            </w14:solidFill>
          </w14:textFill>
        </w:rPr>
        <w:t xml:space="preserve">                   </w:t>
      </w:r>
      <w:r>
        <w:rPr>
          <w:rFonts w:hint="eastAsia" w:ascii="仿宋" w:hAnsi="仿宋" w:eastAsia="仿宋" w:cs="仿宋"/>
          <w:color w:val="000000" w:themeColor="text1"/>
          <w:kern w:val="2"/>
          <w:sz w:val="24"/>
          <w:szCs w:val="24"/>
          <w14:textFill>
            <w14:solidFill>
              <w14:schemeClr w14:val="tx1"/>
            </w14:solidFill>
          </w14:textFill>
        </w:rPr>
        <w:t>联系电话：</w:t>
      </w:r>
      <w:r>
        <w:rPr>
          <w:rFonts w:hint="eastAsia" w:ascii="仿宋" w:hAnsi="仿宋" w:eastAsia="仿宋" w:cs="仿宋"/>
          <w:color w:val="000000" w:themeColor="text1"/>
          <w:kern w:val="2"/>
          <w:sz w:val="24"/>
          <w:szCs w:val="24"/>
          <w:u w:val="dotted"/>
          <w14:textFill>
            <w14:solidFill>
              <w14:schemeClr w14:val="tx1"/>
            </w14:solidFill>
          </w14:textFill>
        </w:rPr>
        <w:t xml:space="preserve">                 </w:t>
      </w:r>
    </w:p>
    <w:p w14:paraId="1EFDBFC7">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4"/>
          <w:szCs w:val="24"/>
          <w:u w:val="dotted"/>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授权代表：</w:t>
      </w:r>
      <w:r>
        <w:rPr>
          <w:rFonts w:hint="eastAsia" w:ascii="仿宋" w:hAnsi="仿宋" w:eastAsia="仿宋" w:cs="仿宋"/>
          <w:color w:val="000000" w:themeColor="text1"/>
          <w:kern w:val="2"/>
          <w:sz w:val="24"/>
          <w:szCs w:val="24"/>
          <w:u w:val="dotted"/>
          <w14:textFill>
            <w14:solidFill>
              <w14:schemeClr w14:val="tx1"/>
            </w14:solidFill>
          </w14:textFill>
        </w:rPr>
        <w:t xml:space="preserve">                                          </w:t>
      </w:r>
    </w:p>
    <w:p w14:paraId="0E7BF45A">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联系电话：</w:t>
      </w:r>
      <w:r>
        <w:rPr>
          <w:rFonts w:hint="eastAsia" w:ascii="仿宋" w:hAnsi="仿宋" w:eastAsia="仿宋" w:cs="仿宋"/>
          <w:color w:val="000000" w:themeColor="text1"/>
          <w:kern w:val="2"/>
          <w:sz w:val="24"/>
          <w:szCs w:val="24"/>
          <w:u w:val="dotted"/>
          <w14:textFill>
            <w14:solidFill>
              <w14:schemeClr w14:val="tx1"/>
            </w14:solidFill>
          </w14:textFill>
        </w:rPr>
        <w:t xml:space="preserve">                                           </w:t>
      </w:r>
      <w:r>
        <w:rPr>
          <w:rFonts w:hint="eastAsia" w:ascii="仿宋" w:hAnsi="仿宋" w:eastAsia="仿宋" w:cs="仿宋"/>
          <w:color w:val="000000" w:themeColor="text1"/>
          <w:kern w:val="2"/>
          <w:sz w:val="24"/>
          <w:szCs w:val="24"/>
          <w14:textFill>
            <w14:solidFill>
              <w14:schemeClr w14:val="tx1"/>
            </w14:solidFill>
          </w14:textFill>
        </w:rPr>
        <w:t xml:space="preserve"> </w:t>
      </w:r>
    </w:p>
    <w:p w14:paraId="44E0864A">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4"/>
          <w:szCs w:val="24"/>
          <w:u w:val="dotted"/>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 xml:space="preserve">地址： </w:t>
      </w:r>
      <w:r>
        <w:rPr>
          <w:rFonts w:hint="eastAsia" w:ascii="仿宋" w:hAnsi="仿宋" w:eastAsia="仿宋" w:cs="仿宋"/>
          <w:color w:val="000000" w:themeColor="text1"/>
          <w:kern w:val="2"/>
          <w:sz w:val="24"/>
          <w:szCs w:val="24"/>
          <w:u w:val="dotted"/>
          <w14:textFill>
            <w14:solidFill>
              <w14:schemeClr w14:val="tx1"/>
            </w14:solidFill>
          </w14:textFill>
        </w:rPr>
        <w:t xml:space="preserve">                        </w:t>
      </w:r>
      <w:r>
        <w:rPr>
          <w:rFonts w:hint="eastAsia" w:ascii="仿宋" w:hAnsi="仿宋" w:eastAsia="仿宋" w:cs="仿宋"/>
          <w:color w:val="000000" w:themeColor="text1"/>
          <w:kern w:val="2"/>
          <w:sz w:val="24"/>
          <w:szCs w:val="24"/>
          <w14:textFill>
            <w14:solidFill>
              <w14:schemeClr w14:val="tx1"/>
            </w14:solidFill>
          </w14:textFill>
        </w:rPr>
        <w:t>邮编：</w:t>
      </w:r>
      <w:r>
        <w:rPr>
          <w:rFonts w:hint="eastAsia" w:ascii="仿宋" w:hAnsi="仿宋" w:eastAsia="仿宋" w:cs="仿宋"/>
          <w:color w:val="000000" w:themeColor="text1"/>
          <w:kern w:val="2"/>
          <w:sz w:val="24"/>
          <w:szCs w:val="24"/>
          <w:u w:val="dotted"/>
          <w14:textFill>
            <w14:solidFill>
              <w14:schemeClr w14:val="tx1"/>
            </w14:solidFill>
          </w14:textFill>
        </w:rPr>
        <w:t xml:space="preserve">                </w:t>
      </w:r>
      <w:bookmarkStart w:id="312" w:name="_Toc23620"/>
    </w:p>
    <w:p w14:paraId="6DB82EF8">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bCs/>
          <w:color w:val="000000" w:themeColor="text1"/>
          <w:kern w:val="2"/>
          <w:sz w:val="24"/>
          <w:szCs w:val="24"/>
          <w14:textFill>
            <w14:solidFill>
              <w14:schemeClr w14:val="tx1"/>
            </w14:solidFill>
          </w14:textFill>
        </w:rPr>
      </w:pPr>
      <w:r>
        <w:rPr>
          <w:rFonts w:hint="eastAsia" w:ascii="仿宋" w:hAnsi="仿宋" w:eastAsia="仿宋" w:cs="仿宋"/>
          <w:bCs/>
          <w:color w:val="000000" w:themeColor="text1"/>
          <w:kern w:val="2"/>
          <w:sz w:val="24"/>
          <w:szCs w:val="24"/>
          <w14:textFill>
            <w14:solidFill>
              <w14:schemeClr w14:val="tx1"/>
            </w14:solidFill>
          </w14:textFill>
        </w:rPr>
        <w:t>二、质疑项目基本情况</w:t>
      </w:r>
      <w:bookmarkEnd w:id="312"/>
    </w:p>
    <w:p w14:paraId="76B1A105">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质疑项目的名称：</w:t>
      </w:r>
      <w:r>
        <w:rPr>
          <w:rFonts w:hint="eastAsia" w:ascii="仿宋" w:hAnsi="仿宋" w:eastAsia="仿宋" w:cs="仿宋"/>
          <w:color w:val="000000" w:themeColor="text1"/>
          <w:kern w:val="2"/>
          <w:sz w:val="24"/>
          <w:szCs w:val="24"/>
          <w:u w:val="dotted"/>
          <w14:textFill>
            <w14:solidFill>
              <w14:schemeClr w14:val="tx1"/>
            </w14:solidFill>
          </w14:textFill>
        </w:rPr>
        <w:t xml:space="preserve">                                      </w:t>
      </w:r>
    </w:p>
    <w:p w14:paraId="1E326362">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质疑项目的编号：</w:t>
      </w:r>
      <w:r>
        <w:rPr>
          <w:rFonts w:hint="eastAsia" w:ascii="仿宋" w:hAnsi="仿宋" w:eastAsia="仿宋" w:cs="仿宋"/>
          <w:color w:val="000000" w:themeColor="text1"/>
          <w:kern w:val="2"/>
          <w:sz w:val="24"/>
          <w:szCs w:val="24"/>
          <w:u w:val="dotted"/>
          <w14:textFill>
            <w14:solidFill>
              <w14:schemeClr w14:val="tx1"/>
            </w14:solidFill>
          </w14:textFill>
        </w:rPr>
        <w:t xml:space="preserve">               </w:t>
      </w:r>
      <w:r>
        <w:rPr>
          <w:rFonts w:hint="eastAsia" w:ascii="仿宋" w:hAnsi="仿宋" w:eastAsia="仿宋" w:cs="仿宋"/>
          <w:color w:val="000000" w:themeColor="text1"/>
          <w:kern w:val="2"/>
          <w:sz w:val="24"/>
          <w:szCs w:val="24"/>
          <w14:textFill>
            <w14:solidFill>
              <w14:schemeClr w14:val="tx1"/>
            </w14:solidFill>
          </w14:textFill>
        </w:rPr>
        <w:t>包号：</w:t>
      </w:r>
      <w:r>
        <w:rPr>
          <w:rFonts w:hint="eastAsia" w:ascii="仿宋" w:hAnsi="仿宋" w:eastAsia="仿宋" w:cs="仿宋"/>
          <w:color w:val="000000" w:themeColor="text1"/>
          <w:kern w:val="2"/>
          <w:sz w:val="24"/>
          <w:szCs w:val="24"/>
          <w:u w:val="dotted"/>
          <w14:textFill>
            <w14:solidFill>
              <w14:schemeClr w14:val="tx1"/>
            </w14:solidFill>
          </w14:textFill>
        </w:rPr>
        <w:t xml:space="preserve">                 </w:t>
      </w:r>
    </w:p>
    <w:p w14:paraId="773168E3">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4"/>
          <w:szCs w:val="24"/>
          <w:u w:val="dotted"/>
          <w:lang w:val="en-US" w:eastAsia="zh-CN"/>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采购人名称：</w:t>
      </w:r>
      <w:r>
        <w:rPr>
          <w:rFonts w:hint="eastAsia" w:ascii="仿宋" w:hAnsi="仿宋" w:eastAsia="仿宋" w:cs="仿宋"/>
          <w:color w:val="000000" w:themeColor="text1"/>
          <w:kern w:val="2"/>
          <w:sz w:val="24"/>
          <w:szCs w:val="24"/>
          <w:u w:val="dotted"/>
          <w14:textFill>
            <w14:solidFill>
              <w14:schemeClr w14:val="tx1"/>
            </w14:solidFill>
          </w14:textFill>
        </w:rPr>
        <w:t xml:space="preserve">                                         </w:t>
      </w:r>
      <w:r>
        <w:rPr>
          <w:rFonts w:hint="eastAsia" w:ascii="仿宋" w:hAnsi="仿宋" w:eastAsia="仿宋" w:cs="仿宋"/>
          <w:color w:val="000000" w:themeColor="text1"/>
          <w:kern w:val="2"/>
          <w:sz w:val="24"/>
          <w:szCs w:val="24"/>
          <w:u w:val="dotted"/>
          <w:lang w:val="en-US" w:eastAsia="zh-CN"/>
          <w14:textFill>
            <w14:solidFill>
              <w14:schemeClr w14:val="tx1"/>
            </w14:solidFill>
          </w14:textFill>
        </w:rPr>
        <w:t xml:space="preserve"> </w:t>
      </w:r>
    </w:p>
    <w:p w14:paraId="2C2CE68F">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采购文件获取日期：</w:t>
      </w:r>
      <w:r>
        <w:rPr>
          <w:rFonts w:hint="eastAsia" w:ascii="仿宋" w:hAnsi="仿宋" w:eastAsia="仿宋" w:cs="仿宋"/>
          <w:color w:val="000000" w:themeColor="text1"/>
          <w:kern w:val="2"/>
          <w:sz w:val="24"/>
          <w:szCs w:val="24"/>
          <w:u w:val="dotted"/>
          <w14:textFill>
            <w14:solidFill>
              <w14:schemeClr w14:val="tx1"/>
            </w14:solidFill>
          </w14:textFill>
        </w:rPr>
        <w:t xml:space="preserve">                                    </w:t>
      </w:r>
    </w:p>
    <w:p w14:paraId="2DB7C234">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bCs/>
          <w:color w:val="000000" w:themeColor="text1"/>
          <w:kern w:val="2"/>
          <w:sz w:val="24"/>
          <w:szCs w:val="24"/>
          <w14:textFill>
            <w14:solidFill>
              <w14:schemeClr w14:val="tx1"/>
            </w14:solidFill>
          </w14:textFill>
        </w:rPr>
      </w:pPr>
      <w:bookmarkStart w:id="313" w:name="_Toc4224"/>
      <w:r>
        <w:rPr>
          <w:rFonts w:hint="eastAsia" w:ascii="仿宋" w:hAnsi="仿宋" w:eastAsia="仿宋" w:cs="仿宋"/>
          <w:bCs/>
          <w:color w:val="000000" w:themeColor="text1"/>
          <w:kern w:val="2"/>
          <w:sz w:val="24"/>
          <w:szCs w:val="24"/>
          <w14:textFill>
            <w14:solidFill>
              <w14:schemeClr w14:val="tx1"/>
            </w14:solidFill>
          </w14:textFill>
        </w:rPr>
        <w:t>三、质疑事项具体内容</w:t>
      </w:r>
      <w:bookmarkEnd w:id="313"/>
    </w:p>
    <w:p w14:paraId="381975C5">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4"/>
          <w:szCs w:val="24"/>
          <w:u w:val="dotted"/>
          <w:lang w:val="en-US" w:eastAsia="zh-CN"/>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质疑事项1：</w:t>
      </w:r>
      <w:r>
        <w:rPr>
          <w:rFonts w:hint="eastAsia" w:ascii="仿宋" w:hAnsi="仿宋" w:eastAsia="仿宋" w:cs="仿宋"/>
          <w:color w:val="000000" w:themeColor="text1"/>
          <w:kern w:val="2"/>
          <w:sz w:val="24"/>
          <w:szCs w:val="24"/>
          <w:u w:val="dotted"/>
          <w14:textFill>
            <w14:solidFill>
              <w14:schemeClr w14:val="tx1"/>
            </w14:solidFill>
          </w14:textFill>
        </w:rPr>
        <w:t xml:space="preserve">                                         </w:t>
      </w:r>
      <w:r>
        <w:rPr>
          <w:rFonts w:hint="eastAsia" w:ascii="仿宋" w:hAnsi="仿宋" w:eastAsia="仿宋" w:cs="仿宋"/>
          <w:color w:val="000000" w:themeColor="text1"/>
          <w:kern w:val="2"/>
          <w:sz w:val="24"/>
          <w:szCs w:val="24"/>
          <w:u w:val="dotted"/>
          <w:lang w:val="en-US" w:eastAsia="zh-CN"/>
          <w14:textFill>
            <w14:solidFill>
              <w14:schemeClr w14:val="tx1"/>
            </w14:solidFill>
          </w14:textFill>
        </w:rPr>
        <w:t xml:space="preserve"> </w:t>
      </w:r>
    </w:p>
    <w:p w14:paraId="5B19AC6B">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4"/>
          <w:szCs w:val="24"/>
          <w:u w:val="dotted"/>
          <w:lang w:val="en-US" w:eastAsia="zh-CN"/>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事实依据：</w:t>
      </w:r>
      <w:r>
        <w:rPr>
          <w:rFonts w:hint="eastAsia" w:ascii="仿宋" w:hAnsi="仿宋" w:eastAsia="仿宋" w:cs="仿宋"/>
          <w:color w:val="000000" w:themeColor="text1"/>
          <w:kern w:val="2"/>
          <w:sz w:val="24"/>
          <w:szCs w:val="24"/>
          <w:u w:val="dotted"/>
          <w14:textFill>
            <w14:solidFill>
              <w14:schemeClr w14:val="tx1"/>
            </w14:solidFill>
          </w14:textFill>
        </w:rPr>
        <w:t xml:space="preserve">                                          </w:t>
      </w:r>
      <w:r>
        <w:rPr>
          <w:rFonts w:hint="eastAsia" w:ascii="仿宋" w:hAnsi="仿宋" w:eastAsia="仿宋" w:cs="仿宋"/>
          <w:color w:val="000000" w:themeColor="text1"/>
          <w:kern w:val="2"/>
          <w:sz w:val="24"/>
          <w:szCs w:val="24"/>
          <w:u w:val="dotted"/>
          <w:lang w:val="en-US" w:eastAsia="zh-CN"/>
          <w14:textFill>
            <w14:solidFill>
              <w14:schemeClr w14:val="tx1"/>
            </w14:solidFill>
          </w14:textFill>
        </w:rPr>
        <w:t xml:space="preserve"> </w:t>
      </w:r>
    </w:p>
    <w:p w14:paraId="6125550D">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4"/>
          <w:szCs w:val="24"/>
          <w:u w:val="dotted"/>
          <w:lang w:val="en-US" w:eastAsia="zh-CN"/>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法律依据：</w:t>
      </w:r>
      <w:r>
        <w:rPr>
          <w:rFonts w:hint="eastAsia" w:ascii="仿宋" w:hAnsi="仿宋" w:eastAsia="仿宋" w:cs="仿宋"/>
          <w:color w:val="000000" w:themeColor="text1"/>
          <w:kern w:val="2"/>
          <w:sz w:val="24"/>
          <w:szCs w:val="24"/>
          <w:u w:val="dotted"/>
          <w14:textFill>
            <w14:solidFill>
              <w14:schemeClr w14:val="tx1"/>
            </w14:solidFill>
          </w14:textFill>
        </w:rPr>
        <w:t xml:space="preserve">                                          </w:t>
      </w:r>
      <w:r>
        <w:rPr>
          <w:rFonts w:hint="eastAsia" w:ascii="仿宋" w:hAnsi="仿宋" w:eastAsia="仿宋" w:cs="仿宋"/>
          <w:color w:val="000000" w:themeColor="text1"/>
          <w:kern w:val="2"/>
          <w:sz w:val="24"/>
          <w:szCs w:val="24"/>
          <w:u w:val="dotted"/>
          <w:lang w:val="en-US" w:eastAsia="zh-CN"/>
          <w14:textFill>
            <w14:solidFill>
              <w14:schemeClr w14:val="tx1"/>
            </w14:solidFill>
          </w14:textFill>
        </w:rPr>
        <w:t xml:space="preserve"> </w:t>
      </w:r>
    </w:p>
    <w:p w14:paraId="421E0273">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4"/>
          <w:szCs w:val="24"/>
          <w:u w:val="dotted"/>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质疑事项2</w:t>
      </w:r>
    </w:p>
    <w:p w14:paraId="08A5617A">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w:t>
      </w:r>
    </w:p>
    <w:p w14:paraId="682C351B">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bCs/>
          <w:color w:val="000000" w:themeColor="text1"/>
          <w:kern w:val="2"/>
          <w:sz w:val="24"/>
          <w:szCs w:val="24"/>
          <w14:textFill>
            <w14:solidFill>
              <w14:schemeClr w14:val="tx1"/>
            </w14:solidFill>
          </w14:textFill>
        </w:rPr>
      </w:pPr>
      <w:bookmarkStart w:id="314" w:name="_Toc26949"/>
      <w:r>
        <w:rPr>
          <w:rFonts w:hint="eastAsia" w:ascii="仿宋" w:hAnsi="仿宋" w:eastAsia="仿宋" w:cs="仿宋"/>
          <w:bCs/>
          <w:color w:val="000000" w:themeColor="text1"/>
          <w:kern w:val="2"/>
          <w:sz w:val="24"/>
          <w:szCs w:val="24"/>
          <w14:textFill>
            <w14:solidFill>
              <w14:schemeClr w14:val="tx1"/>
            </w14:solidFill>
          </w14:textFill>
        </w:rPr>
        <w:t>四、与质疑事项相关的质疑请求</w:t>
      </w:r>
      <w:bookmarkEnd w:id="314"/>
    </w:p>
    <w:p w14:paraId="5EDEB3A5">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4"/>
          <w:szCs w:val="24"/>
          <w:u w:val="dotted"/>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请求：</w:t>
      </w:r>
      <w:r>
        <w:rPr>
          <w:rFonts w:hint="eastAsia" w:ascii="仿宋" w:hAnsi="仿宋" w:eastAsia="仿宋" w:cs="仿宋"/>
          <w:color w:val="000000" w:themeColor="text1"/>
          <w:kern w:val="2"/>
          <w:sz w:val="24"/>
          <w:szCs w:val="24"/>
          <w:u w:val="dotted"/>
          <w14:textFill>
            <w14:solidFill>
              <w14:schemeClr w14:val="tx1"/>
            </w14:solidFill>
          </w14:textFill>
        </w:rPr>
        <w:t xml:space="preserve">                                               </w:t>
      </w:r>
    </w:p>
    <w:p w14:paraId="10D68EC5">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仿宋" w:hAnsi="仿宋" w:eastAsia="仿宋" w:cs="仿宋"/>
          <w:color w:val="000000" w:themeColor="text1"/>
          <w:kern w:val="2"/>
          <w:sz w:val="24"/>
          <w:szCs w:val="24"/>
          <w14:textFill>
            <w14:solidFill>
              <w14:schemeClr w14:val="tx1"/>
            </w14:solidFill>
          </w14:textFill>
        </w:rPr>
      </w:pPr>
    </w:p>
    <w:p w14:paraId="43716944">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 xml:space="preserve">签字(签章)：                   公章：                      </w:t>
      </w:r>
    </w:p>
    <w:p w14:paraId="7960E3FE">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 xml:space="preserve">日期：    </w:t>
      </w:r>
    </w:p>
    <w:p w14:paraId="4F071BCC">
      <w:pPr>
        <w:outlineLvl w:val="9"/>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br w:type="page"/>
      </w:r>
    </w:p>
    <w:p w14:paraId="6A139996">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仿宋" w:hAnsi="仿宋" w:eastAsia="仿宋" w:cs="仿宋"/>
          <w:b/>
          <w:color w:val="000000" w:themeColor="text1"/>
          <w:kern w:val="2"/>
          <w:sz w:val="24"/>
          <w:szCs w:val="24"/>
          <w14:textFill>
            <w14:solidFill>
              <w14:schemeClr w14:val="tx1"/>
            </w14:solidFill>
          </w14:textFill>
        </w:rPr>
      </w:pPr>
      <w:r>
        <w:rPr>
          <w:rFonts w:hint="eastAsia" w:ascii="仿宋" w:hAnsi="仿宋" w:eastAsia="仿宋" w:cs="仿宋"/>
          <w:b/>
          <w:color w:val="000000" w:themeColor="text1"/>
          <w:kern w:val="2"/>
          <w:sz w:val="24"/>
          <w:szCs w:val="24"/>
          <w14:textFill>
            <w14:solidFill>
              <w14:schemeClr w14:val="tx1"/>
            </w14:solidFill>
          </w14:textFill>
        </w:rPr>
        <w:t>质疑函制作说明：</w:t>
      </w:r>
    </w:p>
    <w:p w14:paraId="5FC59788">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1.</w:t>
      </w:r>
      <w:r>
        <w:rPr>
          <w:rFonts w:hint="eastAsia" w:ascii="仿宋" w:hAnsi="仿宋" w:eastAsia="仿宋" w:cs="仿宋"/>
          <w:color w:val="000000" w:themeColor="text1"/>
          <w:kern w:val="2"/>
          <w:sz w:val="24"/>
          <w:szCs w:val="24"/>
          <w:lang w:val="en-US" w:eastAsia="zh-CN"/>
          <w14:textFill>
            <w14:solidFill>
              <w14:schemeClr w14:val="tx1"/>
            </w14:solidFill>
          </w14:textFill>
        </w:rPr>
        <w:t>投标人</w:t>
      </w:r>
      <w:r>
        <w:rPr>
          <w:rFonts w:hint="eastAsia" w:ascii="仿宋" w:hAnsi="仿宋" w:eastAsia="仿宋" w:cs="仿宋"/>
          <w:color w:val="000000" w:themeColor="text1"/>
          <w:kern w:val="2"/>
          <w:sz w:val="24"/>
          <w:szCs w:val="24"/>
          <w14:textFill>
            <w14:solidFill>
              <w14:schemeClr w14:val="tx1"/>
            </w14:solidFill>
          </w14:textFill>
        </w:rPr>
        <w:t>提出质疑时，应提交质疑函和必要的证明材料。</w:t>
      </w:r>
    </w:p>
    <w:p w14:paraId="38107F3F">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2.质疑</w:t>
      </w:r>
      <w:r>
        <w:rPr>
          <w:rFonts w:hint="eastAsia" w:ascii="仿宋" w:hAnsi="仿宋" w:eastAsia="仿宋" w:cs="仿宋"/>
          <w:color w:val="000000" w:themeColor="text1"/>
          <w:kern w:val="2"/>
          <w:sz w:val="24"/>
          <w:szCs w:val="24"/>
          <w:lang w:val="en-US" w:eastAsia="zh-CN"/>
          <w14:textFill>
            <w14:solidFill>
              <w14:schemeClr w14:val="tx1"/>
            </w14:solidFill>
          </w14:textFill>
        </w:rPr>
        <w:t>投标人</w:t>
      </w:r>
      <w:r>
        <w:rPr>
          <w:rFonts w:hint="eastAsia" w:ascii="仿宋" w:hAnsi="仿宋" w:eastAsia="仿宋" w:cs="仿宋"/>
          <w:color w:val="000000" w:themeColor="text1"/>
          <w:kern w:val="2"/>
          <w:sz w:val="24"/>
          <w:szCs w:val="24"/>
          <w14:textFill>
            <w14:solidFill>
              <w14:schemeClr w14:val="tx1"/>
            </w14:solidFill>
          </w14:textFill>
        </w:rPr>
        <w:t>若委托代理人进行质疑的，质疑函应按要求列明“授权代表”的有关内容，并在附件中提交由质疑</w:t>
      </w:r>
      <w:r>
        <w:rPr>
          <w:rFonts w:hint="eastAsia" w:ascii="仿宋" w:hAnsi="仿宋" w:eastAsia="仿宋" w:cs="仿宋"/>
          <w:color w:val="000000" w:themeColor="text1"/>
          <w:sz w:val="24"/>
          <w:szCs w:val="24"/>
          <w:lang w:val="en-US" w:eastAsia="zh-CN"/>
          <w14:textFill>
            <w14:solidFill>
              <w14:schemeClr w14:val="tx1"/>
            </w14:solidFill>
          </w14:textFill>
        </w:rPr>
        <w:t>投标人</w:t>
      </w:r>
      <w:r>
        <w:rPr>
          <w:rFonts w:hint="eastAsia" w:ascii="仿宋" w:hAnsi="仿宋" w:eastAsia="仿宋" w:cs="仿宋"/>
          <w:color w:val="000000" w:themeColor="text1"/>
          <w:sz w:val="24"/>
          <w:szCs w:val="24"/>
          <w14:textFill>
            <w14:solidFill>
              <w14:schemeClr w14:val="tx1"/>
            </w14:solidFill>
          </w14:textFill>
        </w:rPr>
        <w:t>签署的授权委托书。授权委托书应载明代理人的姓名或者名称、代理事项、具体权限、期限和相关事项。</w:t>
      </w:r>
    </w:p>
    <w:p w14:paraId="0F2378E2">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3.质疑</w:t>
      </w:r>
      <w:r>
        <w:rPr>
          <w:rFonts w:hint="eastAsia" w:ascii="仿宋" w:hAnsi="仿宋" w:eastAsia="仿宋" w:cs="仿宋"/>
          <w:color w:val="000000" w:themeColor="text1"/>
          <w:kern w:val="2"/>
          <w:sz w:val="24"/>
          <w:szCs w:val="24"/>
          <w:lang w:val="en-US" w:eastAsia="zh-CN"/>
          <w14:textFill>
            <w14:solidFill>
              <w14:schemeClr w14:val="tx1"/>
            </w14:solidFill>
          </w14:textFill>
        </w:rPr>
        <w:t>投标人</w:t>
      </w:r>
      <w:r>
        <w:rPr>
          <w:rFonts w:hint="eastAsia" w:ascii="仿宋" w:hAnsi="仿宋" w:eastAsia="仿宋" w:cs="仿宋"/>
          <w:color w:val="000000" w:themeColor="text1"/>
          <w:kern w:val="2"/>
          <w:sz w:val="24"/>
          <w:szCs w:val="24"/>
          <w14:textFill>
            <w14:solidFill>
              <w14:schemeClr w14:val="tx1"/>
            </w14:solidFill>
          </w14:textFill>
        </w:rPr>
        <w:t>若对项目的某一分包进行质疑，质疑函中应列明具体分包号。</w:t>
      </w:r>
    </w:p>
    <w:p w14:paraId="3618C6D8">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4.质疑函的质疑事项应具体、明确，并有必要的事实依据和法律依据。</w:t>
      </w:r>
    </w:p>
    <w:p w14:paraId="6A87FD8E">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5.质疑函的质疑请求应与质疑事项相关。</w:t>
      </w:r>
    </w:p>
    <w:p w14:paraId="6AF37335">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6.质疑</w:t>
      </w:r>
      <w:r>
        <w:rPr>
          <w:rFonts w:hint="eastAsia" w:ascii="仿宋" w:hAnsi="仿宋" w:eastAsia="仿宋" w:cs="仿宋"/>
          <w:color w:val="000000" w:themeColor="text1"/>
          <w:kern w:val="2"/>
          <w:sz w:val="24"/>
          <w:szCs w:val="24"/>
          <w:lang w:val="en-US" w:eastAsia="zh-CN"/>
          <w14:textFill>
            <w14:solidFill>
              <w14:schemeClr w14:val="tx1"/>
            </w14:solidFill>
          </w14:textFill>
        </w:rPr>
        <w:t>投标人</w:t>
      </w:r>
      <w:r>
        <w:rPr>
          <w:rFonts w:hint="eastAsia" w:ascii="仿宋" w:hAnsi="仿宋" w:eastAsia="仿宋" w:cs="仿宋"/>
          <w:color w:val="000000" w:themeColor="text1"/>
          <w:kern w:val="2"/>
          <w:sz w:val="24"/>
          <w:szCs w:val="24"/>
          <w14:textFill>
            <w14:solidFill>
              <w14:schemeClr w14:val="tx1"/>
            </w14:solidFill>
          </w14:textFill>
        </w:rPr>
        <w:t>为自然人的，质疑函应由本人签字；质疑</w:t>
      </w:r>
      <w:r>
        <w:rPr>
          <w:rFonts w:hint="eastAsia" w:ascii="仿宋" w:hAnsi="仿宋" w:eastAsia="仿宋" w:cs="仿宋"/>
          <w:color w:val="000000" w:themeColor="text1"/>
          <w:kern w:val="2"/>
          <w:sz w:val="24"/>
          <w:szCs w:val="24"/>
          <w:lang w:val="en-US" w:eastAsia="zh-CN"/>
          <w14:textFill>
            <w14:solidFill>
              <w14:schemeClr w14:val="tx1"/>
            </w14:solidFill>
          </w14:textFill>
        </w:rPr>
        <w:t>投标人</w:t>
      </w:r>
      <w:r>
        <w:rPr>
          <w:rFonts w:hint="eastAsia" w:ascii="仿宋" w:hAnsi="仿宋" w:eastAsia="仿宋" w:cs="仿宋"/>
          <w:color w:val="000000" w:themeColor="text1"/>
          <w:kern w:val="2"/>
          <w:sz w:val="24"/>
          <w:szCs w:val="24"/>
          <w14:textFill>
            <w14:solidFill>
              <w14:schemeClr w14:val="tx1"/>
            </w14:solidFill>
          </w14:textFill>
        </w:rPr>
        <w:t>为法人或者其他组织的，质疑函应由法定代表人、主要负责人，或者其授权代表签字或者盖章，并加盖公章。</w:t>
      </w:r>
    </w:p>
    <w:p w14:paraId="5BB336BE">
      <w:pPr>
        <w:shd w:val="clear"/>
        <w:spacing w:afterLines="50" w:line="360" w:lineRule="auto"/>
        <w:jc w:val="center"/>
        <w:outlineLvl w:val="9"/>
        <w:rPr>
          <w:rFonts w:hint="eastAsia" w:ascii="仿宋" w:hAnsi="仿宋" w:eastAsia="仿宋" w:cs="仿宋"/>
          <w:b/>
          <w:color w:val="000000" w:themeColor="text1"/>
          <w:sz w:val="21"/>
          <w:szCs w:val="21"/>
          <w:highlight w:val="none"/>
          <w14:textFill>
            <w14:solidFill>
              <w14:schemeClr w14:val="tx1"/>
            </w14:solidFill>
          </w14:textFill>
        </w:rPr>
      </w:pPr>
    </w:p>
    <w:p w14:paraId="119E9B07">
      <w:pPr>
        <w:shd w:val="clear"/>
        <w:spacing w:afterLines="50" w:line="360" w:lineRule="auto"/>
        <w:jc w:val="center"/>
        <w:outlineLvl w:val="9"/>
        <w:rPr>
          <w:rFonts w:hint="eastAsia" w:ascii="仿宋" w:hAnsi="仿宋" w:eastAsia="仿宋" w:cs="仿宋"/>
          <w:b/>
          <w:color w:val="000000" w:themeColor="text1"/>
          <w:sz w:val="21"/>
          <w:szCs w:val="21"/>
          <w:highlight w:val="none"/>
          <w14:textFill>
            <w14:solidFill>
              <w14:schemeClr w14:val="tx1"/>
            </w14:solidFill>
          </w14:textFill>
        </w:rPr>
      </w:pPr>
    </w:p>
    <w:p w14:paraId="12604339">
      <w:pPr>
        <w:shd w:val="clear"/>
        <w:spacing w:afterLines="50" w:line="360" w:lineRule="auto"/>
        <w:jc w:val="center"/>
        <w:outlineLvl w:val="9"/>
        <w:rPr>
          <w:rFonts w:hint="eastAsia" w:ascii="仿宋" w:hAnsi="仿宋" w:eastAsia="仿宋" w:cs="仿宋"/>
          <w:b/>
          <w:color w:val="000000" w:themeColor="text1"/>
          <w:sz w:val="36"/>
          <w:szCs w:val="36"/>
          <w:highlight w:val="none"/>
          <w14:textFill>
            <w14:solidFill>
              <w14:schemeClr w14:val="tx1"/>
            </w14:solidFill>
          </w14:textFill>
        </w:rPr>
      </w:pPr>
    </w:p>
    <w:p w14:paraId="59A8364C">
      <w:pPr>
        <w:shd w:val="clear"/>
        <w:spacing w:afterLines="50" w:line="360" w:lineRule="auto"/>
        <w:jc w:val="center"/>
        <w:outlineLvl w:val="9"/>
        <w:rPr>
          <w:rFonts w:hint="eastAsia" w:ascii="仿宋" w:hAnsi="仿宋" w:eastAsia="仿宋" w:cs="仿宋"/>
          <w:b/>
          <w:color w:val="000000" w:themeColor="text1"/>
          <w:sz w:val="36"/>
          <w:szCs w:val="36"/>
          <w:highlight w:val="none"/>
          <w14:textFill>
            <w14:solidFill>
              <w14:schemeClr w14:val="tx1"/>
            </w14:solidFill>
          </w14:textFill>
        </w:rPr>
      </w:pPr>
    </w:p>
    <w:p w14:paraId="045D0EB2">
      <w:pPr>
        <w:shd w:val="clear"/>
        <w:spacing w:afterLines="50" w:line="360" w:lineRule="auto"/>
        <w:jc w:val="center"/>
        <w:outlineLvl w:val="9"/>
        <w:rPr>
          <w:rFonts w:hint="eastAsia" w:ascii="仿宋" w:hAnsi="仿宋" w:eastAsia="仿宋" w:cs="仿宋"/>
          <w:b/>
          <w:color w:val="000000" w:themeColor="text1"/>
          <w:sz w:val="36"/>
          <w:szCs w:val="36"/>
          <w:highlight w:val="none"/>
          <w14:textFill>
            <w14:solidFill>
              <w14:schemeClr w14:val="tx1"/>
            </w14:solidFill>
          </w14:textFill>
        </w:rPr>
      </w:pPr>
    </w:p>
    <w:p w14:paraId="21123C42">
      <w:pPr>
        <w:shd w:val="clear"/>
        <w:spacing w:afterLines="50" w:line="360" w:lineRule="auto"/>
        <w:jc w:val="center"/>
        <w:outlineLvl w:val="9"/>
        <w:rPr>
          <w:rFonts w:hint="eastAsia" w:ascii="仿宋" w:hAnsi="仿宋" w:eastAsia="仿宋" w:cs="仿宋"/>
          <w:b/>
          <w:color w:val="000000" w:themeColor="text1"/>
          <w:sz w:val="36"/>
          <w:szCs w:val="36"/>
          <w:highlight w:val="none"/>
          <w14:textFill>
            <w14:solidFill>
              <w14:schemeClr w14:val="tx1"/>
            </w14:solidFill>
          </w14:textFill>
        </w:rPr>
      </w:pPr>
    </w:p>
    <w:p w14:paraId="4DB1A20A">
      <w:pPr>
        <w:shd w:val="clear"/>
        <w:spacing w:afterLines="50" w:line="360" w:lineRule="auto"/>
        <w:jc w:val="center"/>
        <w:outlineLvl w:val="9"/>
        <w:rPr>
          <w:rFonts w:hint="eastAsia" w:ascii="仿宋" w:hAnsi="仿宋" w:eastAsia="仿宋" w:cs="仿宋"/>
          <w:b/>
          <w:color w:val="000000" w:themeColor="text1"/>
          <w:sz w:val="36"/>
          <w:szCs w:val="36"/>
          <w:highlight w:val="none"/>
          <w14:textFill>
            <w14:solidFill>
              <w14:schemeClr w14:val="tx1"/>
            </w14:solidFill>
          </w14:textFill>
        </w:rPr>
      </w:pPr>
    </w:p>
    <w:p w14:paraId="1589EBCE">
      <w:pPr>
        <w:shd w:val="clear"/>
        <w:spacing w:afterLines="50" w:line="360" w:lineRule="auto"/>
        <w:jc w:val="center"/>
        <w:outlineLvl w:val="9"/>
        <w:rPr>
          <w:rFonts w:hint="eastAsia" w:ascii="仿宋" w:hAnsi="仿宋" w:eastAsia="仿宋" w:cs="仿宋"/>
          <w:b/>
          <w:color w:val="000000" w:themeColor="text1"/>
          <w:sz w:val="36"/>
          <w:szCs w:val="36"/>
          <w:highlight w:val="none"/>
          <w14:textFill>
            <w14:solidFill>
              <w14:schemeClr w14:val="tx1"/>
            </w14:solidFill>
          </w14:textFill>
        </w:rPr>
      </w:pPr>
    </w:p>
    <w:p w14:paraId="0B84B0DA">
      <w:pPr>
        <w:shd w:val="clear"/>
        <w:spacing w:afterLines="50" w:line="360" w:lineRule="auto"/>
        <w:jc w:val="center"/>
        <w:outlineLvl w:val="9"/>
        <w:rPr>
          <w:rFonts w:hint="eastAsia" w:ascii="仿宋" w:hAnsi="仿宋" w:eastAsia="仿宋" w:cs="仿宋"/>
          <w:b/>
          <w:color w:val="000000" w:themeColor="text1"/>
          <w:sz w:val="36"/>
          <w:szCs w:val="36"/>
          <w:highlight w:val="none"/>
          <w14:textFill>
            <w14:solidFill>
              <w14:schemeClr w14:val="tx1"/>
            </w14:solidFill>
          </w14:textFill>
        </w:rPr>
      </w:pPr>
    </w:p>
    <w:p w14:paraId="2D11F4FB">
      <w:pPr>
        <w:shd w:val="clear"/>
        <w:spacing w:afterLines="50" w:line="360" w:lineRule="auto"/>
        <w:jc w:val="center"/>
        <w:outlineLvl w:val="9"/>
        <w:rPr>
          <w:rFonts w:hint="eastAsia" w:ascii="仿宋" w:hAnsi="仿宋" w:eastAsia="仿宋" w:cs="仿宋"/>
          <w:b/>
          <w:color w:val="000000" w:themeColor="text1"/>
          <w:sz w:val="36"/>
          <w:szCs w:val="36"/>
          <w:highlight w:val="none"/>
          <w14:textFill>
            <w14:solidFill>
              <w14:schemeClr w14:val="tx1"/>
            </w14:solidFill>
          </w14:textFill>
        </w:rPr>
      </w:pPr>
    </w:p>
    <w:p w14:paraId="0E50A642">
      <w:pPr>
        <w:shd w:val="clear"/>
        <w:spacing w:afterLines="50" w:line="360" w:lineRule="auto"/>
        <w:jc w:val="center"/>
        <w:outlineLvl w:val="9"/>
        <w:rPr>
          <w:rFonts w:hint="eastAsia" w:ascii="仿宋" w:hAnsi="仿宋" w:eastAsia="仿宋" w:cs="仿宋"/>
          <w:b/>
          <w:color w:val="000000" w:themeColor="text1"/>
          <w:sz w:val="36"/>
          <w:szCs w:val="36"/>
          <w:highlight w:val="none"/>
          <w14:textFill>
            <w14:solidFill>
              <w14:schemeClr w14:val="tx1"/>
            </w14:solidFill>
          </w14:textFill>
        </w:rPr>
      </w:pPr>
    </w:p>
    <w:p w14:paraId="60190945">
      <w:pPr>
        <w:outlineLvl w:val="9"/>
        <w:rPr>
          <w:rFonts w:hint="eastAsia" w:ascii="仿宋" w:hAnsi="仿宋" w:eastAsia="仿宋" w:cs="仿宋"/>
          <w:b/>
          <w:bCs w:val="0"/>
          <w:color w:val="000000" w:themeColor="text1"/>
          <w:kern w:val="2"/>
          <w:sz w:val="32"/>
          <w:szCs w:val="32"/>
          <w:lang w:val="en-US" w:eastAsia="zh-CN" w:bidi="ar-SA"/>
          <w14:textFill>
            <w14:solidFill>
              <w14:schemeClr w14:val="tx1"/>
            </w14:solidFill>
          </w14:textFill>
        </w:rPr>
      </w:pPr>
      <w:bookmarkStart w:id="315" w:name="_Toc3319"/>
      <w:r>
        <w:rPr>
          <w:rFonts w:hint="eastAsia" w:ascii="仿宋" w:hAnsi="仿宋" w:eastAsia="仿宋" w:cs="仿宋"/>
          <w:b/>
          <w:bCs w:val="0"/>
          <w:color w:val="000000" w:themeColor="text1"/>
          <w:kern w:val="2"/>
          <w:sz w:val="32"/>
          <w:szCs w:val="32"/>
          <w:lang w:val="en-US" w:eastAsia="zh-CN" w:bidi="ar-SA"/>
          <w14:textFill>
            <w14:solidFill>
              <w14:schemeClr w14:val="tx1"/>
            </w14:solidFill>
          </w14:textFill>
        </w:rPr>
        <w:br w:type="page"/>
      </w:r>
    </w:p>
    <w:p w14:paraId="4D715323">
      <w:pPr>
        <w:widowControl w:val="0"/>
        <w:tabs>
          <w:tab w:val="left" w:pos="3310"/>
          <w:tab w:val="center" w:pos="4213"/>
        </w:tabs>
        <w:jc w:val="center"/>
        <w:outlineLvl w:val="9"/>
        <w:rPr>
          <w:rFonts w:hint="eastAsia" w:ascii="仿宋" w:hAnsi="仿宋" w:eastAsia="仿宋" w:cs="仿宋"/>
          <w:b/>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bCs w:val="0"/>
          <w:color w:val="000000" w:themeColor="text1"/>
          <w:kern w:val="2"/>
          <w:sz w:val="32"/>
          <w:szCs w:val="32"/>
          <w:lang w:val="en-US" w:eastAsia="zh-CN" w:bidi="ar-SA"/>
          <w14:textFill>
            <w14:solidFill>
              <w14:schemeClr w14:val="tx1"/>
            </w14:solidFill>
          </w14:textFill>
        </w:rPr>
        <w:t>附件二、投诉书范本</w:t>
      </w:r>
      <w:bookmarkEnd w:id="315"/>
    </w:p>
    <w:p w14:paraId="2C8B38BB">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14:textFill>
            <w14:solidFill>
              <w14:schemeClr w14:val="tx1"/>
            </w14:solidFill>
          </w14:textFill>
        </w:rPr>
      </w:pPr>
      <w:bookmarkStart w:id="316" w:name="_Toc17047"/>
      <w:r>
        <w:rPr>
          <w:rFonts w:hint="eastAsia" w:ascii="仿宋" w:hAnsi="仿宋" w:eastAsia="仿宋" w:cs="仿宋"/>
          <w:color w:val="000000" w:themeColor="text1"/>
          <w:kern w:val="2"/>
          <w:sz w:val="24"/>
          <w:szCs w:val="24"/>
          <w14:textFill>
            <w14:solidFill>
              <w14:schemeClr w14:val="tx1"/>
            </w14:solidFill>
          </w14:textFill>
        </w:rPr>
        <w:t>一、投诉相关主体基本情况</w:t>
      </w:r>
      <w:bookmarkEnd w:id="316"/>
    </w:p>
    <w:p w14:paraId="5ED1D57E">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u w:val="dotted"/>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投诉人：</w:t>
      </w:r>
      <w:r>
        <w:rPr>
          <w:rFonts w:hint="eastAsia" w:ascii="仿宋" w:hAnsi="仿宋" w:eastAsia="仿宋" w:cs="仿宋"/>
          <w:color w:val="000000" w:themeColor="text1"/>
          <w:kern w:val="2"/>
          <w:sz w:val="24"/>
          <w:szCs w:val="24"/>
          <w:u w:val="dotted"/>
          <w14:textFill>
            <w14:solidFill>
              <w14:schemeClr w14:val="tx1"/>
            </w14:solidFill>
          </w14:textFill>
        </w:rPr>
        <w:t xml:space="preserve">                                               </w:t>
      </w:r>
    </w:p>
    <w:p w14:paraId="15F64D98">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u w:val="single"/>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地     址：</w:t>
      </w:r>
      <w:r>
        <w:rPr>
          <w:rFonts w:hint="eastAsia" w:ascii="仿宋" w:hAnsi="仿宋" w:eastAsia="仿宋" w:cs="仿宋"/>
          <w:color w:val="000000" w:themeColor="text1"/>
          <w:kern w:val="2"/>
          <w:sz w:val="24"/>
          <w:szCs w:val="24"/>
          <w:u w:val="dotted"/>
          <w14:textFill>
            <w14:solidFill>
              <w14:schemeClr w14:val="tx1"/>
            </w14:solidFill>
          </w14:textFill>
        </w:rPr>
        <w:t xml:space="preserve">                             </w:t>
      </w:r>
      <w:r>
        <w:rPr>
          <w:rFonts w:hint="eastAsia" w:ascii="仿宋" w:hAnsi="仿宋" w:eastAsia="仿宋" w:cs="仿宋"/>
          <w:color w:val="000000" w:themeColor="text1"/>
          <w:kern w:val="2"/>
          <w:sz w:val="24"/>
          <w:szCs w:val="24"/>
          <w14:textFill>
            <w14:solidFill>
              <w14:schemeClr w14:val="tx1"/>
            </w14:solidFill>
          </w14:textFill>
        </w:rPr>
        <w:t>邮编：</w:t>
      </w:r>
      <w:r>
        <w:rPr>
          <w:rFonts w:hint="eastAsia" w:ascii="仿宋" w:hAnsi="仿宋" w:eastAsia="仿宋" w:cs="仿宋"/>
          <w:color w:val="000000" w:themeColor="text1"/>
          <w:kern w:val="2"/>
          <w:sz w:val="24"/>
          <w:szCs w:val="24"/>
          <w:u w:val="dotted"/>
          <w14:textFill>
            <w14:solidFill>
              <w14:schemeClr w14:val="tx1"/>
            </w14:solidFill>
          </w14:textFill>
        </w:rPr>
        <w:t xml:space="preserve">         </w:t>
      </w:r>
      <w:r>
        <w:rPr>
          <w:rFonts w:hint="eastAsia" w:ascii="仿宋" w:hAnsi="仿宋" w:eastAsia="仿宋" w:cs="仿宋"/>
          <w:color w:val="000000" w:themeColor="text1"/>
          <w:kern w:val="2"/>
          <w:sz w:val="24"/>
          <w:szCs w:val="24"/>
          <w:u w:val="single"/>
          <w14:textFill>
            <w14:solidFill>
              <w14:schemeClr w14:val="tx1"/>
            </w14:solidFill>
          </w14:textFill>
        </w:rPr>
        <w:t xml:space="preserve">   </w:t>
      </w:r>
    </w:p>
    <w:p w14:paraId="40778FC5">
      <w:pPr>
        <w:keepNext w:val="0"/>
        <w:keepLines w:val="0"/>
        <w:pageBreakBefore w:val="0"/>
        <w:widowControl w:val="0"/>
        <w:tabs>
          <w:tab w:val="left" w:pos="6510"/>
        </w:tabs>
        <w:kinsoku/>
        <w:wordWrap/>
        <w:overflowPunct/>
        <w:topLinePunct w:val="0"/>
        <w:autoSpaceDE/>
        <w:autoSpaceDN/>
        <w:bidi w:val="0"/>
        <w:adjustRightInd/>
        <w:snapToGrid/>
        <w:textAlignment w:val="auto"/>
        <w:outlineLvl w:val="9"/>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法定代表人/主要负责人：</w:t>
      </w:r>
      <w:r>
        <w:rPr>
          <w:rFonts w:hint="eastAsia" w:ascii="仿宋" w:hAnsi="仿宋" w:eastAsia="仿宋" w:cs="仿宋"/>
          <w:color w:val="000000" w:themeColor="text1"/>
          <w:kern w:val="2"/>
          <w:sz w:val="24"/>
          <w:szCs w:val="24"/>
          <w:u w:val="dotted"/>
          <w14:textFill>
            <w14:solidFill>
              <w14:schemeClr w14:val="tx1"/>
            </w14:solidFill>
          </w14:textFill>
        </w:rPr>
        <w:t xml:space="preserve">                                   </w:t>
      </w:r>
      <w:r>
        <w:rPr>
          <w:rFonts w:hint="eastAsia" w:ascii="仿宋" w:hAnsi="仿宋" w:eastAsia="仿宋" w:cs="仿宋"/>
          <w:color w:val="000000" w:themeColor="text1"/>
          <w:kern w:val="2"/>
          <w:sz w:val="24"/>
          <w:szCs w:val="24"/>
          <w14:textFill>
            <w14:solidFill>
              <w14:schemeClr w14:val="tx1"/>
            </w14:solidFill>
          </w14:textFill>
        </w:rPr>
        <w:t xml:space="preserve">  </w:t>
      </w:r>
    </w:p>
    <w:p w14:paraId="4B75DAEB">
      <w:pPr>
        <w:keepNext w:val="0"/>
        <w:keepLines w:val="0"/>
        <w:pageBreakBefore w:val="0"/>
        <w:widowControl w:val="0"/>
        <w:tabs>
          <w:tab w:val="left" w:pos="6510"/>
        </w:tabs>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u w:val="dotted"/>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联系电话：</w:t>
      </w:r>
      <w:r>
        <w:rPr>
          <w:rFonts w:hint="eastAsia" w:ascii="仿宋" w:hAnsi="仿宋" w:eastAsia="仿宋" w:cs="仿宋"/>
          <w:color w:val="000000" w:themeColor="text1"/>
          <w:kern w:val="2"/>
          <w:sz w:val="24"/>
          <w:szCs w:val="24"/>
          <w:u w:val="dotted"/>
          <w14:textFill>
            <w14:solidFill>
              <w14:schemeClr w14:val="tx1"/>
            </w14:solidFill>
          </w14:textFill>
        </w:rPr>
        <w:t xml:space="preserve">                                             </w:t>
      </w:r>
    </w:p>
    <w:p w14:paraId="1FEFD9B0">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u w:val="dotted"/>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授权代表：</w:t>
      </w:r>
      <w:r>
        <w:rPr>
          <w:rFonts w:hint="eastAsia" w:ascii="仿宋" w:hAnsi="仿宋" w:eastAsia="仿宋" w:cs="仿宋"/>
          <w:color w:val="000000" w:themeColor="text1"/>
          <w:kern w:val="2"/>
          <w:sz w:val="24"/>
          <w:szCs w:val="24"/>
          <w:u w:val="dotted"/>
          <w14:textFill>
            <w14:solidFill>
              <w14:schemeClr w14:val="tx1"/>
            </w14:solidFill>
          </w14:textFill>
        </w:rPr>
        <w:t xml:space="preserve">             </w:t>
      </w:r>
      <w:r>
        <w:rPr>
          <w:rFonts w:hint="eastAsia" w:ascii="仿宋" w:hAnsi="仿宋" w:eastAsia="仿宋" w:cs="仿宋"/>
          <w:color w:val="000000" w:themeColor="text1"/>
          <w:kern w:val="2"/>
          <w:sz w:val="24"/>
          <w:szCs w:val="24"/>
          <w14:textFill>
            <w14:solidFill>
              <w14:schemeClr w14:val="tx1"/>
            </w14:solidFill>
          </w14:textFill>
        </w:rPr>
        <w:t>联系电话</w:t>
      </w:r>
      <w:r>
        <w:rPr>
          <w:rFonts w:hint="eastAsia" w:ascii="仿宋" w:hAnsi="仿宋" w:eastAsia="仿宋" w:cs="仿宋"/>
          <w:color w:val="000000" w:themeColor="text1"/>
          <w:kern w:val="2"/>
          <w:sz w:val="24"/>
          <w:szCs w:val="24"/>
          <w:u w:val="dotted"/>
          <w14:textFill>
            <w14:solidFill>
              <w14:schemeClr w14:val="tx1"/>
            </w14:solidFill>
          </w14:textFill>
        </w:rPr>
        <w:t xml:space="preserve">：                  </w:t>
      </w:r>
    </w:p>
    <w:p w14:paraId="517FCC51">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u w:val="dotted"/>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地     址：</w:t>
      </w:r>
      <w:r>
        <w:rPr>
          <w:rFonts w:hint="eastAsia" w:ascii="仿宋" w:hAnsi="仿宋" w:eastAsia="仿宋" w:cs="仿宋"/>
          <w:color w:val="000000" w:themeColor="text1"/>
          <w:kern w:val="2"/>
          <w:sz w:val="24"/>
          <w:szCs w:val="24"/>
          <w:u w:val="dotted"/>
          <w14:textFill>
            <w14:solidFill>
              <w14:schemeClr w14:val="tx1"/>
            </w14:solidFill>
          </w14:textFill>
        </w:rPr>
        <w:t xml:space="preserve">                             </w:t>
      </w:r>
      <w:r>
        <w:rPr>
          <w:rFonts w:hint="eastAsia" w:ascii="仿宋" w:hAnsi="仿宋" w:eastAsia="仿宋" w:cs="仿宋"/>
          <w:color w:val="000000" w:themeColor="text1"/>
          <w:kern w:val="2"/>
          <w:sz w:val="24"/>
          <w:szCs w:val="24"/>
          <w14:textFill>
            <w14:solidFill>
              <w14:schemeClr w14:val="tx1"/>
            </w14:solidFill>
          </w14:textFill>
        </w:rPr>
        <w:t>邮编：</w:t>
      </w:r>
      <w:r>
        <w:rPr>
          <w:rFonts w:hint="eastAsia" w:ascii="仿宋" w:hAnsi="仿宋" w:eastAsia="仿宋" w:cs="仿宋"/>
          <w:color w:val="000000" w:themeColor="text1"/>
          <w:kern w:val="2"/>
          <w:sz w:val="24"/>
          <w:szCs w:val="24"/>
          <w:u w:val="dotted"/>
          <w14:textFill>
            <w14:solidFill>
              <w14:schemeClr w14:val="tx1"/>
            </w14:solidFill>
          </w14:textFill>
        </w:rPr>
        <w:t xml:space="preserve">         </w:t>
      </w:r>
      <w:r>
        <w:rPr>
          <w:rFonts w:hint="eastAsia" w:ascii="仿宋" w:hAnsi="仿宋" w:eastAsia="仿宋" w:cs="仿宋"/>
          <w:color w:val="000000" w:themeColor="text1"/>
          <w:kern w:val="2"/>
          <w:sz w:val="24"/>
          <w:szCs w:val="24"/>
          <w:u w:val="single"/>
          <w14:textFill>
            <w14:solidFill>
              <w14:schemeClr w14:val="tx1"/>
            </w14:solidFill>
          </w14:textFill>
        </w:rPr>
        <w:t xml:space="preserve"> </w:t>
      </w:r>
      <w:r>
        <w:rPr>
          <w:rFonts w:hint="eastAsia" w:ascii="仿宋" w:hAnsi="仿宋" w:eastAsia="仿宋" w:cs="仿宋"/>
          <w:color w:val="000000" w:themeColor="text1"/>
          <w:kern w:val="2"/>
          <w:sz w:val="24"/>
          <w:szCs w:val="24"/>
          <w:u w:val="dotted"/>
          <w14:textFill>
            <w14:solidFill>
              <w14:schemeClr w14:val="tx1"/>
            </w14:solidFill>
          </w14:textFill>
        </w:rPr>
        <w:t xml:space="preserve">              </w:t>
      </w:r>
    </w:p>
    <w:p w14:paraId="47A30F44">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u w:val="single"/>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被投诉人1：</w:t>
      </w:r>
      <w:r>
        <w:rPr>
          <w:rFonts w:hint="eastAsia" w:ascii="仿宋" w:hAnsi="仿宋" w:eastAsia="仿宋" w:cs="仿宋"/>
          <w:color w:val="000000" w:themeColor="text1"/>
          <w:kern w:val="2"/>
          <w:sz w:val="24"/>
          <w:szCs w:val="24"/>
          <w:u w:val="dotted"/>
          <w14:textFill>
            <w14:solidFill>
              <w14:schemeClr w14:val="tx1"/>
            </w14:solidFill>
          </w14:textFill>
        </w:rPr>
        <w:t xml:space="preserve">                                           </w:t>
      </w:r>
      <w:r>
        <w:rPr>
          <w:rFonts w:hint="eastAsia" w:ascii="仿宋" w:hAnsi="仿宋" w:eastAsia="仿宋" w:cs="仿宋"/>
          <w:color w:val="000000" w:themeColor="text1"/>
          <w:kern w:val="2"/>
          <w:sz w:val="24"/>
          <w:szCs w:val="24"/>
          <w:u w:val="single"/>
          <w14:textFill>
            <w14:solidFill>
              <w14:schemeClr w14:val="tx1"/>
            </w14:solidFill>
          </w14:textFill>
        </w:rPr>
        <w:t xml:space="preserve">  </w:t>
      </w:r>
    </w:p>
    <w:p w14:paraId="17A1CDF0">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u w:val="single"/>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地     址：</w:t>
      </w:r>
      <w:r>
        <w:rPr>
          <w:rFonts w:hint="eastAsia" w:ascii="仿宋" w:hAnsi="仿宋" w:eastAsia="仿宋" w:cs="仿宋"/>
          <w:color w:val="000000" w:themeColor="text1"/>
          <w:kern w:val="2"/>
          <w:sz w:val="24"/>
          <w:szCs w:val="24"/>
          <w:u w:val="dotted"/>
          <w14:textFill>
            <w14:solidFill>
              <w14:schemeClr w14:val="tx1"/>
            </w14:solidFill>
          </w14:textFill>
        </w:rPr>
        <w:t xml:space="preserve">                             </w:t>
      </w:r>
      <w:r>
        <w:rPr>
          <w:rFonts w:hint="eastAsia" w:ascii="仿宋" w:hAnsi="仿宋" w:eastAsia="仿宋" w:cs="仿宋"/>
          <w:color w:val="000000" w:themeColor="text1"/>
          <w:kern w:val="2"/>
          <w:sz w:val="24"/>
          <w:szCs w:val="24"/>
          <w14:textFill>
            <w14:solidFill>
              <w14:schemeClr w14:val="tx1"/>
            </w14:solidFill>
          </w14:textFill>
        </w:rPr>
        <w:t>邮编：</w:t>
      </w:r>
      <w:r>
        <w:rPr>
          <w:rFonts w:hint="eastAsia" w:ascii="仿宋" w:hAnsi="仿宋" w:eastAsia="仿宋" w:cs="仿宋"/>
          <w:color w:val="000000" w:themeColor="text1"/>
          <w:kern w:val="2"/>
          <w:sz w:val="24"/>
          <w:szCs w:val="24"/>
          <w:u w:val="dotted"/>
          <w14:textFill>
            <w14:solidFill>
              <w14:schemeClr w14:val="tx1"/>
            </w14:solidFill>
          </w14:textFill>
        </w:rPr>
        <w:t xml:space="preserve">          </w:t>
      </w:r>
      <w:r>
        <w:rPr>
          <w:rFonts w:hint="eastAsia" w:ascii="仿宋" w:hAnsi="仿宋" w:eastAsia="仿宋" w:cs="仿宋"/>
          <w:color w:val="000000" w:themeColor="text1"/>
          <w:kern w:val="2"/>
          <w:sz w:val="24"/>
          <w:szCs w:val="24"/>
          <w:u w:val="single"/>
          <w14:textFill>
            <w14:solidFill>
              <w14:schemeClr w14:val="tx1"/>
            </w14:solidFill>
          </w14:textFill>
        </w:rPr>
        <w:t xml:space="preserve"> </w:t>
      </w:r>
    </w:p>
    <w:p w14:paraId="0110FCF5">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u w:val="single"/>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联系人：</w:t>
      </w:r>
      <w:r>
        <w:rPr>
          <w:rFonts w:hint="eastAsia" w:ascii="仿宋" w:hAnsi="仿宋" w:eastAsia="仿宋" w:cs="仿宋"/>
          <w:color w:val="000000" w:themeColor="text1"/>
          <w:kern w:val="2"/>
          <w:sz w:val="24"/>
          <w:szCs w:val="24"/>
          <w:u w:val="dotted"/>
          <w14:textFill>
            <w14:solidFill>
              <w14:schemeClr w14:val="tx1"/>
            </w14:solidFill>
          </w14:textFill>
        </w:rPr>
        <w:t xml:space="preserve">               </w:t>
      </w:r>
      <w:r>
        <w:rPr>
          <w:rFonts w:hint="eastAsia" w:ascii="仿宋" w:hAnsi="仿宋" w:eastAsia="仿宋" w:cs="仿宋"/>
          <w:color w:val="000000" w:themeColor="text1"/>
          <w:kern w:val="2"/>
          <w:sz w:val="24"/>
          <w:szCs w:val="24"/>
          <w14:textFill>
            <w14:solidFill>
              <w14:schemeClr w14:val="tx1"/>
            </w14:solidFill>
          </w14:textFill>
        </w:rPr>
        <w:t>联系电话：</w:t>
      </w:r>
      <w:r>
        <w:rPr>
          <w:rFonts w:hint="eastAsia" w:ascii="仿宋" w:hAnsi="仿宋" w:eastAsia="仿宋" w:cs="仿宋"/>
          <w:color w:val="000000" w:themeColor="text1"/>
          <w:kern w:val="2"/>
          <w:sz w:val="24"/>
          <w:szCs w:val="24"/>
          <w:u w:val="dotted"/>
          <w14:textFill>
            <w14:solidFill>
              <w14:schemeClr w14:val="tx1"/>
            </w14:solidFill>
          </w14:textFill>
        </w:rPr>
        <w:t xml:space="preserve">                      </w:t>
      </w:r>
      <w:r>
        <w:rPr>
          <w:rFonts w:hint="eastAsia" w:ascii="仿宋" w:hAnsi="仿宋" w:eastAsia="仿宋" w:cs="仿宋"/>
          <w:color w:val="000000" w:themeColor="text1"/>
          <w:kern w:val="2"/>
          <w:sz w:val="24"/>
          <w:szCs w:val="24"/>
          <w:u w:val="single"/>
          <w14:textFill>
            <w14:solidFill>
              <w14:schemeClr w14:val="tx1"/>
            </w14:solidFill>
          </w14:textFill>
        </w:rPr>
        <w:t xml:space="preserve"> </w:t>
      </w:r>
    </w:p>
    <w:p w14:paraId="5EE86ED8">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被投诉人2</w:t>
      </w:r>
    </w:p>
    <w:p w14:paraId="4572A9F5">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u w:val="dotted"/>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w:t>
      </w:r>
    </w:p>
    <w:p w14:paraId="5A36D118">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u w:val="single"/>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相关</w:t>
      </w:r>
      <w:r>
        <w:rPr>
          <w:rFonts w:hint="eastAsia" w:ascii="仿宋" w:hAnsi="仿宋" w:eastAsia="仿宋" w:cs="仿宋"/>
          <w:color w:val="000000" w:themeColor="text1"/>
          <w:kern w:val="2"/>
          <w:sz w:val="24"/>
          <w:szCs w:val="24"/>
          <w:lang w:val="en-US" w:eastAsia="zh-CN"/>
          <w14:textFill>
            <w14:solidFill>
              <w14:schemeClr w14:val="tx1"/>
            </w14:solidFill>
          </w14:textFill>
        </w:rPr>
        <w:t>投标人</w:t>
      </w:r>
      <w:r>
        <w:rPr>
          <w:rFonts w:hint="eastAsia" w:ascii="仿宋" w:hAnsi="仿宋" w:eastAsia="仿宋" w:cs="仿宋"/>
          <w:color w:val="000000" w:themeColor="text1"/>
          <w:kern w:val="2"/>
          <w:sz w:val="24"/>
          <w:szCs w:val="24"/>
          <w14:textFill>
            <w14:solidFill>
              <w14:schemeClr w14:val="tx1"/>
            </w14:solidFill>
          </w14:textFill>
        </w:rPr>
        <w:t>：</w:t>
      </w:r>
      <w:r>
        <w:rPr>
          <w:rFonts w:hint="eastAsia" w:ascii="仿宋" w:hAnsi="仿宋" w:eastAsia="仿宋" w:cs="仿宋"/>
          <w:color w:val="000000" w:themeColor="text1"/>
          <w:kern w:val="2"/>
          <w:sz w:val="24"/>
          <w:szCs w:val="24"/>
          <w:u w:val="dotted"/>
          <w14:textFill>
            <w14:solidFill>
              <w14:schemeClr w14:val="tx1"/>
            </w14:solidFill>
          </w14:textFill>
        </w:rPr>
        <w:t xml:space="preserve">                                           </w:t>
      </w:r>
      <w:r>
        <w:rPr>
          <w:rFonts w:hint="eastAsia" w:ascii="仿宋" w:hAnsi="仿宋" w:eastAsia="仿宋" w:cs="仿宋"/>
          <w:color w:val="000000" w:themeColor="text1"/>
          <w:kern w:val="2"/>
          <w:sz w:val="24"/>
          <w:szCs w:val="24"/>
          <w:u w:val="single"/>
          <w14:textFill>
            <w14:solidFill>
              <w14:schemeClr w14:val="tx1"/>
            </w14:solidFill>
          </w14:textFill>
        </w:rPr>
        <w:t xml:space="preserve">    </w:t>
      </w:r>
    </w:p>
    <w:p w14:paraId="22C8C6D4">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u w:val="single"/>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地     址：</w:t>
      </w:r>
      <w:r>
        <w:rPr>
          <w:rFonts w:hint="eastAsia" w:ascii="仿宋" w:hAnsi="仿宋" w:eastAsia="仿宋" w:cs="仿宋"/>
          <w:color w:val="000000" w:themeColor="text1"/>
          <w:kern w:val="2"/>
          <w:sz w:val="24"/>
          <w:szCs w:val="24"/>
          <w:u w:val="dotted"/>
          <w14:textFill>
            <w14:solidFill>
              <w14:schemeClr w14:val="tx1"/>
            </w14:solidFill>
          </w14:textFill>
        </w:rPr>
        <w:t xml:space="preserve">                             </w:t>
      </w:r>
      <w:r>
        <w:rPr>
          <w:rFonts w:hint="eastAsia" w:ascii="仿宋" w:hAnsi="仿宋" w:eastAsia="仿宋" w:cs="仿宋"/>
          <w:color w:val="000000" w:themeColor="text1"/>
          <w:kern w:val="2"/>
          <w:sz w:val="24"/>
          <w:szCs w:val="24"/>
          <w14:textFill>
            <w14:solidFill>
              <w14:schemeClr w14:val="tx1"/>
            </w14:solidFill>
          </w14:textFill>
        </w:rPr>
        <w:t>邮编：</w:t>
      </w:r>
      <w:r>
        <w:rPr>
          <w:rFonts w:hint="eastAsia" w:ascii="仿宋" w:hAnsi="仿宋" w:eastAsia="仿宋" w:cs="仿宋"/>
          <w:color w:val="000000" w:themeColor="text1"/>
          <w:kern w:val="2"/>
          <w:sz w:val="24"/>
          <w:szCs w:val="24"/>
          <w:u w:val="dotted"/>
          <w14:textFill>
            <w14:solidFill>
              <w14:schemeClr w14:val="tx1"/>
            </w14:solidFill>
          </w14:textFill>
        </w:rPr>
        <w:t xml:space="preserve">          </w:t>
      </w:r>
      <w:r>
        <w:rPr>
          <w:rFonts w:hint="eastAsia" w:ascii="仿宋" w:hAnsi="仿宋" w:eastAsia="仿宋" w:cs="仿宋"/>
          <w:color w:val="000000" w:themeColor="text1"/>
          <w:kern w:val="2"/>
          <w:sz w:val="24"/>
          <w:szCs w:val="24"/>
          <w:u w:val="single"/>
          <w14:textFill>
            <w14:solidFill>
              <w14:schemeClr w14:val="tx1"/>
            </w14:solidFill>
          </w14:textFill>
        </w:rPr>
        <w:t xml:space="preserve"> </w:t>
      </w:r>
    </w:p>
    <w:p w14:paraId="1C15C99F">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u w:val="single"/>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联系人：</w:t>
      </w:r>
      <w:r>
        <w:rPr>
          <w:rFonts w:hint="eastAsia" w:ascii="仿宋" w:hAnsi="仿宋" w:eastAsia="仿宋" w:cs="仿宋"/>
          <w:color w:val="000000" w:themeColor="text1"/>
          <w:kern w:val="2"/>
          <w:sz w:val="24"/>
          <w:szCs w:val="24"/>
          <w:u w:val="dotted"/>
          <w14:textFill>
            <w14:solidFill>
              <w14:schemeClr w14:val="tx1"/>
            </w14:solidFill>
          </w14:textFill>
        </w:rPr>
        <w:t xml:space="preserve">               </w:t>
      </w:r>
      <w:r>
        <w:rPr>
          <w:rFonts w:hint="eastAsia" w:ascii="仿宋" w:hAnsi="仿宋" w:eastAsia="仿宋" w:cs="仿宋"/>
          <w:color w:val="000000" w:themeColor="text1"/>
          <w:kern w:val="2"/>
          <w:sz w:val="24"/>
          <w:szCs w:val="24"/>
          <w14:textFill>
            <w14:solidFill>
              <w14:schemeClr w14:val="tx1"/>
            </w14:solidFill>
          </w14:textFill>
        </w:rPr>
        <w:t>联系电话：</w:t>
      </w:r>
      <w:r>
        <w:rPr>
          <w:rFonts w:hint="eastAsia" w:ascii="仿宋" w:hAnsi="仿宋" w:eastAsia="仿宋" w:cs="仿宋"/>
          <w:color w:val="000000" w:themeColor="text1"/>
          <w:kern w:val="2"/>
          <w:sz w:val="24"/>
          <w:szCs w:val="24"/>
          <w:u w:val="dotted"/>
          <w14:textFill>
            <w14:solidFill>
              <w14:schemeClr w14:val="tx1"/>
            </w14:solidFill>
          </w14:textFill>
        </w:rPr>
        <w:t xml:space="preserve">                      </w:t>
      </w:r>
      <w:r>
        <w:rPr>
          <w:rFonts w:hint="eastAsia" w:ascii="仿宋" w:hAnsi="仿宋" w:eastAsia="仿宋" w:cs="仿宋"/>
          <w:color w:val="000000" w:themeColor="text1"/>
          <w:kern w:val="2"/>
          <w:sz w:val="24"/>
          <w:szCs w:val="24"/>
          <w:u w:val="single"/>
          <w14:textFill>
            <w14:solidFill>
              <w14:schemeClr w14:val="tx1"/>
            </w14:solidFill>
          </w14:textFill>
        </w:rPr>
        <w:t xml:space="preserve">      </w:t>
      </w:r>
    </w:p>
    <w:p w14:paraId="48B623B5">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14:textFill>
            <w14:solidFill>
              <w14:schemeClr w14:val="tx1"/>
            </w14:solidFill>
          </w14:textFill>
        </w:rPr>
      </w:pPr>
      <w:bookmarkStart w:id="317" w:name="_Toc20743"/>
      <w:r>
        <w:rPr>
          <w:rFonts w:hint="eastAsia" w:ascii="仿宋" w:hAnsi="仿宋" w:eastAsia="仿宋" w:cs="仿宋"/>
          <w:color w:val="000000" w:themeColor="text1"/>
          <w:kern w:val="2"/>
          <w:sz w:val="24"/>
          <w:szCs w:val="24"/>
          <w14:textFill>
            <w14:solidFill>
              <w14:schemeClr w14:val="tx1"/>
            </w14:solidFill>
          </w14:textFill>
        </w:rPr>
        <w:t>二、投诉项目基本情况</w:t>
      </w:r>
      <w:bookmarkEnd w:id="317"/>
    </w:p>
    <w:p w14:paraId="7481460E">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u w:val="dotted"/>
          <w14:textFill>
            <w14:solidFill>
              <w14:schemeClr w14:val="tx1"/>
            </w14:solidFill>
          </w14:textFill>
        </w:rPr>
      </w:pPr>
      <w:r>
        <w:rPr>
          <w:rFonts w:hint="eastAsia" w:ascii="仿宋" w:hAnsi="仿宋" w:eastAsia="仿宋" w:cs="仿宋"/>
          <w:color w:val="000000" w:themeColor="text1"/>
          <w:kern w:val="2"/>
          <w:sz w:val="24"/>
          <w:szCs w:val="24"/>
          <w:lang w:val="en-US" w:eastAsia="zh-CN"/>
          <w14:textFill>
            <w14:solidFill>
              <w14:schemeClr w14:val="tx1"/>
            </w14:solidFill>
          </w14:textFill>
        </w:rPr>
        <w:t>投诉</w:t>
      </w:r>
      <w:r>
        <w:rPr>
          <w:rFonts w:hint="eastAsia" w:ascii="仿宋" w:hAnsi="仿宋" w:eastAsia="仿宋" w:cs="仿宋"/>
          <w:color w:val="000000" w:themeColor="text1"/>
          <w:kern w:val="2"/>
          <w:sz w:val="24"/>
          <w:szCs w:val="24"/>
          <w14:textFill>
            <w14:solidFill>
              <w14:schemeClr w14:val="tx1"/>
            </w14:solidFill>
          </w14:textFill>
        </w:rPr>
        <w:t>项目名称：</w:t>
      </w:r>
      <w:r>
        <w:rPr>
          <w:rFonts w:hint="eastAsia" w:ascii="仿宋" w:hAnsi="仿宋" w:eastAsia="仿宋" w:cs="仿宋"/>
          <w:color w:val="000000" w:themeColor="text1"/>
          <w:kern w:val="2"/>
          <w:sz w:val="24"/>
          <w:szCs w:val="24"/>
          <w:u w:val="dotted"/>
          <w14:textFill>
            <w14:solidFill>
              <w14:schemeClr w14:val="tx1"/>
            </w14:solidFill>
          </w14:textFill>
        </w:rPr>
        <w:t xml:space="preserve">                                        </w:t>
      </w:r>
    </w:p>
    <w:p w14:paraId="76B23838">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u w:val="single"/>
          <w14:textFill>
            <w14:solidFill>
              <w14:schemeClr w14:val="tx1"/>
            </w14:solidFill>
          </w14:textFill>
        </w:rPr>
      </w:pPr>
      <w:r>
        <w:rPr>
          <w:rFonts w:hint="eastAsia" w:ascii="仿宋" w:hAnsi="仿宋" w:eastAsia="仿宋" w:cs="仿宋"/>
          <w:color w:val="000000" w:themeColor="text1"/>
          <w:kern w:val="2"/>
          <w:sz w:val="24"/>
          <w:szCs w:val="24"/>
          <w:lang w:val="en-US" w:eastAsia="zh-CN"/>
          <w14:textFill>
            <w14:solidFill>
              <w14:schemeClr w14:val="tx1"/>
            </w14:solidFill>
          </w14:textFill>
        </w:rPr>
        <w:t>投诉</w:t>
      </w:r>
      <w:r>
        <w:rPr>
          <w:rFonts w:hint="eastAsia" w:ascii="仿宋" w:hAnsi="仿宋" w:eastAsia="仿宋" w:cs="仿宋"/>
          <w:color w:val="000000" w:themeColor="text1"/>
          <w:kern w:val="2"/>
          <w:sz w:val="24"/>
          <w:szCs w:val="24"/>
          <w14:textFill>
            <w14:solidFill>
              <w14:schemeClr w14:val="tx1"/>
            </w14:solidFill>
          </w14:textFill>
        </w:rPr>
        <w:t>项目编号：</w:t>
      </w:r>
      <w:r>
        <w:rPr>
          <w:rFonts w:hint="eastAsia" w:ascii="仿宋" w:hAnsi="仿宋" w:eastAsia="仿宋" w:cs="仿宋"/>
          <w:color w:val="000000" w:themeColor="text1"/>
          <w:kern w:val="2"/>
          <w:sz w:val="24"/>
          <w:szCs w:val="24"/>
          <w:u w:val="dotted"/>
          <w14:textFill>
            <w14:solidFill>
              <w14:schemeClr w14:val="tx1"/>
            </w14:solidFill>
          </w14:textFill>
        </w:rPr>
        <w:t xml:space="preserve">                 </w:t>
      </w:r>
      <w:r>
        <w:rPr>
          <w:rFonts w:hint="eastAsia" w:ascii="仿宋" w:hAnsi="仿宋" w:eastAsia="仿宋" w:cs="仿宋"/>
          <w:color w:val="000000" w:themeColor="text1"/>
          <w:kern w:val="2"/>
          <w:sz w:val="24"/>
          <w:szCs w:val="24"/>
          <w14:textFill>
            <w14:solidFill>
              <w14:schemeClr w14:val="tx1"/>
            </w14:solidFill>
          </w14:textFill>
        </w:rPr>
        <w:t>包号：</w:t>
      </w:r>
      <w:r>
        <w:rPr>
          <w:rFonts w:hint="eastAsia" w:ascii="仿宋" w:hAnsi="仿宋" w:eastAsia="仿宋" w:cs="仿宋"/>
          <w:color w:val="000000" w:themeColor="text1"/>
          <w:kern w:val="2"/>
          <w:sz w:val="24"/>
          <w:szCs w:val="24"/>
          <w:u w:val="dotted"/>
          <w14:textFill>
            <w14:solidFill>
              <w14:schemeClr w14:val="tx1"/>
            </w14:solidFill>
          </w14:textFill>
        </w:rPr>
        <w:t xml:space="preserve">              </w:t>
      </w:r>
    </w:p>
    <w:p w14:paraId="029747B1">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lang w:val="en-US" w:eastAsia="zh-CN"/>
          <w14:textFill>
            <w14:solidFill>
              <w14:schemeClr w14:val="tx1"/>
            </w14:solidFill>
          </w14:textFill>
        </w:rPr>
        <w:t>采购人</w:t>
      </w:r>
      <w:r>
        <w:rPr>
          <w:rFonts w:hint="eastAsia" w:ascii="仿宋" w:hAnsi="仿宋" w:eastAsia="仿宋" w:cs="仿宋"/>
          <w:color w:val="000000" w:themeColor="text1"/>
          <w:kern w:val="2"/>
          <w:sz w:val="24"/>
          <w:szCs w:val="24"/>
          <w14:textFill>
            <w14:solidFill>
              <w14:schemeClr w14:val="tx1"/>
            </w14:solidFill>
          </w14:textFill>
        </w:rPr>
        <w:t>名称：</w:t>
      </w:r>
      <w:r>
        <w:rPr>
          <w:rFonts w:hint="eastAsia" w:ascii="仿宋" w:hAnsi="仿宋" w:eastAsia="仿宋" w:cs="仿宋"/>
          <w:color w:val="000000" w:themeColor="text1"/>
          <w:kern w:val="2"/>
          <w:sz w:val="24"/>
          <w:szCs w:val="24"/>
          <w:u w:val="dotted"/>
          <w14:textFill>
            <w14:solidFill>
              <w14:schemeClr w14:val="tx1"/>
            </w14:solidFill>
          </w14:textFill>
        </w:rPr>
        <w:t xml:space="preserve">                                           </w:t>
      </w:r>
      <w:r>
        <w:rPr>
          <w:rFonts w:hint="eastAsia" w:ascii="仿宋" w:hAnsi="仿宋" w:eastAsia="仿宋" w:cs="仿宋"/>
          <w:color w:val="000000" w:themeColor="text1"/>
          <w:kern w:val="2"/>
          <w:sz w:val="24"/>
          <w:szCs w:val="24"/>
          <w:u w:val="single"/>
          <w14:textFill>
            <w14:solidFill>
              <w14:schemeClr w14:val="tx1"/>
            </w14:solidFill>
          </w14:textFill>
        </w:rPr>
        <w:t xml:space="preserve">  </w:t>
      </w:r>
    </w:p>
    <w:p w14:paraId="286402FE">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u w:val="single"/>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代理机构名称：</w:t>
      </w:r>
      <w:r>
        <w:rPr>
          <w:rFonts w:hint="eastAsia" w:ascii="仿宋" w:hAnsi="仿宋" w:eastAsia="仿宋" w:cs="仿宋"/>
          <w:color w:val="000000" w:themeColor="text1"/>
          <w:kern w:val="2"/>
          <w:sz w:val="24"/>
          <w:szCs w:val="24"/>
          <w:u w:val="dotted"/>
          <w14:textFill>
            <w14:solidFill>
              <w14:schemeClr w14:val="tx1"/>
            </w14:solidFill>
          </w14:textFill>
        </w:rPr>
        <w:t xml:space="preserve">                                         </w:t>
      </w:r>
    </w:p>
    <w:p w14:paraId="18094BB6">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u w:val="dotted"/>
          <w14:textFill>
            <w14:solidFill>
              <w14:schemeClr w14:val="tx1"/>
            </w14:solidFill>
          </w14:textFill>
        </w:rPr>
      </w:pPr>
      <w:r>
        <w:rPr>
          <w:rFonts w:hint="eastAsia" w:ascii="仿宋" w:hAnsi="仿宋" w:eastAsia="仿宋" w:cs="仿宋"/>
          <w:color w:val="000000" w:themeColor="text1"/>
          <w:kern w:val="2"/>
          <w:sz w:val="24"/>
          <w:szCs w:val="24"/>
          <w:lang w:val="en-US" w:eastAsia="zh-CN"/>
          <w14:textFill>
            <w14:solidFill>
              <w14:schemeClr w14:val="tx1"/>
            </w14:solidFill>
          </w14:textFill>
        </w:rPr>
        <w:t>招标</w:t>
      </w:r>
      <w:r>
        <w:rPr>
          <w:rFonts w:hint="eastAsia" w:ascii="仿宋" w:hAnsi="仿宋" w:eastAsia="仿宋" w:cs="仿宋"/>
          <w:color w:val="000000" w:themeColor="text1"/>
          <w:kern w:val="2"/>
          <w:sz w:val="24"/>
          <w:szCs w:val="24"/>
          <w14:textFill>
            <w14:solidFill>
              <w14:schemeClr w14:val="tx1"/>
            </w14:solidFill>
          </w14:textFill>
        </w:rPr>
        <w:t>文件公告:</w:t>
      </w:r>
      <w:r>
        <w:rPr>
          <w:rFonts w:hint="eastAsia" w:ascii="仿宋" w:hAnsi="仿宋" w:eastAsia="仿宋" w:cs="仿宋"/>
          <w:color w:val="000000" w:themeColor="text1"/>
          <w:kern w:val="2"/>
          <w:sz w:val="24"/>
          <w:szCs w:val="24"/>
          <w:u w:val="dotted"/>
          <w14:textFill>
            <w14:solidFill>
              <w14:schemeClr w14:val="tx1"/>
            </w14:solidFill>
          </w14:textFill>
        </w:rPr>
        <w:t xml:space="preserve">是/否 </w:t>
      </w:r>
      <w:r>
        <w:rPr>
          <w:rFonts w:hint="eastAsia" w:ascii="仿宋" w:hAnsi="仿宋" w:eastAsia="仿宋" w:cs="仿宋"/>
          <w:color w:val="000000" w:themeColor="text1"/>
          <w:kern w:val="2"/>
          <w:sz w:val="24"/>
          <w:szCs w:val="24"/>
          <w14:textFill>
            <w14:solidFill>
              <w14:schemeClr w14:val="tx1"/>
            </w14:solidFill>
          </w14:textFill>
        </w:rPr>
        <w:t>公告期限：</w:t>
      </w:r>
      <w:r>
        <w:rPr>
          <w:rFonts w:hint="eastAsia" w:ascii="仿宋" w:hAnsi="仿宋" w:eastAsia="仿宋" w:cs="仿宋"/>
          <w:color w:val="000000" w:themeColor="text1"/>
          <w:kern w:val="2"/>
          <w:sz w:val="24"/>
          <w:szCs w:val="24"/>
          <w:u w:val="dotted"/>
          <w14:textFill>
            <w14:solidFill>
              <w14:schemeClr w14:val="tx1"/>
            </w14:solidFill>
          </w14:textFill>
        </w:rPr>
        <w:t xml:space="preserve">                                 </w:t>
      </w:r>
    </w:p>
    <w:p w14:paraId="6E607027">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u w:val="single"/>
          <w14:textFill>
            <w14:solidFill>
              <w14:schemeClr w14:val="tx1"/>
            </w14:solidFill>
          </w14:textFill>
        </w:rPr>
      </w:pPr>
      <w:r>
        <w:rPr>
          <w:rFonts w:hint="eastAsia" w:ascii="仿宋" w:hAnsi="仿宋" w:eastAsia="仿宋" w:cs="仿宋"/>
          <w:color w:val="000000" w:themeColor="text1"/>
          <w:kern w:val="2"/>
          <w:sz w:val="24"/>
          <w:szCs w:val="24"/>
          <w:lang w:val="en-US" w:eastAsia="zh-CN"/>
          <w14:textFill>
            <w14:solidFill>
              <w14:schemeClr w14:val="tx1"/>
            </w14:solidFill>
          </w14:textFill>
        </w:rPr>
        <w:t>中标</w:t>
      </w:r>
      <w:r>
        <w:rPr>
          <w:rFonts w:hint="eastAsia" w:ascii="仿宋" w:hAnsi="仿宋" w:eastAsia="仿宋" w:cs="仿宋"/>
          <w:color w:val="000000" w:themeColor="text1"/>
          <w:kern w:val="2"/>
          <w:sz w:val="24"/>
          <w:szCs w:val="24"/>
          <w14:textFill>
            <w14:solidFill>
              <w14:schemeClr w14:val="tx1"/>
            </w14:solidFill>
          </w14:textFill>
        </w:rPr>
        <w:t>结果公告:</w:t>
      </w:r>
      <w:r>
        <w:rPr>
          <w:rFonts w:hint="eastAsia" w:ascii="仿宋" w:hAnsi="仿宋" w:eastAsia="仿宋" w:cs="仿宋"/>
          <w:color w:val="000000" w:themeColor="text1"/>
          <w:kern w:val="2"/>
          <w:sz w:val="24"/>
          <w:szCs w:val="24"/>
          <w:u w:val="dotted"/>
          <w14:textFill>
            <w14:solidFill>
              <w14:schemeClr w14:val="tx1"/>
            </w14:solidFill>
          </w14:textFill>
        </w:rPr>
        <w:t xml:space="preserve">是/否 </w:t>
      </w:r>
      <w:r>
        <w:rPr>
          <w:rFonts w:hint="eastAsia" w:ascii="仿宋" w:hAnsi="仿宋" w:eastAsia="仿宋" w:cs="仿宋"/>
          <w:color w:val="000000" w:themeColor="text1"/>
          <w:kern w:val="2"/>
          <w:sz w:val="24"/>
          <w:szCs w:val="24"/>
          <w14:textFill>
            <w14:solidFill>
              <w14:schemeClr w14:val="tx1"/>
            </w14:solidFill>
          </w14:textFill>
        </w:rPr>
        <w:t>公告期限：</w:t>
      </w:r>
      <w:r>
        <w:rPr>
          <w:rFonts w:hint="eastAsia" w:ascii="仿宋" w:hAnsi="仿宋" w:eastAsia="仿宋" w:cs="仿宋"/>
          <w:color w:val="000000" w:themeColor="text1"/>
          <w:kern w:val="2"/>
          <w:sz w:val="24"/>
          <w:szCs w:val="24"/>
          <w:u w:val="dotted"/>
          <w14:textFill>
            <w14:solidFill>
              <w14:schemeClr w14:val="tx1"/>
            </w14:solidFill>
          </w14:textFill>
        </w:rPr>
        <w:t xml:space="preserve">                        </w:t>
      </w:r>
    </w:p>
    <w:p w14:paraId="45941C07">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14:textFill>
            <w14:solidFill>
              <w14:schemeClr w14:val="tx1"/>
            </w14:solidFill>
          </w14:textFill>
        </w:rPr>
      </w:pPr>
      <w:bookmarkStart w:id="318" w:name="_Toc9071"/>
      <w:r>
        <w:rPr>
          <w:rFonts w:hint="eastAsia" w:ascii="仿宋" w:hAnsi="仿宋" w:eastAsia="仿宋" w:cs="仿宋"/>
          <w:color w:val="000000" w:themeColor="text1"/>
          <w:kern w:val="2"/>
          <w:sz w:val="24"/>
          <w:szCs w:val="24"/>
          <w14:textFill>
            <w14:solidFill>
              <w14:schemeClr w14:val="tx1"/>
            </w14:solidFill>
          </w14:textFill>
        </w:rPr>
        <w:t>三、质疑基本情况</w:t>
      </w:r>
      <w:bookmarkEnd w:id="318"/>
    </w:p>
    <w:p w14:paraId="0694AB04">
      <w:pPr>
        <w:keepNext w:val="0"/>
        <w:keepLines w:val="0"/>
        <w:pageBreakBefore w:val="0"/>
        <w:widowControl w:val="0"/>
        <w:kinsoku/>
        <w:wordWrap/>
        <w:overflowPunct/>
        <w:topLinePunct w:val="0"/>
        <w:autoSpaceDE/>
        <w:autoSpaceDN/>
        <w:bidi w:val="0"/>
        <w:adjustRightInd/>
        <w:snapToGrid/>
        <w:ind w:firstLine="480" w:firstLineChars="200"/>
        <w:jc w:val="both"/>
        <w:textAlignment w:val="auto"/>
        <w:outlineLvl w:val="9"/>
        <w:rPr>
          <w:rFonts w:hint="eastAsia" w:ascii="仿宋" w:hAnsi="仿宋" w:eastAsia="仿宋" w:cs="仿宋"/>
          <w:color w:val="000000" w:themeColor="text1"/>
          <w:kern w:val="2"/>
          <w:sz w:val="24"/>
          <w:szCs w:val="24"/>
          <w:u w:val="dotted"/>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投诉人于</w:t>
      </w:r>
      <w:r>
        <w:rPr>
          <w:rFonts w:hint="eastAsia" w:ascii="仿宋" w:hAnsi="仿宋" w:eastAsia="仿宋" w:cs="仿宋"/>
          <w:color w:val="000000" w:themeColor="text1"/>
          <w:kern w:val="2"/>
          <w:sz w:val="24"/>
          <w:szCs w:val="24"/>
          <w:u w:val="dotted"/>
          <w14:textFill>
            <w14:solidFill>
              <w14:schemeClr w14:val="tx1"/>
            </w14:solidFill>
          </w14:textFill>
        </w:rPr>
        <w:t xml:space="preserve">   </w:t>
      </w:r>
      <w:r>
        <w:rPr>
          <w:rFonts w:hint="eastAsia" w:ascii="仿宋" w:hAnsi="仿宋" w:eastAsia="仿宋" w:cs="仿宋"/>
          <w:color w:val="000000" w:themeColor="text1"/>
          <w:kern w:val="2"/>
          <w:sz w:val="24"/>
          <w:szCs w:val="24"/>
          <w14:textFill>
            <w14:solidFill>
              <w14:schemeClr w14:val="tx1"/>
            </w14:solidFill>
          </w14:textFill>
        </w:rPr>
        <w:t>年</w:t>
      </w:r>
      <w:r>
        <w:rPr>
          <w:rFonts w:hint="eastAsia" w:ascii="仿宋" w:hAnsi="仿宋" w:eastAsia="仿宋" w:cs="仿宋"/>
          <w:color w:val="000000" w:themeColor="text1"/>
          <w:kern w:val="2"/>
          <w:sz w:val="24"/>
          <w:szCs w:val="24"/>
          <w:u w:val="dotted"/>
          <w14:textFill>
            <w14:solidFill>
              <w14:schemeClr w14:val="tx1"/>
            </w14:solidFill>
          </w14:textFill>
        </w:rPr>
        <w:t xml:space="preserve">   </w:t>
      </w:r>
      <w:r>
        <w:rPr>
          <w:rFonts w:hint="eastAsia" w:ascii="仿宋" w:hAnsi="仿宋" w:eastAsia="仿宋" w:cs="仿宋"/>
          <w:color w:val="000000" w:themeColor="text1"/>
          <w:kern w:val="2"/>
          <w:sz w:val="24"/>
          <w:szCs w:val="24"/>
          <w14:textFill>
            <w14:solidFill>
              <w14:schemeClr w14:val="tx1"/>
            </w14:solidFill>
          </w14:textFill>
        </w:rPr>
        <w:t>月</w:t>
      </w:r>
      <w:r>
        <w:rPr>
          <w:rFonts w:hint="eastAsia" w:ascii="仿宋" w:hAnsi="仿宋" w:eastAsia="仿宋" w:cs="仿宋"/>
          <w:color w:val="000000" w:themeColor="text1"/>
          <w:kern w:val="2"/>
          <w:sz w:val="24"/>
          <w:szCs w:val="24"/>
          <w:u w:val="dotted"/>
          <w14:textFill>
            <w14:solidFill>
              <w14:schemeClr w14:val="tx1"/>
            </w14:solidFill>
          </w14:textFill>
        </w:rPr>
        <w:t xml:space="preserve">  </w:t>
      </w:r>
      <w:r>
        <w:rPr>
          <w:rFonts w:hint="eastAsia" w:ascii="仿宋" w:hAnsi="仿宋" w:eastAsia="仿宋" w:cs="仿宋"/>
          <w:color w:val="000000" w:themeColor="text1"/>
          <w:kern w:val="2"/>
          <w:sz w:val="24"/>
          <w:szCs w:val="24"/>
          <w14:textFill>
            <w14:solidFill>
              <w14:schemeClr w14:val="tx1"/>
            </w14:solidFill>
          </w14:textFill>
        </w:rPr>
        <w:t>日,向</w:t>
      </w:r>
      <w:r>
        <w:rPr>
          <w:rFonts w:hint="eastAsia" w:ascii="仿宋" w:hAnsi="仿宋" w:eastAsia="仿宋" w:cs="仿宋"/>
          <w:color w:val="000000" w:themeColor="text1"/>
          <w:kern w:val="2"/>
          <w:sz w:val="24"/>
          <w:szCs w:val="24"/>
          <w:u w:val="dotted"/>
          <w14:textFill>
            <w14:solidFill>
              <w14:schemeClr w14:val="tx1"/>
            </w14:solidFill>
          </w14:textFill>
        </w:rPr>
        <w:t xml:space="preserve">                   </w:t>
      </w:r>
      <w:r>
        <w:rPr>
          <w:rFonts w:hint="eastAsia" w:ascii="仿宋" w:hAnsi="仿宋" w:eastAsia="仿宋" w:cs="仿宋"/>
          <w:color w:val="000000" w:themeColor="text1"/>
          <w:kern w:val="2"/>
          <w:sz w:val="24"/>
          <w:szCs w:val="24"/>
          <w:u w:val="dotted"/>
          <w:lang w:eastAsia="zh-CN"/>
          <w14:textFill>
            <w14:solidFill>
              <w14:schemeClr w14:val="tx1"/>
            </w14:solidFill>
          </w14:textFill>
        </w:rPr>
        <w:t>质疑</w:t>
      </w:r>
      <w:r>
        <w:rPr>
          <w:rFonts w:hint="eastAsia" w:ascii="仿宋" w:hAnsi="仿宋" w:eastAsia="仿宋" w:cs="仿宋"/>
          <w:color w:val="000000" w:themeColor="text1"/>
          <w:kern w:val="2"/>
          <w:sz w:val="24"/>
          <w:szCs w:val="24"/>
          <w14:textFill>
            <w14:solidFill>
              <w14:schemeClr w14:val="tx1"/>
            </w14:solidFill>
          </w14:textFill>
        </w:rPr>
        <w:t>，质疑事项为：</w:t>
      </w:r>
      <w:r>
        <w:rPr>
          <w:rFonts w:hint="eastAsia" w:ascii="仿宋" w:hAnsi="仿宋" w:eastAsia="仿宋" w:cs="仿宋"/>
          <w:color w:val="000000" w:themeColor="text1"/>
          <w:kern w:val="2"/>
          <w:sz w:val="24"/>
          <w:szCs w:val="24"/>
          <w:u w:val="dotted"/>
          <w14:textFill>
            <w14:solidFill>
              <w14:schemeClr w14:val="tx1"/>
            </w14:solidFill>
          </w14:textFill>
        </w:rPr>
        <w:t xml:space="preserve">                                </w:t>
      </w:r>
    </w:p>
    <w:p w14:paraId="706BDA27">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u w:val="dotted"/>
          <w14:textFill>
            <w14:solidFill>
              <w14:schemeClr w14:val="tx1"/>
            </w14:solidFill>
          </w14:textFill>
        </w:rPr>
      </w:pPr>
      <w:r>
        <w:rPr>
          <w:rFonts w:hint="eastAsia" w:ascii="仿宋" w:hAnsi="仿宋" w:eastAsia="仿宋" w:cs="仿宋"/>
          <w:color w:val="000000" w:themeColor="text1"/>
          <w:kern w:val="2"/>
          <w:sz w:val="24"/>
          <w:szCs w:val="24"/>
          <w:u w:val="dotted"/>
          <w14:textFill>
            <w14:solidFill>
              <w14:schemeClr w14:val="tx1"/>
            </w14:solidFill>
          </w14:textFill>
        </w:rPr>
        <w:t xml:space="preserve">                                                     </w:t>
      </w:r>
      <w:r>
        <w:rPr>
          <w:rFonts w:hint="eastAsia" w:ascii="仿宋" w:hAnsi="仿宋" w:eastAsia="仿宋" w:cs="仿宋"/>
          <w:color w:val="000000" w:themeColor="text1"/>
          <w:kern w:val="2"/>
          <w:sz w:val="24"/>
          <w:szCs w:val="24"/>
          <w14:textFill>
            <w14:solidFill>
              <w14:schemeClr w14:val="tx1"/>
            </w14:solidFill>
          </w14:textFill>
        </w:rPr>
        <w:t xml:space="preserve">  </w:t>
      </w:r>
    </w:p>
    <w:p w14:paraId="619FC97A">
      <w:pPr>
        <w:keepNext w:val="0"/>
        <w:keepLines w:val="0"/>
        <w:pageBreakBefore w:val="0"/>
        <w:widowControl w:val="0"/>
        <w:kinsoku/>
        <w:wordWrap/>
        <w:overflowPunct/>
        <w:topLinePunct w:val="0"/>
        <w:autoSpaceDE/>
        <w:autoSpaceDN/>
        <w:bidi w:val="0"/>
        <w:adjustRightInd/>
        <w:snapToGrid/>
        <w:ind w:firstLine="360" w:firstLineChars="150"/>
        <w:jc w:val="both"/>
        <w:textAlignment w:val="auto"/>
        <w:outlineLvl w:val="9"/>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u w:val="dotted"/>
          <w:lang w:val="en-US" w:eastAsia="zh-CN"/>
          <w14:textFill>
            <w14:solidFill>
              <w14:schemeClr w14:val="tx1"/>
            </w14:solidFill>
          </w14:textFill>
        </w:rPr>
        <w:t>中标人</w:t>
      </w:r>
      <w:r>
        <w:rPr>
          <w:rFonts w:hint="eastAsia" w:ascii="仿宋" w:hAnsi="仿宋" w:eastAsia="仿宋" w:cs="仿宋"/>
          <w:color w:val="000000" w:themeColor="text1"/>
          <w:kern w:val="2"/>
          <w:sz w:val="24"/>
          <w:szCs w:val="24"/>
          <w:u w:val="dotted"/>
          <w14:textFill>
            <w14:solidFill>
              <w14:schemeClr w14:val="tx1"/>
            </w14:solidFill>
          </w14:textFill>
        </w:rPr>
        <w:t>/代理机构</w:t>
      </w:r>
      <w:r>
        <w:rPr>
          <w:rFonts w:hint="eastAsia" w:ascii="仿宋" w:hAnsi="仿宋" w:eastAsia="仿宋" w:cs="仿宋"/>
          <w:color w:val="000000" w:themeColor="text1"/>
          <w:kern w:val="2"/>
          <w:sz w:val="24"/>
          <w:szCs w:val="24"/>
          <w14:textFill>
            <w14:solidFill>
              <w14:schemeClr w14:val="tx1"/>
            </w14:solidFill>
          </w14:textFill>
        </w:rPr>
        <w:t>于</w:t>
      </w:r>
      <w:r>
        <w:rPr>
          <w:rFonts w:hint="eastAsia" w:ascii="仿宋" w:hAnsi="仿宋" w:eastAsia="仿宋" w:cs="仿宋"/>
          <w:color w:val="000000" w:themeColor="text1"/>
          <w:kern w:val="2"/>
          <w:sz w:val="24"/>
          <w:szCs w:val="24"/>
          <w:u w:val="dotted"/>
          <w14:textFill>
            <w14:solidFill>
              <w14:schemeClr w14:val="tx1"/>
            </w14:solidFill>
          </w14:textFill>
        </w:rPr>
        <w:t xml:space="preserve">   </w:t>
      </w:r>
      <w:r>
        <w:rPr>
          <w:rFonts w:hint="eastAsia" w:ascii="仿宋" w:hAnsi="仿宋" w:eastAsia="仿宋" w:cs="仿宋"/>
          <w:color w:val="000000" w:themeColor="text1"/>
          <w:kern w:val="2"/>
          <w:sz w:val="24"/>
          <w:szCs w:val="24"/>
          <w14:textFill>
            <w14:solidFill>
              <w14:schemeClr w14:val="tx1"/>
            </w14:solidFill>
          </w14:textFill>
        </w:rPr>
        <w:t>年</w:t>
      </w:r>
      <w:r>
        <w:rPr>
          <w:rFonts w:hint="eastAsia" w:ascii="仿宋" w:hAnsi="仿宋" w:eastAsia="仿宋" w:cs="仿宋"/>
          <w:color w:val="000000" w:themeColor="text1"/>
          <w:kern w:val="2"/>
          <w:sz w:val="24"/>
          <w:szCs w:val="24"/>
          <w:u w:val="dotted"/>
          <w14:textFill>
            <w14:solidFill>
              <w14:schemeClr w14:val="tx1"/>
            </w14:solidFill>
          </w14:textFill>
        </w:rPr>
        <w:t xml:space="preserve">   </w:t>
      </w:r>
      <w:r>
        <w:rPr>
          <w:rFonts w:hint="eastAsia" w:ascii="仿宋" w:hAnsi="仿宋" w:eastAsia="仿宋" w:cs="仿宋"/>
          <w:color w:val="000000" w:themeColor="text1"/>
          <w:kern w:val="2"/>
          <w:sz w:val="24"/>
          <w:szCs w:val="24"/>
          <w14:textFill>
            <w14:solidFill>
              <w14:schemeClr w14:val="tx1"/>
            </w14:solidFill>
          </w14:textFill>
        </w:rPr>
        <w:t>月</w:t>
      </w:r>
      <w:r>
        <w:rPr>
          <w:rFonts w:hint="eastAsia" w:ascii="仿宋" w:hAnsi="仿宋" w:eastAsia="仿宋" w:cs="仿宋"/>
          <w:color w:val="000000" w:themeColor="text1"/>
          <w:kern w:val="2"/>
          <w:sz w:val="24"/>
          <w:szCs w:val="24"/>
          <w:u w:val="dotted"/>
          <w14:textFill>
            <w14:solidFill>
              <w14:schemeClr w14:val="tx1"/>
            </w14:solidFill>
          </w14:textFill>
        </w:rPr>
        <w:t xml:space="preserve">   </w:t>
      </w:r>
      <w:r>
        <w:rPr>
          <w:rFonts w:hint="eastAsia" w:ascii="仿宋" w:hAnsi="仿宋" w:eastAsia="仿宋" w:cs="仿宋"/>
          <w:color w:val="000000" w:themeColor="text1"/>
          <w:kern w:val="2"/>
          <w:sz w:val="24"/>
          <w:szCs w:val="24"/>
          <w14:textFill>
            <w14:solidFill>
              <w14:schemeClr w14:val="tx1"/>
            </w14:solidFill>
          </w14:textFill>
        </w:rPr>
        <w:t>日,就质疑事项作出了答复/没有在法定期限内作出答复。</w:t>
      </w:r>
    </w:p>
    <w:p w14:paraId="28DF75E0">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14:textFill>
            <w14:solidFill>
              <w14:schemeClr w14:val="tx1"/>
            </w14:solidFill>
          </w14:textFill>
        </w:rPr>
      </w:pPr>
      <w:bookmarkStart w:id="319" w:name="_Toc5565"/>
      <w:r>
        <w:rPr>
          <w:rFonts w:hint="eastAsia" w:ascii="仿宋" w:hAnsi="仿宋" w:eastAsia="仿宋" w:cs="仿宋"/>
          <w:color w:val="000000" w:themeColor="text1"/>
          <w:kern w:val="2"/>
          <w:sz w:val="24"/>
          <w:szCs w:val="24"/>
          <w14:textFill>
            <w14:solidFill>
              <w14:schemeClr w14:val="tx1"/>
            </w14:solidFill>
          </w14:textFill>
        </w:rPr>
        <w:t>四、投诉事项具体内容</w:t>
      </w:r>
      <w:bookmarkEnd w:id="319"/>
    </w:p>
    <w:p w14:paraId="7C3ABF6C">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u w:val="single"/>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投诉事项 1：</w:t>
      </w:r>
      <w:r>
        <w:rPr>
          <w:rFonts w:hint="eastAsia" w:ascii="仿宋" w:hAnsi="仿宋" w:eastAsia="仿宋" w:cs="仿宋"/>
          <w:color w:val="000000" w:themeColor="text1"/>
          <w:kern w:val="2"/>
          <w:sz w:val="24"/>
          <w:szCs w:val="24"/>
          <w:u w:val="dotted"/>
          <w14:textFill>
            <w14:solidFill>
              <w14:schemeClr w14:val="tx1"/>
            </w14:solidFill>
          </w14:textFill>
        </w:rPr>
        <w:t xml:space="preserve">                                       </w:t>
      </w:r>
    </w:p>
    <w:p w14:paraId="0972E6A2">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事实依据：</w:t>
      </w:r>
      <w:r>
        <w:rPr>
          <w:rFonts w:hint="eastAsia" w:ascii="仿宋" w:hAnsi="仿宋" w:eastAsia="仿宋" w:cs="仿宋"/>
          <w:color w:val="000000" w:themeColor="text1"/>
          <w:kern w:val="2"/>
          <w:sz w:val="24"/>
          <w:szCs w:val="24"/>
          <w:u w:val="dotted"/>
          <w14:textFill>
            <w14:solidFill>
              <w14:schemeClr w14:val="tx1"/>
            </w14:solidFill>
          </w14:textFill>
        </w:rPr>
        <w:t xml:space="preserve">                                         </w:t>
      </w:r>
    </w:p>
    <w:p w14:paraId="6DF39FDD">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u w:val="dotted"/>
          <w14:textFill>
            <w14:solidFill>
              <w14:schemeClr w14:val="tx1"/>
            </w14:solidFill>
          </w14:textFill>
        </w:rPr>
      </w:pPr>
      <w:r>
        <w:rPr>
          <w:rFonts w:hint="eastAsia" w:ascii="仿宋" w:hAnsi="仿宋" w:eastAsia="仿宋" w:cs="仿宋"/>
          <w:color w:val="000000" w:themeColor="text1"/>
          <w:kern w:val="2"/>
          <w:sz w:val="24"/>
          <w:szCs w:val="24"/>
          <w:u w:val="dotted"/>
          <w14:textFill>
            <w14:solidFill>
              <w14:schemeClr w14:val="tx1"/>
            </w14:solidFill>
          </w14:textFill>
        </w:rPr>
        <w:t xml:space="preserve">                                                      </w:t>
      </w:r>
    </w:p>
    <w:p w14:paraId="216341E7">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u w:val="single"/>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法律依据：</w:t>
      </w:r>
      <w:r>
        <w:rPr>
          <w:rFonts w:hint="eastAsia" w:ascii="仿宋" w:hAnsi="仿宋" w:eastAsia="仿宋" w:cs="仿宋"/>
          <w:color w:val="000000" w:themeColor="text1"/>
          <w:kern w:val="2"/>
          <w:sz w:val="24"/>
          <w:szCs w:val="24"/>
          <w:u w:val="dotted"/>
          <w14:textFill>
            <w14:solidFill>
              <w14:schemeClr w14:val="tx1"/>
            </w14:solidFill>
          </w14:textFill>
        </w:rPr>
        <w:t xml:space="preserve">                                          </w:t>
      </w:r>
    </w:p>
    <w:p w14:paraId="6C196A48">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u w:val="dotted"/>
          <w14:textFill>
            <w14:solidFill>
              <w14:schemeClr w14:val="tx1"/>
            </w14:solidFill>
          </w14:textFill>
        </w:rPr>
      </w:pPr>
      <w:r>
        <w:rPr>
          <w:rFonts w:hint="eastAsia" w:ascii="仿宋" w:hAnsi="仿宋" w:eastAsia="仿宋" w:cs="仿宋"/>
          <w:color w:val="000000" w:themeColor="text1"/>
          <w:kern w:val="2"/>
          <w:sz w:val="24"/>
          <w:szCs w:val="24"/>
          <w:u w:val="dotted"/>
          <w14:textFill>
            <w14:solidFill>
              <w14:schemeClr w14:val="tx1"/>
            </w14:solidFill>
          </w14:textFill>
        </w:rPr>
        <w:t xml:space="preserve">                                                      </w:t>
      </w:r>
    </w:p>
    <w:p w14:paraId="6DDDFD17">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投诉事项2</w:t>
      </w:r>
    </w:p>
    <w:p w14:paraId="7A1DD3D9">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u w:val="dotted"/>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w:t>
      </w:r>
    </w:p>
    <w:p w14:paraId="120B9684">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14:textFill>
            <w14:solidFill>
              <w14:schemeClr w14:val="tx1"/>
            </w14:solidFill>
          </w14:textFill>
        </w:rPr>
      </w:pPr>
      <w:bookmarkStart w:id="320" w:name="_Toc6707"/>
      <w:r>
        <w:rPr>
          <w:rFonts w:hint="eastAsia" w:ascii="仿宋" w:hAnsi="仿宋" w:eastAsia="仿宋" w:cs="仿宋"/>
          <w:color w:val="000000" w:themeColor="text1"/>
          <w:kern w:val="2"/>
          <w:sz w:val="24"/>
          <w:szCs w:val="24"/>
          <w14:textFill>
            <w14:solidFill>
              <w14:schemeClr w14:val="tx1"/>
            </w14:solidFill>
          </w14:textFill>
        </w:rPr>
        <w:t>五、与投诉事项相关的投诉请求</w:t>
      </w:r>
      <w:bookmarkEnd w:id="320"/>
    </w:p>
    <w:p w14:paraId="7DCFA0C9">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请求：</w:t>
      </w:r>
      <w:r>
        <w:rPr>
          <w:rFonts w:hint="eastAsia" w:ascii="仿宋" w:hAnsi="仿宋" w:eastAsia="仿宋" w:cs="仿宋"/>
          <w:color w:val="000000" w:themeColor="text1"/>
          <w:kern w:val="2"/>
          <w:sz w:val="24"/>
          <w:szCs w:val="24"/>
          <w:u w:val="dotted"/>
          <w14:textFill>
            <w14:solidFill>
              <w14:schemeClr w14:val="tx1"/>
            </w14:solidFill>
          </w14:textFill>
        </w:rPr>
        <w:t xml:space="preserve">                                              </w:t>
      </w:r>
      <w:r>
        <w:rPr>
          <w:rFonts w:hint="eastAsia" w:ascii="仿宋" w:hAnsi="仿宋" w:eastAsia="仿宋" w:cs="仿宋"/>
          <w:color w:val="000000" w:themeColor="text1"/>
          <w:kern w:val="2"/>
          <w:sz w:val="24"/>
          <w:szCs w:val="24"/>
          <w14:textFill>
            <w14:solidFill>
              <w14:schemeClr w14:val="tx1"/>
            </w14:solidFill>
          </w14:textFill>
        </w:rPr>
        <w:t xml:space="preserve"> </w:t>
      </w:r>
    </w:p>
    <w:p w14:paraId="4A12B2CA">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u w:val="single"/>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 xml:space="preserve">                                                                                                    </w:t>
      </w:r>
    </w:p>
    <w:p w14:paraId="41A54D8D">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 xml:space="preserve">签字(签章)：                   公章：                      </w:t>
      </w:r>
    </w:p>
    <w:p w14:paraId="5790D4A3">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14:textFill>
            <w14:solidFill>
              <w14:schemeClr w14:val="tx1"/>
            </w14:solidFill>
          </w14:textFill>
        </w:rPr>
      </w:pPr>
    </w:p>
    <w:p w14:paraId="5AF498B9">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 xml:space="preserve">日期：    </w:t>
      </w:r>
    </w:p>
    <w:p w14:paraId="211A071E">
      <w:pPr>
        <w:pStyle w:val="12"/>
        <w:ind w:left="0" w:leftChars="0" w:firstLine="0" w:firstLineChars="0"/>
        <w:rPr>
          <w:rFonts w:hint="eastAsia" w:ascii="仿宋" w:hAnsi="仿宋" w:eastAsia="仿宋" w:cs="仿宋"/>
          <w:color w:val="000000" w:themeColor="text1"/>
          <w:lang w:val="en-US" w:eastAsia="zh-CN"/>
          <w14:textFill>
            <w14:solidFill>
              <w14:schemeClr w14:val="tx1"/>
            </w14:solidFill>
          </w14:textFill>
        </w:rPr>
      </w:pPr>
      <w:bookmarkStart w:id="321" w:name="_Toc23061"/>
      <w:bookmarkStart w:id="322" w:name="_Toc4176"/>
      <w:bookmarkStart w:id="323" w:name="_Toc18968"/>
      <w:bookmarkStart w:id="324" w:name="_Toc27885"/>
    </w:p>
    <w:bookmarkEnd w:id="321"/>
    <w:bookmarkEnd w:id="322"/>
    <w:p w14:paraId="52DFF7DF">
      <w:pPr>
        <w:pStyle w:val="2"/>
        <w:keepNext/>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Chars="50" w:right="0" w:rightChars="0"/>
        <w:textAlignment w:val="auto"/>
        <w:rPr>
          <w:rFonts w:hint="eastAsia" w:ascii="仿宋" w:hAnsi="仿宋" w:eastAsia="仿宋" w:cs="仿宋"/>
          <w:color w:val="000000" w:themeColor="text1"/>
          <w:sz w:val="36"/>
          <w:szCs w:val="36"/>
          <w:lang w:val="en-US" w:eastAsia="zh-CN"/>
          <w14:textFill>
            <w14:solidFill>
              <w14:schemeClr w14:val="tx1"/>
            </w14:solidFill>
          </w14:textFill>
        </w:rPr>
      </w:pPr>
      <w:bookmarkStart w:id="325" w:name="_Toc11232"/>
      <w:bookmarkStart w:id="326" w:name="_Toc3510"/>
      <w:bookmarkStart w:id="327" w:name="_Toc4796"/>
      <w:bookmarkStart w:id="328" w:name="_Toc31891"/>
      <w:bookmarkStart w:id="329" w:name="_Toc21609"/>
      <w:bookmarkStart w:id="330" w:name="_Toc8012_WPSOffice_Level1"/>
      <w:bookmarkStart w:id="331" w:name="_Toc25746"/>
      <w:bookmarkStart w:id="332" w:name="_Toc12748"/>
      <w:bookmarkStart w:id="333" w:name="_Toc27066"/>
      <w:bookmarkStart w:id="334" w:name="_Toc14038"/>
      <w:bookmarkStart w:id="335" w:name="_Toc5561"/>
      <w:bookmarkStart w:id="336" w:name="_Toc4553_WPSOffice_Level1"/>
      <w:bookmarkStart w:id="337" w:name="_Toc14220"/>
      <w:bookmarkStart w:id="338" w:name="_Toc25000"/>
      <w:bookmarkStart w:id="339" w:name="_Toc30115"/>
      <w:bookmarkStart w:id="340" w:name="_Toc16567_WPSOffice_Level1"/>
      <w:bookmarkStart w:id="341" w:name="_Toc2462"/>
      <w:bookmarkStart w:id="342" w:name="_Toc8778"/>
      <w:bookmarkStart w:id="343" w:name="_Toc244931129"/>
      <w:r>
        <w:rPr>
          <w:rFonts w:hint="eastAsia" w:ascii="仿宋" w:hAnsi="仿宋" w:eastAsia="仿宋" w:cs="仿宋"/>
          <w:color w:val="000000" w:themeColor="text1"/>
          <w:sz w:val="36"/>
          <w:szCs w:val="36"/>
          <w:lang w:val="en-US" w:eastAsia="zh-CN"/>
          <w14:textFill>
            <w14:solidFill>
              <w14:schemeClr w14:val="tx1"/>
            </w14:solidFill>
          </w14:textFill>
        </w:rPr>
        <w:t>第三章 采购内容及具体要求</w:t>
      </w:r>
      <w:bookmarkEnd w:id="325"/>
      <w:bookmarkEnd w:id="326"/>
    </w:p>
    <w:p w14:paraId="0D6D68DC">
      <w:pPr>
        <w:pStyle w:val="72"/>
        <w:keepNext w:val="0"/>
        <w:keepLines w:val="0"/>
        <w:pageBreakBefore w:val="0"/>
        <w:numPr>
          <w:ilvl w:val="0"/>
          <w:numId w:val="0"/>
        </w:numPr>
        <w:kinsoku/>
        <w:wordWrap/>
        <w:overflowPunct/>
        <w:topLinePunct w:val="0"/>
        <w:autoSpaceDE/>
        <w:autoSpaceDN/>
        <w:bidi w:val="0"/>
        <w:adjustRightInd w:val="0"/>
        <w:snapToGrid w:val="0"/>
        <w:spacing w:line="440" w:lineRule="exact"/>
        <w:textAlignment w:val="auto"/>
        <w:rPr>
          <w:rFonts w:hint="eastAsia" w:ascii="仿宋" w:hAnsi="仿宋" w:eastAsia="仿宋" w:cs="仿宋"/>
          <w:b/>
          <w:color w:val="000000" w:themeColor="text1"/>
          <w:kern w:val="2"/>
          <w:sz w:val="28"/>
          <w:szCs w:val="16"/>
          <w:highlight w:val="none"/>
          <w:lang w:val="en-US" w:eastAsia="zh-CN" w:bidi="ar-SA"/>
          <w14:textFill>
            <w14:solidFill>
              <w14:schemeClr w14:val="tx1"/>
            </w14:solidFill>
          </w14:textFill>
        </w:rPr>
      </w:pPr>
      <w:bookmarkStart w:id="344" w:name="_Toc23321"/>
      <w:r>
        <w:rPr>
          <w:rFonts w:hint="eastAsia" w:ascii="仿宋" w:hAnsi="仿宋" w:eastAsia="仿宋" w:cs="仿宋"/>
          <w:b/>
          <w:color w:val="000000" w:themeColor="text1"/>
          <w:kern w:val="2"/>
          <w:sz w:val="28"/>
          <w:szCs w:val="16"/>
          <w:highlight w:val="none"/>
          <w:lang w:val="en-US" w:eastAsia="zh-CN" w:bidi="ar-SA"/>
          <w14:textFill>
            <w14:solidFill>
              <w14:schemeClr w14:val="tx1"/>
            </w14:solidFill>
          </w14:textFill>
        </w:rPr>
        <w:t>一、采购技术要求</w:t>
      </w:r>
    </w:p>
    <w:p w14:paraId="1E5A9B05">
      <w:pPr>
        <w:pStyle w:val="72"/>
        <w:keepNext w:val="0"/>
        <w:keepLines w:val="0"/>
        <w:pageBreakBefore w:val="0"/>
        <w:numPr>
          <w:ilvl w:val="0"/>
          <w:numId w:val="0"/>
        </w:numPr>
        <w:kinsoku/>
        <w:wordWrap/>
        <w:overflowPunct/>
        <w:topLinePunct w:val="0"/>
        <w:autoSpaceDE/>
        <w:autoSpaceDN/>
        <w:bidi w:val="0"/>
        <w:adjustRightInd w:val="0"/>
        <w:snapToGrid w:val="0"/>
        <w:spacing w:line="440" w:lineRule="exact"/>
        <w:ind w:firstLine="2811" w:firstLineChars="1000"/>
        <w:textAlignment w:val="auto"/>
        <w:rPr>
          <w:rFonts w:hint="default" w:ascii="仿宋" w:hAnsi="仿宋" w:eastAsia="仿宋" w:cs="仿宋"/>
          <w:b/>
          <w:color w:val="000000" w:themeColor="text1"/>
          <w:kern w:val="2"/>
          <w:sz w:val="28"/>
          <w:szCs w:val="16"/>
          <w:highlight w:val="none"/>
          <w:lang w:val="en-US" w:eastAsia="zh-CN" w:bidi="ar-SA"/>
          <w14:textFill>
            <w14:solidFill>
              <w14:schemeClr w14:val="tx1"/>
            </w14:solidFill>
          </w14:textFill>
        </w:rPr>
      </w:pPr>
      <w:r>
        <w:rPr>
          <w:rFonts w:hint="eastAsia" w:ascii="仿宋" w:hAnsi="仿宋" w:eastAsia="仿宋" w:cs="仿宋"/>
          <w:b/>
          <w:color w:val="000000" w:themeColor="text1"/>
          <w:kern w:val="2"/>
          <w:sz w:val="28"/>
          <w:szCs w:val="16"/>
          <w:highlight w:val="none"/>
          <w:lang w:val="en-US" w:eastAsia="zh-CN" w:bidi="ar-SA"/>
          <w14:textFill>
            <w14:solidFill>
              <w14:schemeClr w14:val="tx1"/>
            </w14:solidFill>
          </w14:textFill>
        </w:rPr>
        <w:t>4K荧光腹腔镜（采购1套）</w:t>
      </w:r>
    </w:p>
    <w:tbl>
      <w:tblPr>
        <w:tblStyle w:val="42"/>
        <w:tblW w:w="1026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9540"/>
      </w:tblGrid>
      <w:tr w14:paraId="3B43C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6" w:hRule="atLeast"/>
        </w:trPr>
        <w:tc>
          <w:tcPr>
            <w:tcW w:w="720" w:type="dxa"/>
            <w:noWrap w:val="0"/>
            <w:vAlign w:val="center"/>
          </w:tcPr>
          <w:p w14:paraId="35E6C3F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设备基本配置要求</w:t>
            </w:r>
          </w:p>
        </w:tc>
        <w:tc>
          <w:tcPr>
            <w:tcW w:w="9540" w:type="dxa"/>
            <w:noWrap w:val="0"/>
            <w:vAlign w:val="top"/>
          </w:tcPr>
          <w:tbl>
            <w:tblPr>
              <w:tblStyle w:val="42"/>
              <w:tblpPr w:leftFromText="180" w:rightFromText="180" w:vertAnchor="text" w:horzAnchor="page" w:tblpX="1897" w:tblpY="733"/>
              <w:tblOverlap w:val="never"/>
              <w:tblW w:w="7200" w:type="dxa"/>
              <w:tblInd w:w="5" w:type="dxa"/>
              <w:tblLayout w:type="autofit"/>
              <w:tblCellMar>
                <w:top w:w="0" w:type="dxa"/>
                <w:left w:w="108" w:type="dxa"/>
                <w:bottom w:w="0" w:type="dxa"/>
                <w:right w:w="108" w:type="dxa"/>
              </w:tblCellMar>
            </w:tblPr>
            <w:tblGrid>
              <w:gridCol w:w="6244"/>
              <w:gridCol w:w="956"/>
            </w:tblGrid>
            <w:tr w14:paraId="0135406B">
              <w:tblPrEx>
                <w:tblCellMar>
                  <w:top w:w="0" w:type="dxa"/>
                  <w:left w:w="108" w:type="dxa"/>
                  <w:bottom w:w="0" w:type="dxa"/>
                  <w:right w:w="108" w:type="dxa"/>
                </w:tblCellMar>
              </w:tblPrEx>
              <w:trPr>
                <w:trHeight w:val="255" w:hRule="atLeast"/>
              </w:trPr>
              <w:tc>
                <w:tcPr>
                  <w:tcW w:w="6244" w:type="dxa"/>
                  <w:tcBorders>
                    <w:top w:val="nil"/>
                    <w:left w:val="nil"/>
                    <w:bottom w:val="nil"/>
                    <w:right w:val="nil"/>
                  </w:tcBorders>
                  <w:shd w:val="clear" w:color="auto" w:fill="auto"/>
                  <w:noWrap/>
                  <w:vAlign w:val="top"/>
                </w:tcPr>
                <w:p w14:paraId="3241150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4K荧光</w:t>
                  </w:r>
                  <w:r>
                    <w:rPr>
                      <w:rFonts w:hint="eastAsia" w:ascii="仿宋" w:hAnsi="仿宋" w:eastAsia="仿宋" w:cs="仿宋"/>
                      <w:color w:val="000000" w:themeColor="text1"/>
                      <w:kern w:val="0"/>
                      <w:sz w:val="21"/>
                      <w:szCs w:val="21"/>
                      <w14:textFill>
                        <w14:solidFill>
                          <w14:schemeClr w14:val="tx1"/>
                        </w14:solidFill>
                      </w14:textFill>
                    </w:rPr>
                    <w:t>摄像主机</w:t>
                  </w:r>
                </w:p>
              </w:tc>
              <w:tc>
                <w:tcPr>
                  <w:tcW w:w="956" w:type="dxa"/>
                  <w:tcBorders>
                    <w:top w:val="nil"/>
                    <w:left w:val="nil"/>
                    <w:bottom w:val="nil"/>
                    <w:right w:val="nil"/>
                  </w:tcBorders>
                  <w:shd w:val="clear" w:color="000000" w:fill="DCE6F1"/>
                  <w:noWrap/>
                  <w:vAlign w:val="top"/>
                </w:tcPr>
                <w:p w14:paraId="46FC583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w:t>
                  </w:r>
                </w:p>
              </w:tc>
            </w:tr>
            <w:tr w14:paraId="13A844BA">
              <w:tblPrEx>
                <w:tblCellMar>
                  <w:top w:w="0" w:type="dxa"/>
                  <w:left w:w="108" w:type="dxa"/>
                  <w:bottom w:w="0" w:type="dxa"/>
                  <w:right w:w="108" w:type="dxa"/>
                </w:tblCellMar>
              </w:tblPrEx>
              <w:trPr>
                <w:trHeight w:val="255" w:hRule="atLeast"/>
              </w:trPr>
              <w:tc>
                <w:tcPr>
                  <w:tcW w:w="6244" w:type="dxa"/>
                  <w:tcBorders>
                    <w:top w:val="nil"/>
                    <w:left w:val="nil"/>
                    <w:bottom w:val="nil"/>
                    <w:right w:val="nil"/>
                  </w:tcBorders>
                  <w:shd w:val="clear" w:color="auto" w:fill="auto"/>
                  <w:noWrap/>
                  <w:vAlign w:val="top"/>
                </w:tcPr>
                <w:p w14:paraId="35C0231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荧光摄像头</w:t>
                  </w:r>
                </w:p>
              </w:tc>
              <w:tc>
                <w:tcPr>
                  <w:tcW w:w="956" w:type="dxa"/>
                  <w:tcBorders>
                    <w:top w:val="nil"/>
                    <w:left w:val="nil"/>
                    <w:bottom w:val="nil"/>
                    <w:right w:val="nil"/>
                  </w:tcBorders>
                  <w:shd w:val="clear" w:color="000000" w:fill="DCE6F1"/>
                  <w:noWrap/>
                  <w:vAlign w:val="top"/>
                </w:tcPr>
                <w:p w14:paraId="0F9DC49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1</w:t>
                  </w:r>
                </w:p>
              </w:tc>
            </w:tr>
            <w:tr w14:paraId="7B20CD07">
              <w:tblPrEx>
                <w:tblCellMar>
                  <w:top w:w="0" w:type="dxa"/>
                  <w:left w:w="108" w:type="dxa"/>
                  <w:bottom w:w="0" w:type="dxa"/>
                  <w:right w:w="108" w:type="dxa"/>
                </w:tblCellMar>
              </w:tblPrEx>
              <w:trPr>
                <w:trHeight w:val="255" w:hRule="atLeast"/>
              </w:trPr>
              <w:tc>
                <w:tcPr>
                  <w:tcW w:w="6244" w:type="dxa"/>
                  <w:tcBorders>
                    <w:top w:val="nil"/>
                    <w:left w:val="nil"/>
                    <w:bottom w:val="nil"/>
                    <w:right w:val="nil"/>
                  </w:tcBorders>
                  <w:shd w:val="clear" w:color="auto" w:fill="auto"/>
                  <w:noWrap/>
                  <w:vAlign w:val="top"/>
                </w:tcPr>
                <w:p w14:paraId="24DB273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LED荧光光源</w:t>
                  </w:r>
                </w:p>
              </w:tc>
              <w:tc>
                <w:tcPr>
                  <w:tcW w:w="956" w:type="dxa"/>
                  <w:tcBorders>
                    <w:top w:val="nil"/>
                    <w:left w:val="nil"/>
                    <w:bottom w:val="nil"/>
                    <w:right w:val="nil"/>
                  </w:tcBorders>
                  <w:shd w:val="clear" w:color="000000" w:fill="DCE6F1"/>
                  <w:noWrap/>
                  <w:vAlign w:val="top"/>
                </w:tcPr>
                <w:p w14:paraId="4C90D7E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w:t>
                  </w:r>
                </w:p>
              </w:tc>
            </w:tr>
            <w:tr w14:paraId="3037B135">
              <w:tblPrEx>
                <w:tblCellMar>
                  <w:top w:w="0" w:type="dxa"/>
                  <w:left w:w="108" w:type="dxa"/>
                  <w:bottom w:w="0" w:type="dxa"/>
                  <w:right w:w="108" w:type="dxa"/>
                </w:tblCellMar>
              </w:tblPrEx>
              <w:trPr>
                <w:trHeight w:val="255" w:hRule="atLeast"/>
              </w:trPr>
              <w:tc>
                <w:tcPr>
                  <w:tcW w:w="6244" w:type="dxa"/>
                  <w:tcBorders>
                    <w:top w:val="nil"/>
                    <w:left w:val="nil"/>
                    <w:bottom w:val="nil"/>
                    <w:right w:val="nil"/>
                  </w:tcBorders>
                  <w:shd w:val="clear" w:color="auto" w:fill="auto"/>
                  <w:noWrap/>
                  <w:vAlign w:val="top"/>
                </w:tcPr>
                <w:p w14:paraId="14CB79F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3</w:t>
                  </w:r>
                  <w:r>
                    <w:rPr>
                      <w:rFonts w:hint="eastAsia" w:ascii="仿宋" w:hAnsi="仿宋" w:eastAsia="仿宋" w:cs="仿宋"/>
                      <w:color w:val="000000" w:themeColor="text1"/>
                      <w:kern w:val="0"/>
                      <w:sz w:val="21"/>
                      <w:szCs w:val="21"/>
                      <w:lang w:val="en-US" w:eastAsia="zh-CN"/>
                      <w14:textFill>
                        <w14:solidFill>
                          <w14:schemeClr w14:val="tx1"/>
                        </w14:solidFill>
                      </w14:textFill>
                    </w:rPr>
                    <w:t>2</w:t>
                  </w:r>
                  <w:r>
                    <w:rPr>
                      <w:rFonts w:hint="eastAsia" w:ascii="仿宋" w:hAnsi="仿宋" w:eastAsia="仿宋" w:cs="仿宋"/>
                      <w:color w:val="000000" w:themeColor="text1"/>
                      <w:kern w:val="0"/>
                      <w:sz w:val="21"/>
                      <w:szCs w:val="21"/>
                      <w14:textFill>
                        <w14:solidFill>
                          <w14:schemeClr w14:val="tx1"/>
                        </w14:solidFill>
                      </w14:textFill>
                    </w:rPr>
                    <w:t>英寸</w:t>
                  </w:r>
                  <w:r>
                    <w:rPr>
                      <w:rFonts w:hint="eastAsia" w:ascii="仿宋" w:hAnsi="仿宋" w:eastAsia="仿宋" w:cs="仿宋"/>
                      <w:color w:val="000000" w:themeColor="text1"/>
                      <w:kern w:val="0"/>
                      <w:sz w:val="21"/>
                      <w:szCs w:val="21"/>
                      <w:lang w:val="en-US" w:eastAsia="zh-CN"/>
                      <w14:textFill>
                        <w14:solidFill>
                          <w14:schemeClr w14:val="tx1"/>
                        </w14:solidFill>
                      </w14:textFill>
                    </w:rPr>
                    <w:t>4K</w:t>
                  </w:r>
                  <w:r>
                    <w:rPr>
                      <w:rFonts w:hint="eastAsia" w:ascii="仿宋" w:hAnsi="仿宋" w:eastAsia="仿宋" w:cs="仿宋"/>
                      <w:color w:val="000000" w:themeColor="text1"/>
                      <w:kern w:val="0"/>
                      <w:sz w:val="21"/>
                      <w:szCs w:val="21"/>
                      <w14:textFill>
                        <w14:solidFill>
                          <w14:schemeClr w14:val="tx1"/>
                        </w14:solidFill>
                      </w14:textFill>
                    </w:rPr>
                    <w:t>监视器</w:t>
                  </w:r>
                </w:p>
              </w:tc>
              <w:tc>
                <w:tcPr>
                  <w:tcW w:w="956" w:type="dxa"/>
                  <w:tcBorders>
                    <w:top w:val="nil"/>
                    <w:left w:val="nil"/>
                    <w:bottom w:val="nil"/>
                    <w:right w:val="nil"/>
                  </w:tcBorders>
                  <w:shd w:val="clear" w:color="000000" w:fill="DCE6F1"/>
                  <w:noWrap/>
                  <w:vAlign w:val="top"/>
                </w:tcPr>
                <w:p w14:paraId="4DA8309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w:t>
                  </w:r>
                </w:p>
              </w:tc>
            </w:tr>
            <w:tr w14:paraId="5BFCE596">
              <w:tblPrEx>
                <w:tblCellMar>
                  <w:top w:w="0" w:type="dxa"/>
                  <w:left w:w="108" w:type="dxa"/>
                  <w:bottom w:w="0" w:type="dxa"/>
                  <w:right w:w="108" w:type="dxa"/>
                </w:tblCellMar>
              </w:tblPrEx>
              <w:trPr>
                <w:trHeight w:val="255" w:hRule="atLeast"/>
              </w:trPr>
              <w:tc>
                <w:tcPr>
                  <w:tcW w:w="6244" w:type="dxa"/>
                  <w:tcBorders>
                    <w:top w:val="nil"/>
                    <w:left w:val="nil"/>
                    <w:bottom w:val="nil"/>
                    <w:right w:val="nil"/>
                  </w:tcBorders>
                  <w:shd w:val="clear" w:color="auto" w:fill="auto"/>
                  <w:noWrap/>
                  <w:vAlign w:val="top"/>
                </w:tcPr>
                <w:p w14:paraId="06A23FB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55</w:t>
                  </w:r>
                  <w:r>
                    <w:rPr>
                      <w:rFonts w:hint="eastAsia" w:ascii="仿宋" w:hAnsi="仿宋" w:eastAsia="仿宋" w:cs="仿宋"/>
                      <w:color w:val="000000" w:themeColor="text1"/>
                      <w:kern w:val="0"/>
                      <w:sz w:val="21"/>
                      <w:szCs w:val="21"/>
                      <w14:textFill>
                        <w14:solidFill>
                          <w14:schemeClr w14:val="tx1"/>
                        </w14:solidFill>
                      </w14:textFill>
                    </w:rPr>
                    <w:t>英寸</w:t>
                  </w:r>
                  <w:r>
                    <w:rPr>
                      <w:rFonts w:hint="eastAsia" w:ascii="仿宋" w:hAnsi="仿宋" w:eastAsia="仿宋" w:cs="仿宋"/>
                      <w:color w:val="000000" w:themeColor="text1"/>
                      <w:kern w:val="0"/>
                      <w:sz w:val="21"/>
                      <w:szCs w:val="21"/>
                      <w:lang w:val="en-US" w:eastAsia="zh-CN"/>
                      <w14:textFill>
                        <w14:solidFill>
                          <w14:schemeClr w14:val="tx1"/>
                        </w14:solidFill>
                      </w14:textFill>
                    </w:rPr>
                    <w:t>4K</w:t>
                  </w:r>
                  <w:r>
                    <w:rPr>
                      <w:rFonts w:hint="eastAsia" w:ascii="仿宋" w:hAnsi="仿宋" w:eastAsia="仿宋" w:cs="仿宋"/>
                      <w:color w:val="000000" w:themeColor="text1"/>
                      <w:kern w:val="0"/>
                      <w:sz w:val="21"/>
                      <w:szCs w:val="21"/>
                      <w14:textFill>
                        <w14:solidFill>
                          <w14:schemeClr w14:val="tx1"/>
                        </w14:solidFill>
                      </w14:textFill>
                    </w:rPr>
                    <w:t>监视器</w:t>
                  </w:r>
                </w:p>
              </w:tc>
              <w:tc>
                <w:tcPr>
                  <w:tcW w:w="956" w:type="dxa"/>
                  <w:tcBorders>
                    <w:top w:val="nil"/>
                    <w:left w:val="nil"/>
                    <w:bottom w:val="nil"/>
                    <w:right w:val="nil"/>
                  </w:tcBorders>
                  <w:shd w:val="clear" w:color="000000" w:fill="DCE6F1"/>
                  <w:noWrap/>
                  <w:vAlign w:val="top"/>
                </w:tcPr>
                <w:p w14:paraId="7EB1F89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1</w:t>
                  </w:r>
                </w:p>
              </w:tc>
            </w:tr>
            <w:tr w14:paraId="15C45EC5">
              <w:tblPrEx>
                <w:tblCellMar>
                  <w:top w:w="0" w:type="dxa"/>
                  <w:left w:w="108" w:type="dxa"/>
                  <w:bottom w:w="0" w:type="dxa"/>
                  <w:right w:w="108" w:type="dxa"/>
                </w:tblCellMar>
              </w:tblPrEx>
              <w:trPr>
                <w:trHeight w:val="255" w:hRule="atLeast"/>
              </w:trPr>
              <w:tc>
                <w:tcPr>
                  <w:tcW w:w="6244" w:type="dxa"/>
                  <w:tcBorders>
                    <w:top w:val="nil"/>
                    <w:left w:val="nil"/>
                    <w:bottom w:val="nil"/>
                    <w:right w:val="nil"/>
                  </w:tcBorders>
                  <w:shd w:val="clear" w:color="auto" w:fill="auto"/>
                  <w:noWrap/>
                  <w:vAlign w:val="top"/>
                </w:tcPr>
                <w:p w14:paraId="1CAB9A8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50L气腹机</w:t>
                  </w:r>
                </w:p>
              </w:tc>
              <w:tc>
                <w:tcPr>
                  <w:tcW w:w="956" w:type="dxa"/>
                  <w:tcBorders>
                    <w:top w:val="nil"/>
                    <w:left w:val="nil"/>
                    <w:bottom w:val="nil"/>
                    <w:right w:val="nil"/>
                  </w:tcBorders>
                  <w:shd w:val="clear" w:color="000000" w:fill="DCE6F1"/>
                  <w:noWrap/>
                  <w:vAlign w:val="top"/>
                </w:tcPr>
                <w:p w14:paraId="6326CAD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1</w:t>
                  </w:r>
                </w:p>
              </w:tc>
            </w:tr>
            <w:tr w14:paraId="5C3BDA2C">
              <w:tblPrEx>
                <w:tblCellMar>
                  <w:top w:w="0" w:type="dxa"/>
                  <w:left w:w="108" w:type="dxa"/>
                  <w:bottom w:w="0" w:type="dxa"/>
                  <w:right w:w="108" w:type="dxa"/>
                </w:tblCellMar>
              </w:tblPrEx>
              <w:trPr>
                <w:trHeight w:val="255" w:hRule="atLeast"/>
              </w:trPr>
              <w:tc>
                <w:tcPr>
                  <w:tcW w:w="6244" w:type="dxa"/>
                  <w:tcBorders>
                    <w:top w:val="nil"/>
                    <w:left w:val="nil"/>
                    <w:bottom w:val="nil"/>
                    <w:right w:val="nil"/>
                  </w:tcBorders>
                  <w:shd w:val="clear" w:color="auto" w:fill="auto"/>
                  <w:noWrap/>
                  <w:vAlign w:val="top"/>
                </w:tcPr>
                <w:p w14:paraId="289B6A0B">
                  <w:pPr>
                    <w:keepNext w:val="0"/>
                    <w:keepLines w:val="0"/>
                    <w:pageBreakBefore w:val="0"/>
                    <w:widowControl/>
                    <w:kinsoku/>
                    <w:wordWrap/>
                    <w:overflowPunct/>
                    <w:topLinePunct w:val="0"/>
                    <w:autoSpaceDE/>
                    <w:autoSpaceDN/>
                    <w:bidi w:val="0"/>
                    <w:adjustRightInd/>
                    <w:snapToGrid/>
                    <w:spacing w:line="360" w:lineRule="auto"/>
                    <w:ind w:firstLine="1680" w:firstLineChars="800"/>
                    <w:jc w:val="both"/>
                    <w:textAlignment w:val="auto"/>
                    <w:rPr>
                      <w:rFonts w:hint="eastAsia"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10mm 30°腔镜光学视管</w:t>
                  </w:r>
                  <w:r>
                    <w:rPr>
                      <w:rFonts w:hint="eastAsia" w:ascii="仿宋" w:hAnsi="仿宋" w:eastAsia="仿宋" w:cs="仿宋"/>
                      <w:color w:val="000000" w:themeColor="text1"/>
                      <w:kern w:val="0"/>
                      <w:sz w:val="21"/>
                      <w:szCs w:val="21"/>
                      <w:lang w:val="en-US" w:eastAsia="zh-CN"/>
                      <w14:textFill>
                        <w14:solidFill>
                          <w14:schemeClr w14:val="tx1"/>
                        </w14:solidFill>
                      </w14:textFill>
                    </w:rPr>
                    <w:t>（含消毒盒）</w:t>
                  </w:r>
                </w:p>
              </w:tc>
              <w:tc>
                <w:tcPr>
                  <w:tcW w:w="956" w:type="dxa"/>
                  <w:tcBorders>
                    <w:top w:val="nil"/>
                    <w:left w:val="nil"/>
                    <w:bottom w:val="nil"/>
                    <w:right w:val="nil"/>
                  </w:tcBorders>
                  <w:shd w:val="clear" w:color="000000" w:fill="DCE6F1"/>
                  <w:noWrap/>
                  <w:vAlign w:val="top"/>
                </w:tcPr>
                <w:p w14:paraId="122FEE8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2</w:t>
                  </w:r>
                </w:p>
              </w:tc>
            </w:tr>
            <w:tr w14:paraId="00F33434">
              <w:tblPrEx>
                <w:tblCellMar>
                  <w:top w:w="0" w:type="dxa"/>
                  <w:left w:w="108" w:type="dxa"/>
                  <w:bottom w:w="0" w:type="dxa"/>
                  <w:right w:w="108" w:type="dxa"/>
                </w:tblCellMar>
              </w:tblPrEx>
              <w:trPr>
                <w:trHeight w:val="255" w:hRule="atLeast"/>
              </w:trPr>
              <w:tc>
                <w:tcPr>
                  <w:tcW w:w="6244" w:type="dxa"/>
                  <w:tcBorders>
                    <w:top w:val="nil"/>
                    <w:left w:val="nil"/>
                    <w:bottom w:val="nil"/>
                    <w:right w:val="nil"/>
                  </w:tcBorders>
                  <w:shd w:val="clear" w:color="auto" w:fill="auto"/>
                  <w:noWrap/>
                  <w:vAlign w:val="top"/>
                </w:tcPr>
                <w:p w14:paraId="23390CB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导光</w:t>
                  </w:r>
                  <w:r>
                    <w:rPr>
                      <w:rFonts w:hint="eastAsia" w:ascii="仿宋" w:hAnsi="仿宋" w:eastAsia="仿宋" w:cs="仿宋"/>
                      <w:color w:val="000000" w:themeColor="text1"/>
                      <w:kern w:val="0"/>
                      <w:sz w:val="21"/>
                      <w:szCs w:val="21"/>
                      <w14:textFill>
                        <w14:solidFill>
                          <w14:schemeClr w14:val="tx1"/>
                        </w14:solidFill>
                      </w14:textFill>
                    </w:rPr>
                    <w:t>束</w:t>
                  </w:r>
                </w:p>
              </w:tc>
              <w:tc>
                <w:tcPr>
                  <w:tcW w:w="956" w:type="dxa"/>
                  <w:tcBorders>
                    <w:top w:val="nil"/>
                    <w:left w:val="nil"/>
                    <w:bottom w:val="nil"/>
                    <w:right w:val="nil"/>
                  </w:tcBorders>
                  <w:shd w:val="clear" w:color="000000" w:fill="DCE6F1"/>
                  <w:noWrap/>
                  <w:vAlign w:val="top"/>
                </w:tcPr>
                <w:p w14:paraId="74C5D78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w:t>
                  </w:r>
                </w:p>
              </w:tc>
            </w:tr>
            <w:tr w14:paraId="693BB3EC">
              <w:tblPrEx>
                <w:tblCellMar>
                  <w:top w:w="0" w:type="dxa"/>
                  <w:left w:w="108" w:type="dxa"/>
                  <w:bottom w:w="0" w:type="dxa"/>
                  <w:right w:w="108" w:type="dxa"/>
                </w:tblCellMar>
              </w:tblPrEx>
              <w:trPr>
                <w:trHeight w:val="255" w:hRule="atLeast"/>
              </w:trPr>
              <w:tc>
                <w:tcPr>
                  <w:tcW w:w="6244" w:type="dxa"/>
                  <w:tcBorders>
                    <w:top w:val="nil"/>
                    <w:left w:val="nil"/>
                    <w:bottom w:val="nil"/>
                    <w:right w:val="nil"/>
                  </w:tcBorders>
                  <w:shd w:val="clear" w:color="auto" w:fill="auto"/>
                  <w:noWrap/>
                  <w:vAlign w:val="top"/>
                </w:tcPr>
                <w:p w14:paraId="277D77C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医用台车</w:t>
                  </w:r>
                </w:p>
              </w:tc>
              <w:tc>
                <w:tcPr>
                  <w:tcW w:w="956" w:type="dxa"/>
                  <w:tcBorders>
                    <w:top w:val="nil"/>
                    <w:left w:val="nil"/>
                    <w:bottom w:val="nil"/>
                    <w:right w:val="nil"/>
                  </w:tcBorders>
                  <w:shd w:val="clear" w:color="000000" w:fill="DCE6F1"/>
                  <w:noWrap/>
                  <w:vAlign w:val="top"/>
                </w:tcPr>
                <w:p w14:paraId="4CE0EB7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1</w:t>
                  </w:r>
                </w:p>
              </w:tc>
            </w:tr>
          </w:tbl>
          <w:p w14:paraId="2567158F">
            <w:pPr>
              <w:pStyle w:val="253"/>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设备基本配置：</w:t>
            </w:r>
          </w:p>
          <w:p w14:paraId="750D1581">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b/>
                <w:color w:val="000000" w:themeColor="text1"/>
                <w:sz w:val="21"/>
                <w:szCs w:val="21"/>
                <w14:textFill>
                  <w14:solidFill>
                    <w14:schemeClr w14:val="tx1"/>
                  </w14:solidFill>
                </w14:textFill>
              </w:rPr>
            </w:pPr>
          </w:p>
        </w:tc>
      </w:tr>
      <w:tr w14:paraId="76568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0" w:hRule="atLeast"/>
        </w:trPr>
        <w:tc>
          <w:tcPr>
            <w:tcW w:w="720" w:type="dxa"/>
            <w:noWrap w:val="0"/>
            <w:vAlign w:val="center"/>
          </w:tcPr>
          <w:p w14:paraId="536EA8F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设备技术参数要求</w:t>
            </w:r>
          </w:p>
        </w:tc>
        <w:tc>
          <w:tcPr>
            <w:tcW w:w="9540" w:type="dxa"/>
            <w:noWrap w:val="0"/>
            <w:vAlign w:val="top"/>
          </w:tcPr>
          <w:p w14:paraId="20D26F9F">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b/>
                <w:color w:val="000000" w:themeColor="text1"/>
                <w:sz w:val="21"/>
                <w:szCs w:val="21"/>
                <w:u w:val="single"/>
                <w14:textFill>
                  <w14:solidFill>
                    <w14:schemeClr w14:val="tx1"/>
                  </w14:solidFill>
                </w14:textFill>
              </w:rPr>
            </w:pPr>
            <w:r>
              <w:rPr>
                <w:rFonts w:hint="eastAsia" w:ascii="仿宋" w:hAnsi="仿宋" w:eastAsia="仿宋" w:cs="仿宋"/>
                <w:b/>
                <w:color w:val="000000" w:themeColor="text1"/>
                <w:sz w:val="21"/>
                <w:szCs w:val="21"/>
                <w:u w:val="single"/>
                <w:lang w:val="en-US" w:eastAsia="zh-CN"/>
                <w14:textFill>
                  <w14:solidFill>
                    <w14:schemeClr w14:val="tx1"/>
                  </w14:solidFill>
                </w14:textFill>
              </w:rPr>
              <w:t>设备技术参数</w:t>
            </w:r>
            <w:r>
              <w:rPr>
                <w:rFonts w:hint="eastAsia" w:ascii="仿宋" w:hAnsi="仿宋" w:eastAsia="仿宋" w:cs="仿宋"/>
                <w:b/>
                <w:color w:val="000000" w:themeColor="text1"/>
                <w:sz w:val="21"/>
                <w:szCs w:val="21"/>
                <w:u w:val="single"/>
                <w14:textFill>
                  <w14:solidFill>
                    <w14:schemeClr w14:val="tx1"/>
                  </w14:solidFill>
                </w14:textFill>
              </w:rPr>
              <w:t>要求：</w:t>
            </w:r>
          </w:p>
          <w:p w14:paraId="64575352">
            <w:pPr>
              <w:keepNext w:val="0"/>
              <w:keepLines w:val="0"/>
              <w:pageBreakBefore w:val="0"/>
              <w:numPr>
                <w:ilvl w:val="0"/>
                <w:numId w:val="2"/>
              </w:numPr>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主机</w:t>
            </w:r>
          </w:p>
          <w:p w14:paraId="6196D8A3">
            <w:pPr>
              <w:keepNext w:val="0"/>
              <w:keepLines w:val="0"/>
              <w:pageBreakBefore w:val="0"/>
              <w:numPr>
                <w:ilvl w:val="0"/>
                <w:numId w:val="3"/>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黑体" w:hAnsi="黑体" w:eastAsia="黑体" w:cs="黑体"/>
                <w:color w:val="000000" w:themeColor="text1"/>
                <w:sz w:val="21"/>
                <w:szCs w:val="21"/>
                <w:lang w:val="en-US" w:eastAsia="zh-CN"/>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具备4K图像处理性能，能够输出3840*2160 和 4096*2160 超高清像素影像。支持16:9和17:9图像比例，逐行扫描，像素≥800万。</w:t>
            </w:r>
          </w:p>
          <w:p w14:paraId="34869E42">
            <w:pPr>
              <w:keepNext w:val="0"/>
              <w:keepLines w:val="0"/>
              <w:pageBreakBefore w:val="0"/>
              <w:numPr>
                <w:ilvl w:val="0"/>
                <w:numId w:val="3"/>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支持≥6种图像模式，不同图像显示于同一屏面</w:t>
            </w:r>
            <w:r>
              <w:rPr>
                <w:rFonts w:hint="eastAsia" w:ascii="仿宋" w:hAnsi="仿宋" w:eastAsia="仿宋" w:cs="仿宋"/>
                <w:color w:val="000000" w:themeColor="text1"/>
                <w:sz w:val="21"/>
                <w:szCs w:val="21"/>
                <w:lang w:val="en-US" w:eastAsia="zh-CN"/>
                <w14:textFill>
                  <w14:solidFill>
                    <w14:schemeClr w14:val="tx1"/>
                  </w14:solidFill>
                </w14:textFill>
              </w:rPr>
              <w:t>。</w:t>
            </w:r>
          </w:p>
          <w:p w14:paraId="46739121">
            <w:pPr>
              <w:keepNext w:val="0"/>
              <w:keepLines w:val="0"/>
              <w:pageBreakBefore w:val="0"/>
              <w:numPr>
                <w:ilvl w:val="0"/>
                <w:numId w:val="3"/>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具有光谱染色功能。</w:t>
            </w:r>
          </w:p>
          <w:p w14:paraId="2DDE9403">
            <w:pPr>
              <w:keepNext w:val="0"/>
              <w:keepLines w:val="0"/>
              <w:pageBreakBefore w:val="0"/>
              <w:numPr>
                <w:ilvl w:val="0"/>
                <w:numId w:val="3"/>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颜色≥4种，满足不同临床医生的色彩风格要求。</w:t>
            </w:r>
          </w:p>
          <w:p w14:paraId="06506C48">
            <w:pPr>
              <w:keepNext w:val="0"/>
              <w:keepLines w:val="0"/>
              <w:pageBreakBefore w:val="0"/>
              <w:numPr>
                <w:ilvl w:val="0"/>
                <w:numId w:val="3"/>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具有细节增强、颜色增强、亮度均匀、去雾优化、HDR等多种智能图像算法。</w:t>
            </w:r>
          </w:p>
          <w:p w14:paraId="1015C9C7">
            <w:pPr>
              <w:keepNext w:val="0"/>
              <w:keepLines w:val="0"/>
              <w:pageBreakBefore w:val="0"/>
              <w:numPr>
                <w:ilvl w:val="0"/>
                <w:numId w:val="3"/>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采用触摸屏设计，屏幕尺寸≥7.5英寸，可在触摸屏上进行功能设置和常用参数显示。</w:t>
            </w:r>
          </w:p>
          <w:p w14:paraId="7600110E">
            <w:pPr>
              <w:keepNext w:val="0"/>
              <w:keepLines w:val="0"/>
              <w:pageBreakBefore w:val="0"/>
              <w:numPr>
                <w:ilvl w:val="0"/>
                <w:numId w:val="3"/>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具有荧光亮度调节功能。</w:t>
            </w:r>
          </w:p>
          <w:p w14:paraId="02BD35B5">
            <w:pPr>
              <w:keepNext w:val="0"/>
              <w:keepLines w:val="0"/>
              <w:pageBreakBefore w:val="0"/>
              <w:numPr>
                <w:ilvl w:val="0"/>
                <w:numId w:val="3"/>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黑体" w:hAnsi="黑体" w:eastAsia="黑体" w:cs="黑体"/>
                <w:color w:val="000000" w:themeColor="text1"/>
                <w:sz w:val="21"/>
                <w:szCs w:val="21"/>
                <w:lang w:val="en-US" w:eastAsia="zh-CN"/>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内置4K刻录功能，可进行静态和动态图像采集，并通过USB端口进行录像和图片输出。</w:t>
            </w:r>
          </w:p>
          <w:p w14:paraId="4DAB81F3">
            <w:pPr>
              <w:keepNext w:val="0"/>
              <w:keepLines w:val="0"/>
              <w:pageBreakBefore w:val="0"/>
              <w:numPr>
                <w:ilvl w:val="0"/>
                <w:numId w:val="3"/>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主机屏幕上可显示刻录状态，如剩余容量或时间信息。</w:t>
            </w:r>
          </w:p>
          <w:p w14:paraId="2FEC1AFE">
            <w:pPr>
              <w:keepNext w:val="0"/>
              <w:keepLines w:val="0"/>
              <w:pageBreakBefore w:val="0"/>
              <w:numPr>
                <w:ilvl w:val="0"/>
                <w:numId w:val="3"/>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具有自动对焦功能，可实现一键对焦。</w:t>
            </w:r>
          </w:p>
          <w:p w14:paraId="790FE29E">
            <w:pPr>
              <w:keepNext w:val="0"/>
              <w:keepLines w:val="0"/>
              <w:pageBreakBefore w:val="0"/>
              <w:numPr>
                <w:ilvl w:val="0"/>
                <w:numId w:val="3"/>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具有去网格功能，便于连接纤维镜使用。</w:t>
            </w:r>
          </w:p>
          <w:p w14:paraId="5A466661">
            <w:pPr>
              <w:keepNext w:val="0"/>
              <w:keepLines w:val="0"/>
              <w:pageBreakBefore w:val="0"/>
              <w:numPr>
                <w:ilvl w:val="0"/>
                <w:numId w:val="3"/>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具有画幅自适应调控功能，可一键适配全屏。</w:t>
            </w:r>
          </w:p>
          <w:p w14:paraId="2CB20E28">
            <w:pPr>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摄像头</w:t>
            </w:r>
          </w:p>
          <w:p w14:paraId="627B81CC">
            <w:pPr>
              <w:keepNext w:val="0"/>
              <w:keepLines w:val="0"/>
              <w:pageBreakBefore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摄像头防电击程度分类防除颤 CF 级别I 类。</w:t>
            </w:r>
          </w:p>
          <w:p w14:paraId="795A43D3">
            <w:pPr>
              <w:keepNext w:val="0"/>
              <w:keepLines w:val="0"/>
              <w:pageBreakBefore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荧光摄像头重量≤ 240g。</w:t>
            </w:r>
          </w:p>
          <w:p w14:paraId="437C1E25">
            <w:pPr>
              <w:keepNext w:val="0"/>
              <w:keepLines w:val="0"/>
              <w:pageBreakBefore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摄像头防护等级：≥IPX7。</w:t>
            </w:r>
          </w:p>
          <w:p w14:paraId="2EA13CDF">
            <w:pPr>
              <w:keepNext w:val="0"/>
              <w:keepLines w:val="0"/>
              <w:pageBreakBefore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黑体" w:hAnsi="黑体" w:eastAsia="黑体" w:cs="黑体"/>
                <w:color w:val="000000" w:themeColor="text1"/>
                <w:sz w:val="21"/>
                <w:szCs w:val="21"/>
                <w:lang w:val="en-US" w:eastAsia="zh-CN"/>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白光信号采用白光CMOS逐行扫描成像，荧光信号采用荧光CMOS逐行扫描成像。</w:t>
            </w:r>
          </w:p>
          <w:p w14:paraId="114D514A">
            <w:pPr>
              <w:keepNext w:val="0"/>
              <w:keepLines w:val="0"/>
              <w:pageBreakBefore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摄像头可环氧乙烷灭菌和低温等离子灭菌方式</w:t>
            </w:r>
            <w:r>
              <w:rPr>
                <w:rFonts w:hint="eastAsia" w:ascii="仿宋" w:hAnsi="仿宋" w:eastAsia="仿宋" w:cs="仿宋"/>
                <w:color w:val="000000" w:themeColor="text1"/>
                <w:sz w:val="21"/>
                <w:szCs w:val="21"/>
                <w:lang w:val="en-US" w:eastAsia="zh-CN"/>
                <w14:textFill>
                  <w14:solidFill>
                    <w14:schemeClr w14:val="tx1"/>
                  </w14:solidFill>
                </w14:textFill>
              </w:rPr>
              <w:t>。</w:t>
            </w:r>
          </w:p>
          <w:p w14:paraId="467A98C2">
            <w:pPr>
              <w:keepNext w:val="0"/>
              <w:keepLines w:val="0"/>
              <w:pageBreakBefore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具有≥3个自定义摄像头按键，可进行白平衡、拍照、录像、切换图像模式等功能设置。</w:t>
            </w:r>
          </w:p>
          <w:p w14:paraId="32192DC3">
            <w:pPr>
              <w:keepNext w:val="0"/>
              <w:keepLines w:val="0"/>
              <w:pageBreakBefore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具有自动对焦功能，可实现一键对焦。</w:t>
            </w:r>
          </w:p>
          <w:p w14:paraId="759D7C54">
            <w:pPr>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光源</w:t>
            </w:r>
          </w:p>
          <w:p w14:paraId="1DC7E49D">
            <w:pPr>
              <w:keepNext w:val="0"/>
              <w:keepLines w:val="0"/>
              <w:pageBreakBefore w:val="0"/>
              <w:numPr>
                <w:ilvl w:val="0"/>
                <w:numId w:val="5"/>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支持同时输出近红外激光和白光。</w:t>
            </w:r>
          </w:p>
          <w:p w14:paraId="776CE129">
            <w:pPr>
              <w:keepNext w:val="0"/>
              <w:keepLines w:val="0"/>
              <w:pageBreakBefore w:val="0"/>
              <w:numPr>
                <w:ilvl w:val="0"/>
                <w:numId w:val="5"/>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触摸屏≥7.5英寸，</w:t>
            </w:r>
            <w:r>
              <w:rPr>
                <w:rFonts w:hint="eastAsia" w:ascii="仿宋" w:hAnsi="仿宋" w:eastAsia="仿宋" w:cs="仿宋"/>
                <w:color w:val="000000" w:themeColor="text1"/>
                <w:sz w:val="21"/>
                <w:szCs w:val="21"/>
                <w:lang w:val="en-US" w:eastAsia="zh-CN"/>
                <w14:textFill>
                  <w14:solidFill>
                    <w14:schemeClr w14:val="tx1"/>
                  </w14:solidFill>
                </w14:textFill>
              </w:rPr>
              <w:t>可在触摸屏上进行LED光源的常用参数调整。</w:t>
            </w:r>
          </w:p>
          <w:p w14:paraId="5A7E1982">
            <w:pPr>
              <w:keepNext w:val="0"/>
              <w:keepLines w:val="0"/>
              <w:pageBreakBefore w:val="0"/>
              <w:numPr>
                <w:ilvl w:val="0"/>
                <w:numId w:val="5"/>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设备类型：Ⅰ类除颤CF型，保证可用于直接接触心脏的手术需要。</w:t>
            </w:r>
          </w:p>
          <w:p w14:paraId="07897DE6">
            <w:pPr>
              <w:keepNext w:val="0"/>
              <w:keepLines w:val="0"/>
              <w:pageBreakBefore w:val="0"/>
              <w:numPr>
                <w:ilvl w:val="0"/>
                <w:numId w:val="5"/>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黑体" w:hAnsi="黑体" w:eastAsia="黑体" w:cs="黑体"/>
                <w:color w:val="000000" w:themeColor="text1"/>
                <w:sz w:val="21"/>
                <w:szCs w:val="21"/>
                <w:lang w:val="en-US" w:eastAsia="zh-CN"/>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LED灯泡工作寿命≥60000小时。</w:t>
            </w:r>
          </w:p>
          <w:p w14:paraId="62F29CAC">
            <w:pPr>
              <w:keepNext w:val="0"/>
              <w:keepLines w:val="0"/>
              <w:pageBreakBefore w:val="0"/>
              <w:numPr>
                <w:ilvl w:val="0"/>
                <w:numId w:val="5"/>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可进行多级亮度调节。</w:t>
            </w:r>
          </w:p>
          <w:p w14:paraId="71566B0F">
            <w:pPr>
              <w:keepNext w:val="0"/>
              <w:keepLines w:val="0"/>
              <w:pageBreakBefore w:val="0"/>
              <w:numPr>
                <w:ilvl w:val="0"/>
                <w:numId w:val="5"/>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具有主机光源联动功能，可根据当前手术视野的情况自动调节互联光源亮度。</w:t>
            </w:r>
          </w:p>
          <w:p w14:paraId="2AEF71B0">
            <w:pPr>
              <w:keepNext w:val="0"/>
              <w:keepLines w:val="0"/>
              <w:pageBreakBefore w:val="0"/>
              <w:numPr>
                <w:ilvl w:val="0"/>
                <w:numId w:val="5"/>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冷光源在正常运行时产生的最大噪音噪音≤55dB（A），</w:t>
            </w:r>
          </w:p>
          <w:p w14:paraId="66D4D0FA">
            <w:pPr>
              <w:keepNext w:val="0"/>
              <w:keepLines w:val="0"/>
              <w:pageBreakBefore w:val="0"/>
              <w:numPr>
                <w:ilvl w:val="0"/>
                <w:numId w:val="5"/>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具有光纤插入自动检测功能。</w:t>
            </w:r>
          </w:p>
          <w:p w14:paraId="66733622">
            <w:pPr>
              <w:keepNext w:val="0"/>
              <w:keepLines w:val="0"/>
              <w:pageBreakBefore w:val="0"/>
              <w:numPr>
                <w:ilvl w:val="0"/>
                <w:numId w:val="5"/>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具有一键待机功能。</w:t>
            </w:r>
          </w:p>
          <w:p w14:paraId="1383981A">
            <w:pPr>
              <w:keepNext w:val="0"/>
              <w:keepLines w:val="0"/>
              <w:pageBreakBefore w:val="0"/>
              <w:numPr>
                <w:ilvl w:val="0"/>
                <w:numId w:val="5"/>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与摄像主机同一品牌。</w:t>
            </w:r>
          </w:p>
          <w:p w14:paraId="1F11CB2B">
            <w:pPr>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荧光内窥镜头</w:t>
            </w:r>
          </w:p>
          <w:p w14:paraId="551AEC73">
            <w:pPr>
              <w:keepNext w:val="0"/>
              <w:keepLines w:val="0"/>
              <w:pageBreakBefore w:val="0"/>
              <w:numPr>
                <w:ilvl w:val="0"/>
                <w:numId w:val="6"/>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黑体" w:hAnsi="黑体" w:eastAsia="黑体" w:cs="黑体"/>
                <w:color w:val="000000" w:themeColor="text1"/>
                <w:sz w:val="21"/>
                <w:szCs w:val="21"/>
                <w:lang w:val="en-US" w:eastAsia="zh-CN"/>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支持高温高压、等温等离子等消毒灭菌方式。</w:t>
            </w:r>
          </w:p>
          <w:p w14:paraId="6A2725E8">
            <w:pPr>
              <w:keepNext w:val="0"/>
              <w:keepLines w:val="0"/>
              <w:pageBreakBefore w:val="0"/>
              <w:numPr>
                <w:ilvl w:val="0"/>
                <w:numId w:val="6"/>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与摄像主机为同一制造商。</w:t>
            </w:r>
          </w:p>
          <w:p w14:paraId="64E8C9DA">
            <w:pPr>
              <w:keepNext w:val="0"/>
              <w:keepLines w:val="0"/>
              <w:pageBreakBefore w:val="0"/>
              <w:numPr>
                <w:ilvl w:val="0"/>
                <w:numId w:val="6"/>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直径10mm，30度视野方向，工作长度≥320mm。</w:t>
            </w:r>
          </w:p>
          <w:p w14:paraId="3E9627C6">
            <w:pPr>
              <w:keepNext w:val="0"/>
              <w:keepLines w:val="0"/>
              <w:pageBreakBefore w:val="0"/>
              <w:numPr>
                <w:ilvl w:val="0"/>
                <w:numId w:val="6"/>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视场中心角分辨率≥7.0C/(°)</w:t>
            </w:r>
          </w:p>
          <w:p w14:paraId="0ADA7743">
            <w:pPr>
              <w:keepNext w:val="0"/>
              <w:keepLines w:val="0"/>
              <w:pageBreakBefore w:val="0"/>
              <w:numPr>
                <w:ilvl w:val="0"/>
                <w:numId w:val="6"/>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大景深光学视管，有效景深3mm-200mm。</w:t>
            </w:r>
          </w:p>
          <w:p w14:paraId="4121F637">
            <w:pPr>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气腹机</w:t>
            </w:r>
          </w:p>
          <w:p w14:paraId="68E3C465">
            <w:pPr>
              <w:keepNext w:val="0"/>
              <w:keepLines w:val="0"/>
              <w:pageBreakBefore w:val="0"/>
              <w:numPr>
                <w:ilvl w:val="0"/>
                <w:numId w:val="7"/>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黑体" w:hAnsi="黑体" w:eastAsia="黑体" w:cs="黑体"/>
                <w:color w:val="000000" w:themeColor="text1"/>
                <w:sz w:val="21"/>
                <w:szCs w:val="21"/>
                <w:lang w:val="en-US" w:eastAsia="zh-CN"/>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流速≥50升/分钟，流量调节范围0.1-50L/min。</w:t>
            </w:r>
          </w:p>
          <w:p w14:paraId="6DB0DE89">
            <w:pPr>
              <w:keepNext w:val="0"/>
              <w:keepLines w:val="0"/>
              <w:pageBreakBefore w:val="0"/>
              <w:numPr>
                <w:ilvl w:val="0"/>
                <w:numId w:val="7"/>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采用触摸屏设计，能够更好进行设置操作，显示参数和故障信息。</w:t>
            </w:r>
          </w:p>
          <w:p w14:paraId="1B317087">
            <w:pPr>
              <w:keepNext w:val="0"/>
              <w:keepLines w:val="0"/>
              <w:pageBreakBefore w:val="0"/>
              <w:numPr>
                <w:ilvl w:val="0"/>
                <w:numId w:val="7"/>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具备少儿模式、成人模式、肥胖模式、后腹腔模式，亦可自定义模式。</w:t>
            </w:r>
          </w:p>
          <w:p w14:paraId="38CE11F4">
            <w:pPr>
              <w:keepNext w:val="0"/>
              <w:keepLines w:val="0"/>
              <w:pageBreakBefore w:val="0"/>
              <w:numPr>
                <w:ilvl w:val="0"/>
                <w:numId w:val="7"/>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具有双重报警系统，气压过高、管道堵塞、供气不足、自检失败、温度过高等情况下，既有声音提醒，亦有文字提示；气压过高时，</w:t>
            </w:r>
            <w:r>
              <w:rPr>
                <w:rFonts w:hint="eastAsia" w:ascii="仿宋" w:hAnsi="仿宋" w:eastAsia="仿宋" w:cs="仿宋"/>
                <w:color w:val="000000" w:themeColor="text1"/>
                <w:sz w:val="21"/>
                <w:szCs w:val="21"/>
                <w:lang w:val="en-US" w:eastAsia="zh-CN"/>
                <w14:textFill>
                  <w14:solidFill>
                    <w14:schemeClr w14:val="tx1"/>
                  </w14:solidFill>
                </w14:textFill>
              </w:rPr>
              <w:t>具有自动排气功能。</w:t>
            </w:r>
          </w:p>
          <w:p w14:paraId="0972D7D0">
            <w:pPr>
              <w:keepNext w:val="0"/>
              <w:keepLines w:val="0"/>
              <w:pageBreakBefore w:val="0"/>
              <w:numPr>
                <w:ilvl w:val="0"/>
                <w:numId w:val="7"/>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具有排烟功能，最大排烟流量≥8L/min。</w:t>
            </w:r>
          </w:p>
          <w:p w14:paraId="55C8DB7F">
            <w:pPr>
              <w:keepNext w:val="0"/>
              <w:keepLines w:val="0"/>
              <w:pageBreakBefore w:val="0"/>
              <w:numPr>
                <w:ilvl w:val="0"/>
                <w:numId w:val="7"/>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气腹机末端具备CO2气体加热功能。</w:t>
            </w:r>
          </w:p>
          <w:p w14:paraId="096AD133">
            <w:pPr>
              <w:keepNext w:val="0"/>
              <w:keepLines w:val="0"/>
              <w:pageBreakBefore w:val="0"/>
              <w:numPr>
                <w:ilvl w:val="0"/>
                <w:numId w:val="7"/>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与影像链成像系统为同一制造商。</w:t>
            </w:r>
          </w:p>
          <w:p w14:paraId="05580809">
            <w:pPr>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显示器</w:t>
            </w:r>
          </w:p>
          <w:p w14:paraId="2C9A62A1">
            <w:pPr>
              <w:keepNext w:val="0"/>
              <w:keepLines w:val="0"/>
              <w:pageBreakBefore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黑体" w:hAnsi="黑体" w:eastAsia="黑体" w:cs="黑体"/>
                <w:color w:val="000000" w:themeColor="text1"/>
                <w:sz w:val="21"/>
                <w:szCs w:val="21"/>
                <w:lang w:val="en-US" w:eastAsia="zh-CN"/>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支持4K 60Hz超高清显示，尺寸≥</w:t>
            </w:r>
            <w:r>
              <w:rPr>
                <w:rFonts w:hint="eastAsia" w:ascii="仿宋" w:hAnsi="仿宋" w:eastAsia="仿宋" w:cs="仿宋"/>
                <w:color w:val="000000" w:themeColor="text1"/>
                <w:sz w:val="21"/>
                <w:szCs w:val="21"/>
                <w:lang w:val="en-US" w:eastAsia="zh-CN"/>
                <w14:textFill>
                  <w14:solidFill>
                    <w14:schemeClr w14:val="tx1"/>
                  </w14:solidFill>
                </w14:textFill>
              </w:rPr>
              <w:t>32英寸</w:t>
            </w:r>
            <w:r>
              <w:rPr>
                <w:rFonts w:hint="eastAsia" w:ascii="仿宋" w:hAnsi="仿宋" w:eastAsia="仿宋" w:cs="仿宋"/>
                <w:color w:val="000000" w:themeColor="text1"/>
                <w:sz w:val="21"/>
                <w:szCs w:val="21"/>
                <w:lang w:val="en-US" w:eastAsia="zh-CN"/>
                <w14:textFill>
                  <w14:solidFill>
                    <w14:schemeClr w14:val="tx1"/>
                  </w14:solidFill>
                </w14:textFill>
              </w:rPr>
              <w:t>；具有HDMI或12G-SDI的4K超高清接口，可满足4K图像显示。</w:t>
            </w:r>
          </w:p>
          <w:p w14:paraId="641AFF64">
            <w:pPr>
              <w:keepNext w:val="0"/>
              <w:keepLines w:val="0"/>
              <w:pageBreakBefore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最大背光亮度≥750cd/m2。</w:t>
            </w:r>
          </w:p>
          <w:p w14:paraId="55D5AF45">
            <w:pPr>
              <w:keepNext w:val="0"/>
              <w:keepLines w:val="0"/>
              <w:pageBreakBefore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显示器对比度≥1000000。</w:t>
            </w:r>
          </w:p>
          <w:p w14:paraId="18EA7033">
            <w:pPr>
              <w:keepNext w:val="0"/>
              <w:keepLines w:val="0"/>
              <w:pageBreakBefore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具有≥178°可视角度，满足手术室不同站位需求。</w:t>
            </w:r>
          </w:p>
          <w:p w14:paraId="786FB0CF">
            <w:pPr>
              <w:keepNext w:val="0"/>
              <w:keepLines w:val="0"/>
              <w:pageBreakBefore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像素效率99.99%。</w:t>
            </w:r>
          </w:p>
          <w:p w14:paraId="195FA8BD">
            <w:pPr>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台车</w:t>
            </w:r>
          </w:p>
          <w:p w14:paraId="4338BDDC">
            <w:pPr>
              <w:keepNext w:val="0"/>
              <w:keepLines w:val="0"/>
              <w:pageBreakBefore w:val="0"/>
              <w:numPr>
                <w:ilvl w:val="0"/>
                <w:numId w:val="9"/>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台车具有总控开关，可一键开启和关闭腔镜全套设备。</w:t>
            </w:r>
          </w:p>
        </w:tc>
      </w:tr>
    </w:tbl>
    <w:p w14:paraId="23FC7FB1">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仿宋" w:hAnsi="仿宋" w:eastAsia="仿宋" w:cs="仿宋"/>
          <w:b/>
          <w:bCs/>
          <w:i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b/>
          <w:bCs/>
          <w:i w:val="0"/>
          <w:color w:val="000000" w:themeColor="text1"/>
          <w:kern w:val="0"/>
          <w:sz w:val="21"/>
          <w:szCs w:val="21"/>
          <w:highlight w:val="none"/>
          <w:u w:val="none"/>
          <w:lang w:val="en-US" w:eastAsia="zh-CN" w:bidi="ar"/>
          <w14:textFill>
            <w14:solidFill>
              <w14:schemeClr w14:val="tx1"/>
            </w14:solidFill>
          </w14:textFill>
        </w:rPr>
        <w:t>注：以上技术参数中标“★”参数须提供检测报告或宣传彩页或技术白皮书等证明材料与之佐证。</w:t>
      </w:r>
    </w:p>
    <w:p w14:paraId="7F8DF6EC">
      <w:pPr>
        <w:keepNext w:val="0"/>
        <w:keepLines w:val="0"/>
        <w:pageBreakBefore w:val="0"/>
        <w:shd w:val="clear"/>
        <w:kinsoku/>
        <w:wordWrap/>
        <w:overflowPunct/>
        <w:topLinePunct w:val="0"/>
        <w:bidi w:val="0"/>
        <w:adjustRightInd/>
        <w:snapToGrid w:val="0"/>
        <w:spacing w:line="356" w:lineRule="auto"/>
        <w:outlineLvl w:val="1"/>
        <w:rPr>
          <w:rFonts w:hint="eastAsia" w:ascii="仿宋" w:hAnsi="仿宋" w:eastAsia="仿宋" w:cs="仿宋"/>
          <w:b/>
          <w:color w:val="000000" w:themeColor="text1"/>
          <w:sz w:val="28"/>
          <w:szCs w:val="16"/>
          <w:highlight w:val="none"/>
          <w:lang w:val="en-US" w:eastAsia="zh-CN"/>
          <w14:textFill>
            <w14:solidFill>
              <w14:schemeClr w14:val="tx1"/>
            </w14:solidFill>
          </w14:textFill>
        </w:rPr>
      </w:pPr>
    </w:p>
    <w:p w14:paraId="6F6019BA">
      <w:pPr>
        <w:keepNext w:val="0"/>
        <w:keepLines w:val="0"/>
        <w:pageBreakBefore w:val="0"/>
        <w:shd w:val="clear"/>
        <w:kinsoku/>
        <w:wordWrap/>
        <w:overflowPunct/>
        <w:topLinePunct w:val="0"/>
        <w:bidi w:val="0"/>
        <w:adjustRightInd/>
        <w:snapToGrid w:val="0"/>
        <w:spacing w:line="356" w:lineRule="auto"/>
        <w:outlineLvl w:val="1"/>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8"/>
          <w:szCs w:val="16"/>
          <w:highlight w:val="none"/>
          <w:lang w:val="en-US" w:eastAsia="zh-CN"/>
          <w14:textFill>
            <w14:solidFill>
              <w14:schemeClr w14:val="tx1"/>
            </w14:solidFill>
          </w14:textFill>
        </w:rPr>
        <w:t>二、商务要求</w:t>
      </w:r>
      <w:bookmarkEnd w:id="344"/>
      <w:bookmarkStart w:id="345" w:name="_Toc3269"/>
      <w:bookmarkStart w:id="346" w:name="_Toc13626"/>
    </w:p>
    <w:p w14:paraId="5BD4B5A9">
      <w:pPr>
        <w:pStyle w:val="41"/>
        <w:keepNext w:val="0"/>
        <w:keepLines w:val="0"/>
        <w:pageBreakBefore w:val="0"/>
        <w:widowControl w:val="0"/>
        <w:shd w:val="clear" w:color="auto" w:fill="auto"/>
        <w:kinsoku/>
        <w:wordWrap/>
        <w:overflowPunct/>
        <w:topLinePunct w:val="0"/>
        <w:autoSpaceDE/>
        <w:autoSpaceDN/>
        <w:bidi w:val="0"/>
        <w:adjustRightInd w:val="0"/>
        <w:snapToGrid w:val="0"/>
        <w:spacing w:after="0" w:line="360" w:lineRule="auto"/>
        <w:ind w:firstLine="369" w:firstLineChars="175"/>
        <w:jc w:val="left"/>
        <w:textAlignment w:val="auto"/>
        <w:outlineLvl w:val="9"/>
        <w:rPr>
          <w:rFonts w:hint="eastAsia" w:ascii="仿宋" w:hAnsi="仿宋" w:eastAsia="仿宋" w:cs="仿宋"/>
          <w:b/>
          <w:color w:val="000000" w:themeColor="text1"/>
          <w:sz w:val="21"/>
          <w:szCs w:val="21"/>
          <w:lang w:eastAsia="zh-CN"/>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1、</w:t>
      </w:r>
      <w:r>
        <w:rPr>
          <w:rFonts w:hint="eastAsia" w:ascii="仿宋" w:hAnsi="仿宋" w:eastAsia="仿宋" w:cs="仿宋"/>
          <w:b/>
          <w:color w:val="000000" w:themeColor="text1"/>
          <w:sz w:val="21"/>
          <w:szCs w:val="21"/>
          <w:lang w:eastAsia="zh-CN"/>
          <w14:textFill>
            <w14:solidFill>
              <w14:schemeClr w14:val="tx1"/>
            </w14:solidFill>
          </w14:textFill>
        </w:rPr>
        <w:t>交付期</w:t>
      </w:r>
      <w:r>
        <w:rPr>
          <w:rFonts w:hint="eastAsia" w:ascii="仿宋" w:hAnsi="仿宋" w:eastAsia="仿宋" w:cs="仿宋"/>
          <w:b/>
          <w:color w:val="000000" w:themeColor="text1"/>
          <w:sz w:val="21"/>
          <w:szCs w:val="21"/>
          <w14:textFill>
            <w14:solidFill>
              <w14:schemeClr w14:val="tx1"/>
            </w14:solidFill>
          </w14:textFill>
        </w:rPr>
        <w:t>、交付地点、</w:t>
      </w:r>
      <w:r>
        <w:rPr>
          <w:rFonts w:hint="eastAsia" w:ascii="仿宋" w:hAnsi="仿宋" w:eastAsia="仿宋" w:cs="仿宋"/>
          <w:b/>
          <w:color w:val="000000" w:themeColor="text1"/>
          <w:sz w:val="21"/>
          <w:szCs w:val="21"/>
          <w:lang w:val="en-US" w:eastAsia="zh-CN"/>
          <w14:textFill>
            <w14:solidFill>
              <w14:schemeClr w14:val="tx1"/>
            </w14:solidFill>
          </w14:textFill>
        </w:rPr>
        <w:t>质保期</w:t>
      </w:r>
    </w:p>
    <w:p w14:paraId="70D26848">
      <w:pPr>
        <w:pStyle w:val="41"/>
        <w:keepNext w:val="0"/>
        <w:keepLines w:val="0"/>
        <w:pageBreakBefore w:val="0"/>
        <w:widowControl w:val="0"/>
        <w:shd w:val="clear" w:color="auto" w:fill="auto"/>
        <w:kinsoku/>
        <w:wordWrap/>
        <w:overflowPunct/>
        <w:topLinePunct w:val="0"/>
        <w:autoSpaceDE/>
        <w:autoSpaceDN/>
        <w:bidi w:val="0"/>
        <w:adjustRightInd w:val="0"/>
        <w:snapToGrid w:val="0"/>
        <w:spacing w:after="0" w:line="360" w:lineRule="auto"/>
        <w:ind w:firstLine="369" w:firstLineChars="175"/>
        <w:jc w:val="left"/>
        <w:textAlignment w:val="auto"/>
        <w:outlineLvl w:val="9"/>
        <w:rPr>
          <w:rFonts w:hint="eastAsia" w:ascii="仿宋" w:hAnsi="仿宋" w:eastAsia="仿宋" w:cs="仿宋"/>
          <w:b w:val="0"/>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1.1、</w:t>
      </w:r>
      <w:r>
        <w:rPr>
          <w:rFonts w:hint="eastAsia" w:ascii="仿宋" w:hAnsi="仿宋" w:eastAsia="仿宋" w:cs="仿宋"/>
          <w:b/>
          <w:color w:val="000000" w:themeColor="text1"/>
          <w:sz w:val="21"/>
          <w:szCs w:val="21"/>
          <w:lang w:eastAsia="zh-CN"/>
          <w14:textFill>
            <w14:solidFill>
              <w14:schemeClr w14:val="tx1"/>
            </w14:solidFill>
          </w14:textFill>
        </w:rPr>
        <w:t>交付期</w:t>
      </w:r>
      <w:r>
        <w:rPr>
          <w:rFonts w:hint="eastAsia" w:ascii="仿宋" w:hAnsi="仿宋" w:eastAsia="仿宋" w:cs="仿宋"/>
          <w:bCs/>
          <w:color w:val="000000" w:themeColor="text1"/>
          <w:sz w:val="21"/>
          <w:szCs w:val="21"/>
          <w14:textFill>
            <w14:solidFill>
              <w14:schemeClr w14:val="tx1"/>
            </w14:solidFill>
          </w14:textFill>
        </w:rPr>
        <w:t>：</w:t>
      </w:r>
      <w:r>
        <w:rPr>
          <w:rFonts w:hint="eastAsia" w:ascii="仿宋" w:hAnsi="仿宋" w:eastAsia="仿宋" w:cs="仿宋"/>
          <w:b w:val="0"/>
          <w:bCs/>
          <w:color w:val="000000" w:themeColor="text1"/>
          <w:kern w:val="2"/>
          <w:sz w:val="21"/>
          <w:szCs w:val="21"/>
          <w:lang w:val="en-US" w:eastAsia="zh-CN" w:bidi="ar-SA"/>
          <w14:textFill>
            <w14:solidFill>
              <w14:schemeClr w14:val="tx1"/>
            </w14:solidFill>
          </w14:textFill>
        </w:rPr>
        <w:t>15天。</w:t>
      </w:r>
    </w:p>
    <w:p w14:paraId="3A61EF13">
      <w:pPr>
        <w:pStyle w:val="35"/>
        <w:keepNext w:val="0"/>
        <w:keepLines w:val="0"/>
        <w:pageBreakBefore w:val="0"/>
        <w:widowControl w:val="0"/>
        <w:shd w:val="clear" w:color="auto" w:fill="auto"/>
        <w:kinsoku/>
        <w:wordWrap/>
        <w:overflowPunct/>
        <w:topLinePunct w:val="0"/>
        <w:autoSpaceDE/>
        <w:autoSpaceDN/>
        <w:bidi w:val="0"/>
        <w:adjustRightInd w:val="0"/>
        <w:snapToGrid w:val="0"/>
        <w:spacing w:after="0" w:line="360" w:lineRule="auto"/>
        <w:ind w:left="0" w:leftChars="0" w:firstLine="367" w:firstLineChars="175"/>
        <w:textAlignment w:val="auto"/>
        <w:outlineLvl w:val="9"/>
        <w:rPr>
          <w:rFonts w:hint="eastAsia" w:ascii="仿宋" w:hAnsi="仿宋" w:eastAsia="仿宋" w:cs="仿宋"/>
          <w:b w:val="0"/>
          <w:bCs/>
          <w:color w:val="000000" w:themeColor="text1"/>
          <w:sz w:val="21"/>
          <w:szCs w:val="21"/>
          <w:lang w:eastAsia="zh-CN"/>
          <w14:textFill>
            <w14:solidFill>
              <w14:schemeClr w14:val="tx1"/>
            </w14:solidFill>
          </w14:textFill>
        </w:rPr>
      </w:pPr>
      <w:r>
        <w:rPr>
          <w:rFonts w:hint="eastAsia" w:ascii="仿宋" w:hAnsi="仿宋" w:eastAsia="仿宋" w:cs="仿宋"/>
          <w:b w:val="0"/>
          <w:bCs/>
          <w:color w:val="000000" w:themeColor="text1"/>
          <w:kern w:val="2"/>
          <w:sz w:val="21"/>
          <w:szCs w:val="21"/>
          <w:lang w:val="en-US" w:eastAsia="zh-CN" w:bidi="ar-SA"/>
          <w14:textFill>
            <w14:solidFill>
              <w14:schemeClr w14:val="tx1"/>
            </w14:solidFill>
          </w14:textFill>
        </w:rPr>
        <w:t>1.1.1、投标人未征得采购人同意和谅</w:t>
      </w:r>
      <w:r>
        <w:rPr>
          <w:rFonts w:hint="eastAsia" w:ascii="仿宋" w:hAnsi="仿宋" w:eastAsia="仿宋" w:cs="仿宋"/>
          <w:b w:val="0"/>
          <w:bCs/>
          <w:color w:val="000000" w:themeColor="text1"/>
          <w:sz w:val="21"/>
          <w:szCs w:val="21"/>
          <w:lang w:eastAsia="zh-CN"/>
          <w14:textFill>
            <w14:solidFill>
              <w14:schemeClr w14:val="tx1"/>
            </w14:solidFill>
          </w14:textFill>
        </w:rPr>
        <w:t>解而单方面延迟履行合同期限，将按违约终止合同。</w:t>
      </w:r>
    </w:p>
    <w:p w14:paraId="0F68806F">
      <w:pPr>
        <w:pStyle w:val="35"/>
        <w:keepNext w:val="0"/>
        <w:keepLines w:val="0"/>
        <w:pageBreakBefore w:val="0"/>
        <w:widowControl w:val="0"/>
        <w:shd w:val="clear" w:color="auto" w:fill="auto"/>
        <w:kinsoku/>
        <w:wordWrap/>
        <w:overflowPunct/>
        <w:topLinePunct w:val="0"/>
        <w:autoSpaceDE/>
        <w:autoSpaceDN/>
        <w:bidi w:val="0"/>
        <w:adjustRightInd w:val="0"/>
        <w:snapToGrid w:val="0"/>
        <w:spacing w:after="0" w:line="360" w:lineRule="auto"/>
        <w:ind w:left="0" w:leftChars="0" w:firstLine="367" w:firstLineChars="175"/>
        <w:textAlignment w:val="auto"/>
        <w:outlineLvl w:val="9"/>
        <w:rPr>
          <w:rFonts w:hint="eastAsia" w:ascii="仿宋" w:hAnsi="仿宋" w:eastAsia="仿宋" w:cs="仿宋"/>
          <w:b w:val="0"/>
          <w:bCs/>
          <w:color w:val="000000" w:themeColor="text1"/>
          <w:sz w:val="21"/>
          <w:szCs w:val="21"/>
          <w:lang w:eastAsia="zh-CN"/>
          <w14:textFill>
            <w14:solidFill>
              <w14:schemeClr w14:val="tx1"/>
            </w14:solidFill>
          </w14:textFill>
        </w:rPr>
      </w:pPr>
      <w:r>
        <w:rPr>
          <w:rFonts w:hint="eastAsia" w:ascii="仿宋" w:hAnsi="仿宋" w:eastAsia="仿宋" w:cs="仿宋"/>
          <w:b w:val="0"/>
          <w:bCs/>
          <w:color w:val="000000" w:themeColor="text1"/>
          <w:sz w:val="21"/>
          <w:szCs w:val="21"/>
          <w:lang w:eastAsia="zh-CN"/>
          <w14:textFill>
            <w14:solidFill>
              <w14:schemeClr w14:val="tx1"/>
            </w14:solidFill>
          </w14:textFill>
        </w:rPr>
        <w:t>1.1.2、投标人遇到可能妨碍按时完工的情况，应当及时以书面形式通知采购人，说明原由、拖延的期限等；采购人在收到通知后，尽快进行情况评估并确定是否通过修改合同，酌情延长服务时间或者通过协商加收误期赔偿金。</w:t>
      </w:r>
    </w:p>
    <w:p w14:paraId="391F7650">
      <w:pPr>
        <w:pStyle w:val="41"/>
        <w:keepNext w:val="0"/>
        <w:keepLines w:val="0"/>
        <w:pageBreakBefore w:val="0"/>
        <w:widowControl w:val="0"/>
        <w:shd w:val="clear" w:color="auto" w:fill="auto"/>
        <w:kinsoku/>
        <w:wordWrap/>
        <w:overflowPunct/>
        <w:topLinePunct w:val="0"/>
        <w:autoSpaceDE/>
        <w:autoSpaceDN/>
        <w:bidi w:val="0"/>
        <w:adjustRightInd w:val="0"/>
        <w:snapToGrid w:val="0"/>
        <w:spacing w:after="0" w:line="360" w:lineRule="auto"/>
        <w:ind w:firstLine="369" w:firstLineChars="175"/>
        <w:jc w:val="left"/>
        <w:textAlignment w:val="auto"/>
        <w:outlineLvl w:val="9"/>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1.2、交付地点：</w:t>
      </w:r>
      <w:r>
        <w:rPr>
          <w:rFonts w:hint="eastAsia" w:ascii="仿宋" w:hAnsi="仿宋" w:eastAsia="仿宋" w:cs="仿宋"/>
          <w:bCs/>
          <w:color w:val="000000" w:themeColor="text1"/>
          <w:sz w:val="21"/>
          <w:szCs w:val="21"/>
          <w14:textFill>
            <w14:solidFill>
              <w14:schemeClr w14:val="tx1"/>
            </w14:solidFill>
          </w14:textFill>
        </w:rPr>
        <w:t>采购人指定地点。</w:t>
      </w:r>
    </w:p>
    <w:p w14:paraId="01754A10">
      <w:pPr>
        <w:pStyle w:val="41"/>
        <w:keepNext w:val="0"/>
        <w:keepLines w:val="0"/>
        <w:pageBreakBefore w:val="0"/>
        <w:widowControl w:val="0"/>
        <w:shd w:val="clear" w:color="auto" w:fill="auto"/>
        <w:kinsoku/>
        <w:wordWrap/>
        <w:overflowPunct/>
        <w:topLinePunct w:val="0"/>
        <w:autoSpaceDE/>
        <w:autoSpaceDN/>
        <w:bidi w:val="0"/>
        <w:adjustRightInd w:val="0"/>
        <w:snapToGrid w:val="0"/>
        <w:spacing w:after="0" w:line="360" w:lineRule="auto"/>
        <w:ind w:firstLine="369" w:firstLineChars="175"/>
        <w:jc w:val="left"/>
        <w:textAlignment w:val="auto"/>
        <w:outlineLvl w:val="9"/>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1.3、</w:t>
      </w:r>
      <w:r>
        <w:rPr>
          <w:rFonts w:hint="eastAsia" w:ascii="仿宋" w:hAnsi="仿宋" w:eastAsia="仿宋" w:cs="仿宋"/>
          <w:b/>
          <w:color w:val="000000" w:themeColor="text1"/>
          <w:sz w:val="21"/>
          <w:szCs w:val="21"/>
          <w:lang w:val="en-US" w:eastAsia="zh-CN"/>
          <w14:textFill>
            <w14:solidFill>
              <w14:schemeClr w14:val="tx1"/>
            </w14:solidFill>
          </w14:textFill>
        </w:rPr>
        <w:t>质保期</w:t>
      </w:r>
      <w:r>
        <w:rPr>
          <w:rFonts w:hint="eastAsia" w:ascii="仿宋" w:hAnsi="仿宋" w:eastAsia="仿宋" w:cs="仿宋"/>
          <w:b/>
          <w:bCs/>
          <w:color w:val="000000" w:themeColor="text1"/>
          <w:sz w:val="21"/>
          <w:szCs w:val="21"/>
          <w14:textFill>
            <w14:solidFill>
              <w14:schemeClr w14:val="tx1"/>
            </w14:solidFill>
          </w14:textFill>
        </w:rPr>
        <w:t>：</w:t>
      </w:r>
      <w:r>
        <w:rPr>
          <w:rFonts w:hint="eastAsia" w:ascii="仿宋" w:hAnsi="仿宋" w:eastAsia="仿宋" w:cs="仿宋"/>
          <w:b/>
          <w:bCs/>
          <w:color w:val="000000" w:themeColor="text1"/>
          <w:sz w:val="21"/>
          <w:szCs w:val="21"/>
          <w:lang w:val="en-US" w:eastAsia="zh-CN"/>
          <w14:textFill>
            <w14:solidFill>
              <w14:schemeClr w14:val="tx1"/>
            </w14:solidFill>
          </w14:textFill>
        </w:rPr>
        <w:t>3</w:t>
      </w:r>
      <w:r>
        <w:rPr>
          <w:rFonts w:hint="eastAsia" w:ascii="仿宋" w:hAnsi="仿宋" w:eastAsia="仿宋" w:cs="仿宋"/>
          <w:color w:val="000000" w:themeColor="text1"/>
          <w:sz w:val="21"/>
          <w:szCs w:val="21"/>
          <w:lang w:val="en-US" w:eastAsia="zh-CN"/>
          <w14:textFill>
            <w14:solidFill>
              <w14:schemeClr w14:val="tx1"/>
            </w14:solidFill>
          </w14:textFill>
        </w:rPr>
        <w:t>年。</w:t>
      </w:r>
    </w:p>
    <w:p w14:paraId="6F6190E5">
      <w:pPr>
        <w:pStyle w:val="41"/>
        <w:keepNext w:val="0"/>
        <w:keepLines w:val="0"/>
        <w:pageBreakBefore w:val="0"/>
        <w:widowControl w:val="0"/>
        <w:shd w:val="clear" w:color="auto" w:fill="auto"/>
        <w:kinsoku/>
        <w:wordWrap/>
        <w:overflowPunct/>
        <w:topLinePunct w:val="0"/>
        <w:autoSpaceDE/>
        <w:autoSpaceDN/>
        <w:bidi w:val="0"/>
        <w:adjustRightInd w:val="0"/>
        <w:snapToGrid w:val="0"/>
        <w:spacing w:after="0" w:line="360" w:lineRule="auto"/>
        <w:ind w:firstLine="369" w:firstLineChars="175"/>
        <w:jc w:val="left"/>
        <w:textAlignment w:val="auto"/>
        <w:outlineLvl w:val="9"/>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2、款项结算</w:t>
      </w:r>
      <w:r>
        <w:rPr>
          <w:rFonts w:hint="eastAsia" w:ascii="仿宋" w:hAnsi="仿宋" w:eastAsia="仿宋" w:cs="仿宋"/>
          <w:bCs/>
          <w:color w:val="000000" w:themeColor="text1"/>
          <w:sz w:val="21"/>
          <w:szCs w:val="21"/>
          <w14:textFill>
            <w14:solidFill>
              <w14:schemeClr w14:val="tx1"/>
            </w14:solidFill>
          </w14:textFill>
        </w:rPr>
        <w:t xml:space="preserve">  </w:t>
      </w:r>
    </w:p>
    <w:p w14:paraId="6532BAE1">
      <w:pPr>
        <w:pStyle w:val="13"/>
        <w:keepNext w:val="0"/>
        <w:keepLines w:val="0"/>
        <w:pageBreakBefore w:val="0"/>
        <w:widowControl w:val="0"/>
        <w:shd w:val="clear" w:color="auto" w:fill="auto"/>
        <w:kinsoku/>
        <w:wordWrap/>
        <w:overflowPunct/>
        <w:topLinePunct w:val="0"/>
        <w:autoSpaceDE/>
        <w:autoSpaceDN/>
        <w:bidi w:val="0"/>
        <w:snapToGrid w:val="0"/>
        <w:spacing w:line="360" w:lineRule="auto"/>
        <w:ind w:left="0" w:leftChars="0" w:firstLineChars="175"/>
        <w:textAlignment w:val="auto"/>
        <w:outlineLvl w:val="9"/>
        <w:rPr>
          <w:rFonts w:hint="eastAsia" w:ascii="仿宋" w:hAnsi="仿宋" w:eastAsia="仿宋" w:cs="仿宋"/>
          <w:bCs/>
          <w:color w:val="000000" w:themeColor="text1"/>
          <w:kern w:val="2"/>
          <w:sz w:val="21"/>
          <w:szCs w:val="21"/>
          <w14:textFill>
            <w14:solidFill>
              <w14:schemeClr w14:val="tx1"/>
            </w14:solidFill>
          </w14:textFill>
        </w:rPr>
      </w:pPr>
      <w:r>
        <w:rPr>
          <w:rFonts w:hint="eastAsia" w:ascii="仿宋" w:hAnsi="仿宋" w:eastAsia="仿宋" w:cs="仿宋"/>
          <w:bCs/>
          <w:color w:val="000000" w:themeColor="text1"/>
          <w:kern w:val="2"/>
          <w:sz w:val="21"/>
          <w:szCs w:val="21"/>
          <w14:textFill>
            <w14:solidFill>
              <w14:schemeClr w14:val="tx1"/>
            </w14:solidFill>
          </w14:textFill>
        </w:rPr>
        <w:t>2.1、款项结算:采购人结算，成交</w:t>
      </w:r>
      <w:r>
        <w:rPr>
          <w:rFonts w:hint="eastAsia" w:ascii="仿宋" w:hAnsi="仿宋" w:eastAsia="仿宋" w:cs="仿宋"/>
          <w:bCs/>
          <w:color w:val="000000" w:themeColor="text1"/>
          <w:kern w:val="2"/>
          <w:sz w:val="21"/>
          <w:szCs w:val="21"/>
          <w:lang w:eastAsia="zh-CN"/>
          <w14:textFill>
            <w14:solidFill>
              <w14:schemeClr w14:val="tx1"/>
            </w14:solidFill>
          </w14:textFill>
        </w:rPr>
        <w:t>投标人</w:t>
      </w:r>
      <w:r>
        <w:rPr>
          <w:rFonts w:hint="eastAsia" w:ascii="仿宋" w:hAnsi="仿宋" w:eastAsia="仿宋" w:cs="仿宋"/>
          <w:bCs/>
          <w:color w:val="000000" w:themeColor="text1"/>
          <w:kern w:val="2"/>
          <w:sz w:val="21"/>
          <w:szCs w:val="21"/>
          <w14:textFill>
            <w14:solidFill>
              <w14:schemeClr w14:val="tx1"/>
            </w14:solidFill>
          </w14:textFill>
        </w:rPr>
        <w:t>开具全额（等额）发票给采购人</w:t>
      </w:r>
      <w:r>
        <w:rPr>
          <w:rFonts w:hint="eastAsia" w:ascii="仿宋" w:hAnsi="仿宋" w:eastAsia="仿宋" w:cs="仿宋"/>
          <w:bCs/>
          <w:color w:val="000000" w:themeColor="text1"/>
          <w:kern w:val="2"/>
          <w:sz w:val="21"/>
          <w:szCs w:val="21"/>
          <w:lang w:eastAsia="zh-CN"/>
          <w14:textFill>
            <w14:solidFill>
              <w14:schemeClr w14:val="tx1"/>
            </w14:solidFill>
          </w14:textFill>
        </w:rPr>
        <w:t>，</w:t>
      </w:r>
      <w:r>
        <w:rPr>
          <w:rFonts w:hint="eastAsia" w:ascii="仿宋" w:hAnsi="仿宋" w:eastAsia="仿宋" w:cs="仿宋"/>
          <w:bCs/>
          <w:color w:val="000000" w:themeColor="text1"/>
          <w:kern w:val="2"/>
          <w:sz w:val="21"/>
          <w:szCs w:val="21"/>
          <w:lang w:val="en-US" w:eastAsia="zh-CN"/>
          <w14:textFill>
            <w14:solidFill>
              <w14:schemeClr w14:val="tx1"/>
            </w14:solidFill>
          </w14:textFill>
        </w:rPr>
        <w:t>未开具发票不支付</w:t>
      </w:r>
      <w:r>
        <w:rPr>
          <w:rFonts w:hint="eastAsia" w:ascii="仿宋" w:hAnsi="仿宋" w:eastAsia="仿宋" w:cs="仿宋"/>
          <w:bCs/>
          <w:color w:val="000000" w:themeColor="text1"/>
          <w:kern w:val="2"/>
          <w:sz w:val="21"/>
          <w:szCs w:val="21"/>
          <w14:textFill>
            <w14:solidFill>
              <w14:schemeClr w14:val="tx1"/>
            </w14:solidFill>
          </w14:textFill>
        </w:rPr>
        <w:t>。</w:t>
      </w:r>
    </w:p>
    <w:p w14:paraId="47ADD700">
      <w:pPr>
        <w:pStyle w:val="13"/>
        <w:keepNext w:val="0"/>
        <w:keepLines w:val="0"/>
        <w:pageBreakBefore w:val="0"/>
        <w:widowControl w:val="0"/>
        <w:shd w:val="clear" w:color="auto" w:fill="auto"/>
        <w:kinsoku/>
        <w:wordWrap/>
        <w:overflowPunct/>
        <w:topLinePunct w:val="0"/>
        <w:autoSpaceDE/>
        <w:autoSpaceDN/>
        <w:bidi w:val="0"/>
        <w:snapToGrid w:val="0"/>
        <w:spacing w:line="360" w:lineRule="auto"/>
        <w:ind w:left="0" w:leftChars="0" w:firstLineChars="175"/>
        <w:textAlignment w:val="auto"/>
        <w:outlineLvl w:val="9"/>
        <w:rPr>
          <w:rFonts w:hint="eastAsia" w:ascii="仿宋" w:hAnsi="仿宋" w:eastAsia="仿宋" w:cs="仿宋"/>
          <w:bCs/>
          <w:color w:val="000000" w:themeColor="text1"/>
          <w:kern w:val="2"/>
          <w:sz w:val="21"/>
          <w:szCs w:val="21"/>
          <w14:textFill>
            <w14:solidFill>
              <w14:schemeClr w14:val="tx1"/>
            </w14:solidFill>
          </w14:textFill>
        </w:rPr>
      </w:pPr>
      <w:r>
        <w:rPr>
          <w:rFonts w:hint="eastAsia" w:ascii="仿宋" w:hAnsi="仿宋" w:eastAsia="仿宋" w:cs="仿宋"/>
          <w:bCs/>
          <w:color w:val="000000" w:themeColor="text1"/>
          <w:kern w:val="2"/>
          <w:sz w:val="21"/>
          <w:szCs w:val="21"/>
          <w14:textFill>
            <w14:solidFill>
              <w14:schemeClr w14:val="tx1"/>
            </w14:solidFill>
          </w14:textFill>
        </w:rPr>
        <w:t>2.2、结算方式：银行转账。</w:t>
      </w:r>
    </w:p>
    <w:p w14:paraId="0F0E2AB7">
      <w:pPr>
        <w:pStyle w:val="13"/>
        <w:keepNext w:val="0"/>
        <w:keepLines w:val="0"/>
        <w:pageBreakBefore w:val="0"/>
        <w:widowControl w:val="0"/>
        <w:shd w:val="clear" w:color="auto" w:fill="auto"/>
        <w:kinsoku/>
        <w:wordWrap/>
        <w:overflowPunct/>
        <w:topLinePunct w:val="0"/>
        <w:autoSpaceDE/>
        <w:autoSpaceDN/>
        <w:bidi w:val="0"/>
        <w:snapToGrid w:val="0"/>
        <w:spacing w:line="360" w:lineRule="auto"/>
        <w:ind w:left="0" w:leftChars="0" w:firstLine="369" w:firstLineChars="175"/>
        <w:textAlignment w:val="auto"/>
        <w:outlineLvl w:val="9"/>
        <w:rPr>
          <w:rFonts w:hint="eastAsia" w:ascii="仿宋" w:hAnsi="仿宋" w:eastAsia="仿宋" w:cs="仿宋"/>
          <w:b/>
          <w:bCs/>
          <w:color w:val="000000" w:themeColor="text1"/>
          <w:sz w:val="21"/>
          <w:szCs w:val="21"/>
          <w:lang w:val="en-US" w:eastAsia="zh-CN"/>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2.3、付款计划</w:t>
      </w:r>
      <w:r>
        <w:rPr>
          <w:rFonts w:hint="eastAsia" w:ascii="仿宋" w:hAnsi="仿宋" w:eastAsia="仿宋" w:cs="仿宋"/>
          <w:b/>
          <w:bCs/>
          <w:color w:val="000000" w:themeColor="text1"/>
          <w:sz w:val="21"/>
          <w:szCs w:val="21"/>
          <w:lang w:eastAsia="zh-CN"/>
          <w14:textFill>
            <w14:solidFill>
              <w14:schemeClr w14:val="tx1"/>
            </w14:solidFill>
          </w14:textFill>
        </w:rPr>
        <w:t>：</w:t>
      </w:r>
      <w:r>
        <w:rPr>
          <w:rFonts w:hint="eastAsia" w:ascii="仿宋" w:hAnsi="仿宋" w:eastAsia="仿宋" w:cs="仿宋"/>
          <w:b w:val="0"/>
          <w:bCs/>
          <w:color w:val="000000" w:themeColor="text1"/>
          <w:kern w:val="2"/>
          <w:sz w:val="21"/>
          <w:szCs w:val="21"/>
          <w:highlight w:val="none"/>
          <w:lang w:val="en-US" w:eastAsia="zh-CN" w:bidi="ar-SA"/>
          <w14:textFill>
            <w14:solidFill>
              <w14:schemeClr w14:val="tx1"/>
            </w14:solidFill>
          </w14:textFill>
        </w:rPr>
        <w:t>验收后支付95%，剩余5%</w:t>
      </w:r>
      <w:r>
        <w:rPr>
          <w:rFonts w:hint="eastAsia" w:ascii="仿宋" w:hAnsi="仿宋" w:eastAsia="仿宋" w:cs="仿宋"/>
          <w:b w:val="0"/>
          <w:bCs w:val="0"/>
          <w:color w:val="000000" w:themeColor="text1"/>
          <w:sz w:val="21"/>
          <w:szCs w:val="21"/>
          <w:lang w:val="en-US" w:eastAsia="zh-CN"/>
          <w14:textFill>
            <w14:solidFill>
              <w14:schemeClr w14:val="tx1"/>
            </w14:solidFill>
          </w14:textFill>
        </w:rPr>
        <w:t>合同价款</w:t>
      </w:r>
      <w:r>
        <w:rPr>
          <w:rFonts w:hint="eastAsia" w:ascii="仿宋" w:hAnsi="仿宋" w:eastAsia="仿宋" w:cs="仿宋"/>
          <w:b w:val="0"/>
          <w:bCs/>
          <w:color w:val="000000" w:themeColor="text1"/>
          <w:kern w:val="2"/>
          <w:sz w:val="21"/>
          <w:szCs w:val="21"/>
          <w:highlight w:val="none"/>
          <w:lang w:val="en-US" w:eastAsia="zh-CN" w:bidi="ar-SA"/>
          <w14:textFill>
            <w14:solidFill>
              <w14:schemeClr w14:val="tx1"/>
            </w14:solidFill>
          </w14:textFill>
        </w:rPr>
        <w:t>一年后付清</w:t>
      </w:r>
      <w:r>
        <w:rPr>
          <w:rFonts w:hint="eastAsia" w:ascii="仿宋" w:hAnsi="仿宋" w:eastAsia="仿宋" w:cs="仿宋"/>
          <w:b w:val="0"/>
          <w:bCs w:val="0"/>
          <w:color w:val="000000" w:themeColor="text1"/>
          <w:sz w:val="21"/>
          <w:szCs w:val="21"/>
          <w:lang w:val="en-US" w:eastAsia="zh-CN"/>
          <w14:textFill>
            <w14:solidFill>
              <w14:schemeClr w14:val="tx1"/>
            </w14:solidFill>
          </w14:textFill>
        </w:rPr>
        <w:t>。</w:t>
      </w:r>
    </w:p>
    <w:p w14:paraId="705A0D00">
      <w:pPr>
        <w:pStyle w:val="13"/>
        <w:keepNext w:val="0"/>
        <w:keepLines w:val="0"/>
        <w:pageBreakBefore w:val="0"/>
        <w:widowControl w:val="0"/>
        <w:shd w:val="clear" w:color="auto" w:fill="auto"/>
        <w:kinsoku/>
        <w:wordWrap/>
        <w:overflowPunct/>
        <w:topLinePunct w:val="0"/>
        <w:autoSpaceDE/>
        <w:autoSpaceDN/>
        <w:bidi w:val="0"/>
        <w:snapToGrid w:val="0"/>
        <w:spacing w:line="360" w:lineRule="auto"/>
        <w:ind w:left="0" w:leftChars="0" w:firstLine="369" w:firstLineChars="175"/>
        <w:textAlignment w:val="auto"/>
        <w:outlineLvl w:val="9"/>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3、质量保证</w:t>
      </w:r>
    </w:p>
    <w:p w14:paraId="74D6829C">
      <w:pPr>
        <w:pStyle w:val="41"/>
        <w:keepNext w:val="0"/>
        <w:keepLines w:val="0"/>
        <w:pageBreakBefore w:val="0"/>
        <w:widowControl w:val="0"/>
        <w:shd w:val="clear" w:color="auto" w:fill="auto"/>
        <w:kinsoku/>
        <w:wordWrap/>
        <w:overflowPunct/>
        <w:topLinePunct w:val="0"/>
        <w:autoSpaceDE/>
        <w:autoSpaceDN/>
        <w:bidi w:val="0"/>
        <w:adjustRightInd w:val="0"/>
        <w:snapToGrid w:val="0"/>
        <w:spacing w:after="0" w:line="360" w:lineRule="auto"/>
        <w:ind w:left="0" w:leftChars="0" w:firstLine="367" w:firstLineChars="175"/>
        <w:jc w:val="left"/>
        <w:textAlignment w:val="auto"/>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3.1、本项目所有设备质量必须符合</w:t>
      </w:r>
      <w:r>
        <w:rPr>
          <w:rFonts w:hint="eastAsia" w:ascii="仿宋" w:hAnsi="仿宋" w:eastAsia="仿宋" w:cs="仿宋"/>
          <w:color w:val="000000" w:themeColor="text1"/>
          <w:kern w:val="0"/>
          <w:sz w:val="21"/>
          <w:szCs w:val="21"/>
          <w:lang w:val="en-US" w:eastAsia="zh-CN"/>
          <w14:textFill>
            <w14:solidFill>
              <w14:schemeClr w14:val="tx1"/>
            </w14:solidFill>
          </w14:textFill>
        </w:rPr>
        <w:t>国家有关规范和</w:t>
      </w:r>
      <w:r>
        <w:rPr>
          <w:rFonts w:hint="eastAsia" w:ascii="仿宋" w:hAnsi="仿宋" w:eastAsia="仿宋" w:cs="仿宋"/>
          <w:color w:val="000000" w:themeColor="text1"/>
          <w:kern w:val="0"/>
          <w:sz w:val="21"/>
          <w:szCs w:val="21"/>
          <w14:textFill>
            <w14:solidFill>
              <w14:schemeClr w14:val="tx1"/>
            </w14:solidFill>
          </w14:textFill>
        </w:rPr>
        <w:t>相关政策。所有设备及辅材必须是未使用过的新设备，质量优良、渠道正当，配置合理。为确保设备售后服务的及时性、保障性，交付设备时必须提供原厂售后服务承诺函。</w:t>
      </w:r>
    </w:p>
    <w:p w14:paraId="0D432BF5">
      <w:pPr>
        <w:pStyle w:val="41"/>
        <w:keepNext w:val="0"/>
        <w:keepLines w:val="0"/>
        <w:pageBreakBefore w:val="0"/>
        <w:widowControl w:val="0"/>
        <w:shd w:val="clear" w:color="auto" w:fill="auto"/>
        <w:kinsoku/>
        <w:wordWrap/>
        <w:overflowPunct/>
        <w:topLinePunct w:val="0"/>
        <w:autoSpaceDE/>
        <w:autoSpaceDN/>
        <w:bidi w:val="0"/>
        <w:adjustRightInd w:val="0"/>
        <w:snapToGrid w:val="0"/>
        <w:spacing w:after="0" w:line="360" w:lineRule="auto"/>
        <w:ind w:left="0" w:leftChars="0" w:firstLine="367" w:firstLineChars="175"/>
        <w:jc w:val="left"/>
        <w:textAlignment w:val="auto"/>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3.2、</w:t>
      </w:r>
      <w:r>
        <w:rPr>
          <w:rFonts w:hint="eastAsia" w:ascii="仿宋" w:hAnsi="仿宋" w:eastAsia="仿宋" w:cs="仿宋"/>
          <w:color w:val="000000" w:themeColor="text1"/>
          <w:kern w:val="0"/>
          <w:sz w:val="21"/>
          <w:szCs w:val="21"/>
          <w:lang w:eastAsia="zh-CN"/>
          <w14:textFill>
            <w14:solidFill>
              <w14:schemeClr w14:val="tx1"/>
            </w14:solidFill>
          </w14:textFill>
        </w:rPr>
        <w:t>质保期</w:t>
      </w:r>
      <w:r>
        <w:rPr>
          <w:rFonts w:hint="eastAsia" w:ascii="仿宋" w:hAnsi="仿宋" w:eastAsia="仿宋" w:cs="仿宋"/>
          <w:color w:val="000000" w:themeColor="text1"/>
          <w:kern w:val="0"/>
          <w:sz w:val="21"/>
          <w:szCs w:val="21"/>
          <w14:textFill>
            <w14:solidFill>
              <w14:schemeClr w14:val="tx1"/>
            </w14:solidFill>
          </w14:textFill>
        </w:rPr>
        <w:t>出现的质量问题由</w:t>
      </w:r>
      <w:r>
        <w:rPr>
          <w:rFonts w:hint="eastAsia" w:ascii="仿宋" w:hAnsi="仿宋" w:eastAsia="仿宋" w:cs="仿宋"/>
          <w:color w:val="000000" w:themeColor="text1"/>
          <w:kern w:val="0"/>
          <w:sz w:val="21"/>
          <w:szCs w:val="21"/>
          <w:lang w:eastAsia="zh-CN"/>
          <w14:textFill>
            <w14:solidFill>
              <w14:schemeClr w14:val="tx1"/>
            </w14:solidFill>
          </w14:textFill>
        </w:rPr>
        <w:t>投标人</w:t>
      </w:r>
      <w:r>
        <w:rPr>
          <w:rFonts w:hint="eastAsia" w:ascii="仿宋" w:hAnsi="仿宋" w:eastAsia="仿宋" w:cs="仿宋"/>
          <w:color w:val="000000" w:themeColor="text1"/>
          <w:kern w:val="0"/>
          <w:sz w:val="21"/>
          <w:szCs w:val="21"/>
          <w14:textFill>
            <w14:solidFill>
              <w14:schemeClr w14:val="tx1"/>
            </w14:solidFill>
          </w14:textFill>
        </w:rPr>
        <w:t>负责解决并承担所有费用。</w:t>
      </w:r>
      <w:r>
        <w:rPr>
          <w:rFonts w:hint="eastAsia" w:ascii="仿宋" w:hAnsi="仿宋" w:eastAsia="仿宋" w:cs="仿宋"/>
          <w:color w:val="000000" w:themeColor="text1"/>
          <w:kern w:val="0"/>
          <w:sz w:val="21"/>
          <w:szCs w:val="21"/>
          <w:lang w:val="en-US" w:eastAsia="zh-CN"/>
          <w14:textFill>
            <w14:solidFill>
              <w14:schemeClr w14:val="tx1"/>
            </w14:solidFill>
          </w14:textFill>
        </w:rPr>
        <w:t>质保期</w:t>
      </w:r>
      <w:r>
        <w:rPr>
          <w:rFonts w:hint="eastAsia" w:ascii="仿宋" w:hAnsi="仿宋" w:eastAsia="仿宋" w:cs="仿宋"/>
          <w:color w:val="000000" w:themeColor="text1"/>
          <w:kern w:val="0"/>
          <w:sz w:val="21"/>
          <w:szCs w:val="21"/>
          <w14:textFill>
            <w14:solidFill>
              <w14:schemeClr w14:val="tx1"/>
            </w14:solidFill>
          </w14:textFill>
        </w:rPr>
        <w:t>后如需更换零部件，</w:t>
      </w:r>
      <w:r>
        <w:rPr>
          <w:rFonts w:hint="eastAsia" w:ascii="仿宋" w:hAnsi="仿宋" w:eastAsia="仿宋" w:cs="仿宋"/>
          <w:color w:val="000000" w:themeColor="text1"/>
          <w:kern w:val="0"/>
          <w:sz w:val="21"/>
          <w:szCs w:val="21"/>
          <w:lang w:eastAsia="zh-CN"/>
          <w14:textFill>
            <w14:solidFill>
              <w14:schemeClr w14:val="tx1"/>
            </w14:solidFill>
          </w14:textFill>
        </w:rPr>
        <w:t>投标人</w:t>
      </w:r>
      <w:r>
        <w:rPr>
          <w:rFonts w:hint="eastAsia" w:ascii="仿宋" w:hAnsi="仿宋" w:eastAsia="仿宋" w:cs="仿宋"/>
          <w:color w:val="000000" w:themeColor="text1"/>
          <w:kern w:val="0"/>
          <w:sz w:val="21"/>
          <w:szCs w:val="21"/>
          <w14:textFill>
            <w14:solidFill>
              <w14:schemeClr w14:val="tx1"/>
            </w14:solidFill>
          </w14:textFill>
        </w:rPr>
        <w:t>应以优惠价提供。</w:t>
      </w:r>
    </w:p>
    <w:p w14:paraId="535B202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367" w:firstLineChars="175"/>
        <w:textAlignment w:val="auto"/>
        <w:outlineLvl w:val="9"/>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3.3、</w:t>
      </w:r>
      <w:r>
        <w:rPr>
          <w:rFonts w:hint="eastAsia" w:ascii="仿宋" w:hAnsi="仿宋" w:eastAsia="仿宋" w:cs="仿宋"/>
          <w:color w:val="000000" w:themeColor="text1"/>
          <w:sz w:val="21"/>
          <w:szCs w:val="21"/>
          <w14:textFill>
            <w14:solidFill>
              <w14:schemeClr w14:val="tx1"/>
            </w14:solidFill>
          </w14:textFill>
        </w:rPr>
        <w:t>本项目设备售后服务及培训要求。</w:t>
      </w:r>
    </w:p>
    <w:p w14:paraId="792519FA">
      <w:pPr>
        <w:pStyle w:val="41"/>
        <w:keepNext w:val="0"/>
        <w:keepLines w:val="0"/>
        <w:pageBreakBefore w:val="0"/>
        <w:widowControl w:val="0"/>
        <w:shd w:val="clear" w:color="auto" w:fill="auto"/>
        <w:kinsoku/>
        <w:wordWrap/>
        <w:overflowPunct/>
        <w:topLinePunct w:val="0"/>
        <w:autoSpaceDE/>
        <w:autoSpaceDN/>
        <w:bidi w:val="0"/>
        <w:adjustRightInd w:val="0"/>
        <w:snapToGrid w:val="0"/>
        <w:spacing w:after="0" w:line="360" w:lineRule="auto"/>
        <w:ind w:left="0" w:leftChars="0" w:firstLine="367" w:firstLineChars="175"/>
        <w:jc w:val="left"/>
        <w:textAlignment w:val="auto"/>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3.3.</w:t>
      </w:r>
      <w:r>
        <w:rPr>
          <w:rFonts w:hint="eastAsia" w:ascii="仿宋" w:hAnsi="仿宋" w:eastAsia="仿宋" w:cs="仿宋"/>
          <w:color w:val="000000" w:themeColor="text1"/>
          <w:kern w:val="0"/>
          <w:sz w:val="21"/>
          <w:szCs w:val="21"/>
          <w:lang w:val="en-US" w:eastAsia="zh-CN"/>
          <w14:textFill>
            <w14:solidFill>
              <w14:schemeClr w14:val="tx1"/>
            </w14:solidFill>
          </w14:textFill>
        </w:rPr>
        <w:t>1</w:t>
      </w:r>
      <w:r>
        <w:rPr>
          <w:rFonts w:hint="eastAsia" w:ascii="仿宋" w:hAnsi="仿宋" w:eastAsia="仿宋" w:cs="仿宋"/>
          <w:color w:val="000000" w:themeColor="text1"/>
          <w:kern w:val="0"/>
          <w:sz w:val="21"/>
          <w:szCs w:val="21"/>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投标人</w:t>
      </w:r>
      <w:r>
        <w:rPr>
          <w:rFonts w:hint="eastAsia" w:ascii="仿宋" w:hAnsi="仿宋" w:eastAsia="仿宋" w:cs="仿宋"/>
          <w:color w:val="000000" w:themeColor="text1"/>
          <w:kern w:val="0"/>
          <w:sz w:val="21"/>
          <w:szCs w:val="21"/>
          <w14:textFill>
            <w14:solidFill>
              <w14:schemeClr w14:val="tx1"/>
            </w14:solidFill>
          </w14:textFill>
        </w:rPr>
        <w:t>应提供所投的设备的合格证、设备说明等资料。</w:t>
      </w:r>
    </w:p>
    <w:p w14:paraId="43A45251">
      <w:pPr>
        <w:pStyle w:val="41"/>
        <w:keepNext w:val="0"/>
        <w:keepLines w:val="0"/>
        <w:pageBreakBefore w:val="0"/>
        <w:widowControl w:val="0"/>
        <w:shd w:val="clear" w:color="auto" w:fill="auto"/>
        <w:kinsoku/>
        <w:wordWrap/>
        <w:overflowPunct/>
        <w:topLinePunct w:val="0"/>
        <w:autoSpaceDE/>
        <w:autoSpaceDN/>
        <w:bidi w:val="0"/>
        <w:adjustRightInd w:val="0"/>
        <w:snapToGrid w:val="0"/>
        <w:spacing w:after="0" w:line="360" w:lineRule="auto"/>
        <w:ind w:firstLine="369" w:firstLineChars="175"/>
        <w:jc w:val="left"/>
        <w:textAlignment w:val="auto"/>
        <w:outlineLvl w:val="9"/>
        <w:rPr>
          <w:rFonts w:hint="eastAsia" w:ascii="仿宋" w:hAnsi="仿宋" w:eastAsia="仿宋" w:cs="仿宋"/>
          <w:b/>
          <w:bCs/>
          <w:color w:val="000000" w:themeColor="text1"/>
          <w:kern w:val="0"/>
          <w:sz w:val="21"/>
          <w:szCs w:val="21"/>
          <w14:textFill>
            <w14:solidFill>
              <w14:schemeClr w14:val="tx1"/>
            </w14:solidFill>
          </w14:textFill>
        </w:rPr>
      </w:pPr>
      <w:r>
        <w:rPr>
          <w:rFonts w:hint="eastAsia" w:ascii="仿宋" w:hAnsi="仿宋" w:eastAsia="仿宋" w:cs="仿宋"/>
          <w:b/>
          <w:bCs/>
          <w:color w:val="000000" w:themeColor="text1"/>
          <w:kern w:val="0"/>
          <w:sz w:val="21"/>
          <w:szCs w:val="21"/>
          <w14:textFill>
            <w14:solidFill>
              <w14:schemeClr w14:val="tx1"/>
            </w14:solidFill>
          </w14:textFill>
        </w:rPr>
        <w:t>4、其他要求</w:t>
      </w:r>
    </w:p>
    <w:p w14:paraId="32856F79">
      <w:pPr>
        <w:pStyle w:val="41"/>
        <w:keepNext w:val="0"/>
        <w:keepLines w:val="0"/>
        <w:pageBreakBefore w:val="0"/>
        <w:widowControl w:val="0"/>
        <w:shd w:val="clear" w:color="auto" w:fill="auto"/>
        <w:kinsoku/>
        <w:wordWrap/>
        <w:overflowPunct/>
        <w:topLinePunct w:val="0"/>
        <w:autoSpaceDE/>
        <w:autoSpaceDN/>
        <w:bidi w:val="0"/>
        <w:adjustRightInd w:val="0"/>
        <w:snapToGrid w:val="0"/>
        <w:spacing w:after="0" w:line="360" w:lineRule="auto"/>
        <w:ind w:firstLineChars="175"/>
        <w:jc w:val="left"/>
        <w:textAlignment w:val="auto"/>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4.1、进场安装工作人员须配戴工作牌，提前与采购人约定设备进场安装时间，以不影响采购人日常工作为原则。</w:t>
      </w:r>
    </w:p>
    <w:p w14:paraId="563D929F">
      <w:pPr>
        <w:pStyle w:val="41"/>
        <w:keepNext w:val="0"/>
        <w:keepLines w:val="0"/>
        <w:pageBreakBefore w:val="0"/>
        <w:widowControl w:val="0"/>
        <w:shd w:val="clear" w:color="auto" w:fill="auto"/>
        <w:kinsoku/>
        <w:wordWrap/>
        <w:overflowPunct/>
        <w:topLinePunct w:val="0"/>
        <w:autoSpaceDE/>
        <w:autoSpaceDN/>
        <w:bidi w:val="0"/>
        <w:adjustRightInd w:val="0"/>
        <w:snapToGrid w:val="0"/>
        <w:spacing w:after="0" w:line="360" w:lineRule="auto"/>
        <w:ind w:firstLineChars="175"/>
        <w:jc w:val="left"/>
        <w:textAlignment w:val="auto"/>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4.2、工完场清，当日作业当日清，机具、工具整理清。</w:t>
      </w:r>
    </w:p>
    <w:p w14:paraId="78C32FFD">
      <w:pPr>
        <w:pStyle w:val="41"/>
        <w:keepNext w:val="0"/>
        <w:keepLines w:val="0"/>
        <w:pageBreakBefore w:val="0"/>
        <w:widowControl w:val="0"/>
        <w:shd w:val="clear" w:color="auto" w:fill="auto"/>
        <w:kinsoku/>
        <w:wordWrap/>
        <w:overflowPunct/>
        <w:topLinePunct w:val="0"/>
        <w:autoSpaceDE/>
        <w:autoSpaceDN/>
        <w:bidi w:val="0"/>
        <w:adjustRightInd w:val="0"/>
        <w:snapToGrid w:val="0"/>
        <w:spacing w:after="0" w:line="360" w:lineRule="auto"/>
        <w:ind w:firstLineChars="175"/>
        <w:jc w:val="left"/>
        <w:textAlignment w:val="auto"/>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4.3、安装人员须具备较强的专业技能，严格按照国家相关标准和行业规范进行施工和安装，成交</w:t>
      </w:r>
      <w:r>
        <w:rPr>
          <w:rFonts w:hint="eastAsia" w:ascii="仿宋" w:hAnsi="仿宋" w:eastAsia="仿宋" w:cs="仿宋"/>
          <w:color w:val="000000" w:themeColor="text1"/>
          <w:kern w:val="0"/>
          <w:sz w:val="21"/>
          <w:szCs w:val="21"/>
          <w:lang w:eastAsia="zh-CN"/>
          <w14:textFill>
            <w14:solidFill>
              <w14:schemeClr w14:val="tx1"/>
            </w14:solidFill>
          </w14:textFill>
        </w:rPr>
        <w:t>投标人</w:t>
      </w:r>
      <w:r>
        <w:rPr>
          <w:rFonts w:hint="eastAsia" w:ascii="仿宋" w:hAnsi="仿宋" w:eastAsia="仿宋" w:cs="仿宋"/>
          <w:color w:val="000000" w:themeColor="text1"/>
          <w:kern w:val="0"/>
          <w:sz w:val="21"/>
          <w:szCs w:val="21"/>
          <w14:textFill>
            <w14:solidFill>
              <w14:schemeClr w14:val="tx1"/>
            </w14:solidFill>
          </w14:textFill>
        </w:rPr>
        <w:t>须派技术人员现场进行指导，确保装机质量。</w:t>
      </w:r>
    </w:p>
    <w:p w14:paraId="797FD0E3">
      <w:pPr>
        <w:pStyle w:val="41"/>
        <w:keepNext w:val="0"/>
        <w:keepLines w:val="0"/>
        <w:pageBreakBefore w:val="0"/>
        <w:widowControl w:val="0"/>
        <w:shd w:val="clear" w:color="auto" w:fill="auto"/>
        <w:kinsoku/>
        <w:wordWrap/>
        <w:overflowPunct/>
        <w:topLinePunct w:val="0"/>
        <w:autoSpaceDE/>
        <w:autoSpaceDN/>
        <w:bidi w:val="0"/>
        <w:adjustRightInd w:val="0"/>
        <w:snapToGrid w:val="0"/>
        <w:spacing w:after="0" w:line="360" w:lineRule="auto"/>
        <w:ind w:left="0" w:leftChars="0" w:firstLine="422" w:firstLineChars="200"/>
        <w:jc w:val="left"/>
        <w:textAlignment w:val="auto"/>
        <w:outlineLvl w:val="9"/>
        <w:rPr>
          <w:rFonts w:hint="eastAsia" w:ascii="仿宋" w:hAnsi="仿宋" w:eastAsia="仿宋" w:cs="仿宋"/>
          <w:b/>
          <w:bCs/>
          <w:color w:val="000000" w:themeColor="text1"/>
          <w:kern w:val="0"/>
          <w:sz w:val="21"/>
          <w:szCs w:val="21"/>
          <w14:textFill>
            <w14:solidFill>
              <w14:schemeClr w14:val="tx1"/>
            </w14:solidFill>
          </w14:textFill>
        </w:rPr>
      </w:pPr>
      <w:r>
        <w:rPr>
          <w:rFonts w:hint="eastAsia" w:ascii="仿宋" w:hAnsi="仿宋" w:eastAsia="仿宋" w:cs="仿宋"/>
          <w:b/>
          <w:bCs/>
          <w:color w:val="000000" w:themeColor="text1"/>
          <w:kern w:val="0"/>
          <w:sz w:val="21"/>
          <w:szCs w:val="21"/>
          <w14:textFill>
            <w14:solidFill>
              <w14:schemeClr w14:val="tx1"/>
            </w14:solidFill>
          </w14:textFill>
        </w:rPr>
        <w:t>5、项目检验与验收</w:t>
      </w:r>
    </w:p>
    <w:p w14:paraId="06940F5E">
      <w:pPr>
        <w:pStyle w:val="41"/>
        <w:keepNext w:val="0"/>
        <w:keepLines w:val="0"/>
        <w:pageBreakBefore w:val="0"/>
        <w:widowControl w:val="0"/>
        <w:shd w:val="clear" w:color="auto" w:fill="auto"/>
        <w:kinsoku/>
        <w:wordWrap/>
        <w:overflowPunct/>
        <w:topLinePunct w:val="0"/>
        <w:autoSpaceDE/>
        <w:autoSpaceDN/>
        <w:bidi w:val="0"/>
        <w:adjustRightInd w:val="0"/>
        <w:snapToGrid w:val="0"/>
        <w:spacing w:after="0" w:line="360" w:lineRule="auto"/>
        <w:ind w:firstLineChars="175"/>
        <w:jc w:val="left"/>
        <w:textAlignment w:val="auto"/>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5.1、成交</w:t>
      </w:r>
      <w:r>
        <w:rPr>
          <w:rFonts w:hint="eastAsia" w:ascii="仿宋" w:hAnsi="仿宋" w:eastAsia="仿宋" w:cs="仿宋"/>
          <w:color w:val="000000" w:themeColor="text1"/>
          <w:kern w:val="0"/>
          <w:sz w:val="21"/>
          <w:szCs w:val="21"/>
          <w:lang w:eastAsia="zh-CN"/>
          <w14:textFill>
            <w14:solidFill>
              <w14:schemeClr w14:val="tx1"/>
            </w14:solidFill>
          </w14:textFill>
        </w:rPr>
        <w:t>投标人</w:t>
      </w:r>
      <w:r>
        <w:rPr>
          <w:rFonts w:hint="eastAsia" w:ascii="仿宋" w:hAnsi="仿宋" w:eastAsia="仿宋" w:cs="仿宋"/>
          <w:color w:val="000000" w:themeColor="text1"/>
          <w:kern w:val="0"/>
          <w:sz w:val="21"/>
          <w:szCs w:val="21"/>
          <w14:textFill>
            <w14:solidFill>
              <w14:schemeClr w14:val="tx1"/>
            </w14:solidFill>
          </w14:textFill>
        </w:rPr>
        <w:t>向采购人提交项目实施过程中的所有资料。</w:t>
      </w:r>
    </w:p>
    <w:p w14:paraId="155268CB">
      <w:pPr>
        <w:pStyle w:val="41"/>
        <w:keepNext w:val="0"/>
        <w:keepLines w:val="0"/>
        <w:pageBreakBefore w:val="0"/>
        <w:widowControl w:val="0"/>
        <w:shd w:val="clear" w:color="auto" w:fill="auto"/>
        <w:kinsoku/>
        <w:wordWrap/>
        <w:overflowPunct/>
        <w:topLinePunct w:val="0"/>
        <w:autoSpaceDE/>
        <w:autoSpaceDN/>
        <w:bidi w:val="0"/>
        <w:adjustRightInd w:val="0"/>
        <w:snapToGrid w:val="0"/>
        <w:spacing w:after="0" w:line="360" w:lineRule="auto"/>
        <w:ind w:firstLineChars="175"/>
        <w:jc w:val="left"/>
        <w:textAlignment w:val="auto"/>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5.2、验收须以合同、谈判文件及响应文件、澄清、及国家相应的标准、规范等为依据。</w:t>
      </w:r>
    </w:p>
    <w:p w14:paraId="017C3CB5">
      <w:pPr>
        <w:pStyle w:val="41"/>
        <w:keepNext w:val="0"/>
        <w:keepLines w:val="0"/>
        <w:pageBreakBefore w:val="0"/>
        <w:widowControl w:val="0"/>
        <w:shd w:val="clear" w:color="auto" w:fill="auto"/>
        <w:kinsoku/>
        <w:wordWrap/>
        <w:overflowPunct/>
        <w:topLinePunct w:val="0"/>
        <w:autoSpaceDE/>
        <w:autoSpaceDN/>
        <w:bidi w:val="0"/>
        <w:adjustRightInd w:val="0"/>
        <w:snapToGrid w:val="0"/>
        <w:spacing w:after="0" w:line="360" w:lineRule="auto"/>
        <w:ind w:firstLineChars="175"/>
        <w:jc w:val="left"/>
        <w:textAlignment w:val="auto"/>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5.2.1、符合中华人民共和国国家和履约地相关安全质量标准、行业技术规范标准、环保节能标准；</w:t>
      </w:r>
    </w:p>
    <w:p w14:paraId="7AD1EF74">
      <w:pPr>
        <w:pStyle w:val="41"/>
        <w:keepNext w:val="0"/>
        <w:keepLines w:val="0"/>
        <w:pageBreakBefore w:val="0"/>
        <w:widowControl w:val="0"/>
        <w:shd w:val="clear" w:color="auto" w:fill="auto"/>
        <w:kinsoku/>
        <w:wordWrap/>
        <w:overflowPunct/>
        <w:topLinePunct w:val="0"/>
        <w:autoSpaceDE/>
        <w:autoSpaceDN/>
        <w:bidi w:val="0"/>
        <w:adjustRightInd w:val="0"/>
        <w:snapToGrid w:val="0"/>
        <w:spacing w:after="0" w:line="360" w:lineRule="auto"/>
        <w:ind w:firstLineChars="175"/>
        <w:jc w:val="left"/>
        <w:textAlignment w:val="auto"/>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5.2.2、符合谈判文件和响应文件承诺中采购人认可的合理最佳配置、参数规格及各项要求；</w:t>
      </w:r>
    </w:p>
    <w:p w14:paraId="0C46C5D2">
      <w:pPr>
        <w:pStyle w:val="41"/>
        <w:keepNext w:val="0"/>
        <w:keepLines w:val="0"/>
        <w:pageBreakBefore w:val="0"/>
        <w:widowControl w:val="0"/>
        <w:shd w:val="clear" w:color="auto" w:fill="auto"/>
        <w:kinsoku/>
        <w:wordWrap/>
        <w:overflowPunct/>
        <w:topLinePunct w:val="0"/>
        <w:autoSpaceDE/>
        <w:autoSpaceDN/>
        <w:bidi w:val="0"/>
        <w:adjustRightInd w:val="0"/>
        <w:snapToGrid w:val="0"/>
        <w:spacing w:after="0" w:line="360" w:lineRule="auto"/>
        <w:ind w:firstLineChars="175"/>
        <w:jc w:val="left"/>
        <w:textAlignment w:val="auto"/>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5.2.3、双方约定的其他验收标准。</w:t>
      </w:r>
    </w:p>
    <w:p w14:paraId="04FFBB49">
      <w:pPr>
        <w:pStyle w:val="41"/>
        <w:keepNext w:val="0"/>
        <w:keepLines w:val="0"/>
        <w:pageBreakBefore w:val="0"/>
        <w:widowControl w:val="0"/>
        <w:shd w:val="clear" w:color="auto" w:fill="auto"/>
        <w:kinsoku/>
        <w:wordWrap/>
        <w:overflowPunct/>
        <w:topLinePunct w:val="0"/>
        <w:autoSpaceDE/>
        <w:autoSpaceDN/>
        <w:bidi w:val="0"/>
        <w:adjustRightInd w:val="0"/>
        <w:snapToGrid w:val="0"/>
        <w:spacing w:after="0" w:line="360" w:lineRule="auto"/>
        <w:ind w:firstLineChars="175"/>
        <w:jc w:val="left"/>
        <w:textAlignment w:val="auto"/>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5.3、采购人在合同的履行期间以及履行期后，可以随时检查项目的执行情况，对采购标准、采购内容进行调查核实，并对发现的问题进行处理。</w:t>
      </w:r>
    </w:p>
    <w:p w14:paraId="4F3937C9">
      <w:pPr>
        <w:pStyle w:val="41"/>
        <w:keepNext w:val="0"/>
        <w:keepLines w:val="0"/>
        <w:pageBreakBefore w:val="0"/>
        <w:widowControl w:val="0"/>
        <w:shd w:val="clear" w:color="auto" w:fill="auto"/>
        <w:kinsoku/>
        <w:wordWrap/>
        <w:overflowPunct/>
        <w:topLinePunct w:val="0"/>
        <w:autoSpaceDE/>
        <w:autoSpaceDN/>
        <w:bidi w:val="0"/>
        <w:adjustRightInd w:val="0"/>
        <w:snapToGrid w:val="0"/>
        <w:spacing w:after="0" w:line="360" w:lineRule="auto"/>
        <w:ind w:firstLine="369" w:firstLineChars="175"/>
        <w:jc w:val="left"/>
        <w:textAlignment w:val="auto"/>
        <w:outlineLvl w:val="9"/>
        <w:rPr>
          <w:rFonts w:hint="eastAsia" w:ascii="仿宋" w:hAnsi="仿宋" w:eastAsia="仿宋" w:cs="仿宋"/>
          <w:b/>
          <w:bCs/>
          <w:color w:val="000000" w:themeColor="text1"/>
          <w:kern w:val="0"/>
          <w:sz w:val="21"/>
          <w:szCs w:val="21"/>
          <w14:textFill>
            <w14:solidFill>
              <w14:schemeClr w14:val="tx1"/>
            </w14:solidFill>
          </w14:textFill>
        </w:rPr>
      </w:pPr>
      <w:r>
        <w:rPr>
          <w:rFonts w:hint="eastAsia" w:ascii="仿宋" w:hAnsi="仿宋" w:eastAsia="仿宋" w:cs="仿宋"/>
          <w:b/>
          <w:bCs/>
          <w:color w:val="000000" w:themeColor="text1"/>
          <w:kern w:val="0"/>
          <w:sz w:val="21"/>
          <w:szCs w:val="21"/>
          <w14:textFill>
            <w14:solidFill>
              <w14:schemeClr w14:val="tx1"/>
            </w14:solidFill>
          </w14:textFill>
        </w:rPr>
        <w:t>6、合同的变更、中止、终止</w:t>
      </w:r>
    </w:p>
    <w:p w14:paraId="0B836CA7">
      <w:pPr>
        <w:pStyle w:val="41"/>
        <w:keepNext w:val="0"/>
        <w:keepLines w:val="0"/>
        <w:pageBreakBefore w:val="0"/>
        <w:widowControl w:val="0"/>
        <w:shd w:val="clear" w:color="auto" w:fill="auto"/>
        <w:kinsoku/>
        <w:wordWrap/>
        <w:overflowPunct/>
        <w:topLinePunct w:val="0"/>
        <w:autoSpaceDE/>
        <w:autoSpaceDN/>
        <w:bidi w:val="0"/>
        <w:adjustRightInd w:val="0"/>
        <w:snapToGrid w:val="0"/>
        <w:spacing w:after="0" w:line="360" w:lineRule="auto"/>
        <w:ind w:firstLine="420" w:firstLineChars="200"/>
        <w:jc w:val="left"/>
        <w:textAlignment w:val="auto"/>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合同一经签订，不得擅自变更、中止或者终止合同。对确需变更、调整或者中止、终止合同的，由双方协商解决。</w:t>
      </w:r>
    </w:p>
    <w:p w14:paraId="259D1232">
      <w:pPr>
        <w:pStyle w:val="41"/>
        <w:keepNext w:val="0"/>
        <w:keepLines w:val="0"/>
        <w:pageBreakBefore w:val="0"/>
        <w:widowControl w:val="0"/>
        <w:shd w:val="clear" w:color="auto" w:fill="auto"/>
        <w:kinsoku/>
        <w:wordWrap/>
        <w:overflowPunct/>
        <w:topLinePunct w:val="0"/>
        <w:autoSpaceDE/>
        <w:autoSpaceDN/>
        <w:bidi w:val="0"/>
        <w:adjustRightInd w:val="0"/>
        <w:snapToGrid w:val="0"/>
        <w:spacing w:after="0" w:line="360" w:lineRule="auto"/>
        <w:ind w:firstLine="369" w:firstLineChars="175"/>
        <w:jc w:val="left"/>
        <w:textAlignment w:val="auto"/>
        <w:outlineLvl w:val="9"/>
        <w:rPr>
          <w:rFonts w:hint="eastAsia" w:ascii="仿宋" w:hAnsi="仿宋" w:eastAsia="仿宋" w:cs="仿宋"/>
          <w:b/>
          <w:bCs/>
          <w:color w:val="000000" w:themeColor="text1"/>
          <w:kern w:val="0"/>
          <w:sz w:val="21"/>
          <w:szCs w:val="21"/>
          <w14:textFill>
            <w14:solidFill>
              <w14:schemeClr w14:val="tx1"/>
            </w14:solidFill>
          </w14:textFill>
        </w:rPr>
      </w:pPr>
      <w:r>
        <w:rPr>
          <w:rFonts w:hint="eastAsia" w:ascii="仿宋" w:hAnsi="仿宋" w:eastAsia="仿宋" w:cs="仿宋"/>
          <w:b/>
          <w:bCs/>
          <w:color w:val="000000" w:themeColor="text1"/>
          <w:kern w:val="0"/>
          <w:sz w:val="21"/>
          <w:szCs w:val="21"/>
          <w14:textFill>
            <w14:solidFill>
              <w14:schemeClr w14:val="tx1"/>
            </w14:solidFill>
          </w14:textFill>
        </w:rPr>
        <w:t>7、合同争议的解决</w:t>
      </w:r>
    </w:p>
    <w:p w14:paraId="79167C2A">
      <w:pPr>
        <w:keepNext w:val="0"/>
        <w:keepLines w:val="0"/>
        <w:pageBreakBefore w:val="0"/>
        <w:widowControl w:val="0"/>
        <w:shd w:val="clear" w:color="auto" w:fill="auto"/>
        <w:kinsoku/>
        <w:wordWrap/>
        <w:overflowPunct/>
        <w:topLinePunct w:val="0"/>
        <w:autoSpaceDE/>
        <w:autoSpaceDN/>
        <w:bidi w:val="0"/>
        <w:spacing w:before="120" w:beforeLines="50" w:line="360" w:lineRule="auto"/>
        <w:ind w:left="-235" w:leftChars="-112" w:firstLine="630" w:firstLineChars="300"/>
        <w:textAlignment w:val="auto"/>
        <w:outlineLvl w:val="9"/>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合同履行期间，若双方发生争议，可协商或由有关部门调解解决，协商或调解不成的，可向甲方所在地汉台区人民法院提起诉讼。</w:t>
      </w:r>
    </w:p>
    <w:p w14:paraId="546E0068">
      <w:pPr>
        <w:pStyle w:val="41"/>
        <w:keepNext w:val="0"/>
        <w:keepLines w:val="0"/>
        <w:pageBreakBefore w:val="0"/>
        <w:widowControl w:val="0"/>
        <w:shd w:val="clear" w:color="auto" w:fill="auto"/>
        <w:kinsoku/>
        <w:wordWrap/>
        <w:overflowPunct/>
        <w:topLinePunct w:val="0"/>
        <w:autoSpaceDE/>
        <w:autoSpaceDN/>
        <w:bidi w:val="0"/>
        <w:adjustRightInd w:val="0"/>
        <w:snapToGrid w:val="0"/>
        <w:spacing w:after="0" w:line="360" w:lineRule="auto"/>
        <w:ind w:firstLine="369" w:firstLineChars="175"/>
        <w:jc w:val="left"/>
        <w:textAlignment w:val="auto"/>
        <w:outlineLvl w:val="9"/>
        <w:rPr>
          <w:rFonts w:hint="eastAsia" w:ascii="仿宋" w:hAnsi="仿宋" w:eastAsia="仿宋" w:cs="仿宋"/>
          <w:b/>
          <w:bCs/>
          <w:color w:val="000000" w:themeColor="text1"/>
          <w:kern w:val="0"/>
          <w:sz w:val="21"/>
          <w:szCs w:val="21"/>
          <w14:textFill>
            <w14:solidFill>
              <w14:schemeClr w14:val="tx1"/>
            </w14:solidFill>
          </w14:textFill>
        </w:rPr>
      </w:pPr>
      <w:r>
        <w:rPr>
          <w:rFonts w:hint="eastAsia" w:ascii="仿宋" w:hAnsi="仿宋" w:eastAsia="仿宋" w:cs="仿宋"/>
          <w:b/>
          <w:bCs/>
          <w:color w:val="000000" w:themeColor="text1"/>
          <w:kern w:val="0"/>
          <w:sz w:val="21"/>
          <w:szCs w:val="21"/>
          <w14:textFill>
            <w14:solidFill>
              <w14:schemeClr w14:val="tx1"/>
            </w14:solidFill>
          </w14:textFill>
        </w:rPr>
        <w:t>8、违约责任</w:t>
      </w:r>
    </w:p>
    <w:p w14:paraId="74C18AD4">
      <w:pPr>
        <w:pStyle w:val="41"/>
        <w:keepNext w:val="0"/>
        <w:keepLines w:val="0"/>
        <w:pageBreakBefore w:val="0"/>
        <w:widowControl w:val="0"/>
        <w:shd w:val="clear" w:color="auto" w:fill="auto"/>
        <w:kinsoku/>
        <w:wordWrap/>
        <w:overflowPunct/>
        <w:topLinePunct w:val="0"/>
        <w:autoSpaceDE/>
        <w:autoSpaceDN/>
        <w:bidi w:val="0"/>
        <w:adjustRightInd w:val="0"/>
        <w:snapToGrid w:val="0"/>
        <w:spacing w:after="0" w:line="360" w:lineRule="auto"/>
        <w:ind w:firstLineChars="175"/>
        <w:jc w:val="left"/>
        <w:textAlignment w:val="auto"/>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8.1、依据《中华人民共和国民法典》《中华人民共和国政府采购法》的相关条款和本合同约定的相关条款执行。</w:t>
      </w:r>
    </w:p>
    <w:p w14:paraId="250DFC3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367" w:firstLineChars="175"/>
        <w:textAlignment w:val="auto"/>
        <w:outlineLvl w:val="9"/>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8.2、成交</w:t>
      </w:r>
      <w:r>
        <w:rPr>
          <w:rFonts w:hint="eastAsia" w:ascii="仿宋" w:hAnsi="仿宋" w:eastAsia="仿宋" w:cs="仿宋"/>
          <w:color w:val="000000" w:themeColor="text1"/>
          <w:kern w:val="0"/>
          <w:sz w:val="21"/>
          <w:szCs w:val="21"/>
          <w:lang w:eastAsia="zh-CN"/>
          <w14:textFill>
            <w14:solidFill>
              <w14:schemeClr w14:val="tx1"/>
            </w14:solidFill>
          </w14:textFill>
        </w:rPr>
        <w:t>投标人</w:t>
      </w:r>
      <w:r>
        <w:rPr>
          <w:rFonts w:hint="eastAsia" w:ascii="仿宋" w:hAnsi="仿宋" w:eastAsia="仿宋" w:cs="仿宋"/>
          <w:color w:val="000000" w:themeColor="text1"/>
          <w:kern w:val="0"/>
          <w:sz w:val="21"/>
          <w:szCs w:val="21"/>
          <w14:textFill>
            <w14:solidFill>
              <w14:schemeClr w14:val="tx1"/>
            </w14:solidFill>
          </w14:textFill>
        </w:rPr>
        <w:t>未按合同要求履行，不符合采购技术要求，成交</w:t>
      </w:r>
      <w:r>
        <w:rPr>
          <w:rFonts w:hint="eastAsia" w:ascii="仿宋" w:hAnsi="仿宋" w:eastAsia="仿宋" w:cs="仿宋"/>
          <w:color w:val="000000" w:themeColor="text1"/>
          <w:kern w:val="0"/>
          <w:sz w:val="21"/>
          <w:szCs w:val="21"/>
          <w:lang w:eastAsia="zh-CN"/>
          <w14:textFill>
            <w14:solidFill>
              <w14:schemeClr w14:val="tx1"/>
            </w14:solidFill>
          </w14:textFill>
        </w:rPr>
        <w:t>投标人</w:t>
      </w:r>
      <w:r>
        <w:rPr>
          <w:rFonts w:hint="eastAsia" w:ascii="仿宋" w:hAnsi="仿宋" w:eastAsia="仿宋" w:cs="仿宋"/>
          <w:color w:val="000000" w:themeColor="text1"/>
          <w:kern w:val="0"/>
          <w:sz w:val="21"/>
          <w:szCs w:val="21"/>
          <w14:textFill>
            <w14:solidFill>
              <w14:schemeClr w14:val="tx1"/>
            </w14:solidFill>
          </w14:textFill>
        </w:rPr>
        <w:t>必须无条件更换人员或设备，提高技术，完善质量，否则，采购人有权终止合同，并对成交</w:t>
      </w:r>
      <w:r>
        <w:rPr>
          <w:rFonts w:hint="eastAsia" w:ascii="仿宋" w:hAnsi="仿宋" w:eastAsia="仿宋" w:cs="仿宋"/>
          <w:color w:val="000000" w:themeColor="text1"/>
          <w:kern w:val="0"/>
          <w:sz w:val="21"/>
          <w:szCs w:val="21"/>
          <w:lang w:eastAsia="zh-CN"/>
          <w14:textFill>
            <w14:solidFill>
              <w14:schemeClr w14:val="tx1"/>
            </w14:solidFill>
          </w14:textFill>
        </w:rPr>
        <w:t>投标人</w:t>
      </w:r>
      <w:r>
        <w:rPr>
          <w:rFonts w:hint="eastAsia" w:ascii="仿宋" w:hAnsi="仿宋" w:eastAsia="仿宋" w:cs="仿宋"/>
          <w:color w:val="000000" w:themeColor="text1"/>
          <w:kern w:val="0"/>
          <w:sz w:val="21"/>
          <w:szCs w:val="21"/>
          <w14:textFill>
            <w14:solidFill>
              <w14:schemeClr w14:val="tx1"/>
            </w14:solidFill>
          </w14:textFill>
        </w:rPr>
        <w:t>的违约行为进行追究并依法向成交</w:t>
      </w:r>
      <w:r>
        <w:rPr>
          <w:rFonts w:hint="eastAsia" w:ascii="仿宋" w:hAnsi="仿宋" w:eastAsia="仿宋" w:cs="仿宋"/>
          <w:color w:val="000000" w:themeColor="text1"/>
          <w:kern w:val="0"/>
          <w:sz w:val="21"/>
          <w:szCs w:val="21"/>
          <w:lang w:eastAsia="zh-CN"/>
          <w14:textFill>
            <w14:solidFill>
              <w14:schemeClr w14:val="tx1"/>
            </w14:solidFill>
          </w14:textFill>
        </w:rPr>
        <w:t>投标人</w:t>
      </w:r>
      <w:r>
        <w:rPr>
          <w:rFonts w:hint="eastAsia" w:ascii="仿宋" w:hAnsi="仿宋" w:eastAsia="仿宋" w:cs="仿宋"/>
          <w:color w:val="000000" w:themeColor="text1"/>
          <w:kern w:val="0"/>
          <w:sz w:val="21"/>
          <w:szCs w:val="21"/>
          <w14:textFill>
            <w14:solidFill>
              <w14:schemeClr w14:val="tx1"/>
            </w14:solidFill>
          </w14:textFill>
        </w:rPr>
        <w:t>进行经济索赔。</w:t>
      </w:r>
    </w:p>
    <w:p w14:paraId="699CB8C2">
      <w:pPr>
        <w:pStyle w:val="13"/>
        <w:keepNext w:val="0"/>
        <w:keepLines w:val="0"/>
        <w:pageBreakBefore w:val="0"/>
        <w:widowControl w:val="0"/>
        <w:shd w:val="clear"/>
        <w:kinsoku/>
        <w:wordWrap/>
        <w:overflowPunct/>
        <w:topLinePunct w:val="0"/>
        <w:autoSpaceDE/>
        <w:autoSpaceDN/>
        <w:bidi w:val="0"/>
        <w:adjustRightInd/>
        <w:snapToGrid w:val="0"/>
        <w:spacing w:line="360" w:lineRule="auto"/>
        <w:ind w:left="0" w:leftChars="0" w:firstLine="420" w:firstLineChars="200"/>
        <w:textAlignment w:val="auto"/>
        <w:outlineLvl w:val="9"/>
        <w:rPr>
          <w:rFonts w:hint="eastAsia" w:ascii="仿宋" w:hAnsi="仿宋" w:eastAsia="仿宋" w:cs="仿宋"/>
          <w:b w:val="0"/>
          <w:bCs w:val="0"/>
          <w:color w:val="000000" w:themeColor="text1"/>
          <w:kern w:val="0"/>
          <w:sz w:val="21"/>
          <w:szCs w:val="21"/>
          <w:highlight w:val="none"/>
          <w:lang w:val="en-US" w:eastAsia="zh-CN" w:bidi="ar-SA"/>
          <w14:textFill>
            <w14:solidFill>
              <w14:schemeClr w14:val="tx1"/>
            </w14:solidFill>
          </w14:textFill>
        </w:rPr>
      </w:pPr>
    </w:p>
    <w:p w14:paraId="352279C0">
      <w:pPr>
        <w:pStyle w:val="13"/>
        <w:keepNext w:val="0"/>
        <w:keepLines w:val="0"/>
        <w:pageBreakBefore w:val="0"/>
        <w:shd w:val="clear"/>
        <w:kinsoku/>
        <w:wordWrap/>
        <w:overflowPunct/>
        <w:topLinePunct w:val="0"/>
        <w:bidi w:val="0"/>
        <w:adjustRightInd/>
        <w:snapToGrid w:val="0"/>
        <w:spacing w:line="356" w:lineRule="auto"/>
        <w:ind w:left="0" w:leftChars="0" w:firstLine="0" w:firstLineChars="0"/>
        <w:rPr>
          <w:rFonts w:hint="eastAsia" w:ascii="仿宋" w:hAnsi="仿宋" w:eastAsia="仿宋" w:cs="仿宋"/>
          <w:bCs/>
          <w:color w:val="000000" w:themeColor="text1"/>
          <w:szCs w:val="36"/>
          <w:highlight w:val="none"/>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bidi="ar-SA"/>
          <w14:textFill>
            <w14:solidFill>
              <w14:schemeClr w14:val="tx1"/>
            </w14:solidFill>
          </w14:textFill>
        </w:rPr>
        <w:t>注：以上商务要求不得负偏离</w:t>
      </w:r>
    </w:p>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5"/>
    <w:bookmarkEnd w:id="346"/>
    <w:p w14:paraId="2CD10888">
      <w:pPr>
        <w:shd w:val="clear"/>
        <w:spacing w:afterLines="50" w:line="360" w:lineRule="auto"/>
        <w:ind w:firstLine="2891" w:firstLineChars="800"/>
        <w:jc w:val="both"/>
        <w:outlineLvl w:val="0"/>
        <w:rPr>
          <w:rFonts w:hint="eastAsia" w:ascii="仿宋" w:hAnsi="仿宋" w:eastAsia="仿宋" w:cs="仿宋"/>
          <w:b/>
          <w:color w:val="000000" w:themeColor="text1"/>
          <w:sz w:val="36"/>
          <w:szCs w:val="36"/>
          <w:highlight w:val="none"/>
          <w14:textFill>
            <w14:solidFill>
              <w14:schemeClr w14:val="tx1"/>
            </w14:solidFill>
          </w14:textFill>
        </w:rPr>
      </w:pPr>
    </w:p>
    <w:p w14:paraId="4B730490">
      <w:pPr>
        <w:shd w:val="clear"/>
        <w:spacing w:afterLines="50" w:line="360" w:lineRule="auto"/>
        <w:ind w:firstLine="2891" w:firstLineChars="800"/>
        <w:jc w:val="both"/>
        <w:outlineLvl w:val="0"/>
        <w:rPr>
          <w:rFonts w:hint="eastAsia" w:ascii="仿宋" w:hAnsi="仿宋" w:eastAsia="仿宋" w:cs="仿宋"/>
          <w:b/>
          <w:color w:val="000000" w:themeColor="text1"/>
          <w:sz w:val="36"/>
          <w:szCs w:val="36"/>
          <w:highlight w:val="none"/>
          <w14:textFill>
            <w14:solidFill>
              <w14:schemeClr w14:val="tx1"/>
            </w14:solidFill>
          </w14:textFill>
        </w:rPr>
      </w:pPr>
    </w:p>
    <w:p w14:paraId="0397E3FE">
      <w:pPr>
        <w:shd w:val="clear"/>
        <w:spacing w:afterLines="50" w:line="360" w:lineRule="auto"/>
        <w:ind w:firstLine="2891" w:firstLineChars="800"/>
        <w:jc w:val="both"/>
        <w:outlineLvl w:val="0"/>
        <w:rPr>
          <w:rFonts w:hint="eastAsia" w:ascii="仿宋" w:hAnsi="仿宋" w:eastAsia="仿宋" w:cs="仿宋"/>
          <w:b/>
          <w:color w:val="000000" w:themeColor="text1"/>
          <w:sz w:val="36"/>
          <w:szCs w:val="36"/>
          <w:highlight w:val="none"/>
          <w14:textFill>
            <w14:solidFill>
              <w14:schemeClr w14:val="tx1"/>
            </w14:solidFill>
          </w14:textFill>
        </w:rPr>
      </w:pPr>
    </w:p>
    <w:p w14:paraId="7F6227E6">
      <w:pPr>
        <w:shd w:val="clear"/>
        <w:spacing w:afterLines="50" w:line="360" w:lineRule="auto"/>
        <w:ind w:firstLine="2891" w:firstLineChars="800"/>
        <w:jc w:val="both"/>
        <w:outlineLvl w:val="0"/>
        <w:rPr>
          <w:rFonts w:hint="eastAsia" w:ascii="仿宋" w:hAnsi="仿宋" w:eastAsia="仿宋" w:cs="仿宋"/>
          <w:b/>
          <w:color w:val="000000" w:themeColor="text1"/>
          <w:sz w:val="36"/>
          <w:szCs w:val="36"/>
          <w:highlight w:val="none"/>
          <w14:textFill>
            <w14:solidFill>
              <w14:schemeClr w14:val="tx1"/>
            </w14:solidFill>
          </w14:textFill>
        </w:rPr>
      </w:pPr>
    </w:p>
    <w:p w14:paraId="22D0ADBB">
      <w:pPr>
        <w:shd w:val="clear"/>
        <w:spacing w:afterLines="50" w:line="360" w:lineRule="auto"/>
        <w:ind w:firstLine="2891" w:firstLineChars="800"/>
        <w:jc w:val="both"/>
        <w:outlineLvl w:val="0"/>
        <w:rPr>
          <w:rFonts w:hint="eastAsia" w:ascii="仿宋" w:hAnsi="仿宋" w:eastAsia="仿宋" w:cs="仿宋"/>
          <w:b/>
          <w:color w:val="000000" w:themeColor="text1"/>
          <w:sz w:val="36"/>
          <w:szCs w:val="36"/>
          <w:highlight w:val="none"/>
          <w14:textFill>
            <w14:solidFill>
              <w14:schemeClr w14:val="tx1"/>
            </w14:solidFill>
          </w14:textFill>
        </w:rPr>
      </w:pPr>
    </w:p>
    <w:p w14:paraId="6347A45F">
      <w:pPr>
        <w:shd w:val="clear"/>
        <w:spacing w:afterLines="50" w:line="360" w:lineRule="auto"/>
        <w:ind w:firstLine="2891" w:firstLineChars="800"/>
        <w:jc w:val="both"/>
        <w:outlineLvl w:val="0"/>
        <w:rPr>
          <w:rFonts w:hint="eastAsia" w:ascii="仿宋" w:hAnsi="仿宋" w:eastAsia="仿宋" w:cs="仿宋"/>
          <w:b/>
          <w:color w:val="000000" w:themeColor="text1"/>
          <w:sz w:val="36"/>
          <w:szCs w:val="36"/>
          <w:highlight w:val="none"/>
          <w14:textFill>
            <w14:solidFill>
              <w14:schemeClr w14:val="tx1"/>
            </w14:solidFill>
          </w14:textFill>
        </w:rPr>
      </w:pPr>
    </w:p>
    <w:p w14:paraId="6A68C5CE">
      <w:pPr>
        <w:shd w:val="clear"/>
        <w:spacing w:afterLines="50" w:line="360" w:lineRule="auto"/>
        <w:ind w:firstLine="2891" w:firstLineChars="800"/>
        <w:jc w:val="both"/>
        <w:outlineLvl w:val="0"/>
        <w:rPr>
          <w:rFonts w:hint="eastAsia" w:ascii="仿宋" w:hAnsi="仿宋" w:eastAsia="仿宋" w:cs="仿宋"/>
          <w:b/>
          <w:color w:val="000000" w:themeColor="text1"/>
          <w:sz w:val="36"/>
          <w:szCs w:val="36"/>
          <w:highlight w:val="none"/>
          <w14:textFill>
            <w14:solidFill>
              <w14:schemeClr w14:val="tx1"/>
            </w14:solidFill>
          </w14:textFill>
        </w:rPr>
      </w:pPr>
    </w:p>
    <w:p w14:paraId="3B2ECF6C">
      <w:pPr>
        <w:shd w:val="clear"/>
        <w:spacing w:afterLines="50" w:line="360" w:lineRule="auto"/>
        <w:ind w:firstLine="2891" w:firstLineChars="800"/>
        <w:jc w:val="both"/>
        <w:outlineLvl w:val="0"/>
        <w:rPr>
          <w:rFonts w:hint="eastAsia" w:ascii="仿宋" w:hAnsi="仿宋" w:eastAsia="仿宋" w:cs="仿宋"/>
          <w:b/>
          <w:color w:val="000000" w:themeColor="text1"/>
          <w:sz w:val="36"/>
          <w:szCs w:val="36"/>
          <w:highlight w:val="none"/>
          <w14:textFill>
            <w14:solidFill>
              <w14:schemeClr w14:val="tx1"/>
            </w14:solidFill>
          </w14:textFill>
        </w:rPr>
      </w:pPr>
    </w:p>
    <w:p w14:paraId="3D013BE6">
      <w:pPr>
        <w:shd w:val="clear"/>
        <w:spacing w:afterLines="50" w:line="360" w:lineRule="auto"/>
        <w:ind w:firstLine="2891" w:firstLineChars="800"/>
        <w:jc w:val="both"/>
        <w:outlineLvl w:val="0"/>
        <w:rPr>
          <w:rFonts w:hint="eastAsia" w:ascii="仿宋" w:hAnsi="仿宋" w:eastAsia="仿宋" w:cs="仿宋"/>
          <w:b/>
          <w:color w:val="000000" w:themeColor="text1"/>
          <w:sz w:val="36"/>
          <w:szCs w:val="36"/>
          <w:highlight w:val="none"/>
          <w14:textFill>
            <w14:solidFill>
              <w14:schemeClr w14:val="tx1"/>
            </w14:solidFill>
          </w14:textFill>
        </w:rPr>
      </w:pPr>
    </w:p>
    <w:p w14:paraId="7703927D">
      <w:pPr>
        <w:shd w:val="clear"/>
        <w:spacing w:afterLines="50" w:line="360" w:lineRule="auto"/>
        <w:ind w:firstLine="2891" w:firstLineChars="800"/>
        <w:jc w:val="both"/>
        <w:outlineLvl w:val="0"/>
        <w:rPr>
          <w:rFonts w:hint="eastAsia" w:ascii="仿宋" w:hAnsi="仿宋" w:eastAsia="仿宋" w:cs="仿宋"/>
          <w:b/>
          <w:color w:val="000000" w:themeColor="text1"/>
          <w:sz w:val="36"/>
          <w:szCs w:val="36"/>
          <w:highlight w:val="none"/>
          <w14:textFill>
            <w14:solidFill>
              <w14:schemeClr w14:val="tx1"/>
            </w14:solidFill>
          </w14:textFill>
        </w:rPr>
      </w:pPr>
    </w:p>
    <w:p w14:paraId="2682F590">
      <w:pPr>
        <w:shd w:val="clear"/>
        <w:spacing w:afterLines="50" w:line="360" w:lineRule="auto"/>
        <w:ind w:firstLine="2891" w:firstLineChars="800"/>
        <w:jc w:val="both"/>
        <w:outlineLvl w:val="0"/>
        <w:rPr>
          <w:rFonts w:hint="eastAsia" w:ascii="仿宋" w:hAnsi="仿宋" w:eastAsia="仿宋" w:cs="仿宋"/>
          <w:b/>
          <w:color w:val="000000" w:themeColor="text1"/>
          <w:sz w:val="36"/>
          <w:szCs w:val="36"/>
          <w:highlight w:val="none"/>
          <w14:textFill>
            <w14:solidFill>
              <w14:schemeClr w14:val="tx1"/>
            </w14:solidFill>
          </w14:textFill>
        </w:rPr>
      </w:pPr>
    </w:p>
    <w:p w14:paraId="5850F5D9">
      <w:pPr>
        <w:shd w:val="clear"/>
        <w:spacing w:afterLines="50" w:line="360" w:lineRule="auto"/>
        <w:ind w:firstLine="2891" w:firstLineChars="800"/>
        <w:jc w:val="both"/>
        <w:outlineLvl w:val="0"/>
        <w:rPr>
          <w:rFonts w:hint="eastAsia" w:ascii="仿宋" w:hAnsi="仿宋" w:eastAsia="仿宋" w:cs="仿宋"/>
          <w:b/>
          <w:color w:val="000000" w:themeColor="text1"/>
          <w:sz w:val="36"/>
          <w:szCs w:val="36"/>
          <w:highlight w:val="none"/>
          <w14:textFill>
            <w14:solidFill>
              <w14:schemeClr w14:val="tx1"/>
            </w14:solidFill>
          </w14:textFill>
        </w:rPr>
      </w:pPr>
    </w:p>
    <w:p w14:paraId="7FDA81C9">
      <w:pPr>
        <w:shd w:val="clear"/>
        <w:spacing w:afterLines="50" w:line="360" w:lineRule="auto"/>
        <w:ind w:firstLine="2891" w:firstLineChars="800"/>
        <w:jc w:val="both"/>
        <w:outlineLvl w:val="0"/>
        <w:rPr>
          <w:rFonts w:hint="eastAsia" w:ascii="仿宋" w:hAnsi="仿宋" w:eastAsia="仿宋" w:cs="仿宋"/>
          <w:b/>
          <w:color w:val="000000" w:themeColor="text1"/>
          <w:sz w:val="36"/>
          <w:szCs w:val="36"/>
          <w:highlight w:val="none"/>
          <w14:textFill>
            <w14:solidFill>
              <w14:schemeClr w14:val="tx1"/>
            </w14:solidFill>
          </w14:textFill>
        </w:rPr>
      </w:pPr>
    </w:p>
    <w:p w14:paraId="13A5DF8A">
      <w:pPr>
        <w:shd w:val="clear"/>
        <w:spacing w:afterLines="50" w:line="360" w:lineRule="auto"/>
        <w:ind w:firstLine="2891" w:firstLineChars="800"/>
        <w:jc w:val="both"/>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w:t>
      </w:r>
      <w:r>
        <w:rPr>
          <w:rFonts w:hint="eastAsia" w:ascii="仿宋" w:hAnsi="仿宋" w:eastAsia="仿宋" w:cs="仿宋"/>
          <w:b/>
          <w:color w:val="000000" w:themeColor="text1"/>
          <w:sz w:val="36"/>
          <w:szCs w:val="36"/>
          <w:highlight w:val="none"/>
          <w:lang w:val="en-US" w:eastAsia="zh-CN"/>
          <w14:textFill>
            <w14:solidFill>
              <w14:schemeClr w14:val="tx1"/>
            </w14:solidFill>
          </w14:textFill>
        </w:rPr>
        <w:t>四</w:t>
      </w:r>
      <w:r>
        <w:rPr>
          <w:rFonts w:hint="eastAsia" w:ascii="仿宋" w:hAnsi="仿宋" w:eastAsia="仿宋" w:cs="仿宋"/>
          <w:b/>
          <w:color w:val="000000" w:themeColor="text1"/>
          <w:sz w:val="36"/>
          <w:szCs w:val="36"/>
          <w:highlight w:val="none"/>
          <w14:textFill>
            <w14:solidFill>
              <w14:schemeClr w14:val="tx1"/>
            </w14:solidFill>
          </w14:textFill>
        </w:rPr>
        <w:t>章   评</w:t>
      </w:r>
      <w:r>
        <w:rPr>
          <w:rFonts w:hint="eastAsia" w:ascii="仿宋" w:hAnsi="仿宋" w:eastAsia="仿宋" w:cs="仿宋"/>
          <w:b/>
          <w:color w:val="000000" w:themeColor="text1"/>
          <w:sz w:val="36"/>
          <w:szCs w:val="36"/>
          <w:highlight w:val="none"/>
          <w:lang w:val="en-US" w:eastAsia="zh-CN"/>
          <w14:textFill>
            <w14:solidFill>
              <w14:schemeClr w14:val="tx1"/>
            </w14:solidFill>
          </w14:textFill>
        </w:rPr>
        <w:t>标</w:t>
      </w:r>
      <w:r>
        <w:rPr>
          <w:rFonts w:hint="eastAsia" w:ascii="仿宋" w:hAnsi="仿宋" w:eastAsia="仿宋" w:cs="仿宋"/>
          <w:b/>
          <w:color w:val="000000" w:themeColor="text1"/>
          <w:sz w:val="36"/>
          <w:szCs w:val="36"/>
          <w:highlight w:val="none"/>
          <w14:textFill>
            <w14:solidFill>
              <w14:schemeClr w14:val="tx1"/>
            </w14:solidFill>
          </w14:textFill>
        </w:rPr>
        <w:t>办法</w:t>
      </w:r>
      <w:bookmarkEnd w:id="323"/>
      <w:bookmarkEnd w:id="324"/>
    </w:p>
    <w:p w14:paraId="17ECF64D">
      <w:pPr>
        <w:keepNext w:val="0"/>
        <w:keepLines w:val="0"/>
        <w:pageBreakBefore w:val="0"/>
        <w:shd w:val="clear"/>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本项目是根据《中华人民共和国政府采购法》及《中华人民共和国政府采购法实施条例》（第658号）等法律法规的规定，结合采购项目特点制定的评</w:t>
      </w:r>
      <w:r>
        <w:rPr>
          <w:rFonts w:hint="eastAsia" w:ascii="仿宋" w:hAnsi="仿宋" w:eastAsia="仿宋" w:cs="仿宋"/>
          <w:color w:val="000000" w:themeColor="text1"/>
          <w:szCs w:val="21"/>
          <w:highlight w:val="none"/>
          <w:lang w:val="en-US" w:eastAsia="zh-CN"/>
          <w14:textFill>
            <w14:solidFill>
              <w14:schemeClr w14:val="tx1"/>
            </w14:solidFill>
          </w14:textFill>
        </w:rPr>
        <w:t>标</w:t>
      </w:r>
      <w:r>
        <w:rPr>
          <w:rFonts w:hint="eastAsia" w:ascii="仿宋" w:hAnsi="仿宋" w:eastAsia="仿宋" w:cs="仿宋"/>
          <w:color w:val="000000" w:themeColor="text1"/>
          <w:szCs w:val="21"/>
          <w:highlight w:val="none"/>
          <w14:textFill>
            <w14:solidFill>
              <w14:schemeClr w14:val="tx1"/>
            </w14:solidFill>
          </w14:textFill>
        </w:rPr>
        <w:t>办法。</w:t>
      </w:r>
    </w:p>
    <w:p w14:paraId="775AA9B7">
      <w:pPr>
        <w:keepNext w:val="0"/>
        <w:keepLines w:val="0"/>
        <w:pageBreakBefore w:val="0"/>
        <w:shd w:val="clear"/>
        <w:kinsoku/>
        <w:wordWrap/>
        <w:overflowPunct/>
        <w:topLinePunct w:val="0"/>
        <w:bidi w:val="0"/>
        <w:adjustRightInd w:val="0"/>
        <w:snapToGrid w:val="0"/>
        <w:spacing w:line="360" w:lineRule="auto"/>
        <w:ind w:right="0" w:rightChars="0"/>
        <w:outlineLvl w:val="1"/>
        <w:rPr>
          <w:rFonts w:hint="eastAsia" w:ascii="仿宋" w:hAnsi="仿宋" w:eastAsia="仿宋" w:cs="仿宋"/>
          <w:b/>
          <w:color w:val="000000" w:themeColor="text1"/>
          <w:szCs w:val="21"/>
          <w:highlight w:val="none"/>
          <w14:textFill>
            <w14:solidFill>
              <w14:schemeClr w14:val="tx1"/>
            </w14:solidFill>
          </w14:textFill>
        </w:rPr>
      </w:pPr>
      <w:bookmarkStart w:id="347" w:name="_Toc19615"/>
      <w:bookmarkStart w:id="348" w:name="_Toc23484"/>
      <w:r>
        <w:rPr>
          <w:rFonts w:hint="eastAsia" w:ascii="仿宋" w:hAnsi="仿宋" w:eastAsia="仿宋" w:cs="仿宋"/>
          <w:color w:val="000000" w:themeColor="text1"/>
          <w:sz w:val="24"/>
          <w:szCs w:val="24"/>
          <w:highlight w:val="none"/>
          <w14:textFill>
            <w14:solidFill>
              <w14:schemeClr w14:val="tx1"/>
            </w14:solidFill>
          </w14:textFill>
        </w:rPr>
        <w:t>一、</w:t>
      </w:r>
      <w:r>
        <w:rPr>
          <w:rFonts w:hint="eastAsia" w:ascii="仿宋" w:hAnsi="仿宋" w:eastAsia="仿宋" w:cs="仿宋"/>
          <w:b/>
          <w:color w:val="000000" w:themeColor="text1"/>
          <w:sz w:val="24"/>
          <w:szCs w:val="24"/>
          <w:highlight w:val="none"/>
          <w14:textFill>
            <w14:solidFill>
              <w14:schemeClr w14:val="tx1"/>
            </w14:solidFill>
          </w14:textFill>
        </w:rPr>
        <w:t>总则</w:t>
      </w:r>
      <w:bookmarkEnd w:id="347"/>
      <w:bookmarkEnd w:id="348"/>
    </w:p>
    <w:p w14:paraId="57517185">
      <w:pPr>
        <w:keepNext w:val="0"/>
        <w:keepLines w:val="0"/>
        <w:pageBreakBefore w:val="0"/>
        <w:shd w:val="clear"/>
        <w:kinsoku/>
        <w:wordWrap/>
        <w:overflowPunct/>
        <w:topLinePunct w:val="0"/>
        <w:bidi w:val="0"/>
        <w:adjustRightInd w:val="0"/>
        <w:snapToGrid w:val="0"/>
        <w:spacing w:line="360" w:lineRule="auto"/>
        <w:ind w:right="0" w:right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1.1、原则</w:t>
      </w:r>
    </w:p>
    <w:p w14:paraId="77A27ED7">
      <w:pPr>
        <w:keepNext w:val="0"/>
        <w:keepLines w:val="0"/>
        <w:pageBreakBefore w:val="0"/>
        <w:shd w:val="clear"/>
        <w:tabs>
          <w:tab w:val="left" w:pos="0"/>
        </w:tabs>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1.1.1、“公平、公正、择优、效益”为本次评审的基本原则，评标委员会按照这一原则的要求，公正、平等地对待各投标人。同时，在评审中恪守以下原则：</w:t>
      </w:r>
    </w:p>
    <w:p w14:paraId="28FD177C">
      <w:pPr>
        <w:keepNext w:val="0"/>
        <w:keepLines w:val="0"/>
        <w:pageBreakBefore w:val="0"/>
        <w:shd w:val="clear"/>
        <w:tabs>
          <w:tab w:val="left" w:pos="0"/>
        </w:tabs>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1.1.1.1、统一性原则：评标委员会将按照统一的原则和方法，用统一标准进行评审。</w:t>
      </w:r>
    </w:p>
    <w:p w14:paraId="3595BD13">
      <w:pPr>
        <w:keepNext w:val="0"/>
        <w:keepLines w:val="0"/>
        <w:pageBreakBefore w:val="0"/>
        <w:shd w:val="clear"/>
        <w:tabs>
          <w:tab w:val="left" w:pos="0"/>
        </w:tabs>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1.1.1.2、独立性原则:评审工作在评标委员会内部独立进行，不受外界任何因素的干扰和影响。评标委员会成员对其出具的意见承担个人责任。</w:t>
      </w:r>
      <w:r>
        <w:rPr>
          <w:rFonts w:hint="eastAsia" w:ascii="仿宋" w:hAnsi="仿宋" w:eastAsia="仿宋" w:cs="仿宋"/>
          <w:color w:val="000000" w:themeColor="text1"/>
          <w:kern w:val="0"/>
          <w:szCs w:val="21"/>
          <w:highlight w:val="none"/>
          <w14:textFill>
            <w14:solidFill>
              <w14:schemeClr w14:val="tx1"/>
            </w14:solidFill>
          </w14:textFill>
        </w:rPr>
        <w:t>投标人试图影响或干预评审的任何行为，将导致其丧失投标的资格，并承担相应的法律责任。</w:t>
      </w:r>
    </w:p>
    <w:p w14:paraId="2D6F8F24">
      <w:pPr>
        <w:keepNext w:val="0"/>
        <w:keepLines w:val="0"/>
        <w:pageBreakBefore w:val="0"/>
        <w:shd w:val="clear"/>
        <w:tabs>
          <w:tab w:val="left" w:pos="0"/>
        </w:tabs>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1.1.1.3、客观性原则：评标委员会将严格按照招标文件要求，对投标人的投标文件进行认真评审；评标委员会对投标文件的评审仅依据投标文件本身，而不依据招标文件以外的任何因素。</w:t>
      </w:r>
    </w:p>
    <w:p w14:paraId="76FCAAA0">
      <w:pPr>
        <w:keepNext w:val="0"/>
        <w:keepLines w:val="0"/>
        <w:pageBreakBefore w:val="0"/>
        <w:shd w:val="clear"/>
        <w:tabs>
          <w:tab w:val="left" w:pos="0"/>
        </w:tabs>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1.1.1.4、保密性原则：采购人、采购代理机构应当采取必要措施，保证评审在严格保密的情况下进行。除采购人代表、评审现场组织人员外，采购人的其他工作人员以及与评审工作无关的人员不得进入评审现场。有关人员对评审情况以及在评审过程中获悉的国家秘密、商业秘密负有保密责任。</w:t>
      </w:r>
    </w:p>
    <w:p w14:paraId="6C7B6138">
      <w:pPr>
        <w:keepNext w:val="0"/>
        <w:keepLines w:val="0"/>
        <w:pageBreakBefore w:val="0"/>
        <w:shd w:val="clear"/>
        <w:tabs>
          <w:tab w:val="left" w:pos="0"/>
        </w:tabs>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1.1.1.5、综合性原则:评标委员会将综合分析投标人的各项指标，而不以单项指标的优劣评定出中标</w:t>
      </w:r>
      <w:r>
        <w:rPr>
          <w:rFonts w:hint="eastAsia" w:ascii="仿宋" w:hAnsi="仿宋" w:eastAsia="仿宋" w:cs="仿宋"/>
          <w:color w:val="000000" w:themeColor="text1"/>
          <w:szCs w:val="21"/>
          <w:highlight w:val="none"/>
          <w:lang w:val="en-US" w:eastAsia="zh-CN"/>
          <w14:textFill>
            <w14:solidFill>
              <w14:schemeClr w14:val="tx1"/>
            </w14:solidFill>
          </w14:textFill>
        </w:rPr>
        <w:t>人</w:t>
      </w:r>
      <w:r>
        <w:rPr>
          <w:rFonts w:hint="eastAsia" w:ascii="仿宋" w:hAnsi="仿宋" w:eastAsia="仿宋" w:cs="仿宋"/>
          <w:color w:val="000000" w:themeColor="text1"/>
          <w:szCs w:val="21"/>
          <w:highlight w:val="none"/>
          <w14:textFill>
            <w14:solidFill>
              <w14:schemeClr w14:val="tx1"/>
            </w14:solidFill>
          </w14:textFill>
        </w:rPr>
        <w:t>。</w:t>
      </w:r>
    </w:p>
    <w:p w14:paraId="7FD9D34D">
      <w:pPr>
        <w:keepNext w:val="0"/>
        <w:keepLines w:val="0"/>
        <w:pageBreakBefore w:val="0"/>
        <w:shd w:val="clear"/>
        <w:tabs>
          <w:tab w:val="left" w:pos="0"/>
        </w:tabs>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1.1.2、评标委员会有权对整个投标和评审过程中出现的所有问题，根据《中华人民共和国政府采购法》《中华人民共和国政府采购法实施条例》（第658号）等相关规定进行处理。</w:t>
      </w:r>
    </w:p>
    <w:p w14:paraId="1EF60854">
      <w:pPr>
        <w:keepNext w:val="0"/>
        <w:keepLines w:val="0"/>
        <w:pageBreakBefore w:val="0"/>
        <w:shd w:val="clear"/>
        <w:kinsoku/>
        <w:wordWrap/>
        <w:overflowPunct/>
        <w:topLinePunct w:val="0"/>
        <w:bidi w:val="0"/>
        <w:adjustRightInd w:val="0"/>
        <w:snapToGrid w:val="0"/>
        <w:spacing w:line="360" w:lineRule="auto"/>
        <w:ind w:right="0" w:rightChars="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1.2、评标委员会职责</w:t>
      </w:r>
    </w:p>
    <w:p w14:paraId="03CC557A">
      <w:pPr>
        <w:keepNext w:val="0"/>
        <w:keepLines w:val="0"/>
        <w:pageBreakBefore w:val="0"/>
        <w:shd w:val="clear"/>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1.2.1、评标委员会独立履行下列职责：</w:t>
      </w:r>
    </w:p>
    <w:p w14:paraId="48744834">
      <w:pPr>
        <w:keepNext w:val="0"/>
        <w:keepLines w:val="0"/>
        <w:pageBreakBefore w:val="0"/>
        <w:shd w:val="clear"/>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1.2.1.1、审查、评价投标文件是否符合招标文件的商务、技术、服务等实质性要求；</w:t>
      </w:r>
    </w:p>
    <w:p w14:paraId="7A374DDF">
      <w:pPr>
        <w:keepNext w:val="0"/>
        <w:keepLines w:val="0"/>
        <w:pageBreakBefore w:val="0"/>
        <w:shd w:val="clear"/>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1.2.1.2、要求投标人对投标文件有关事项作出解释或者澄清；</w:t>
      </w:r>
    </w:p>
    <w:p w14:paraId="1AE10479">
      <w:pPr>
        <w:keepNext w:val="0"/>
        <w:keepLines w:val="0"/>
        <w:pageBreakBefore w:val="0"/>
        <w:shd w:val="clear"/>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1.2.1.3、对通过资格审查和符合性审查的投标人进行技术和商务评审；</w:t>
      </w:r>
    </w:p>
    <w:p w14:paraId="14D3E26D">
      <w:pPr>
        <w:keepNext w:val="0"/>
        <w:keepLines w:val="0"/>
        <w:pageBreakBefore w:val="0"/>
        <w:shd w:val="clear"/>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1.2.1.4、对投标文件进行比较和评价；</w:t>
      </w:r>
    </w:p>
    <w:p w14:paraId="1EDA8950">
      <w:pPr>
        <w:keepNext w:val="0"/>
        <w:keepLines w:val="0"/>
        <w:pageBreakBefore w:val="0"/>
        <w:shd w:val="clear"/>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1.2.1.5、推荐中标候选人名单；</w:t>
      </w:r>
    </w:p>
    <w:p w14:paraId="54705B75">
      <w:pPr>
        <w:keepNext w:val="0"/>
        <w:keepLines w:val="0"/>
        <w:pageBreakBefore w:val="0"/>
        <w:shd w:val="clear"/>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1.2.1.6、向采购人、采购代理机构或者有关部门报告非法干预评审工作的行为。</w:t>
      </w:r>
    </w:p>
    <w:p w14:paraId="007523AD">
      <w:pPr>
        <w:pStyle w:val="38"/>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1.2.2、采购代理机构负责组织评审工作并履行下列职责：</w:t>
      </w:r>
    </w:p>
    <w:p w14:paraId="4D1D028A">
      <w:pPr>
        <w:pStyle w:val="38"/>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1.2.2.1、核对评标委员会成员身份和采购人代表授权函；</w:t>
      </w:r>
    </w:p>
    <w:p w14:paraId="785C6C16">
      <w:pPr>
        <w:pStyle w:val="38"/>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1.2.2.2、宣布评审纪律；</w:t>
      </w:r>
    </w:p>
    <w:p w14:paraId="2DA8E55E">
      <w:pPr>
        <w:pStyle w:val="38"/>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1.2.2.3、公布响应投标人名单，告知评标委员会成员应当回避的情形；</w:t>
      </w:r>
    </w:p>
    <w:p w14:paraId="449BA421">
      <w:pPr>
        <w:pStyle w:val="38"/>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1.2.2.4、组织评标委员会成员推选</w:t>
      </w:r>
      <w:r>
        <w:rPr>
          <w:rFonts w:hint="eastAsia" w:ascii="仿宋" w:hAnsi="仿宋" w:eastAsia="仿宋" w:cs="仿宋"/>
          <w:color w:val="000000" w:themeColor="text1"/>
          <w:sz w:val="21"/>
          <w:szCs w:val="21"/>
          <w:highlight w:val="none"/>
          <w:lang w:val="en-US" w:eastAsia="zh-CN"/>
          <w14:textFill>
            <w14:solidFill>
              <w14:schemeClr w14:val="tx1"/>
            </w14:solidFill>
          </w14:textFill>
        </w:rPr>
        <w:t>评标委员会</w:t>
      </w:r>
      <w:r>
        <w:rPr>
          <w:rFonts w:hint="eastAsia" w:ascii="仿宋" w:hAnsi="仿宋" w:eastAsia="仿宋" w:cs="仿宋"/>
          <w:color w:val="000000" w:themeColor="text1"/>
          <w:sz w:val="21"/>
          <w:szCs w:val="21"/>
          <w:highlight w:val="none"/>
          <w14:textFill>
            <w14:solidFill>
              <w14:schemeClr w14:val="tx1"/>
            </w14:solidFill>
          </w14:textFill>
        </w:rPr>
        <w:t>组长，采购人代表不得担任组长；</w:t>
      </w:r>
    </w:p>
    <w:p w14:paraId="6FF8BFCE">
      <w:pPr>
        <w:pStyle w:val="38"/>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1.2.2.5、集中保管评标委员会成员及现场工作人员的通讯工具；</w:t>
      </w:r>
    </w:p>
    <w:p w14:paraId="2210A627">
      <w:pPr>
        <w:pStyle w:val="38"/>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1.2.2.6、根据评标委员会的要求介绍政府采购相关政策法规、招标文件；</w:t>
      </w:r>
    </w:p>
    <w:p w14:paraId="782DD4BC">
      <w:pPr>
        <w:pStyle w:val="38"/>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1.2.2.7、维护评审秩序，监督评标委员会依照招标文件规定的采购程序、评审方法和标准进行独立评审，对采购人代表、评标委员会成员的倾向性言论或违法违规行为及时制止和纠正；</w:t>
      </w:r>
    </w:p>
    <w:p w14:paraId="10607DA5">
      <w:pPr>
        <w:pStyle w:val="38"/>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1.2.2.8、核对评审结果，采购过程中提交投标文件或者经评审实质性响应投标文件要求的投标</w:t>
      </w:r>
      <w:r>
        <w:rPr>
          <w:rFonts w:hint="eastAsia" w:ascii="仿宋" w:hAnsi="仿宋" w:eastAsia="仿宋" w:cs="仿宋"/>
          <w:color w:val="000000" w:themeColor="text1"/>
          <w:sz w:val="21"/>
          <w:szCs w:val="21"/>
          <w:highlight w:val="none"/>
          <w:lang w:val="en-US" w:eastAsia="zh-CN"/>
          <w14:textFill>
            <w14:solidFill>
              <w14:schemeClr w14:val="tx1"/>
            </w14:solidFill>
          </w14:textFill>
        </w:rPr>
        <w:t>人</w:t>
      </w:r>
      <w:r>
        <w:rPr>
          <w:rFonts w:hint="eastAsia" w:ascii="仿宋" w:hAnsi="仿宋" w:eastAsia="仿宋" w:cs="仿宋"/>
          <w:color w:val="000000" w:themeColor="text1"/>
          <w:sz w:val="21"/>
          <w:szCs w:val="21"/>
          <w:highlight w:val="none"/>
          <w14:textFill>
            <w14:solidFill>
              <w14:schemeClr w14:val="tx1"/>
            </w14:solidFill>
          </w14:textFill>
        </w:rPr>
        <w:t>只有2家时，经采购人书面请示政府采购管理机构同意后，可以现场转变采购方式。否则，按废标处理，重新开展采购活动；采购过程中，提交投标文件或者经评审实质性响应投标文件要求的投标</w:t>
      </w:r>
      <w:r>
        <w:rPr>
          <w:rFonts w:hint="eastAsia" w:ascii="仿宋" w:hAnsi="仿宋" w:eastAsia="仿宋" w:cs="仿宋"/>
          <w:color w:val="000000" w:themeColor="text1"/>
          <w:sz w:val="21"/>
          <w:szCs w:val="21"/>
          <w:highlight w:val="none"/>
          <w:lang w:eastAsia="zh-CN"/>
          <w14:textFill>
            <w14:solidFill>
              <w14:schemeClr w14:val="tx1"/>
            </w14:solidFill>
          </w14:textFill>
        </w:rPr>
        <w:t>人</w:t>
      </w:r>
      <w:r>
        <w:rPr>
          <w:rFonts w:hint="eastAsia" w:ascii="仿宋" w:hAnsi="仿宋" w:eastAsia="仿宋" w:cs="仿宋"/>
          <w:color w:val="000000" w:themeColor="text1"/>
          <w:sz w:val="21"/>
          <w:szCs w:val="21"/>
          <w:highlight w:val="none"/>
          <w14:textFill>
            <w14:solidFill>
              <w14:schemeClr w14:val="tx1"/>
            </w14:solidFill>
          </w14:textFill>
        </w:rPr>
        <w:t>只有1家时，按废标处理，重新开展采购活动。采购人如需申请转为单一来源采购方式的，按单一来源采购程序进行。要求评标委员会复核或书面说明理由，评标委员会拒绝的，应予记录并向采购人本级财政部门报告；</w:t>
      </w:r>
    </w:p>
    <w:p w14:paraId="5012AB40">
      <w:pPr>
        <w:pStyle w:val="38"/>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1.2.2.9、处理与评审有关的其他事项。</w:t>
      </w:r>
    </w:p>
    <w:p w14:paraId="6F2D6B54">
      <w:pPr>
        <w:pStyle w:val="38"/>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1.2.3、采购人可以在评审前介绍项目背景和采购需求，介绍内容不得含有歧视性、倾向性意见，不得超出招标文件所述范围。介绍应当提交书面介绍材料，并随采购文件一并存档。</w:t>
      </w:r>
    </w:p>
    <w:p w14:paraId="11BC1B5A">
      <w:pPr>
        <w:keepNext w:val="0"/>
        <w:keepLines w:val="0"/>
        <w:pageBreakBefore w:val="0"/>
        <w:widowControl/>
        <w:shd w:val="clear"/>
        <w:kinsoku/>
        <w:wordWrap/>
        <w:overflowPunct/>
        <w:topLinePunct w:val="0"/>
        <w:autoSpaceDE w:val="0"/>
        <w:autoSpaceDN w:val="0"/>
        <w:bidi w:val="0"/>
        <w:adjustRightInd w:val="0"/>
        <w:snapToGrid w:val="0"/>
        <w:spacing w:line="360" w:lineRule="auto"/>
        <w:ind w:left="0" w:leftChars="0" w:right="0" w:rightChars="0" w:firstLine="420" w:firstLineChars="200"/>
        <w:textAlignment w:val="bottom"/>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1.2.4、评标委员会及其成员，在评审中不得有下列行为：</w:t>
      </w:r>
    </w:p>
    <w:p w14:paraId="375B9617">
      <w:pPr>
        <w:pStyle w:val="38"/>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1.2.4.1、确定参与评审至评审结束前私自接触投标人；</w:t>
      </w:r>
    </w:p>
    <w:p w14:paraId="338F3982">
      <w:pPr>
        <w:pStyle w:val="38"/>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1.2.4.2、接受投标人提出的与投标文件不一致的澄清或者说明，本章第2.2.1条规定的情形除外；</w:t>
      </w:r>
    </w:p>
    <w:p w14:paraId="4A69DD97">
      <w:pPr>
        <w:pStyle w:val="38"/>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1.2.4.3、违反评审纪律发表倾向性意见或者征询采购人的倾向性意见；</w:t>
      </w:r>
    </w:p>
    <w:p w14:paraId="4EF6E42F">
      <w:pPr>
        <w:pStyle w:val="38"/>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1.2.4.4、对需要专业判断的主观评审因素协商评分；</w:t>
      </w:r>
    </w:p>
    <w:p w14:paraId="0C9CA944">
      <w:pPr>
        <w:pStyle w:val="38"/>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1.2.4.5、在评审过程中擅离职守，影响评审程序正常进行的；</w:t>
      </w:r>
    </w:p>
    <w:p w14:paraId="5E23648A">
      <w:pPr>
        <w:pStyle w:val="38"/>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1.2.4.6、记录、复制或者带走任何评审资料；</w:t>
      </w:r>
    </w:p>
    <w:p w14:paraId="3FE8514B">
      <w:pPr>
        <w:pStyle w:val="38"/>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1.2.4.7、其他不遵守评审纪律的行为；</w:t>
      </w:r>
    </w:p>
    <w:p w14:paraId="3C1EA76D">
      <w:pPr>
        <w:pStyle w:val="38"/>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1.2.4.8、评标委员会成员有前款第一至五项行为之一的，其评审意见无效</w:t>
      </w:r>
      <w:r>
        <w:rPr>
          <w:rFonts w:hint="eastAsia" w:ascii="仿宋" w:hAnsi="仿宋" w:eastAsia="仿宋" w:cs="仿宋"/>
          <w:color w:val="000000" w:themeColor="text1"/>
          <w:sz w:val="21"/>
          <w:szCs w:val="21"/>
          <w:highlight w:val="none"/>
          <w:lang w:eastAsia="zh-CN"/>
          <w14:textFill>
            <w14:solidFill>
              <w14:schemeClr w14:val="tx1"/>
            </w14:solidFill>
          </w14:textFill>
        </w:rPr>
        <w:t>。</w:t>
      </w:r>
    </w:p>
    <w:p w14:paraId="6CD9B552">
      <w:pPr>
        <w:keepNext w:val="0"/>
        <w:keepLines w:val="0"/>
        <w:pageBreakBefore w:val="0"/>
        <w:shd w:val="clear"/>
        <w:kinsoku/>
        <w:wordWrap/>
        <w:overflowPunct/>
        <w:topLinePunct w:val="0"/>
        <w:bidi w:val="0"/>
        <w:adjustRightInd w:val="0"/>
        <w:snapToGrid w:val="0"/>
        <w:spacing w:line="360" w:lineRule="auto"/>
        <w:ind w:right="0" w:rightChars="0"/>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349" w:name="_Toc19187"/>
      <w:bookmarkStart w:id="350" w:name="_Toc19971"/>
      <w:r>
        <w:rPr>
          <w:rFonts w:hint="eastAsia" w:ascii="仿宋" w:hAnsi="仿宋" w:eastAsia="仿宋" w:cs="仿宋"/>
          <w:b/>
          <w:color w:val="000000" w:themeColor="text1"/>
          <w:sz w:val="24"/>
          <w:szCs w:val="24"/>
          <w:highlight w:val="none"/>
          <w14:textFill>
            <w14:solidFill>
              <w14:schemeClr w14:val="tx1"/>
            </w14:solidFill>
          </w14:textFill>
        </w:rPr>
        <w:t>二、评审步骤与评审方法</w:t>
      </w:r>
      <w:bookmarkEnd w:id="349"/>
      <w:bookmarkEnd w:id="350"/>
    </w:p>
    <w:p w14:paraId="3B1D9D86">
      <w:pPr>
        <w:keepNext w:val="0"/>
        <w:keepLines w:val="0"/>
        <w:pageBreakBefore w:val="0"/>
        <w:shd w:val="clear"/>
        <w:kinsoku/>
        <w:wordWrap/>
        <w:overflowPunct/>
        <w:topLinePunct w:val="0"/>
        <w:bidi w:val="0"/>
        <w:adjustRightInd w:val="0"/>
        <w:snapToGrid w:val="0"/>
        <w:spacing w:line="360" w:lineRule="auto"/>
        <w:ind w:right="0" w:rightChars="0"/>
        <w:outlineLvl w:val="1"/>
        <w:rPr>
          <w:rFonts w:hint="eastAsia" w:ascii="仿宋" w:hAnsi="仿宋" w:eastAsia="仿宋" w:cs="仿宋"/>
          <w:b/>
          <w:color w:val="000000" w:themeColor="text1"/>
          <w:szCs w:val="21"/>
          <w:highlight w:val="none"/>
          <w14:textFill>
            <w14:solidFill>
              <w14:schemeClr w14:val="tx1"/>
            </w14:solidFill>
          </w14:textFill>
        </w:rPr>
      </w:pPr>
      <w:bookmarkStart w:id="351" w:name="_Toc8827"/>
      <w:r>
        <w:rPr>
          <w:rFonts w:hint="eastAsia" w:ascii="仿宋" w:hAnsi="仿宋" w:eastAsia="仿宋" w:cs="仿宋"/>
          <w:b/>
          <w:color w:val="000000" w:themeColor="text1"/>
          <w:sz w:val="24"/>
          <w:szCs w:val="24"/>
          <w:highlight w:val="none"/>
          <w:lang w:val="en-US" w:eastAsia="zh-CN"/>
          <w14:textFill>
            <w14:solidFill>
              <w14:schemeClr w14:val="tx1"/>
            </w14:solidFill>
          </w14:textFill>
        </w:rPr>
        <w:t>2.1、</w:t>
      </w:r>
      <w:r>
        <w:rPr>
          <w:rFonts w:hint="eastAsia" w:ascii="仿宋" w:hAnsi="仿宋" w:eastAsia="仿宋" w:cs="仿宋"/>
          <w:b/>
          <w:color w:val="000000" w:themeColor="text1"/>
          <w:szCs w:val="21"/>
          <w:highlight w:val="none"/>
          <w14:textFill>
            <w14:solidFill>
              <w14:schemeClr w14:val="tx1"/>
            </w14:solidFill>
          </w14:textFill>
        </w:rPr>
        <w:t>投标文件</w:t>
      </w:r>
      <w:r>
        <w:rPr>
          <w:rFonts w:hint="eastAsia" w:ascii="仿宋" w:hAnsi="仿宋" w:eastAsia="仿宋" w:cs="仿宋"/>
          <w:b/>
          <w:color w:val="000000" w:themeColor="text1"/>
          <w:szCs w:val="21"/>
          <w:highlight w:val="none"/>
          <w:lang w:val="en-US" w:eastAsia="zh-CN"/>
          <w14:textFill>
            <w14:solidFill>
              <w14:schemeClr w14:val="tx1"/>
            </w14:solidFill>
          </w14:textFill>
        </w:rPr>
        <w:t>资格</w:t>
      </w:r>
      <w:r>
        <w:rPr>
          <w:rFonts w:hint="eastAsia" w:ascii="仿宋" w:hAnsi="仿宋" w:eastAsia="仿宋" w:cs="仿宋"/>
          <w:b/>
          <w:color w:val="000000" w:themeColor="text1"/>
          <w:szCs w:val="21"/>
          <w:highlight w:val="none"/>
          <w14:textFill>
            <w14:solidFill>
              <w14:schemeClr w14:val="tx1"/>
            </w14:solidFill>
          </w14:textFill>
        </w:rPr>
        <w:t>审查</w:t>
      </w:r>
      <w:bookmarkEnd w:id="351"/>
    </w:p>
    <w:p w14:paraId="57D4EB44">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审查标准如下：</w:t>
      </w:r>
    </w:p>
    <w:p w14:paraId="60E3A406">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资格审查小组将按下表所列举的审查标准对</w:t>
      </w:r>
      <w:r>
        <w:rPr>
          <w:rFonts w:hint="eastAsia" w:ascii="仿宋" w:hAnsi="仿宋" w:eastAsia="仿宋" w:cs="仿宋"/>
          <w:color w:val="000000" w:themeColor="text1"/>
          <w:kern w:val="0"/>
          <w:sz w:val="21"/>
          <w:szCs w:val="21"/>
          <w:lang w:val="en-US" w:eastAsia="zh-CN"/>
          <w14:textFill>
            <w14:solidFill>
              <w14:schemeClr w14:val="tx1"/>
            </w14:solidFill>
          </w14:textFill>
        </w:rPr>
        <w:t>投标人</w:t>
      </w:r>
      <w:r>
        <w:rPr>
          <w:rFonts w:hint="eastAsia" w:ascii="仿宋" w:hAnsi="仿宋" w:eastAsia="仿宋" w:cs="仿宋"/>
          <w:color w:val="000000" w:themeColor="text1"/>
          <w:kern w:val="0"/>
          <w:sz w:val="21"/>
          <w:szCs w:val="21"/>
          <w14:textFill>
            <w14:solidFill>
              <w14:schemeClr w14:val="tx1"/>
            </w14:solidFill>
          </w14:textFill>
        </w:rPr>
        <w:t>的基本资格条件进行</w:t>
      </w:r>
      <w:r>
        <w:rPr>
          <w:rFonts w:hint="eastAsia" w:ascii="仿宋" w:hAnsi="仿宋" w:eastAsia="仿宋" w:cs="仿宋"/>
          <w:bCs/>
          <w:color w:val="000000" w:themeColor="text1"/>
          <w:sz w:val="21"/>
          <w:szCs w:val="21"/>
          <w14:textFill>
            <w14:solidFill>
              <w14:schemeClr w14:val="tx1"/>
            </w14:solidFill>
          </w14:textFill>
        </w:rPr>
        <w:t>审查，</w:t>
      </w:r>
      <w:r>
        <w:rPr>
          <w:rFonts w:hint="eastAsia" w:ascii="仿宋" w:hAnsi="仿宋" w:eastAsia="仿宋" w:cs="仿宋"/>
          <w:bCs/>
          <w:color w:val="000000" w:themeColor="text1"/>
          <w:sz w:val="21"/>
          <w:szCs w:val="21"/>
          <w:lang w:val="en-US" w:eastAsia="zh-CN"/>
          <w14:textFill>
            <w14:solidFill>
              <w14:schemeClr w14:val="tx1"/>
            </w14:solidFill>
          </w14:textFill>
        </w:rPr>
        <w:t>投标人</w:t>
      </w:r>
      <w:r>
        <w:rPr>
          <w:rFonts w:hint="eastAsia" w:ascii="仿宋" w:hAnsi="仿宋" w:eastAsia="仿宋" w:cs="仿宋"/>
          <w:bCs/>
          <w:color w:val="000000" w:themeColor="text1"/>
          <w:sz w:val="21"/>
          <w:szCs w:val="21"/>
          <w14:textFill>
            <w14:solidFill>
              <w14:schemeClr w14:val="tx1"/>
            </w14:solidFill>
          </w14:textFill>
        </w:rPr>
        <w:t>若</w:t>
      </w:r>
      <w:r>
        <w:rPr>
          <w:rFonts w:hint="eastAsia" w:ascii="仿宋" w:hAnsi="仿宋" w:eastAsia="仿宋" w:cs="仿宋"/>
          <w:color w:val="000000" w:themeColor="text1"/>
          <w:kern w:val="0"/>
          <w:sz w:val="21"/>
          <w:szCs w:val="21"/>
          <w14:textFill>
            <w14:solidFill>
              <w14:schemeClr w14:val="tx1"/>
            </w14:solidFill>
          </w14:textFill>
        </w:rPr>
        <w:t>有一项不合格，即判定其基本资格条件审查结果为不合格，将不具备</w:t>
      </w:r>
      <w:r>
        <w:rPr>
          <w:rFonts w:hint="eastAsia" w:ascii="仿宋" w:hAnsi="仿宋" w:eastAsia="仿宋" w:cs="仿宋"/>
          <w:color w:val="000000" w:themeColor="text1"/>
          <w:kern w:val="0"/>
          <w:sz w:val="21"/>
          <w:szCs w:val="21"/>
          <w:lang w:val="en-US" w:eastAsia="zh-CN"/>
          <w14:textFill>
            <w14:solidFill>
              <w14:schemeClr w14:val="tx1"/>
            </w14:solidFill>
          </w14:textFill>
        </w:rPr>
        <w:t>投标</w:t>
      </w:r>
      <w:r>
        <w:rPr>
          <w:rFonts w:hint="eastAsia" w:ascii="仿宋" w:hAnsi="仿宋" w:eastAsia="仿宋" w:cs="仿宋"/>
          <w:color w:val="000000" w:themeColor="text1"/>
          <w:kern w:val="0"/>
          <w:sz w:val="21"/>
          <w:szCs w:val="21"/>
          <w14:textFill>
            <w14:solidFill>
              <w14:schemeClr w14:val="tx1"/>
            </w14:solidFill>
          </w14:textFill>
        </w:rPr>
        <w:t>资格，其</w:t>
      </w:r>
      <w:r>
        <w:rPr>
          <w:rFonts w:hint="eastAsia" w:ascii="仿宋" w:hAnsi="仿宋" w:eastAsia="仿宋" w:cs="仿宋"/>
          <w:color w:val="000000" w:themeColor="text1"/>
          <w:kern w:val="0"/>
          <w:sz w:val="21"/>
          <w:szCs w:val="21"/>
          <w:lang w:eastAsia="zh-CN"/>
          <w14:textFill>
            <w14:solidFill>
              <w14:schemeClr w14:val="tx1"/>
            </w14:solidFill>
          </w14:textFill>
        </w:rPr>
        <w:t>投标文件</w:t>
      </w:r>
      <w:r>
        <w:rPr>
          <w:rFonts w:hint="eastAsia" w:ascii="仿宋" w:hAnsi="仿宋" w:eastAsia="仿宋" w:cs="仿宋"/>
          <w:color w:val="000000" w:themeColor="text1"/>
          <w:kern w:val="0"/>
          <w:sz w:val="21"/>
          <w:szCs w:val="21"/>
          <w14:textFill>
            <w14:solidFill>
              <w14:schemeClr w14:val="tx1"/>
            </w14:solidFill>
          </w14:textFill>
        </w:rPr>
        <w:t>无效。</w:t>
      </w:r>
    </w:p>
    <w:p w14:paraId="53FEBCAF">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仿宋" w:hAnsi="仿宋" w:eastAsia="仿宋" w:cs="仿宋"/>
          <w:color w:val="000000" w:themeColor="text1"/>
          <w:kern w:val="0"/>
          <w:sz w:val="21"/>
          <w:szCs w:val="21"/>
          <w14:textFill>
            <w14:solidFill>
              <w14:schemeClr w14:val="tx1"/>
            </w14:solidFill>
          </w14:textFill>
        </w:rPr>
      </w:pPr>
    </w:p>
    <w:tbl>
      <w:tblPr>
        <w:tblStyle w:val="43"/>
        <w:tblW w:w="9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678"/>
        <w:gridCol w:w="6665"/>
      </w:tblGrid>
      <w:tr w14:paraId="37566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49" w:type="dxa"/>
            <w:vAlign w:val="center"/>
          </w:tcPr>
          <w:p w14:paraId="4494F3E4">
            <w:pPr>
              <w:shd w:val="clear"/>
              <w:tabs>
                <w:tab w:val="left" w:pos="0"/>
              </w:tabs>
              <w:adjustRightInd w:val="0"/>
              <w:snapToGrid w:val="0"/>
              <w:spacing w:line="240" w:lineRule="auto"/>
              <w:jc w:val="both"/>
              <w:outlineLvl w:val="9"/>
              <w:rPr>
                <w:rFonts w:hint="eastAsia" w:ascii="仿宋" w:hAnsi="仿宋" w:eastAsia="仿宋" w:cs="仿宋"/>
                <w:b/>
                <w:bCs/>
                <w:color w:val="000000" w:themeColor="text1"/>
                <w:sz w:val="21"/>
                <w:szCs w:val="21"/>
                <w:lang w:val="en-US" w:eastAsia="zh-CN"/>
                <w14:textFill>
                  <w14:solidFill>
                    <w14:schemeClr w14:val="tx1"/>
                  </w14:solidFill>
                </w14:textFill>
              </w:rPr>
            </w:pPr>
            <w:r>
              <w:rPr>
                <w:rFonts w:hint="eastAsia" w:ascii="仿宋" w:hAnsi="仿宋" w:eastAsia="仿宋" w:cs="仿宋"/>
                <w:b/>
                <w:bCs/>
                <w:color w:val="000000" w:themeColor="text1"/>
                <w:sz w:val="21"/>
                <w:szCs w:val="21"/>
                <w:lang w:val="en-US" w:eastAsia="zh-CN"/>
                <w14:textFill>
                  <w14:solidFill>
                    <w14:schemeClr w14:val="tx1"/>
                  </w14:solidFill>
                </w14:textFill>
              </w:rPr>
              <w:t>序号</w:t>
            </w:r>
          </w:p>
        </w:tc>
        <w:tc>
          <w:tcPr>
            <w:tcW w:w="1678" w:type="dxa"/>
            <w:vAlign w:val="center"/>
          </w:tcPr>
          <w:p w14:paraId="19C3A812">
            <w:pPr>
              <w:shd w:val="clear"/>
              <w:tabs>
                <w:tab w:val="left" w:pos="0"/>
              </w:tabs>
              <w:adjustRightInd w:val="0"/>
              <w:snapToGrid w:val="0"/>
              <w:spacing w:line="240" w:lineRule="auto"/>
              <w:ind w:firstLine="211" w:firstLineChars="100"/>
              <w:jc w:val="both"/>
              <w:outlineLvl w:val="9"/>
              <w:rPr>
                <w:rFonts w:hint="eastAsia" w:ascii="仿宋" w:hAnsi="仿宋" w:eastAsia="仿宋" w:cs="仿宋"/>
                <w:b/>
                <w:bCs/>
                <w:color w:val="000000" w:themeColor="text1"/>
                <w:sz w:val="21"/>
                <w:szCs w:val="21"/>
                <w:lang w:val="en-US" w:eastAsia="zh-CN"/>
                <w14:textFill>
                  <w14:solidFill>
                    <w14:schemeClr w14:val="tx1"/>
                  </w14:solidFill>
                </w14:textFill>
              </w:rPr>
            </w:pPr>
            <w:r>
              <w:rPr>
                <w:rFonts w:hint="eastAsia" w:ascii="仿宋" w:hAnsi="仿宋" w:eastAsia="仿宋" w:cs="仿宋"/>
                <w:b/>
                <w:bCs/>
                <w:color w:val="000000" w:themeColor="text1"/>
                <w:sz w:val="21"/>
                <w:szCs w:val="21"/>
                <w:lang w:val="en-US" w:eastAsia="zh-CN"/>
                <w14:textFill>
                  <w14:solidFill>
                    <w14:schemeClr w14:val="tx1"/>
                  </w14:solidFill>
                </w14:textFill>
              </w:rPr>
              <w:t>审查因素</w:t>
            </w:r>
          </w:p>
        </w:tc>
        <w:tc>
          <w:tcPr>
            <w:tcW w:w="6665" w:type="dxa"/>
            <w:vAlign w:val="center"/>
          </w:tcPr>
          <w:p w14:paraId="0EBDDC3C">
            <w:pPr>
              <w:shd w:val="clear"/>
              <w:tabs>
                <w:tab w:val="left" w:pos="0"/>
              </w:tabs>
              <w:adjustRightInd w:val="0"/>
              <w:snapToGrid w:val="0"/>
              <w:spacing w:line="240" w:lineRule="auto"/>
              <w:ind w:firstLine="422" w:firstLineChars="200"/>
              <w:jc w:val="center"/>
              <w:outlineLvl w:val="9"/>
              <w:rPr>
                <w:rFonts w:hint="eastAsia" w:ascii="仿宋" w:hAnsi="仿宋" w:eastAsia="仿宋" w:cs="仿宋"/>
                <w:b/>
                <w:bCs/>
                <w:color w:val="000000" w:themeColor="text1"/>
                <w:sz w:val="21"/>
                <w:szCs w:val="21"/>
                <w:lang w:val="en-US" w:eastAsia="zh-CN"/>
                <w14:textFill>
                  <w14:solidFill>
                    <w14:schemeClr w14:val="tx1"/>
                  </w14:solidFill>
                </w14:textFill>
              </w:rPr>
            </w:pPr>
            <w:r>
              <w:rPr>
                <w:rFonts w:hint="eastAsia" w:ascii="仿宋" w:hAnsi="仿宋" w:eastAsia="仿宋" w:cs="仿宋"/>
                <w:b/>
                <w:bCs/>
                <w:color w:val="000000" w:themeColor="text1"/>
                <w:sz w:val="21"/>
                <w:szCs w:val="21"/>
                <w:lang w:val="en-US" w:eastAsia="zh-CN"/>
                <w14:textFill>
                  <w14:solidFill>
                    <w14:schemeClr w14:val="tx1"/>
                  </w14:solidFill>
                </w14:textFill>
              </w:rPr>
              <w:t>审查标准</w:t>
            </w:r>
          </w:p>
        </w:tc>
      </w:tr>
      <w:tr w14:paraId="04B10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9" w:type="dxa"/>
            <w:vAlign w:val="center"/>
          </w:tcPr>
          <w:p w14:paraId="2E83BE90">
            <w:pPr>
              <w:shd w:val="clear"/>
              <w:tabs>
                <w:tab w:val="left" w:pos="0"/>
              </w:tabs>
              <w:adjustRightInd w:val="0"/>
              <w:snapToGrid w:val="0"/>
              <w:spacing w:line="240" w:lineRule="auto"/>
              <w:ind w:firstLine="210" w:firstLineChars="100"/>
              <w:jc w:val="both"/>
              <w:outlineLvl w:val="9"/>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w:t>
            </w:r>
          </w:p>
        </w:tc>
        <w:tc>
          <w:tcPr>
            <w:tcW w:w="1678" w:type="dxa"/>
            <w:vMerge w:val="restart"/>
            <w:vAlign w:val="center"/>
          </w:tcPr>
          <w:p w14:paraId="0EF85F17">
            <w:pPr>
              <w:shd w:val="clear"/>
              <w:tabs>
                <w:tab w:val="left" w:pos="0"/>
              </w:tabs>
              <w:adjustRightInd w:val="0"/>
              <w:snapToGrid w:val="0"/>
              <w:spacing w:line="240" w:lineRule="auto"/>
              <w:jc w:val="center"/>
              <w:outlineLvl w:val="9"/>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满足《中华人民共和国政府采购法》第二十二条规定</w:t>
            </w:r>
          </w:p>
        </w:tc>
        <w:tc>
          <w:tcPr>
            <w:tcW w:w="6665" w:type="dxa"/>
            <w:vAlign w:val="center"/>
          </w:tcPr>
          <w:p w14:paraId="2136D45E">
            <w:pPr>
              <w:shd w:val="clear"/>
              <w:tabs>
                <w:tab w:val="left" w:pos="0"/>
              </w:tabs>
              <w:adjustRightInd w:val="0"/>
              <w:snapToGrid w:val="0"/>
              <w:spacing w:line="240" w:lineRule="auto"/>
              <w:outlineLvl w:val="9"/>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投标人须为具有独立承担民事责任能力的法人、其他组织或自然人;出具合法有效的营业执照或事业单位法人证书等国家规定的相关证明，自然人参与的提供其身份证明；</w:t>
            </w:r>
            <w:r>
              <w:rPr>
                <w:rFonts w:hint="eastAsia" w:ascii="仿宋" w:hAnsi="仿宋" w:eastAsia="仿宋" w:cs="仿宋"/>
                <w:b/>
                <w:color w:val="000000" w:themeColor="text1"/>
                <w:sz w:val="21"/>
                <w:szCs w:val="21"/>
                <w:u w:val="none"/>
                <w14:textFill>
                  <w14:solidFill>
                    <w14:schemeClr w14:val="tx1"/>
                  </w14:solidFill>
                </w14:textFill>
              </w:rPr>
              <w:t>（材料应清晰可辨，加盖公章）</w:t>
            </w:r>
          </w:p>
        </w:tc>
      </w:tr>
      <w:tr w14:paraId="09301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9" w:type="dxa"/>
            <w:vAlign w:val="center"/>
          </w:tcPr>
          <w:p w14:paraId="77D2F3AF">
            <w:pPr>
              <w:shd w:val="clear"/>
              <w:tabs>
                <w:tab w:val="left" w:pos="0"/>
              </w:tabs>
              <w:adjustRightInd w:val="0"/>
              <w:snapToGrid w:val="0"/>
              <w:spacing w:line="240" w:lineRule="auto"/>
              <w:ind w:firstLine="210" w:firstLineChars="100"/>
              <w:jc w:val="both"/>
              <w:outlineLvl w:val="9"/>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2</w:t>
            </w:r>
          </w:p>
        </w:tc>
        <w:tc>
          <w:tcPr>
            <w:tcW w:w="1678" w:type="dxa"/>
            <w:vMerge w:val="continue"/>
            <w:vAlign w:val="center"/>
          </w:tcPr>
          <w:p w14:paraId="7456F8F2">
            <w:pPr>
              <w:shd w:val="clear"/>
              <w:tabs>
                <w:tab w:val="left" w:pos="0"/>
              </w:tabs>
              <w:adjustRightInd w:val="0"/>
              <w:snapToGrid w:val="0"/>
              <w:spacing w:line="240" w:lineRule="auto"/>
              <w:jc w:val="center"/>
              <w:outlineLvl w:val="9"/>
              <w:rPr>
                <w:rFonts w:hint="eastAsia" w:ascii="仿宋" w:hAnsi="仿宋" w:eastAsia="仿宋" w:cs="仿宋"/>
                <w:color w:val="000000" w:themeColor="text1"/>
                <w:sz w:val="21"/>
                <w:szCs w:val="21"/>
                <w14:textFill>
                  <w14:solidFill>
                    <w14:schemeClr w14:val="tx1"/>
                  </w14:solidFill>
                </w14:textFill>
              </w:rPr>
            </w:pPr>
          </w:p>
        </w:tc>
        <w:tc>
          <w:tcPr>
            <w:tcW w:w="6665" w:type="dxa"/>
            <w:vAlign w:val="center"/>
          </w:tcPr>
          <w:p w14:paraId="74486F7E">
            <w:pPr>
              <w:shd w:val="clear"/>
              <w:tabs>
                <w:tab w:val="left" w:pos="0"/>
              </w:tabs>
              <w:adjustRightInd w:val="0"/>
              <w:snapToGrid w:val="0"/>
              <w:spacing w:line="240" w:lineRule="auto"/>
              <w:outlineLvl w:val="9"/>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highlight w:val="none"/>
                <w:shd w:val="clear" w:color="auto" w:fill="FFFFFF"/>
                <w:lang w:eastAsia="zh-CN"/>
                <w14:textFill>
                  <w14:solidFill>
                    <w14:schemeClr w14:val="tx1"/>
                  </w14:solidFill>
                </w14:textFill>
              </w:rPr>
              <w:t>投标人须提供</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《汉中市政府采购供应商资格承诺函》</w:t>
            </w:r>
            <w:r>
              <w:rPr>
                <w:rFonts w:hint="eastAsia" w:ascii="仿宋" w:hAnsi="仿宋" w:eastAsia="仿宋" w:cs="仿宋"/>
                <w:color w:val="000000" w:themeColor="text1"/>
                <w:sz w:val="21"/>
                <w:szCs w:val="21"/>
                <w:highlight w:val="none"/>
                <w:shd w:val="clear" w:color="auto" w:fill="FFFFFF"/>
                <w:lang w:eastAsia="zh-CN"/>
                <w14:textFill>
                  <w14:solidFill>
                    <w14:schemeClr w14:val="tx1"/>
                  </w14:solidFill>
                </w14:textFill>
              </w:rPr>
              <w:t>。</w:t>
            </w:r>
            <w:r>
              <w:rPr>
                <w:rFonts w:hint="eastAsia" w:ascii="仿宋" w:hAnsi="仿宋" w:eastAsia="仿宋" w:cs="仿宋"/>
                <w:b/>
                <w:color w:val="000000" w:themeColor="text1"/>
                <w:sz w:val="21"/>
                <w:szCs w:val="21"/>
                <w:u w:val="none"/>
                <w:lang w:val="en-US" w:eastAsia="zh-CN"/>
                <w14:textFill>
                  <w14:solidFill>
                    <w14:schemeClr w14:val="tx1"/>
                  </w14:solidFill>
                </w14:textFill>
              </w:rPr>
              <w:t>（原件）</w:t>
            </w:r>
          </w:p>
        </w:tc>
      </w:tr>
      <w:tr w14:paraId="1CA87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49" w:type="dxa"/>
            <w:vAlign w:val="center"/>
          </w:tcPr>
          <w:p w14:paraId="57BCFD51">
            <w:pPr>
              <w:shd w:val="clear"/>
              <w:tabs>
                <w:tab w:val="left" w:pos="0"/>
              </w:tabs>
              <w:adjustRightInd w:val="0"/>
              <w:snapToGrid w:val="0"/>
              <w:spacing w:line="240" w:lineRule="auto"/>
              <w:ind w:firstLine="210" w:firstLineChars="100"/>
              <w:jc w:val="both"/>
              <w:outlineLvl w:val="9"/>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3</w:t>
            </w:r>
          </w:p>
        </w:tc>
        <w:tc>
          <w:tcPr>
            <w:tcW w:w="1678" w:type="dxa"/>
            <w:vMerge w:val="restart"/>
            <w:vAlign w:val="center"/>
          </w:tcPr>
          <w:p w14:paraId="17C87138">
            <w:pPr>
              <w:shd w:val="clear"/>
              <w:tabs>
                <w:tab w:val="left" w:pos="0"/>
              </w:tabs>
              <w:adjustRightInd w:val="0"/>
              <w:snapToGrid w:val="0"/>
              <w:spacing w:line="240" w:lineRule="auto"/>
              <w:jc w:val="center"/>
              <w:outlineLvl w:val="9"/>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本项目特定资格要求</w:t>
            </w:r>
          </w:p>
        </w:tc>
        <w:tc>
          <w:tcPr>
            <w:tcW w:w="6665" w:type="dxa"/>
            <w:vAlign w:val="center"/>
          </w:tcPr>
          <w:p w14:paraId="7E031CC0">
            <w:pPr>
              <w:shd w:val="clear"/>
              <w:tabs>
                <w:tab w:val="left" w:pos="0"/>
              </w:tabs>
              <w:adjustRightInd w:val="0"/>
              <w:snapToGrid w:val="0"/>
              <w:spacing w:line="240" w:lineRule="auto"/>
              <w:outlineLvl w:val="9"/>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法定代表人直接参加投标的，须出具法人身份证；法定代表人授权代表参加投标的，须出具法定代表人授权书及授权代表身份证；</w:t>
            </w:r>
            <w:r>
              <w:rPr>
                <w:rFonts w:hint="eastAsia" w:ascii="仿宋" w:hAnsi="仿宋" w:eastAsia="仿宋" w:cs="仿宋"/>
                <w:b/>
                <w:color w:val="000000" w:themeColor="text1"/>
                <w:sz w:val="21"/>
                <w:szCs w:val="21"/>
                <w:u w:val="none"/>
                <w:lang w:val="en-US" w:eastAsia="zh-CN"/>
                <w14:textFill>
                  <w14:solidFill>
                    <w14:schemeClr w14:val="tx1"/>
                  </w14:solidFill>
                </w14:textFill>
              </w:rPr>
              <w:t>（原件）</w:t>
            </w:r>
          </w:p>
        </w:tc>
      </w:tr>
      <w:tr w14:paraId="07B36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49" w:type="dxa"/>
            <w:vAlign w:val="center"/>
          </w:tcPr>
          <w:p w14:paraId="48FF8659">
            <w:pPr>
              <w:shd w:val="clear"/>
              <w:tabs>
                <w:tab w:val="left" w:pos="0"/>
              </w:tabs>
              <w:adjustRightInd w:val="0"/>
              <w:snapToGrid w:val="0"/>
              <w:spacing w:line="240" w:lineRule="auto"/>
              <w:ind w:firstLine="210" w:firstLineChars="100"/>
              <w:jc w:val="both"/>
              <w:outlineLvl w:val="9"/>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w:t>
            </w:r>
          </w:p>
        </w:tc>
        <w:tc>
          <w:tcPr>
            <w:tcW w:w="1678" w:type="dxa"/>
            <w:vMerge w:val="continue"/>
            <w:vAlign w:val="center"/>
          </w:tcPr>
          <w:p w14:paraId="38249F1A">
            <w:pPr>
              <w:shd w:val="clear"/>
              <w:tabs>
                <w:tab w:val="left" w:pos="0"/>
              </w:tabs>
              <w:adjustRightInd w:val="0"/>
              <w:snapToGrid w:val="0"/>
              <w:spacing w:line="240" w:lineRule="auto"/>
              <w:jc w:val="center"/>
              <w:outlineLvl w:val="9"/>
              <w:rPr>
                <w:rFonts w:hint="eastAsia" w:ascii="仿宋" w:hAnsi="仿宋" w:eastAsia="仿宋" w:cs="仿宋"/>
                <w:color w:val="000000" w:themeColor="text1"/>
                <w:sz w:val="21"/>
                <w:szCs w:val="21"/>
                <w:lang w:val="en-US" w:eastAsia="zh-CN"/>
                <w14:textFill>
                  <w14:solidFill>
                    <w14:schemeClr w14:val="tx1"/>
                  </w14:solidFill>
                </w14:textFill>
              </w:rPr>
            </w:pPr>
          </w:p>
        </w:tc>
        <w:tc>
          <w:tcPr>
            <w:tcW w:w="6665" w:type="dxa"/>
            <w:vAlign w:val="center"/>
          </w:tcPr>
          <w:p w14:paraId="2987B44C">
            <w:pPr>
              <w:shd w:val="clear"/>
              <w:tabs>
                <w:tab w:val="left" w:pos="0"/>
              </w:tabs>
              <w:adjustRightInd w:val="0"/>
              <w:snapToGrid w:val="0"/>
              <w:spacing w:line="240" w:lineRule="auto"/>
              <w:outlineLvl w:val="9"/>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投标人为经销商的应提供《医疗器械经营许可证》和《医疗器械经营备案凭证》（投标产品须在其经营范围内）和生产厂家的《医疗器械生产许可证》或《医疗器械生产备案凭证》（投标产品须在其生产范围内）；投标人为生产厂家的应提供《医疗器械经营许可证》或《医疗器械经营备案凭证》（投标产品须在其经营范围内）和《医疗器械生产许可证》（投标产品须在其生产范围内），投标产品属于医疗器械管理的提供《医疗器械注册证》。</w:t>
            </w:r>
            <w:r>
              <w:rPr>
                <w:rFonts w:hint="eastAsia" w:ascii="仿宋" w:hAnsi="仿宋" w:eastAsia="仿宋" w:cs="仿宋"/>
                <w:b/>
                <w:color w:val="000000" w:themeColor="text1"/>
                <w:sz w:val="21"/>
                <w:szCs w:val="21"/>
                <w:u w:val="none"/>
                <w14:textFill>
                  <w14:solidFill>
                    <w14:schemeClr w14:val="tx1"/>
                  </w14:solidFill>
                </w14:textFill>
              </w:rPr>
              <w:t>（材料应清晰可辨，加盖公章）</w:t>
            </w:r>
          </w:p>
        </w:tc>
      </w:tr>
      <w:tr w14:paraId="68FA0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2" w:type="dxa"/>
            <w:gridSpan w:val="3"/>
            <w:vAlign w:val="center"/>
          </w:tcPr>
          <w:p w14:paraId="666D50DC">
            <w:pPr>
              <w:shd w:val="clear"/>
              <w:tabs>
                <w:tab w:val="left" w:pos="0"/>
              </w:tabs>
              <w:adjustRightInd w:val="0"/>
              <w:snapToGrid w:val="0"/>
              <w:spacing w:line="240" w:lineRule="auto"/>
              <w:ind w:firstLine="422" w:firstLineChars="200"/>
              <w:outlineLvl w:val="9"/>
              <w:rPr>
                <w:rFonts w:hint="eastAsia" w:ascii="仿宋" w:hAnsi="仿宋" w:eastAsia="仿宋" w:cs="仿宋"/>
                <w:b/>
                <w:bCs/>
                <w:color w:val="000000" w:themeColor="text1"/>
                <w:sz w:val="21"/>
                <w:szCs w:val="21"/>
                <w:lang w:val="en-US" w:eastAsia="zh-CN"/>
                <w14:textFill>
                  <w14:solidFill>
                    <w14:schemeClr w14:val="tx1"/>
                  </w14:solidFill>
                </w14:textFill>
              </w:rPr>
            </w:pPr>
            <w:r>
              <w:rPr>
                <w:rFonts w:hint="eastAsia" w:ascii="仿宋" w:hAnsi="仿宋" w:eastAsia="仿宋" w:cs="仿宋"/>
                <w:b/>
                <w:bCs/>
                <w:color w:val="000000" w:themeColor="text1"/>
                <w:sz w:val="21"/>
                <w:szCs w:val="21"/>
                <w:lang w:val="en-US" w:eastAsia="zh-CN"/>
                <w14:textFill>
                  <w14:solidFill>
                    <w14:schemeClr w14:val="tx1"/>
                  </w14:solidFill>
                </w14:textFill>
              </w:rPr>
              <w:t>注：投标人未提供资格信用承诺函的，应当按照《中华人民共和国政府采购法》及其实施条例等相关法律法规规定提供相应的证明材料。相应证明材料如下：</w:t>
            </w:r>
          </w:p>
          <w:p w14:paraId="26EE32B8">
            <w:pPr>
              <w:bidi w:val="0"/>
              <w:spacing w:line="240" w:lineRule="auto"/>
              <w:ind w:firstLine="420" w:firstLineChars="200"/>
              <w:outlineLvl w:val="9"/>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财务状况报告: 提供 2022年度或2023 年度经审计的完整有效财务报告，或其响应文件递交截止时间前三个月内基本开户银行出具的资信证明，或财政部门认可的政府采购专业担保机构出具的担保函 ( 以上三种任意一项即可 )。</w:t>
            </w:r>
            <w:r>
              <w:rPr>
                <w:rFonts w:hint="eastAsia" w:ascii="仿宋" w:hAnsi="仿宋" w:eastAsia="仿宋" w:cs="仿宋"/>
                <w:b/>
                <w:bCs/>
                <w:color w:val="000000" w:themeColor="text1"/>
                <w:sz w:val="21"/>
                <w:szCs w:val="21"/>
                <w14:textFill>
                  <w14:solidFill>
                    <w14:schemeClr w14:val="tx1"/>
                  </w14:solidFill>
                </w14:textFill>
              </w:rPr>
              <w:t>（材料应清晰可辨，加盖公章）</w:t>
            </w:r>
          </w:p>
          <w:p w14:paraId="4A74161A">
            <w:pPr>
              <w:bidi w:val="0"/>
              <w:spacing w:line="240" w:lineRule="auto"/>
              <w:ind w:firstLine="420" w:firstLineChars="200"/>
              <w:outlineLvl w:val="9"/>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eastAsia="zh-CN"/>
                <w14:textFill>
                  <w14:solidFill>
                    <w14:schemeClr w14:val="tx1"/>
                  </w14:solidFill>
                </w14:textFill>
              </w:rPr>
              <w:t>税收缴纳证明:提供自202</w:t>
            </w:r>
            <w:r>
              <w:rPr>
                <w:rFonts w:hint="eastAsia" w:ascii="仿宋" w:hAnsi="仿宋" w:eastAsia="仿宋" w:cs="仿宋"/>
                <w:color w:val="000000" w:themeColor="text1"/>
                <w:sz w:val="21"/>
                <w:szCs w:val="21"/>
                <w:lang w:val="en-US" w:eastAsia="zh-CN"/>
                <w14:textFill>
                  <w14:solidFill>
                    <w14:schemeClr w14:val="tx1"/>
                  </w14:solidFill>
                </w14:textFill>
              </w:rPr>
              <w:t>3</w:t>
            </w:r>
            <w:r>
              <w:rPr>
                <w:rFonts w:hint="eastAsia" w:ascii="仿宋" w:hAnsi="仿宋" w:eastAsia="仿宋" w:cs="仿宋"/>
                <w:color w:val="000000" w:themeColor="text1"/>
                <w:sz w:val="21"/>
                <w:szCs w:val="21"/>
                <w:lang w:eastAsia="zh-CN"/>
                <w14:textFill>
                  <w14:solidFill>
                    <w14:schemeClr w14:val="tx1"/>
                  </w14:solidFill>
                </w14:textFill>
              </w:rPr>
              <w:t>年</w:t>
            </w:r>
            <w:r>
              <w:rPr>
                <w:rFonts w:hint="eastAsia" w:ascii="仿宋" w:hAnsi="仿宋" w:eastAsia="仿宋" w:cs="仿宋"/>
                <w:color w:val="000000" w:themeColor="text1"/>
                <w:sz w:val="21"/>
                <w:szCs w:val="21"/>
                <w:lang w:val="en-US" w:eastAsia="zh-CN"/>
                <w14:textFill>
                  <w14:solidFill>
                    <w14:schemeClr w14:val="tx1"/>
                  </w14:solidFill>
                </w14:textFill>
              </w:rPr>
              <w:t>4</w:t>
            </w:r>
            <w:r>
              <w:rPr>
                <w:rFonts w:hint="eastAsia" w:ascii="仿宋" w:hAnsi="仿宋" w:eastAsia="仿宋" w:cs="仿宋"/>
                <w:color w:val="000000" w:themeColor="text1"/>
                <w:sz w:val="21"/>
                <w:szCs w:val="21"/>
                <w:lang w:eastAsia="zh-CN"/>
                <w14:textFill>
                  <w14:solidFill>
                    <w14:schemeClr w14:val="tx1"/>
                  </w14:solidFill>
                </w14:textFill>
              </w:rPr>
              <w:t>月1日以来已缴纳的任意1个月的依法缴纳税收的相关凭据(时间以税款所属日期为准)，凭据应有税务机关或代收机关的公章或业务专用章; 依法免税或无须缴纳税收的投标人，应提供相应证明文件。</w:t>
            </w:r>
            <w:r>
              <w:rPr>
                <w:rFonts w:hint="eastAsia" w:ascii="仿宋" w:hAnsi="仿宋" w:eastAsia="仿宋" w:cs="仿宋"/>
                <w:b/>
                <w:bCs/>
                <w:color w:val="000000" w:themeColor="text1"/>
                <w:sz w:val="21"/>
                <w:szCs w:val="21"/>
                <w14:textFill>
                  <w14:solidFill>
                    <w14:schemeClr w14:val="tx1"/>
                  </w14:solidFill>
                </w14:textFill>
              </w:rPr>
              <w:t>（材料应清晰可辨，加盖公章）</w:t>
            </w:r>
          </w:p>
          <w:p w14:paraId="38054691">
            <w:pPr>
              <w:bidi w:val="0"/>
              <w:spacing w:line="240" w:lineRule="auto"/>
              <w:ind w:firstLine="420" w:firstLineChars="200"/>
              <w:outlineLvl w:val="9"/>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3</w:t>
            </w:r>
            <w:r>
              <w:rPr>
                <w:rFonts w:hint="eastAsia" w:ascii="仿宋" w:hAnsi="仿宋" w:eastAsia="仿宋" w:cs="仿宋"/>
                <w:color w:val="000000" w:themeColor="text1"/>
                <w:sz w:val="21"/>
                <w:szCs w:val="21"/>
                <w14:textFill>
                  <w14:solidFill>
                    <w14:schemeClr w14:val="tx1"/>
                  </w14:solidFill>
                </w14:textFill>
              </w:rPr>
              <w:t xml:space="preserve">.社保缴纳证明: 提供自 </w:t>
            </w:r>
            <w:r>
              <w:rPr>
                <w:rFonts w:hint="eastAsia" w:ascii="仿宋" w:hAnsi="仿宋" w:eastAsia="仿宋" w:cs="仿宋"/>
                <w:color w:val="000000" w:themeColor="text1"/>
                <w:sz w:val="21"/>
                <w:szCs w:val="21"/>
                <w:lang w:eastAsia="zh-CN"/>
                <w14:textFill>
                  <w14:solidFill>
                    <w14:schemeClr w14:val="tx1"/>
                  </w14:solidFill>
                </w14:textFill>
              </w:rPr>
              <w:t>2023年</w:t>
            </w:r>
            <w:r>
              <w:rPr>
                <w:rFonts w:hint="eastAsia" w:ascii="仿宋" w:hAnsi="仿宋" w:eastAsia="仿宋" w:cs="仿宋"/>
                <w:color w:val="000000" w:themeColor="text1"/>
                <w:sz w:val="21"/>
                <w:szCs w:val="21"/>
                <w:lang w:val="en-US" w:eastAsia="zh-CN"/>
                <w14:textFill>
                  <w14:solidFill>
                    <w14:schemeClr w14:val="tx1"/>
                  </w14:solidFill>
                </w14:textFill>
              </w:rPr>
              <w:t>4</w:t>
            </w:r>
            <w:r>
              <w:rPr>
                <w:rFonts w:hint="eastAsia" w:ascii="仿宋" w:hAnsi="仿宋" w:eastAsia="仿宋" w:cs="仿宋"/>
                <w:color w:val="000000" w:themeColor="text1"/>
                <w:sz w:val="21"/>
                <w:szCs w:val="21"/>
                <w:lang w:eastAsia="zh-CN"/>
                <w14:textFill>
                  <w14:solidFill>
                    <w14:schemeClr w14:val="tx1"/>
                  </w14:solidFill>
                </w14:textFill>
              </w:rPr>
              <w:t>月1日</w:t>
            </w:r>
            <w:r>
              <w:rPr>
                <w:rFonts w:hint="eastAsia" w:ascii="仿宋" w:hAnsi="仿宋" w:eastAsia="仿宋" w:cs="仿宋"/>
                <w:color w:val="000000" w:themeColor="text1"/>
                <w:sz w:val="21"/>
                <w:szCs w:val="21"/>
                <w14:textFill>
                  <w14:solidFill>
                    <w14:schemeClr w14:val="tx1"/>
                  </w14:solidFill>
                </w14:textFill>
              </w:rPr>
              <w:t>以来已缴存的任意 1 个月的社会保障资金缴存单据或社保机构开具的社会保险参保缴费情况证明; 依法不需要缴纳社会保障资金的</w:t>
            </w:r>
            <w:r>
              <w:rPr>
                <w:rFonts w:hint="eastAsia" w:ascii="仿宋" w:hAnsi="仿宋" w:eastAsia="仿宋" w:cs="仿宋"/>
                <w:color w:val="000000" w:themeColor="text1"/>
                <w:sz w:val="21"/>
                <w:szCs w:val="21"/>
                <w:lang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应提供相关证明文件。</w:t>
            </w:r>
            <w:r>
              <w:rPr>
                <w:rFonts w:hint="eastAsia" w:ascii="仿宋" w:hAnsi="仿宋" w:eastAsia="仿宋" w:cs="仿宋"/>
                <w:b/>
                <w:bCs/>
                <w:color w:val="000000" w:themeColor="text1"/>
                <w:sz w:val="21"/>
                <w:szCs w:val="21"/>
                <w14:textFill>
                  <w14:solidFill>
                    <w14:schemeClr w14:val="tx1"/>
                  </w14:solidFill>
                </w14:textFill>
              </w:rPr>
              <w:t>（材料应清晰可辨，加盖公章）</w:t>
            </w:r>
          </w:p>
          <w:p w14:paraId="45CC7D83">
            <w:pPr>
              <w:bidi w:val="0"/>
              <w:spacing w:line="240" w:lineRule="auto"/>
              <w:ind w:firstLine="420" w:firstLineChars="200"/>
              <w:outlineLvl w:val="9"/>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具有履行合同所必需的设备和专业技术能力的书面承诺。</w:t>
            </w:r>
            <w:r>
              <w:rPr>
                <w:rFonts w:hint="eastAsia" w:ascii="仿宋" w:hAnsi="仿宋" w:eastAsia="仿宋" w:cs="仿宋"/>
                <w:b/>
                <w:bCs/>
                <w:color w:val="000000" w:themeColor="text1"/>
                <w:sz w:val="21"/>
                <w:szCs w:val="21"/>
                <w14:textFill>
                  <w14:solidFill>
                    <w14:schemeClr w14:val="tx1"/>
                  </w14:solidFill>
                </w14:textFill>
              </w:rPr>
              <w:t>（</w:t>
            </w:r>
            <w:r>
              <w:rPr>
                <w:rFonts w:hint="eastAsia" w:ascii="仿宋" w:hAnsi="仿宋" w:eastAsia="仿宋" w:cs="仿宋"/>
                <w:b/>
                <w:bCs/>
                <w:color w:val="000000" w:themeColor="text1"/>
                <w:sz w:val="21"/>
                <w:szCs w:val="21"/>
                <w:lang w:eastAsia="zh-CN"/>
                <w14:textFill>
                  <w14:solidFill>
                    <w14:schemeClr w14:val="tx1"/>
                  </w14:solidFill>
                </w14:textFill>
              </w:rPr>
              <w:t>响应文件</w:t>
            </w:r>
            <w:r>
              <w:rPr>
                <w:rFonts w:hint="eastAsia" w:ascii="仿宋" w:hAnsi="仿宋" w:eastAsia="仿宋" w:cs="仿宋"/>
                <w:b/>
                <w:bCs/>
                <w:color w:val="000000" w:themeColor="text1"/>
                <w:sz w:val="21"/>
                <w:szCs w:val="21"/>
                <w14:textFill>
                  <w14:solidFill>
                    <w14:schemeClr w14:val="tx1"/>
                  </w14:solidFill>
                </w14:textFill>
              </w:rPr>
              <w:t>内附原件，格式内容自拟，加盖公章）</w:t>
            </w:r>
          </w:p>
          <w:p w14:paraId="03FA9AE4">
            <w:pPr>
              <w:bidi w:val="0"/>
              <w:spacing w:line="240" w:lineRule="auto"/>
              <w:ind w:firstLine="420" w:firstLineChars="200"/>
              <w:outlineLvl w:val="9"/>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5</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提供参加政府采购活动前三年内在经营活动中没有重大违法记录的书面声明。</w:t>
            </w:r>
            <w:r>
              <w:rPr>
                <w:rFonts w:hint="eastAsia" w:ascii="仿宋" w:hAnsi="仿宋" w:eastAsia="仿宋" w:cs="仿宋"/>
                <w:b/>
                <w:bCs/>
                <w:color w:val="000000" w:themeColor="text1"/>
                <w:sz w:val="21"/>
                <w:szCs w:val="21"/>
                <w14:textFill>
                  <w14:solidFill>
                    <w14:schemeClr w14:val="tx1"/>
                  </w14:solidFill>
                </w14:textFill>
              </w:rPr>
              <w:t>（</w:t>
            </w:r>
            <w:r>
              <w:rPr>
                <w:rFonts w:hint="eastAsia" w:ascii="仿宋" w:hAnsi="仿宋" w:eastAsia="仿宋" w:cs="仿宋"/>
                <w:b/>
                <w:bCs/>
                <w:color w:val="000000" w:themeColor="text1"/>
                <w:sz w:val="21"/>
                <w:szCs w:val="21"/>
                <w:lang w:eastAsia="zh-CN"/>
                <w14:textFill>
                  <w14:solidFill>
                    <w14:schemeClr w14:val="tx1"/>
                  </w14:solidFill>
                </w14:textFill>
              </w:rPr>
              <w:t>响应文件</w:t>
            </w:r>
            <w:r>
              <w:rPr>
                <w:rFonts w:hint="eastAsia" w:ascii="仿宋" w:hAnsi="仿宋" w:eastAsia="仿宋" w:cs="仿宋"/>
                <w:b/>
                <w:bCs/>
                <w:color w:val="000000" w:themeColor="text1"/>
                <w:sz w:val="21"/>
                <w:szCs w:val="21"/>
                <w14:textFill>
                  <w14:solidFill>
                    <w14:schemeClr w14:val="tx1"/>
                  </w14:solidFill>
                </w14:textFill>
              </w:rPr>
              <w:t>内附原件，格式内容自拟，加盖公章）</w:t>
            </w:r>
          </w:p>
          <w:p w14:paraId="4F5E7E68">
            <w:pPr>
              <w:bidi w:val="0"/>
              <w:spacing w:line="240" w:lineRule="auto"/>
              <w:ind w:firstLine="420" w:firstLineChars="200"/>
              <w:outlineLvl w:val="9"/>
              <w:rPr>
                <w:rFonts w:hint="eastAsia" w:ascii="仿宋" w:hAnsi="仿宋" w:eastAsia="仿宋" w:cs="仿宋"/>
                <w:b/>
                <w:bCs/>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6</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不得为“信用中国”网站（www.creditchina.gov.cn）中列入失信被执行人（中国执行信息公开网http://zxgk.court.gov.cn）和重大税收违法失信主体名单的</w:t>
            </w:r>
            <w:r>
              <w:rPr>
                <w:rFonts w:hint="eastAsia" w:ascii="仿宋" w:hAnsi="仿宋" w:eastAsia="仿宋" w:cs="仿宋"/>
                <w:color w:val="000000" w:themeColor="text1"/>
                <w:sz w:val="21"/>
                <w:szCs w:val="21"/>
                <w:lang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，不得为中国政府采购网（www.ccgp.gov.cn）政府采购严重违法失信行为记录名单中被财政部门禁止参加政府采购活动的</w:t>
            </w:r>
            <w:r>
              <w:rPr>
                <w:rFonts w:hint="eastAsia" w:ascii="仿宋" w:hAnsi="仿宋" w:eastAsia="仿宋" w:cs="仿宋"/>
                <w:color w:val="000000" w:themeColor="text1"/>
                <w:sz w:val="21"/>
                <w:szCs w:val="21"/>
                <w:lang w:eastAsia="zh-CN"/>
                <w14:textFill>
                  <w14:solidFill>
                    <w14:schemeClr w14:val="tx1"/>
                  </w14:solidFill>
                </w14:textFill>
              </w:rPr>
              <w:t>投标人。</w:t>
            </w:r>
            <w:r>
              <w:rPr>
                <w:rFonts w:hint="eastAsia" w:ascii="仿宋" w:hAnsi="仿宋" w:eastAsia="仿宋" w:cs="仿宋"/>
                <w:b/>
                <w:bCs/>
                <w:color w:val="000000" w:themeColor="text1"/>
                <w:sz w:val="21"/>
                <w:szCs w:val="21"/>
                <w14:textFill>
                  <w14:solidFill>
                    <w14:schemeClr w14:val="tx1"/>
                  </w14:solidFill>
                </w14:textFill>
              </w:rPr>
              <w:t>（★</w:t>
            </w:r>
            <w:r>
              <w:rPr>
                <w:rFonts w:hint="eastAsia" w:ascii="仿宋" w:hAnsi="仿宋" w:eastAsia="仿宋" w:cs="仿宋"/>
                <w:b/>
                <w:color w:val="000000" w:themeColor="text1"/>
                <w:sz w:val="21"/>
                <w:szCs w:val="21"/>
                <w:u w:val="none"/>
                <w14:textFill>
                  <w14:solidFill>
                    <w14:schemeClr w14:val="tx1"/>
                  </w14:solidFill>
                </w14:textFill>
              </w:rPr>
              <w:t>此项由采购代理机构在</w:t>
            </w:r>
            <w:r>
              <w:rPr>
                <w:rFonts w:hint="eastAsia" w:ascii="仿宋" w:hAnsi="仿宋" w:eastAsia="仿宋" w:cs="仿宋"/>
                <w:b/>
                <w:color w:val="000000" w:themeColor="text1"/>
                <w:sz w:val="21"/>
                <w:szCs w:val="21"/>
                <w:u w:val="none"/>
                <w:lang w:eastAsia="zh-CN"/>
                <w14:textFill>
                  <w14:solidFill>
                    <w14:schemeClr w14:val="tx1"/>
                  </w14:solidFill>
                </w14:textFill>
              </w:rPr>
              <w:t>投标</w:t>
            </w:r>
            <w:r>
              <w:rPr>
                <w:rFonts w:hint="eastAsia" w:ascii="仿宋" w:hAnsi="仿宋" w:eastAsia="仿宋" w:cs="仿宋"/>
                <w:b/>
                <w:color w:val="000000" w:themeColor="text1"/>
                <w:sz w:val="21"/>
                <w:szCs w:val="21"/>
                <w:u w:val="none"/>
                <w14:textFill>
                  <w14:solidFill>
                    <w14:schemeClr w14:val="tx1"/>
                  </w14:solidFill>
                </w14:textFill>
              </w:rPr>
              <w:t>截止时间前3日内查询，查询结果以电子图片或者纸质版存档，如相关失信记录已失效，</w:t>
            </w:r>
            <w:r>
              <w:rPr>
                <w:rFonts w:hint="eastAsia" w:ascii="仿宋" w:hAnsi="仿宋" w:eastAsia="仿宋" w:cs="仿宋"/>
                <w:b/>
                <w:color w:val="000000" w:themeColor="text1"/>
                <w:sz w:val="21"/>
                <w:szCs w:val="21"/>
                <w:u w:val="none"/>
                <w:lang w:eastAsia="zh-CN"/>
                <w14:textFill>
                  <w14:solidFill>
                    <w14:schemeClr w14:val="tx1"/>
                  </w14:solidFill>
                </w14:textFill>
              </w:rPr>
              <w:t>投标人</w:t>
            </w:r>
            <w:r>
              <w:rPr>
                <w:rFonts w:hint="eastAsia" w:ascii="仿宋" w:hAnsi="仿宋" w:eastAsia="仿宋" w:cs="仿宋"/>
                <w:b/>
                <w:color w:val="000000" w:themeColor="text1"/>
                <w:sz w:val="21"/>
                <w:szCs w:val="21"/>
                <w:u w:val="none"/>
                <w14:textFill>
                  <w14:solidFill>
                    <w14:schemeClr w14:val="tx1"/>
                  </w14:solidFill>
                </w14:textFill>
              </w:rPr>
              <w:t>需提供相关证明资料，若没有则无需提供</w:t>
            </w:r>
            <w:r>
              <w:rPr>
                <w:rFonts w:hint="eastAsia" w:ascii="仿宋" w:hAnsi="仿宋" w:eastAsia="仿宋" w:cs="仿宋"/>
                <w:b/>
                <w:color w:val="000000" w:themeColor="text1"/>
                <w:sz w:val="21"/>
                <w:szCs w:val="21"/>
                <w:u w:val="none"/>
                <w:lang w:eastAsia="zh-CN"/>
                <w14:textFill>
                  <w14:solidFill>
                    <w14:schemeClr w14:val="tx1"/>
                  </w14:solidFill>
                </w14:textFill>
              </w:rPr>
              <w:t>。</w:t>
            </w:r>
            <w:r>
              <w:rPr>
                <w:rFonts w:hint="eastAsia" w:ascii="仿宋" w:hAnsi="仿宋" w:eastAsia="仿宋" w:cs="仿宋"/>
                <w:b/>
                <w:bCs/>
                <w:color w:val="000000" w:themeColor="text1"/>
                <w:sz w:val="21"/>
                <w:szCs w:val="21"/>
                <w14:textFill>
                  <w14:solidFill>
                    <w14:schemeClr w14:val="tx1"/>
                  </w14:solidFill>
                </w14:textFill>
              </w:rPr>
              <w:t>）</w:t>
            </w:r>
          </w:p>
        </w:tc>
      </w:tr>
    </w:tbl>
    <w:p w14:paraId="24F680AC">
      <w:pPr>
        <w:keepNext w:val="0"/>
        <w:keepLines w:val="0"/>
        <w:pageBreakBefore w:val="0"/>
        <w:widowControl w:val="0"/>
        <w:shd w:val="clear"/>
        <w:kinsoku/>
        <w:wordWrap/>
        <w:overflowPunct/>
        <w:topLinePunct w:val="0"/>
        <w:autoSpaceDE/>
        <w:autoSpaceDN/>
        <w:bidi w:val="0"/>
        <w:adjustRightInd w:val="0"/>
        <w:snapToGrid w:val="0"/>
        <w:spacing w:line="360" w:lineRule="auto"/>
        <w:textAlignment w:val="auto"/>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2.</w:t>
      </w:r>
      <w:r>
        <w:rPr>
          <w:rFonts w:hint="eastAsia" w:ascii="仿宋" w:hAnsi="仿宋" w:eastAsia="仿宋" w:cs="仿宋"/>
          <w:b/>
          <w:color w:val="000000" w:themeColor="text1"/>
          <w:sz w:val="21"/>
          <w:szCs w:val="21"/>
          <w:highlight w:val="none"/>
          <w:lang w:val="en-US" w:eastAsia="zh-CN"/>
          <w14:textFill>
            <w14:solidFill>
              <w14:schemeClr w14:val="tx1"/>
            </w14:solidFill>
          </w14:textFill>
        </w:rPr>
        <w:t>2</w:t>
      </w:r>
      <w:r>
        <w:rPr>
          <w:rFonts w:hint="eastAsia" w:ascii="仿宋" w:hAnsi="仿宋" w:eastAsia="仿宋" w:cs="仿宋"/>
          <w:b/>
          <w:color w:val="000000" w:themeColor="text1"/>
          <w:sz w:val="21"/>
          <w:szCs w:val="21"/>
          <w:highlight w:val="none"/>
          <w14:textFill>
            <w14:solidFill>
              <w14:schemeClr w14:val="tx1"/>
            </w14:solidFill>
          </w14:textFill>
        </w:rPr>
        <w:t>、投标文件符合性审查</w:t>
      </w:r>
    </w:p>
    <w:p w14:paraId="27BCA434">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2.2.1</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评标委员会</w:t>
      </w:r>
      <w:r>
        <w:rPr>
          <w:rFonts w:hint="eastAsia" w:ascii="仿宋" w:hAnsi="仿宋" w:eastAsia="仿宋" w:cs="仿宋"/>
          <w:color w:val="000000" w:themeColor="text1"/>
          <w:sz w:val="21"/>
          <w:szCs w:val="21"/>
          <w14:textFill>
            <w14:solidFill>
              <w14:schemeClr w14:val="tx1"/>
            </w14:solidFill>
          </w14:textFill>
        </w:rPr>
        <w:t>依法对符合资格条件的</w:t>
      </w:r>
      <w:r>
        <w:rPr>
          <w:rFonts w:hint="eastAsia" w:ascii="仿宋" w:hAnsi="仿宋" w:eastAsia="仿宋" w:cs="仿宋"/>
          <w:color w:val="000000" w:themeColor="text1"/>
          <w:sz w:val="21"/>
          <w:szCs w:val="21"/>
          <w:lang w:val="en-US" w:eastAsia="zh-CN"/>
          <w14:textFill>
            <w14:solidFill>
              <w14:schemeClr w14:val="tx1"/>
            </w14:solidFill>
          </w14:textFill>
        </w:rPr>
        <w:t>投标人投标</w:t>
      </w:r>
      <w:r>
        <w:rPr>
          <w:rFonts w:hint="eastAsia" w:ascii="仿宋" w:hAnsi="仿宋" w:eastAsia="仿宋" w:cs="仿宋"/>
          <w:color w:val="000000" w:themeColor="text1"/>
          <w:sz w:val="21"/>
          <w:szCs w:val="21"/>
          <w14:textFill>
            <w14:solidFill>
              <w14:schemeClr w14:val="tx1"/>
            </w14:solidFill>
          </w14:textFill>
        </w:rPr>
        <w:t>文件进行符合性审查。</w:t>
      </w:r>
      <w:r>
        <w:rPr>
          <w:rFonts w:hint="eastAsia" w:ascii="仿宋" w:hAnsi="仿宋" w:eastAsia="仿宋" w:cs="仿宋"/>
          <w:color w:val="000000" w:themeColor="text1"/>
          <w:sz w:val="21"/>
          <w:szCs w:val="21"/>
          <w:lang w:eastAsia="zh-CN"/>
          <w14:textFill>
            <w14:solidFill>
              <w14:schemeClr w14:val="tx1"/>
            </w14:solidFill>
          </w14:textFill>
        </w:rPr>
        <w:t>评标委员会</w:t>
      </w:r>
      <w:r>
        <w:rPr>
          <w:rFonts w:hint="eastAsia" w:ascii="仿宋" w:hAnsi="仿宋" w:eastAsia="仿宋" w:cs="仿宋"/>
          <w:color w:val="000000" w:themeColor="text1"/>
          <w:sz w:val="21"/>
          <w:szCs w:val="21"/>
          <w14:textFill>
            <w14:solidFill>
              <w14:schemeClr w14:val="tx1"/>
            </w14:solidFill>
          </w14:textFill>
        </w:rPr>
        <w:t>从</w:t>
      </w:r>
      <w:r>
        <w:rPr>
          <w:rFonts w:hint="eastAsia" w:ascii="仿宋" w:hAnsi="仿宋" w:eastAsia="仿宋" w:cs="仿宋"/>
          <w:color w:val="000000" w:themeColor="text1"/>
          <w:sz w:val="21"/>
          <w:szCs w:val="21"/>
          <w:lang w:val="en-US" w:eastAsia="zh-CN"/>
          <w14:textFill>
            <w14:solidFill>
              <w14:schemeClr w14:val="tx1"/>
            </w14:solidFill>
          </w14:textFill>
        </w:rPr>
        <w:t>投标</w:t>
      </w:r>
      <w:r>
        <w:rPr>
          <w:rFonts w:hint="eastAsia" w:ascii="仿宋" w:hAnsi="仿宋" w:eastAsia="仿宋" w:cs="仿宋"/>
          <w:color w:val="000000" w:themeColor="text1"/>
          <w:sz w:val="21"/>
          <w:szCs w:val="21"/>
          <w14:textFill>
            <w14:solidFill>
              <w14:schemeClr w14:val="tx1"/>
            </w14:solidFill>
          </w14:textFill>
        </w:rPr>
        <w:t>文件的有效性、完整性和对</w:t>
      </w:r>
      <w:r>
        <w:rPr>
          <w:rFonts w:hint="eastAsia" w:ascii="仿宋" w:hAnsi="仿宋" w:eastAsia="仿宋" w:cs="仿宋"/>
          <w:color w:val="000000" w:themeColor="text1"/>
          <w:sz w:val="21"/>
          <w:szCs w:val="21"/>
          <w:lang w:val="en-US" w:eastAsia="zh-CN"/>
          <w14:textFill>
            <w14:solidFill>
              <w14:schemeClr w14:val="tx1"/>
            </w14:solidFill>
          </w14:textFill>
        </w:rPr>
        <w:t>招标</w:t>
      </w:r>
      <w:r>
        <w:rPr>
          <w:rFonts w:hint="eastAsia" w:ascii="仿宋" w:hAnsi="仿宋" w:eastAsia="仿宋" w:cs="仿宋"/>
          <w:color w:val="000000" w:themeColor="text1"/>
          <w:sz w:val="21"/>
          <w:szCs w:val="21"/>
          <w14:textFill>
            <w14:solidFill>
              <w14:schemeClr w14:val="tx1"/>
            </w14:solidFill>
          </w14:textFill>
        </w:rPr>
        <w:t>文件的响应程度进行审查，以确定其是否对</w:t>
      </w:r>
      <w:r>
        <w:rPr>
          <w:rFonts w:hint="eastAsia" w:ascii="仿宋" w:hAnsi="仿宋" w:eastAsia="仿宋" w:cs="仿宋"/>
          <w:color w:val="000000" w:themeColor="text1"/>
          <w:sz w:val="21"/>
          <w:szCs w:val="21"/>
          <w:lang w:val="en-US" w:eastAsia="zh-CN"/>
          <w14:textFill>
            <w14:solidFill>
              <w14:schemeClr w14:val="tx1"/>
            </w14:solidFill>
          </w14:textFill>
        </w:rPr>
        <w:t>招标</w:t>
      </w:r>
      <w:r>
        <w:rPr>
          <w:rFonts w:hint="eastAsia" w:ascii="仿宋" w:hAnsi="仿宋" w:eastAsia="仿宋" w:cs="仿宋"/>
          <w:color w:val="000000" w:themeColor="text1"/>
          <w:sz w:val="21"/>
          <w:szCs w:val="21"/>
          <w14:textFill>
            <w14:solidFill>
              <w14:schemeClr w14:val="tx1"/>
            </w14:solidFill>
          </w14:textFill>
        </w:rPr>
        <w:t>文件实质性内容作出响应，有无恶意串通行为。</w:t>
      </w:r>
    </w:p>
    <w:p w14:paraId="588B4C7F">
      <w:pPr>
        <w:keepNext w:val="0"/>
        <w:keepLines w:val="0"/>
        <w:pageBreakBefore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2.2.2</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评标委员会</w:t>
      </w:r>
      <w:r>
        <w:rPr>
          <w:rFonts w:hint="eastAsia" w:ascii="仿宋" w:hAnsi="仿宋" w:eastAsia="仿宋" w:cs="仿宋"/>
          <w:color w:val="000000" w:themeColor="text1"/>
          <w:sz w:val="21"/>
          <w:szCs w:val="21"/>
          <w14:textFill>
            <w14:solidFill>
              <w14:schemeClr w14:val="tx1"/>
            </w14:solidFill>
          </w14:textFill>
        </w:rPr>
        <w:t>将按下列评审标准对</w:t>
      </w:r>
      <w:r>
        <w:rPr>
          <w:rFonts w:hint="eastAsia" w:ascii="仿宋" w:hAnsi="仿宋" w:eastAsia="仿宋" w:cs="仿宋"/>
          <w:color w:val="000000" w:themeColor="text1"/>
          <w:sz w:val="21"/>
          <w:szCs w:val="21"/>
          <w:lang w:val="en-US"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的</w:t>
      </w:r>
      <w:r>
        <w:rPr>
          <w:rFonts w:hint="eastAsia" w:ascii="仿宋" w:hAnsi="仿宋" w:eastAsia="仿宋" w:cs="仿宋"/>
          <w:color w:val="000000" w:themeColor="text1"/>
          <w:sz w:val="21"/>
          <w:szCs w:val="21"/>
          <w:lang w:val="en-US" w:eastAsia="zh-CN"/>
          <w14:textFill>
            <w14:solidFill>
              <w14:schemeClr w14:val="tx1"/>
            </w14:solidFill>
          </w14:textFill>
        </w:rPr>
        <w:t>投标</w:t>
      </w:r>
      <w:r>
        <w:rPr>
          <w:rFonts w:hint="eastAsia" w:ascii="仿宋" w:hAnsi="仿宋" w:eastAsia="仿宋" w:cs="仿宋"/>
          <w:color w:val="000000" w:themeColor="text1"/>
          <w:sz w:val="21"/>
          <w:szCs w:val="21"/>
          <w14:textFill>
            <w14:solidFill>
              <w14:schemeClr w14:val="tx1"/>
            </w14:solidFill>
          </w14:textFill>
        </w:rPr>
        <w:t>文件进行符合性审查，</w:t>
      </w:r>
      <w:r>
        <w:rPr>
          <w:rFonts w:hint="eastAsia" w:ascii="仿宋" w:hAnsi="仿宋" w:eastAsia="仿宋" w:cs="仿宋"/>
          <w:bCs/>
          <w:color w:val="000000" w:themeColor="text1"/>
          <w:sz w:val="21"/>
          <w:szCs w:val="21"/>
          <w:lang w:val="en-US" w:eastAsia="zh-CN"/>
          <w14:textFill>
            <w14:solidFill>
              <w14:schemeClr w14:val="tx1"/>
            </w14:solidFill>
          </w14:textFill>
        </w:rPr>
        <w:t>投标人</w:t>
      </w:r>
      <w:r>
        <w:rPr>
          <w:rFonts w:hint="eastAsia" w:ascii="仿宋" w:hAnsi="仿宋" w:eastAsia="仿宋" w:cs="仿宋"/>
          <w:bCs/>
          <w:color w:val="000000" w:themeColor="text1"/>
          <w:sz w:val="21"/>
          <w:szCs w:val="21"/>
          <w14:textFill>
            <w14:solidFill>
              <w14:schemeClr w14:val="tx1"/>
            </w14:solidFill>
          </w14:textFill>
        </w:rPr>
        <w:t>若</w:t>
      </w:r>
      <w:r>
        <w:rPr>
          <w:rFonts w:hint="eastAsia" w:ascii="仿宋" w:hAnsi="仿宋" w:eastAsia="仿宋" w:cs="仿宋"/>
          <w:color w:val="000000" w:themeColor="text1"/>
          <w:kern w:val="0"/>
          <w:sz w:val="21"/>
          <w:szCs w:val="21"/>
          <w14:textFill>
            <w14:solidFill>
              <w14:schemeClr w14:val="tx1"/>
            </w14:solidFill>
          </w14:textFill>
        </w:rPr>
        <w:t>有一项不合格，即判定其符合性审查结果为不合格，将不具备</w:t>
      </w:r>
      <w:r>
        <w:rPr>
          <w:rFonts w:hint="eastAsia" w:ascii="仿宋" w:hAnsi="仿宋" w:eastAsia="仿宋" w:cs="仿宋"/>
          <w:color w:val="000000" w:themeColor="text1"/>
          <w:kern w:val="0"/>
          <w:sz w:val="21"/>
          <w:szCs w:val="21"/>
          <w:lang w:val="en-US" w:eastAsia="zh-CN"/>
          <w14:textFill>
            <w14:solidFill>
              <w14:schemeClr w14:val="tx1"/>
            </w14:solidFill>
          </w14:textFill>
        </w:rPr>
        <w:t>投标</w:t>
      </w:r>
      <w:r>
        <w:rPr>
          <w:rFonts w:hint="eastAsia" w:ascii="仿宋" w:hAnsi="仿宋" w:eastAsia="仿宋" w:cs="仿宋"/>
          <w:color w:val="000000" w:themeColor="text1"/>
          <w:kern w:val="0"/>
          <w:sz w:val="21"/>
          <w:szCs w:val="21"/>
          <w14:textFill>
            <w14:solidFill>
              <w14:schemeClr w14:val="tx1"/>
            </w14:solidFill>
          </w14:textFill>
        </w:rPr>
        <w:t>资格，其</w:t>
      </w:r>
      <w:r>
        <w:rPr>
          <w:rFonts w:hint="eastAsia" w:ascii="仿宋" w:hAnsi="仿宋" w:eastAsia="仿宋" w:cs="仿宋"/>
          <w:color w:val="000000" w:themeColor="text1"/>
          <w:kern w:val="0"/>
          <w:sz w:val="21"/>
          <w:szCs w:val="21"/>
          <w:lang w:val="en-US" w:eastAsia="zh-CN"/>
          <w14:textFill>
            <w14:solidFill>
              <w14:schemeClr w14:val="tx1"/>
            </w14:solidFill>
          </w14:textFill>
        </w:rPr>
        <w:t>投标</w:t>
      </w:r>
      <w:r>
        <w:rPr>
          <w:rFonts w:hint="eastAsia" w:ascii="仿宋" w:hAnsi="仿宋" w:eastAsia="仿宋" w:cs="仿宋"/>
          <w:color w:val="000000" w:themeColor="text1"/>
          <w:kern w:val="0"/>
          <w:sz w:val="21"/>
          <w:szCs w:val="21"/>
          <w14:textFill>
            <w14:solidFill>
              <w14:schemeClr w14:val="tx1"/>
            </w14:solidFill>
          </w14:textFill>
        </w:rPr>
        <w:t>文件无效。</w:t>
      </w:r>
    </w:p>
    <w:p w14:paraId="0F896AE4">
      <w:pPr>
        <w:keepNext w:val="0"/>
        <w:keepLines w:val="0"/>
        <w:pageBreakBefore w:val="0"/>
        <w:widowControl w:val="0"/>
        <w:shd w:val="clear"/>
        <w:tabs>
          <w:tab w:val="left" w:pos="0"/>
        </w:tabs>
        <w:kinsoku/>
        <w:wordWrap/>
        <w:overflowPunct/>
        <w:topLinePunct w:val="0"/>
        <w:autoSpaceDE/>
        <w:autoSpaceDN/>
        <w:bidi w:val="0"/>
        <w:adjustRightInd w:val="0"/>
        <w:snapToGrid w:val="0"/>
        <w:spacing w:line="360" w:lineRule="auto"/>
        <w:ind w:firstLine="630" w:firstLineChars="3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符合性审查标准如下：</w:t>
      </w:r>
    </w:p>
    <w:tbl>
      <w:tblPr>
        <w:tblStyle w:val="42"/>
        <w:tblW w:w="9715" w:type="dxa"/>
        <w:tblInd w:w="-5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858"/>
        <w:gridCol w:w="3695"/>
        <w:gridCol w:w="4338"/>
      </w:tblGrid>
      <w:tr w14:paraId="7604E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24" w:type="dxa"/>
            <w:vAlign w:val="center"/>
          </w:tcPr>
          <w:p w14:paraId="694639BF">
            <w:pPr>
              <w:shd w:val="clear"/>
              <w:tabs>
                <w:tab w:val="left" w:pos="0"/>
              </w:tabs>
              <w:adjustRightInd w:val="0"/>
              <w:snapToGrid w:val="0"/>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序号</w:t>
            </w:r>
          </w:p>
        </w:tc>
        <w:tc>
          <w:tcPr>
            <w:tcW w:w="4553" w:type="dxa"/>
            <w:gridSpan w:val="2"/>
            <w:vAlign w:val="center"/>
          </w:tcPr>
          <w:p w14:paraId="77D7A555">
            <w:pPr>
              <w:shd w:val="clear"/>
              <w:tabs>
                <w:tab w:val="left" w:pos="0"/>
              </w:tabs>
              <w:adjustRightInd w:val="0"/>
              <w:snapToGrid w:val="0"/>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评审因素</w:t>
            </w:r>
          </w:p>
        </w:tc>
        <w:tc>
          <w:tcPr>
            <w:tcW w:w="4338" w:type="dxa"/>
            <w:vAlign w:val="center"/>
          </w:tcPr>
          <w:p w14:paraId="134B6C80">
            <w:pPr>
              <w:shd w:val="clear"/>
              <w:tabs>
                <w:tab w:val="left" w:pos="0"/>
              </w:tabs>
              <w:adjustRightInd w:val="0"/>
              <w:snapToGrid w:val="0"/>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评审标准</w:t>
            </w:r>
          </w:p>
        </w:tc>
      </w:tr>
      <w:tr w14:paraId="7F3AB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824" w:type="dxa"/>
            <w:vMerge w:val="restart"/>
            <w:vAlign w:val="center"/>
          </w:tcPr>
          <w:p w14:paraId="068A3933">
            <w:pPr>
              <w:shd w:val="clear"/>
              <w:tabs>
                <w:tab w:val="left" w:pos="0"/>
              </w:tabs>
              <w:adjustRightInd w:val="0"/>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p>
        </w:tc>
        <w:tc>
          <w:tcPr>
            <w:tcW w:w="858" w:type="dxa"/>
            <w:vMerge w:val="restart"/>
            <w:vAlign w:val="center"/>
          </w:tcPr>
          <w:p w14:paraId="68201919">
            <w:pPr>
              <w:shd w:val="clear"/>
              <w:tabs>
                <w:tab w:val="left" w:pos="0"/>
              </w:tabs>
              <w:adjustRightInd w:val="0"/>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有效性审查</w:t>
            </w:r>
          </w:p>
        </w:tc>
        <w:tc>
          <w:tcPr>
            <w:tcW w:w="3695" w:type="dxa"/>
            <w:vAlign w:val="center"/>
          </w:tcPr>
          <w:p w14:paraId="70F45F1B">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（1）投标文件的签署盖章</w:t>
            </w:r>
          </w:p>
        </w:tc>
        <w:tc>
          <w:tcPr>
            <w:tcW w:w="4338" w:type="dxa"/>
            <w:vAlign w:val="center"/>
          </w:tcPr>
          <w:p w14:paraId="1B8B55CE">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应符合招标文件要求</w:t>
            </w:r>
          </w:p>
        </w:tc>
      </w:tr>
      <w:tr w14:paraId="6F5B2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24" w:type="dxa"/>
            <w:vMerge w:val="continue"/>
          </w:tcPr>
          <w:p w14:paraId="16D6CFC4">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858" w:type="dxa"/>
            <w:vMerge w:val="continue"/>
          </w:tcPr>
          <w:p w14:paraId="3A08F2F4">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3695" w:type="dxa"/>
            <w:vAlign w:val="center"/>
          </w:tcPr>
          <w:p w14:paraId="26007829">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（2）投标文件格式、语言、计量单位、报价货币</w:t>
            </w:r>
          </w:p>
        </w:tc>
        <w:tc>
          <w:tcPr>
            <w:tcW w:w="4338" w:type="dxa"/>
            <w:vAlign w:val="center"/>
          </w:tcPr>
          <w:p w14:paraId="66F3F999">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应符合“投标文件格式”和招标文件要求</w:t>
            </w:r>
          </w:p>
        </w:tc>
      </w:tr>
      <w:tr w14:paraId="020E6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24" w:type="dxa"/>
            <w:vMerge w:val="continue"/>
          </w:tcPr>
          <w:p w14:paraId="61A3F331">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858" w:type="dxa"/>
            <w:vMerge w:val="continue"/>
          </w:tcPr>
          <w:p w14:paraId="6C7308DC">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3695" w:type="dxa"/>
            <w:vAlign w:val="center"/>
          </w:tcPr>
          <w:p w14:paraId="2D194800">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（3）报价唯一</w:t>
            </w:r>
          </w:p>
        </w:tc>
        <w:tc>
          <w:tcPr>
            <w:tcW w:w="4338" w:type="dxa"/>
            <w:vAlign w:val="center"/>
          </w:tcPr>
          <w:p w14:paraId="22031C70">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只能有一个有效报价，不得提交选择性报价，且报价不超过采购预算金额或最高限价</w:t>
            </w:r>
          </w:p>
        </w:tc>
      </w:tr>
      <w:tr w14:paraId="5F9AE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24" w:type="dxa"/>
            <w:vMerge w:val="continue"/>
            <w:vAlign w:val="center"/>
          </w:tcPr>
          <w:p w14:paraId="6CA50F79">
            <w:pPr>
              <w:shd w:val="clear"/>
              <w:tabs>
                <w:tab w:val="left" w:pos="0"/>
              </w:tabs>
              <w:adjustRightInd w:val="0"/>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858" w:type="dxa"/>
            <w:vMerge w:val="continue"/>
            <w:vAlign w:val="center"/>
          </w:tcPr>
          <w:p w14:paraId="1DFA8F3B">
            <w:pPr>
              <w:shd w:val="clear"/>
              <w:tabs>
                <w:tab w:val="left" w:pos="0"/>
              </w:tabs>
              <w:adjustRightInd w:val="0"/>
              <w:snapToGrid w:val="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695" w:type="dxa"/>
            <w:vAlign w:val="center"/>
          </w:tcPr>
          <w:p w14:paraId="7CCBABC7">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（4）电子文件</w:t>
            </w:r>
          </w:p>
        </w:tc>
        <w:tc>
          <w:tcPr>
            <w:tcW w:w="4338" w:type="dxa"/>
            <w:vAlign w:val="center"/>
          </w:tcPr>
          <w:p w14:paraId="5F8A1FB6">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应符合招标文件中的规定</w:t>
            </w:r>
          </w:p>
        </w:tc>
      </w:tr>
      <w:tr w14:paraId="7AC37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24" w:type="dxa"/>
            <w:vMerge w:val="continue"/>
            <w:vAlign w:val="center"/>
          </w:tcPr>
          <w:p w14:paraId="5E2EBE3E">
            <w:pPr>
              <w:shd w:val="clear"/>
              <w:tabs>
                <w:tab w:val="left" w:pos="0"/>
              </w:tabs>
              <w:adjustRightInd w:val="0"/>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858" w:type="dxa"/>
            <w:vMerge w:val="continue"/>
            <w:vAlign w:val="center"/>
          </w:tcPr>
          <w:p w14:paraId="5A7F9904">
            <w:pPr>
              <w:shd w:val="clear"/>
              <w:tabs>
                <w:tab w:val="left" w:pos="0"/>
              </w:tabs>
              <w:adjustRightInd w:val="0"/>
              <w:snapToGrid w:val="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695" w:type="dxa"/>
            <w:vAlign w:val="center"/>
          </w:tcPr>
          <w:p w14:paraId="06D9B5CF">
            <w:pPr>
              <w:tabs>
                <w:tab w:val="left" w:pos="0"/>
              </w:tabs>
              <w:adjustRightInd w:val="0"/>
              <w:snapToGrid w:val="0"/>
              <w:spacing w:line="240" w:lineRule="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（5）不存在恶意串通的情形</w:t>
            </w:r>
          </w:p>
        </w:tc>
        <w:tc>
          <w:tcPr>
            <w:tcW w:w="4338" w:type="dxa"/>
            <w:vAlign w:val="center"/>
          </w:tcPr>
          <w:p w14:paraId="76AF944B">
            <w:pPr>
              <w:keepNext w:val="0"/>
              <w:keepLines w:val="0"/>
              <w:pageBreakBefore w:val="0"/>
              <w:widowControl w:val="0"/>
              <w:tabs>
                <w:tab w:val="left" w:pos="0"/>
              </w:tabs>
              <w:kinsoku/>
              <w:wordWrap/>
              <w:overflowPunct/>
              <w:topLinePunct w:val="0"/>
              <w:autoSpaceDE/>
              <w:autoSpaceDN/>
              <w:bidi w:val="0"/>
              <w:adjustRightInd w:val="0"/>
              <w:snapToGrid w:val="0"/>
              <w:spacing w:before="0" w:beforeLines="30" w:line="240"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不存在本章第2.2.3条款规定的任何一种情形</w:t>
            </w:r>
          </w:p>
        </w:tc>
      </w:tr>
      <w:tr w14:paraId="300C0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24" w:type="dxa"/>
            <w:vMerge w:val="restart"/>
            <w:vAlign w:val="center"/>
          </w:tcPr>
          <w:p w14:paraId="1B86AF80">
            <w:pPr>
              <w:shd w:val="clear"/>
              <w:tabs>
                <w:tab w:val="left" w:pos="0"/>
              </w:tabs>
              <w:adjustRightInd w:val="0"/>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w:t>
            </w:r>
          </w:p>
        </w:tc>
        <w:tc>
          <w:tcPr>
            <w:tcW w:w="858" w:type="dxa"/>
            <w:vMerge w:val="restart"/>
            <w:vAlign w:val="center"/>
          </w:tcPr>
          <w:p w14:paraId="1C47F267">
            <w:pPr>
              <w:shd w:val="clear"/>
              <w:tabs>
                <w:tab w:val="left" w:pos="0"/>
              </w:tabs>
              <w:adjustRightInd w:val="0"/>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完整性审查</w:t>
            </w:r>
          </w:p>
        </w:tc>
        <w:tc>
          <w:tcPr>
            <w:tcW w:w="3695" w:type="dxa"/>
            <w:vAlign w:val="center"/>
          </w:tcPr>
          <w:p w14:paraId="247C6510">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6</w:t>
            </w:r>
            <w:r>
              <w:rPr>
                <w:rFonts w:hint="eastAsia" w:ascii="仿宋" w:hAnsi="仿宋" w:eastAsia="仿宋" w:cs="仿宋"/>
                <w:color w:val="000000" w:themeColor="text1"/>
                <w:sz w:val="21"/>
                <w:szCs w:val="21"/>
                <w:highlight w:val="none"/>
                <w14:textFill>
                  <w14:solidFill>
                    <w14:schemeClr w14:val="tx1"/>
                  </w14:solidFill>
                </w14:textFill>
              </w:rPr>
              <w:t>）投标文件份数</w:t>
            </w:r>
          </w:p>
        </w:tc>
        <w:tc>
          <w:tcPr>
            <w:tcW w:w="4338" w:type="dxa"/>
            <w:vAlign w:val="center"/>
          </w:tcPr>
          <w:p w14:paraId="55A3BAB0">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应符合“投标人须知前附表”规定的正本、副本、</w:t>
            </w:r>
            <w:r>
              <w:rPr>
                <w:rFonts w:hint="eastAsia" w:ascii="仿宋" w:hAnsi="仿宋" w:eastAsia="仿宋" w:cs="仿宋"/>
                <w:color w:val="000000" w:themeColor="text1"/>
                <w:sz w:val="21"/>
                <w:szCs w:val="21"/>
                <w:highlight w:val="none"/>
                <w:lang w:val="en-US" w:eastAsia="zh-CN"/>
                <w14:textFill>
                  <w14:solidFill>
                    <w14:schemeClr w14:val="tx1"/>
                  </w14:solidFill>
                </w14:textFill>
              </w:rPr>
              <w:t>开标一览表、</w:t>
            </w:r>
            <w:r>
              <w:rPr>
                <w:rFonts w:hint="eastAsia" w:ascii="仿宋" w:hAnsi="仿宋" w:eastAsia="仿宋" w:cs="仿宋"/>
                <w:color w:val="000000" w:themeColor="text1"/>
                <w:sz w:val="21"/>
                <w:szCs w:val="21"/>
                <w:highlight w:val="none"/>
                <w14:textFill>
                  <w14:solidFill>
                    <w14:schemeClr w14:val="tx1"/>
                  </w14:solidFill>
                </w14:textFill>
              </w:rPr>
              <w:t>电子文件数量</w:t>
            </w:r>
          </w:p>
        </w:tc>
      </w:tr>
      <w:tr w14:paraId="4F8FB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24" w:type="dxa"/>
            <w:vMerge w:val="continue"/>
          </w:tcPr>
          <w:p w14:paraId="3E289EA2">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858" w:type="dxa"/>
            <w:vMerge w:val="continue"/>
          </w:tcPr>
          <w:p w14:paraId="05DAA3D3">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3695" w:type="dxa"/>
            <w:vAlign w:val="center"/>
          </w:tcPr>
          <w:p w14:paraId="2EEA17E2">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7</w:t>
            </w:r>
            <w:r>
              <w:rPr>
                <w:rFonts w:hint="eastAsia" w:ascii="仿宋" w:hAnsi="仿宋" w:eastAsia="仿宋" w:cs="仿宋"/>
                <w:color w:val="000000" w:themeColor="text1"/>
                <w:sz w:val="21"/>
                <w:szCs w:val="21"/>
                <w:highlight w:val="none"/>
                <w14:textFill>
                  <w14:solidFill>
                    <w14:schemeClr w14:val="tx1"/>
                  </w14:solidFill>
                </w14:textFill>
              </w:rPr>
              <w:t>）投标文件内容</w:t>
            </w:r>
          </w:p>
        </w:tc>
        <w:tc>
          <w:tcPr>
            <w:tcW w:w="4338" w:type="dxa"/>
            <w:vAlign w:val="center"/>
          </w:tcPr>
          <w:p w14:paraId="7E96D703">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投标文件内容齐全、无遗漏</w:t>
            </w:r>
          </w:p>
        </w:tc>
      </w:tr>
      <w:tr w14:paraId="7FDD4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24" w:type="dxa"/>
            <w:vMerge w:val="restart"/>
            <w:vAlign w:val="center"/>
          </w:tcPr>
          <w:p w14:paraId="23BCDD2A">
            <w:pPr>
              <w:shd w:val="clear"/>
              <w:tabs>
                <w:tab w:val="left" w:pos="0"/>
              </w:tabs>
              <w:adjustRightInd w:val="0"/>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w:t>
            </w:r>
          </w:p>
        </w:tc>
        <w:tc>
          <w:tcPr>
            <w:tcW w:w="858" w:type="dxa"/>
            <w:vMerge w:val="restart"/>
            <w:vAlign w:val="center"/>
          </w:tcPr>
          <w:p w14:paraId="12FC58E6">
            <w:pPr>
              <w:shd w:val="clear"/>
              <w:tabs>
                <w:tab w:val="left" w:pos="0"/>
              </w:tabs>
              <w:adjustRightInd w:val="0"/>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响应性审查</w:t>
            </w:r>
          </w:p>
        </w:tc>
        <w:tc>
          <w:tcPr>
            <w:tcW w:w="3695" w:type="dxa"/>
            <w:vAlign w:val="center"/>
          </w:tcPr>
          <w:p w14:paraId="1FEDB79F">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8</w:t>
            </w:r>
            <w:r>
              <w:rPr>
                <w:rFonts w:hint="eastAsia" w:ascii="仿宋" w:hAnsi="仿宋" w:eastAsia="仿宋" w:cs="仿宋"/>
                <w:color w:val="000000" w:themeColor="text1"/>
                <w:sz w:val="21"/>
                <w:szCs w:val="21"/>
                <w:highlight w:val="none"/>
                <w14:textFill>
                  <w14:solidFill>
                    <w14:schemeClr w14:val="tx1"/>
                  </w14:solidFill>
                </w14:textFill>
              </w:rPr>
              <w:t>）对招标文件响应程度</w:t>
            </w:r>
          </w:p>
        </w:tc>
        <w:tc>
          <w:tcPr>
            <w:tcW w:w="4338" w:type="dxa"/>
            <w:vAlign w:val="center"/>
          </w:tcPr>
          <w:p w14:paraId="3A3C2B30">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要求全面响应，不能有任何采购人不能接受的附加条件</w:t>
            </w:r>
          </w:p>
        </w:tc>
      </w:tr>
      <w:tr w14:paraId="254EA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vMerge w:val="continue"/>
          </w:tcPr>
          <w:p w14:paraId="2AEC4B08">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858" w:type="dxa"/>
            <w:vMerge w:val="continue"/>
          </w:tcPr>
          <w:p w14:paraId="10754AEF">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3695" w:type="dxa"/>
            <w:vAlign w:val="center"/>
          </w:tcPr>
          <w:p w14:paraId="237E1A0F">
            <w:pPr>
              <w:shd w:val="clear"/>
              <w:tabs>
                <w:tab w:val="left" w:pos="0"/>
              </w:tabs>
              <w:adjustRightInd w:val="0"/>
              <w:snapToGrid w:val="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9</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eastAsia="zh-CN"/>
                <w14:textFill>
                  <w14:solidFill>
                    <w14:schemeClr w14:val="tx1"/>
                  </w14:solidFill>
                </w14:textFill>
              </w:rPr>
              <w:t>交付期</w:t>
            </w:r>
          </w:p>
        </w:tc>
        <w:tc>
          <w:tcPr>
            <w:tcW w:w="4338" w:type="dxa"/>
            <w:vAlign w:val="center"/>
          </w:tcPr>
          <w:p w14:paraId="0D135376">
            <w:pPr>
              <w:shd w:val="clear"/>
              <w:tabs>
                <w:tab w:val="left" w:pos="0"/>
              </w:tabs>
              <w:adjustRightInd w:val="0"/>
              <w:snapToGrid w:val="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应满足招标文件中</w:t>
            </w:r>
            <w:r>
              <w:rPr>
                <w:rFonts w:hint="eastAsia" w:ascii="仿宋" w:hAnsi="仿宋" w:eastAsia="仿宋" w:cs="仿宋"/>
                <w:color w:val="000000" w:themeColor="text1"/>
                <w:sz w:val="21"/>
                <w:szCs w:val="21"/>
                <w:highlight w:val="none"/>
                <w:lang w:val="en-US" w:eastAsia="zh-CN"/>
                <w14:textFill>
                  <w14:solidFill>
                    <w14:schemeClr w14:val="tx1"/>
                  </w14:solidFill>
                </w14:textFill>
              </w:rPr>
              <w:t>的</w:t>
            </w:r>
            <w:r>
              <w:rPr>
                <w:rFonts w:hint="eastAsia" w:ascii="仿宋" w:hAnsi="仿宋" w:eastAsia="仿宋" w:cs="仿宋"/>
                <w:color w:val="000000" w:themeColor="text1"/>
                <w:sz w:val="21"/>
                <w:szCs w:val="21"/>
                <w:highlight w:val="none"/>
                <w14:textFill>
                  <w14:solidFill>
                    <w14:schemeClr w14:val="tx1"/>
                  </w14:solidFill>
                </w14:textFill>
              </w:rPr>
              <w:t>要求</w:t>
            </w:r>
          </w:p>
        </w:tc>
      </w:tr>
      <w:tr w14:paraId="4783C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vMerge w:val="continue"/>
          </w:tcPr>
          <w:p w14:paraId="507D60AA">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858" w:type="dxa"/>
            <w:vMerge w:val="continue"/>
          </w:tcPr>
          <w:p w14:paraId="31B4CB4E">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3695" w:type="dxa"/>
            <w:vAlign w:val="center"/>
          </w:tcPr>
          <w:p w14:paraId="2BD6B986">
            <w:pPr>
              <w:shd w:val="clear"/>
              <w:tabs>
                <w:tab w:val="left" w:pos="0"/>
              </w:tabs>
              <w:adjustRightInd w:val="0"/>
              <w:snapToGrid w:val="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10</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eastAsia="zh-CN"/>
                <w14:textFill>
                  <w14:solidFill>
                    <w14:schemeClr w14:val="tx1"/>
                  </w14:solidFill>
                </w14:textFill>
              </w:rPr>
              <w:t>交付地点</w:t>
            </w:r>
          </w:p>
        </w:tc>
        <w:tc>
          <w:tcPr>
            <w:tcW w:w="4338" w:type="dxa"/>
            <w:vAlign w:val="center"/>
          </w:tcPr>
          <w:p w14:paraId="7D3AEC50">
            <w:pPr>
              <w:shd w:val="clear"/>
              <w:tabs>
                <w:tab w:val="left" w:pos="0"/>
              </w:tabs>
              <w:adjustRightInd w:val="0"/>
              <w:snapToGrid w:val="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应满足招标文件中</w:t>
            </w:r>
            <w:r>
              <w:rPr>
                <w:rFonts w:hint="eastAsia" w:ascii="仿宋" w:hAnsi="仿宋" w:eastAsia="仿宋" w:cs="仿宋"/>
                <w:color w:val="000000" w:themeColor="text1"/>
                <w:sz w:val="21"/>
                <w:szCs w:val="21"/>
                <w:highlight w:val="none"/>
                <w:lang w:val="en-US" w:eastAsia="zh-CN"/>
                <w14:textFill>
                  <w14:solidFill>
                    <w14:schemeClr w14:val="tx1"/>
                  </w14:solidFill>
                </w14:textFill>
              </w:rPr>
              <w:t>的</w:t>
            </w:r>
            <w:r>
              <w:rPr>
                <w:rFonts w:hint="eastAsia" w:ascii="仿宋" w:hAnsi="仿宋" w:eastAsia="仿宋" w:cs="仿宋"/>
                <w:color w:val="000000" w:themeColor="text1"/>
                <w:sz w:val="21"/>
                <w:szCs w:val="21"/>
                <w:highlight w:val="none"/>
                <w14:textFill>
                  <w14:solidFill>
                    <w14:schemeClr w14:val="tx1"/>
                  </w14:solidFill>
                </w14:textFill>
              </w:rPr>
              <w:t>要求</w:t>
            </w:r>
          </w:p>
        </w:tc>
      </w:tr>
      <w:tr w14:paraId="79533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vMerge w:val="continue"/>
          </w:tcPr>
          <w:p w14:paraId="4ED827EC">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858" w:type="dxa"/>
            <w:vMerge w:val="continue"/>
          </w:tcPr>
          <w:p w14:paraId="48A4971F">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3695" w:type="dxa"/>
            <w:vAlign w:val="center"/>
          </w:tcPr>
          <w:p w14:paraId="05C35E62">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r>
              <w:rPr>
                <w:rFonts w:hint="eastAsia" w:ascii="仿宋" w:hAnsi="仿宋" w:eastAsia="仿宋" w:cs="仿宋"/>
                <w:color w:val="000000" w:themeColor="text1"/>
                <w:sz w:val="21"/>
                <w:szCs w:val="21"/>
                <w:highlight w:val="none"/>
                <w14:textFill>
                  <w14:solidFill>
                    <w14:schemeClr w14:val="tx1"/>
                  </w14:solidFill>
                </w14:textFill>
              </w:rPr>
              <w:t>）质保期</w:t>
            </w:r>
          </w:p>
        </w:tc>
        <w:tc>
          <w:tcPr>
            <w:tcW w:w="4338" w:type="dxa"/>
            <w:vAlign w:val="center"/>
          </w:tcPr>
          <w:p w14:paraId="7DB2E8BE">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应满足招标文件中的规定</w:t>
            </w:r>
          </w:p>
        </w:tc>
      </w:tr>
      <w:tr w14:paraId="54EFB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vMerge w:val="continue"/>
          </w:tcPr>
          <w:p w14:paraId="3C4CC33C">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858" w:type="dxa"/>
            <w:vMerge w:val="continue"/>
          </w:tcPr>
          <w:p w14:paraId="67F4BACC">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3695" w:type="dxa"/>
            <w:vAlign w:val="center"/>
          </w:tcPr>
          <w:p w14:paraId="5963BDF5">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14:textFill>
                  <w14:solidFill>
                    <w14:schemeClr w14:val="tx1"/>
                  </w14:solidFill>
                </w14:textFill>
              </w:rPr>
              <w:t>）投标有效期</w:t>
            </w:r>
          </w:p>
        </w:tc>
        <w:tc>
          <w:tcPr>
            <w:tcW w:w="4338" w:type="dxa"/>
            <w:vAlign w:val="center"/>
          </w:tcPr>
          <w:p w14:paraId="458365EF">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应满足招标文件中的规定</w:t>
            </w:r>
          </w:p>
        </w:tc>
      </w:tr>
    </w:tbl>
    <w:p w14:paraId="220456D7">
      <w:pPr>
        <w:keepNext w:val="0"/>
        <w:keepLines w:val="0"/>
        <w:pageBreakBefore w:val="0"/>
        <w:widowControl w:val="0"/>
        <w:kinsoku/>
        <w:wordWrap/>
        <w:overflowPunct/>
        <w:topLinePunct w:val="0"/>
        <w:autoSpaceDE/>
        <w:autoSpaceDN/>
        <w:bidi w:val="0"/>
        <w:adjustRightInd w:val="0"/>
        <w:snapToGrid w:val="0"/>
        <w:spacing w:before="0" w:line="348" w:lineRule="auto"/>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2.2.3</w:t>
      </w:r>
      <w:r>
        <w:rPr>
          <w:rFonts w:hint="eastAsia" w:ascii="仿宋" w:hAnsi="仿宋" w:eastAsia="仿宋" w:cs="仿宋"/>
          <w:b/>
          <w:color w:val="000000" w:themeColor="text1"/>
          <w:sz w:val="21"/>
          <w:szCs w:val="21"/>
          <w:lang w:eastAsia="zh-CN"/>
          <w14:textFill>
            <w14:solidFill>
              <w14:schemeClr w14:val="tx1"/>
            </w14:solidFill>
          </w14:textFill>
        </w:rPr>
        <w:t>、</w:t>
      </w:r>
      <w:r>
        <w:rPr>
          <w:rFonts w:hint="eastAsia" w:ascii="仿宋" w:hAnsi="仿宋" w:eastAsia="仿宋" w:cs="仿宋"/>
          <w:b/>
          <w:color w:val="000000" w:themeColor="text1"/>
          <w:sz w:val="21"/>
          <w:szCs w:val="21"/>
          <w14:textFill>
            <w14:solidFill>
              <w14:schemeClr w14:val="tx1"/>
            </w14:solidFill>
          </w14:textFill>
        </w:rPr>
        <w:t>有下列情形之一的，视为</w:t>
      </w:r>
      <w:r>
        <w:rPr>
          <w:rFonts w:hint="eastAsia" w:ascii="仿宋" w:hAnsi="仿宋" w:eastAsia="仿宋" w:cs="仿宋"/>
          <w:b/>
          <w:color w:val="000000" w:themeColor="text1"/>
          <w:sz w:val="21"/>
          <w:szCs w:val="21"/>
          <w:lang w:val="en-US" w:eastAsia="zh-CN"/>
          <w14:textFill>
            <w14:solidFill>
              <w14:schemeClr w14:val="tx1"/>
            </w14:solidFill>
          </w14:textFill>
        </w:rPr>
        <w:t>投标人</w:t>
      </w:r>
      <w:r>
        <w:rPr>
          <w:rFonts w:hint="eastAsia" w:ascii="仿宋" w:hAnsi="仿宋" w:eastAsia="仿宋" w:cs="仿宋"/>
          <w:b/>
          <w:color w:val="000000" w:themeColor="text1"/>
          <w:sz w:val="21"/>
          <w:szCs w:val="21"/>
          <w14:textFill>
            <w14:solidFill>
              <w14:schemeClr w14:val="tx1"/>
            </w14:solidFill>
          </w14:textFill>
        </w:rPr>
        <w:t>相互恶意串通，</w:t>
      </w:r>
      <w:r>
        <w:rPr>
          <w:rFonts w:hint="eastAsia" w:ascii="仿宋" w:hAnsi="仿宋" w:eastAsia="仿宋" w:cs="仿宋"/>
          <w:b/>
          <w:color w:val="000000" w:themeColor="text1"/>
          <w:sz w:val="21"/>
          <w:szCs w:val="21"/>
          <w:lang w:val="en-US" w:eastAsia="zh-CN"/>
          <w14:textFill>
            <w14:solidFill>
              <w14:schemeClr w14:val="tx1"/>
            </w14:solidFill>
          </w14:textFill>
        </w:rPr>
        <w:t>投标</w:t>
      </w:r>
      <w:r>
        <w:rPr>
          <w:rFonts w:hint="eastAsia" w:ascii="仿宋" w:hAnsi="仿宋" w:eastAsia="仿宋" w:cs="仿宋"/>
          <w:b/>
          <w:color w:val="000000" w:themeColor="text1"/>
          <w:sz w:val="21"/>
          <w:szCs w:val="21"/>
          <w14:textFill>
            <w14:solidFill>
              <w14:schemeClr w14:val="tx1"/>
            </w14:solidFill>
          </w14:textFill>
        </w:rPr>
        <w:t>文件无效：</w:t>
      </w:r>
    </w:p>
    <w:p w14:paraId="71978B41">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（1）不同</w:t>
      </w:r>
      <w:r>
        <w:rPr>
          <w:rFonts w:hint="eastAsia" w:ascii="仿宋" w:hAnsi="仿宋" w:eastAsia="仿宋" w:cs="仿宋"/>
          <w:color w:val="000000" w:themeColor="text1"/>
          <w:sz w:val="21"/>
          <w:szCs w:val="21"/>
          <w:lang w:val="en-US"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的</w:t>
      </w:r>
      <w:r>
        <w:rPr>
          <w:rFonts w:hint="eastAsia" w:ascii="仿宋" w:hAnsi="仿宋" w:eastAsia="仿宋" w:cs="仿宋"/>
          <w:color w:val="000000" w:themeColor="text1"/>
          <w:sz w:val="21"/>
          <w:szCs w:val="21"/>
          <w:lang w:val="en-US" w:eastAsia="zh-CN"/>
          <w14:textFill>
            <w14:solidFill>
              <w14:schemeClr w14:val="tx1"/>
            </w14:solidFill>
          </w14:textFill>
        </w:rPr>
        <w:t>投标</w:t>
      </w:r>
      <w:r>
        <w:rPr>
          <w:rFonts w:hint="eastAsia" w:ascii="仿宋" w:hAnsi="仿宋" w:eastAsia="仿宋" w:cs="仿宋"/>
          <w:color w:val="000000" w:themeColor="text1"/>
          <w:sz w:val="21"/>
          <w:szCs w:val="21"/>
          <w14:textFill>
            <w14:solidFill>
              <w14:schemeClr w14:val="tx1"/>
            </w14:solidFill>
          </w14:textFill>
        </w:rPr>
        <w:t>文件由同一单位或者个人编制；</w:t>
      </w:r>
    </w:p>
    <w:p w14:paraId="01A14AC5">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（2）不同</w:t>
      </w:r>
      <w:r>
        <w:rPr>
          <w:rFonts w:hint="eastAsia" w:ascii="仿宋" w:hAnsi="仿宋" w:eastAsia="仿宋" w:cs="仿宋"/>
          <w:color w:val="000000" w:themeColor="text1"/>
          <w:sz w:val="21"/>
          <w:szCs w:val="21"/>
          <w:lang w:val="en-US"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委托同一单位或者个人办理</w:t>
      </w:r>
      <w:r>
        <w:rPr>
          <w:rFonts w:hint="eastAsia" w:ascii="仿宋" w:hAnsi="仿宋" w:eastAsia="仿宋" w:cs="仿宋"/>
          <w:color w:val="000000" w:themeColor="text1"/>
          <w:sz w:val="21"/>
          <w:szCs w:val="21"/>
          <w:lang w:val="en-US" w:eastAsia="zh-CN"/>
          <w14:textFill>
            <w14:solidFill>
              <w14:schemeClr w14:val="tx1"/>
            </w14:solidFill>
          </w14:textFill>
        </w:rPr>
        <w:t>投标</w:t>
      </w:r>
      <w:r>
        <w:rPr>
          <w:rFonts w:hint="eastAsia" w:ascii="仿宋" w:hAnsi="仿宋" w:eastAsia="仿宋" w:cs="仿宋"/>
          <w:color w:val="000000" w:themeColor="text1"/>
          <w:sz w:val="21"/>
          <w:szCs w:val="21"/>
          <w14:textFill>
            <w14:solidFill>
              <w14:schemeClr w14:val="tx1"/>
            </w14:solidFill>
          </w14:textFill>
        </w:rPr>
        <w:t>事宜；</w:t>
      </w:r>
    </w:p>
    <w:p w14:paraId="2546C470">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（3）不同</w:t>
      </w:r>
      <w:r>
        <w:rPr>
          <w:rFonts w:hint="eastAsia" w:ascii="仿宋" w:hAnsi="仿宋" w:eastAsia="仿宋" w:cs="仿宋"/>
          <w:color w:val="000000" w:themeColor="text1"/>
          <w:sz w:val="21"/>
          <w:szCs w:val="21"/>
          <w:lang w:val="en-US"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的</w:t>
      </w:r>
      <w:r>
        <w:rPr>
          <w:rFonts w:hint="eastAsia" w:ascii="仿宋" w:hAnsi="仿宋" w:eastAsia="仿宋" w:cs="仿宋"/>
          <w:color w:val="000000" w:themeColor="text1"/>
          <w:sz w:val="21"/>
          <w:szCs w:val="21"/>
          <w:lang w:val="en-US" w:eastAsia="zh-CN"/>
          <w14:textFill>
            <w14:solidFill>
              <w14:schemeClr w14:val="tx1"/>
            </w14:solidFill>
          </w14:textFill>
        </w:rPr>
        <w:t>投标</w:t>
      </w:r>
      <w:r>
        <w:rPr>
          <w:rFonts w:hint="eastAsia" w:ascii="仿宋" w:hAnsi="仿宋" w:eastAsia="仿宋" w:cs="仿宋"/>
          <w:color w:val="000000" w:themeColor="text1"/>
          <w:sz w:val="21"/>
          <w:szCs w:val="21"/>
          <w14:textFill>
            <w14:solidFill>
              <w14:schemeClr w14:val="tx1"/>
            </w14:solidFill>
          </w14:textFill>
        </w:rPr>
        <w:t>文件载明的项目管理成员为同一人；</w:t>
      </w:r>
    </w:p>
    <w:p w14:paraId="51FEA844">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（4）不同</w:t>
      </w:r>
      <w:r>
        <w:rPr>
          <w:rFonts w:hint="eastAsia" w:ascii="仿宋" w:hAnsi="仿宋" w:eastAsia="仿宋" w:cs="仿宋"/>
          <w:color w:val="000000" w:themeColor="text1"/>
          <w:sz w:val="21"/>
          <w:szCs w:val="21"/>
          <w:lang w:val="en-US"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的</w:t>
      </w:r>
      <w:r>
        <w:rPr>
          <w:rFonts w:hint="eastAsia" w:ascii="仿宋" w:hAnsi="仿宋" w:eastAsia="仿宋" w:cs="仿宋"/>
          <w:color w:val="000000" w:themeColor="text1"/>
          <w:sz w:val="21"/>
          <w:szCs w:val="21"/>
          <w:lang w:val="en-US" w:eastAsia="zh-CN"/>
          <w14:textFill>
            <w14:solidFill>
              <w14:schemeClr w14:val="tx1"/>
            </w14:solidFill>
          </w14:textFill>
        </w:rPr>
        <w:t>投标</w:t>
      </w:r>
      <w:r>
        <w:rPr>
          <w:rFonts w:hint="eastAsia" w:ascii="仿宋" w:hAnsi="仿宋" w:eastAsia="仿宋" w:cs="仿宋"/>
          <w:color w:val="000000" w:themeColor="text1"/>
          <w:sz w:val="21"/>
          <w:szCs w:val="21"/>
          <w14:textFill>
            <w14:solidFill>
              <w14:schemeClr w14:val="tx1"/>
            </w14:solidFill>
          </w14:textFill>
        </w:rPr>
        <w:t>文件异常一致或者报价呈规律性差异；</w:t>
      </w:r>
    </w:p>
    <w:p w14:paraId="4383CC48">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（5）不同</w:t>
      </w:r>
      <w:r>
        <w:rPr>
          <w:rFonts w:hint="eastAsia" w:ascii="仿宋" w:hAnsi="仿宋" w:eastAsia="仿宋" w:cs="仿宋"/>
          <w:color w:val="000000" w:themeColor="text1"/>
          <w:sz w:val="21"/>
          <w:szCs w:val="21"/>
          <w:lang w:val="en-US"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的</w:t>
      </w:r>
      <w:r>
        <w:rPr>
          <w:rFonts w:hint="eastAsia" w:ascii="仿宋" w:hAnsi="仿宋" w:eastAsia="仿宋" w:cs="仿宋"/>
          <w:color w:val="000000" w:themeColor="text1"/>
          <w:sz w:val="21"/>
          <w:szCs w:val="21"/>
          <w:lang w:val="en-US" w:eastAsia="zh-CN"/>
          <w14:textFill>
            <w14:solidFill>
              <w14:schemeClr w14:val="tx1"/>
            </w14:solidFill>
          </w14:textFill>
        </w:rPr>
        <w:t>投标</w:t>
      </w:r>
      <w:r>
        <w:rPr>
          <w:rFonts w:hint="eastAsia" w:ascii="仿宋" w:hAnsi="仿宋" w:eastAsia="仿宋" w:cs="仿宋"/>
          <w:color w:val="000000" w:themeColor="text1"/>
          <w:sz w:val="21"/>
          <w:szCs w:val="21"/>
          <w14:textFill>
            <w14:solidFill>
              <w14:schemeClr w14:val="tx1"/>
            </w14:solidFill>
          </w14:textFill>
        </w:rPr>
        <w:t>文件相互混装；</w:t>
      </w:r>
    </w:p>
    <w:p w14:paraId="6C2F6814">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（6）不同</w:t>
      </w:r>
      <w:r>
        <w:rPr>
          <w:rFonts w:hint="eastAsia" w:ascii="仿宋" w:hAnsi="仿宋" w:eastAsia="仿宋" w:cs="仿宋"/>
          <w:color w:val="000000" w:themeColor="text1"/>
          <w:sz w:val="21"/>
          <w:szCs w:val="21"/>
          <w:lang w:val="en-US"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的</w:t>
      </w:r>
      <w:r>
        <w:rPr>
          <w:rFonts w:hint="eastAsia" w:ascii="仿宋" w:hAnsi="仿宋" w:eastAsia="仿宋" w:cs="仿宋"/>
          <w:color w:val="000000" w:themeColor="text1"/>
          <w:sz w:val="21"/>
          <w:szCs w:val="21"/>
          <w:lang w:val="en-US" w:eastAsia="zh-CN"/>
          <w14:textFill>
            <w14:solidFill>
              <w14:schemeClr w14:val="tx1"/>
            </w14:solidFill>
          </w14:textFill>
        </w:rPr>
        <w:t>投标</w:t>
      </w:r>
      <w:r>
        <w:rPr>
          <w:rFonts w:hint="eastAsia" w:ascii="仿宋" w:hAnsi="仿宋" w:eastAsia="仿宋" w:cs="仿宋"/>
          <w:color w:val="000000" w:themeColor="text1"/>
          <w:sz w:val="21"/>
          <w:szCs w:val="21"/>
          <w14:textFill>
            <w14:solidFill>
              <w14:schemeClr w14:val="tx1"/>
            </w14:solidFill>
          </w14:textFill>
        </w:rPr>
        <w:t>保证金从同一单位或者个人的账户转出（仅限</w:t>
      </w:r>
      <w:r>
        <w:rPr>
          <w:rFonts w:hint="eastAsia" w:ascii="仿宋" w:hAnsi="仿宋" w:eastAsia="仿宋" w:cs="仿宋"/>
          <w:color w:val="000000" w:themeColor="text1"/>
          <w:sz w:val="21"/>
          <w:szCs w:val="21"/>
          <w:lang w:val="en-US"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须知前附表要求</w:t>
      </w:r>
      <w:r>
        <w:rPr>
          <w:rFonts w:hint="eastAsia" w:ascii="仿宋" w:hAnsi="仿宋" w:eastAsia="仿宋" w:cs="仿宋"/>
          <w:color w:val="000000" w:themeColor="text1"/>
          <w:sz w:val="21"/>
          <w:szCs w:val="21"/>
          <w:lang w:val="en-US"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提交</w:t>
      </w:r>
      <w:r>
        <w:rPr>
          <w:rFonts w:hint="eastAsia" w:ascii="仿宋" w:hAnsi="仿宋" w:eastAsia="仿宋" w:cs="仿宋"/>
          <w:color w:val="000000" w:themeColor="text1"/>
          <w:sz w:val="21"/>
          <w:szCs w:val="21"/>
          <w:lang w:val="en-US" w:eastAsia="zh-CN"/>
          <w14:textFill>
            <w14:solidFill>
              <w14:schemeClr w14:val="tx1"/>
            </w14:solidFill>
          </w14:textFill>
        </w:rPr>
        <w:t>投标</w:t>
      </w:r>
      <w:r>
        <w:rPr>
          <w:rFonts w:hint="eastAsia" w:ascii="仿宋" w:hAnsi="仿宋" w:eastAsia="仿宋" w:cs="仿宋"/>
          <w:color w:val="000000" w:themeColor="text1"/>
          <w:sz w:val="21"/>
          <w:szCs w:val="21"/>
          <w14:textFill>
            <w14:solidFill>
              <w14:schemeClr w14:val="tx1"/>
            </w14:solidFill>
          </w14:textFill>
        </w:rPr>
        <w:t>保证金的）。</w:t>
      </w:r>
    </w:p>
    <w:p w14:paraId="75A7AB5B">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2.2.</w:t>
      </w:r>
      <w:r>
        <w:rPr>
          <w:rFonts w:hint="eastAsia" w:ascii="仿宋" w:hAnsi="仿宋" w:eastAsia="仿宋" w:cs="仿宋"/>
          <w:b/>
          <w:color w:val="000000" w:themeColor="text1"/>
          <w:sz w:val="21"/>
          <w:szCs w:val="21"/>
          <w:lang w:val="en-US" w:eastAsia="zh-CN"/>
          <w14:textFill>
            <w14:solidFill>
              <w14:schemeClr w14:val="tx1"/>
            </w14:solidFill>
          </w14:textFill>
        </w:rPr>
        <w:t>4</w:t>
      </w:r>
      <w:r>
        <w:rPr>
          <w:rFonts w:hint="eastAsia" w:ascii="仿宋" w:hAnsi="仿宋" w:eastAsia="仿宋" w:cs="仿宋"/>
          <w:b/>
          <w:color w:val="000000" w:themeColor="text1"/>
          <w:sz w:val="21"/>
          <w:szCs w:val="21"/>
          <w:lang w:eastAsia="zh-CN"/>
          <w14:textFill>
            <w14:solidFill>
              <w14:schemeClr w14:val="tx1"/>
            </w14:solidFill>
          </w14:textFill>
        </w:rPr>
        <w:t>、</w:t>
      </w:r>
      <w:r>
        <w:rPr>
          <w:rFonts w:hint="eastAsia" w:ascii="仿宋" w:hAnsi="仿宋" w:eastAsia="仿宋" w:cs="仿宋"/>
          <w:b/>
          <w:color w:val="000000" w:themeColor="text1"/>
          <w:sz w:val="21"/>
          <w:szCs w:val="21"/>
          <w14:textFill>
            <w14:solidFill>
              <w14:schemeClr w14:val="tx1"/>
            </w14:solidFill>
          </w14:textFill>
        </w:rPr>
        <w:t xml:space="preserve"> 非实质性偏离</w:t>
      </w:r>
    </w:p>
    <w:p w14:paraId="245CDF6F">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非实质性偏离是指</w:t>
      </w:r>
      <w:r>
        <w:rPr>
          <w:rFonts w:hint="eastAsia" w:ascii="仿宋" w:hAnsi="仿宋" w:eastAsia="仿宋" w:cs="仿宋"/>
          <w:color w:val="000000" w:themeColor="text1"/>
          <w:sz w:val="21"/>
          <w:szCs w:val="21"/>
          <w:lang w:val="en-US" w:eastAsia="zh-CN"/>
          <w14:textFill>
            <w14:solidFill>
              <w14:schemeClr w14:val="tx1"/>
            </w14:solidFill>
          </w14:textFill>
        </w:rPr>
        <w:t>投标</w:t>
      </w:r>
      <w:r>
        <w:rPr>
          <w:rFonts w:hint="eastAsia" w:ascii="仿宋" w:hAnsi="仿宋" w:eastAsia="仿宋" w:cs="仿宋"/>
          <w:color w:val="000000" w:themeColor="text1"/>
          <w:sz w:val="21"/>
          <w:szCs w:val="21"/>
          <w14:textFill>
            <w14:solidFill>
              <w14:schemeClr w14:val="tx1"/>
            </w14:solidFill>
          </w14:textFill>
        </w:rPr>
        <w:t>文件在实质上响应</w:t>
      </w:r>
      <w:r>
        <w:rPr>
          <w:rFonts w:hint="eastAsia" w:ascii="仿宋" w:hAnsi="仿宋" w:eastAsia="仿宋" w:cs="仿宋"/>
          <w:color w:val="000000" w:themeColor="text1"/>
          <w:sz w:val="21"/>
          <w:szCs w:val="21"/>
          <w:lang w:val="en-US" w:eastAsia="zh-CN"/>
          <w14:textFill>
            <w14:solidFill>
              <w14:schemeClr w14:val="tx1"/>
            </w14:solidFill>
          </w14:textFill>
        </w:rPr>
        <w:t>招标</w:t>
      </w:r>
      <w:r>
        <w:rPr>
          <w:rFonts w:hint="eastAsia" w:ascii="仿宋" w:hAnsi="仿宋" w:eastAsia="仿宋" w:cs="仿宋"/>
          <w:color w:val="000000" w:themeColor="text1"/>
          <w:sz w:val="21"/>
          <w:szCs w:val="21"/>
          <w14:textFill>
            <w14:solidFill>
              <w14:schemeClr w14:val="tx1"/>
            </w14:solidFill>
          </w14:textFill>
        </w:rPr>
        <w:t>文件的要求，但在个别地方存在一些不规则、不一致、不完整的内容，并且澄清、说明或者补正这些内容不会改变</w:t>
      </w:r>
      <w:r>
        <w:rPr>
          <w:rFonts w:hint="eastAsia" w:ascii="仿宋" w:hAnsi="仿宋" w:eastAsia="仿宋" w:cs="仿宋"/>
          <w:color w:val="000000" w:themeColor="text1"/>
          <w:sz w:val="21"/>
          <w:szCs w:val="21"/>
          <w:lang w:eastAsia="zh-CN"/>
          <w14:textFill>
            <w14:solidFill>
              <w14:schemeClr w14:val="tx1"/>
            </w14:solidFill>
          </w14:textFill>
        </w:rPr>
        <w:t>投标文件</w:t>
      </w:r>
      <w:r>
        <w:rPr>
          <w:rFonts w:hint="eastAsia" w:ascii="仿宋" w:hAnsi="仿宋" w:eastAsia="仿宋" w:cs="仿宋"/>
          <w:color w:val="000000" w:themeColor="text1"/>
          <w:sz w:val="21"/>
          <w:szCs w:val="21"/>
          <w14:textFill>
            <w14:solidFill>
              <w14:schemeClr w14:val="tx1"/>
            </w14:solidFill>
          </w14:textFill>
        </w:rPr>
        <w:t>的实质性内容。以下情况属于非实质性偏离：</w:t>
      </w:r>
    </w:p>
    <w:p w14:paraId="4E797A22">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（1）文字表述的内容含义不明确；</w:t>
      </w:r>
    </w:p>
    <w:p w14:paraId="23B493EC">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（2）同类问题表述不一致；</w:t>
      </w:r>
    </w:p>
    <w:p w14:paraId="326F050A">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（3）有明显文字和计算错误；</w:t>
      </w:r>
    </w:p>
    <w:p w14:paraId="43053C3D">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4</w:t>
      </w:r>
      <w:r>
        <w:rPr>
          <w:rFonts w:hint="eastAsia" w:ascii="仿宋" w:hAnsi="仿宋" w:eastAsia="仿宋" w:cs="仿宋"/>
          <w:color w:val="000000" w:themeColor="text1"/>
          <w:sz w:val="21"/>
          <w:szCs w:val="21"/>
          <w14:textFill>
            <w14:solidFill>
              <w14:schemeClr w14:val="tx1"/>
            </w14:solidFill>
          </w14:textFill>
        </w:rPr>
        <w:t>）正副本数量齐全、密封完好，只是未按照</w:t>
      </w:r>
      <w:r>
        <w:rPr>
          <w:rFonts w:hint="eastAsia" w:ascii="仿宋" w:hAnsi="仿宋" w:eastAsia="仿宋" w:cs="仿宋"/>
          <w:color w:val="000000" w:themeColor="text1"/>
          <w:sz w:val="21"/>
          <w:szCs w:val="21"/>
          <w:lang w:val="en-US" w:eastAsia="zh-CN"/>
          <w14:textFill>
            <w14:solidFill>
              <w14:schemeClr w14:val="tx1"/>
            </w14:solidFill>
          </w14:textFill>
        </w:rPr>
        <w:t>招标</w:t>
      </w:r>
      <w:r>
        <w:rPr>
          <w:rFonts w:hint="eastAsia" w:ascii="仿宋" w:hAnsi="仿宋" w:eastAsia="仿宋" w:cs="仿宋"/>
          <w:color w:val="000000" w:themeColor="text1"/>
          <w:sz w:val="21"/>
          <w:szCs w:val="21"/>
          <w14:textFill>
            <w14:solidFill>
              <w14:schemeClr w14:val="tx1"/>
            </w14:solidFill>
          </w14:textFill>
        </w:rPr>
        <w:t>文件要求进行分装或者统装；</w:t>
      </w:r>
    </w:p>
    <w:p w14:paraId="0ED1D98A">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5</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eastAsia="zh-CN"/>
          <w14:textFill>
            <w14:solidFill>
              <w14:schemeClr w14:val="tx1"/>
            </w14:solidFill>
          </w14:textFill>
        </w:rPr>
        <w:t>投标文件</w:t>
      </w:r>
      <w:r>
        <w:rPr>
          <w:rFonts w:hint="eastAsia" w:ascii="仿宋" w:hAnsi="仿宋" w:eastAsia="仿宋" w:cs="仿宋"/>
          <w:color w:val="000000" w:themeColor="text1"/>
          <w:sz w:val="21"/>
          <w:szCs w:val="21"/>
          <w14:textFill>
            <w14:solidFill>
              <w14:schemeClr w14:val="tx1"/>
            </w14:solidFill>
          </w14:textFill>
        </w:rPr>
        <w:t>未按</w:t>
      </w:r>
      <w:r>
        <w:rPr>
          <w:rFonts w:hint="eastAsia" w:ascii="仿宋" w:hAnsi="仿宋" w:eastAsia="仿宋" w:cs="仿宋"/>
          <w:color w:val="000000" w:themeColor="text1"/>
          <w:sz w:val="21"/>
          <w:szCs w:val="21"/>
          <w:lang w:val="en-US" w:eastAsia="zh-CN"/>
          <w14:textFill>
            <w14:solidFill>
              <w14:schemeClr w14:val="tx1"/>
            </w14:solidFill>
          </w14:textFill>
        </w:rPr>
        <w:t>招标</w:t>
      </w:r>
      <w:r>
        <w:rPr>
          <w:rFonts w:hint="eastAsia" w:ascii="仿宋" w:hAnsi="仿宋" w:eastAsia="仿宋" w:cs="仿宋"/>
          <w:color w:val="000000" w:themeColor="text1"/>
          <w:sz w:val="21"/>
          <w:szCs w:val="21"/>
          <w14:textFill>
            <w14:solidFill>
              <w14:schemeClr w14:val="tx1"/>
            </w14:solidFill>
          </w14:textFill>
        </w:rPr>
        <w:t>文件要求进行编制目录、页码或者页码混乱；</w:t>
      </w:r>
    </w:p>
    <w:p w14:paraId="1239D657">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6</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eastAsia="zh-CN"/>
          <w14:textFill>
            <w14:solidFill>
              <w14:schemeClr w14:val="tx1"/>
            </w14:solidFill>
          </w14:textFill>
        </w:rPr>
        <w:t>评标委员会</w:t>
      </w:r>
      <w:r>
        <w:rPr>
          <w:rFonts w:hint="eastAsia" w:ascii="仿宋" w:hAnsi="仿宋" w:eastAsia="仿宋" w:cs="仿宋"/>
          <w:color w:val="000000" w:themeColor="text1"/>
          <w:sz w:val="21"/>
          <w:szCs w:val="21"/>
          <w14:textFill>
            <w14:solidFill>
              <w14:schemeClr w14:val="tx1"/>
            </w14:solidFill>
          </w14:textFill>
        </w:rPr>
        <w:t>认定的其他非实质性偏离。</w:t>
      </w:r>
    </w:p>
    <w:p w14:paraId="14061852">
      <w:pPr>
        <w:keepNext w:val="0"/>
        <w:keepLines w:val="0"/>
        <w:pageBreakBefore w:val="0"/>
        <w:widowControl w:val="0"/>
        <w:tabs>
          <w:tab w:val="left" w:pos="7665"/>
        </w:tabs>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投标</w:t>
      </w:r>
      <w:r>
        <w:rPr>
          <w:rFonts w:hint="eastAsia" w:ascii="仿宋" w:hAnsi="仿宋" w:eastAsia="仿宋" w:cs="仿宋"/>
          <w:color w:val="000000" w:themeColor="text1"/>
          <w:sz w:val="21"/>
          <w:szCs w:val="21"/>
          <w14:textFill>
            <w14:solidFill>
              <w14:schemeClr w14:val="tx1"/>
            </w14:solidFill>
          </w14:textFill>
        </w:rPr>
        <w:t>文件有上述（1）至（</w:t>
      </w:r>
      <w:r>
        <w:rPr>
          <w:rFonts w:hint="eastAsia" w:ascii="仿宋" w:hAnsi="仿宋" w:eastAsia="仿宋" w:cs="仿宋"/>
          <w:color w:val="000000" w:themeColor="text1"/>
          <w:sz w:val="21"/>
          <w:szCs w:val="21"/>
          <w:lang w:val="en-US" w:eastAsia="zh-CN"/>
          <w14:textFill>
            <w14:solidFill>
              <w14:schemeClr w14:val="tx1"/>
            </w14:solidFill>
          </w14:textFill>
        </w:rPr>
        <w:t>4</w:t>
      </w:r>
      <w:r>
        <w:rPr>
          <w:rFonts w:hint="eastAsia" w:ascii="仿宋" w:hAnsi="仿宋" w:eastAsia="仿宋" w:cs="仿宋"/>
          <w:color w:val="000000" w:themeColor="text1"/>
          <w:sz w:val="21"/>
          <w:szCs w:val="21"/>
          <w14:textFill>
            <w14:solidFill>
              <w14:schemeClr w14:val="tx1"/>
            </w14:solidFill>
          </w14:textFill>
        </w:rPr>
        <w:t>）情形之一的，</w:t>
      </w:r>
      <w:r>
        <w:rPr>
          <w:rFonts w:hint="eastAsia" w:ascii="仿宋" w:hAnsi="仿宋" w:eastAsia="仿宋" w:cs="仿宋"/>
          <w:color w:val="000000" w:themeColor="text1"/>
          <w:sz w:val="21"/>
          <w:szCs w:val="21"/>
          <w:lang w:val="en-US" w:eastAsia="zh-CN"/>
          <w14:textFill>
            <w14:solidFill>
              <w14:schemeClr w14:val="tx1"/>
            </w14:solidFill>
          </w14:textFill>
        </w:rPr>
        <w:t>评标委员会</w:t>
      </w:r>
      <w:r>
        <w:rPr>
          <w:rFonts w:hint="eastAsia" w:ascii="仿宋" w:hAnsi="仿宋" w:eastAsia="仿宋" w:cs="仿宋"/>
          <w:color w:val="000000" w:themeColor="text1"/>
          <w:sz w:val="21"/>
          <w:szCs w:val="21"/>
          <w14:textFill>
            <w14:solidFill>
              <w14:schemeClr w14:val="tx1"/>
            </w14:solidFill>
          </w14:textFill>
        </w:rPr>
        <w:t>应当书面要求</w:t>
      </w:r>
      <w:r>
        <w:rPr>
          <w:rFonts w:hint="eastAsia" w:ascii="仿宋" w:hAnsi="仿宋" w:eastAsia="仿宋" w:cs="仿宋"/>
          <w:color w:val="000000" w:themeColor="text1"/>
          <w:sz w:val="21"/>
          <w:szCs w:val="21"/>
          <w:lang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在规定的时间内予以</w:t>
      </w:r>
      <w:r>
        <w:rPr>
          <w:rFonts w:hint="eastAsia" w:ascii="仿宋" w:hAnsi="仿宋" w:eastAsia="仿宋" w:cs="仿宋"/>
          <w:b w:val="0"/>
          <w:bCs w:val="0"/>
          <w:color w:val="000000" w:themeColor="text1"/>
          <w:sz w:val="21"/>
          <w:szCs w:val="21"/>
          <w14:textFill>
            <w14:solidFill>
              <w14:schemeClr w14:val="tx1"/>
            </w14:solidFill>
          </w14:textFill>
        </w:rPr>
        <w:t xml:space="preserve">澄清、说明或补正。 </w:t>
      </w:r>
    </w:p>
    <w:p w14:paraId="58F25C44">
      <w:pPr>
        <w:keepNext w:val="0"/>
        <w:keepLines w:val="0"/>
        <w:pageBreakBefore w:val="0"/>
        <w:widowControl w:val="0"/>
        <w:tabs>
          <w:tab w:val="left" w:pos="0"/>
        </w:tabs>
        <w:kinsoku/>
        <w:wordWrap/>
        <w:overflowPunct/>
        <w:topLinePunct w:val="0"/>
        <w:autoSpaceDE/>
        <w:autoSpaceDN/>
        <w:bidi w:val="0"/>
        <w:adjustRightInd w:val="0"/>
        <w:snapToGrid w:val="0"/>
        <w:spacing w:line="348" w:lineRule="auto"/>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2.2.</w:t>
      </w:r>
      <w:r>
        <w:rPr>
          <w:rFonts w:hint="eastAsia" w:ascii="仿宋" w:hAnsi="仿宋" w:eastAsia="仿宋" w:cs="仿宋"/>
          <w:b/>
          <w:color w:val="000000" w:themeColor="text1"/>
          <w:sz w:val="21"/>
          <w:szCs w:val="21"/>
          <w:lang w:val="en-US" w:eastAsia="zh-CN"/>
          <w14:textFill>
            <w14:solidFill>
              <w14:schemeClr w14:val="tx1"/>
            </w14:solidFill>
          </w14:textFill>
        </w:rPr>
        <w:t>5</w:t>
      </w:r>
      <w:r>
        <w:rPr>
          <w:rFonts w:hint="eastAsia" w:ascii="仿宋" w:hAnsi="仿宋" w:eastAsia="仿宋" w:cs="仿宋"/>
          <w:b/>
          <w:color w:val="000000" w:themeColor="text1"/>
          <w:sz w:val="21"/>
          <w:szCs w:val="21"/>
          <w:lang w:eastAsia="zh-CN"/>
          <w14:textFill>
            <w14:solidFill>
              <w14:schemeClr w14:val="tx1"/>
            </w14:solidFill>
          </w14:textFill>
        </w:rPr>
        <w:t>、</w:t>
      </w:r>
      <w:r>
        <w:rPr>
          <w:rFonts w:hint="eastAsia" w:ascii="仿宋" w:hAnsi="仿宋" w:eastAsia="仿宋" w:cs="仿宋"/>
          <w:b/>
          <w:color w:val="000000" w:themeColor="text1"/>
          <w:sz w:val="21"/>
          <w:szCs w:val="21"/>
          <w14:textFill>
            <w14:solidFill>
              <w14:schemeClr w14:val="tx1"/>
            </w14:solidFill>
          </w14:textFill>
        </w:rPr>
        <w:t>未通过符合性检查的</w:t>
      </w:r>
      <w:r>
        <w:rPr>
          <w:rFonts w:hint="eastAsia" w:ascii="仿宋" w:hAnsi="仿宋" w:eastAsia="仿宋" w:cs="仿宋"/>
          <w:b/>
          <w:color w:val="000000" w:themeColor="text1"/>
          <w:sz w:val="21"/>
          <w:szCs w:val="21"/>
          <w:lang w:val="en-US" w:eastAsia="zh-CN"/>
          <w14:textFill>
            <w14:solidFill>
              <w14:schemeClr w14:val="tx1"/>
            </w14:solidFill>
          </w14:textFill>
        </w:rPr>
        <w:t>投标人</w:t>
      </w:r>
      <w:r>
        <w:rPr>
          <w:rFonts w:hint="eastAsia" w:ascii="仿宋" w:hAnsi="仿宋" w:eastAsia="仿宋" w:cs="仿宋"/>
          <w:b/>
          <w:color w:val="000000" w:themeColor="text1"/>
          <w:sz w:val="21"/>
          <w:szCs w:val="21"/>
          <w14:textFill>
            <w14:solidFill>
              <w14:schemeClr w14:val="tx1"/>
            </w14:solidFill>
          </w14:textFill>
        </w:rPr>
        <w:t>，不得进入后续</w:t>
      </w:r>
      <w:r>
        <w:rPr>
          <w:rFonts w:hint="eastAsia" w:ascii="仿宋" w:hAnsi="仿宋" w:eastAsia="仿宋" w:cs="仿宋"/>
          <w:b/>
          <w:color w:val="000000" w:themeColor="text1"/>
          <w:sz w:val="21"/>
          <w:szCs w:val="21"/>
          <w:lang w:val="en-US" w:eastAsia="zh-CN"/>
          <w14:textFill>
            <w14:solidFill>
              <w14:schemeClr w14:val="tx1"/>
            </w14:solidFill>
          </w14:textFill>
        </w:rPr>
        <w:t>评标</w:t>
      </w:r>
      <w:r>
        <w:rPr>
          <w:rFonts w:hint="eastAsia" w:ascii="仿宋" w:hAnsi="仿宋" w:eastAsia="仿宋" w:cs="仿宋"/>
          <w:b/>
          <w:color w:val="000000" w:themeColor="text1"/>
          <w:sz w:val="21"/>
          <w:szCs w:val="21"/>
          <w14:textFill>
            <w14:solidFill>
              <w14:schemeClr w14:val="tx1"/>
            </w14:solidFill>
          </w14:textFill>
        </w:rPr>
        <w:t>环节。</w:t>
      </w:r>
    </w:p>
    <w:p w14:paraId="1C494EAD">
      <w:pPr>
        <w:keepNext w:val="0"/>
        <w:keepLines w:val="0"/>
        <w:pageBreakBefore w:val="0"/>
        <w:shd w:val="clear"/>
        <w:kinsoku/>
        <w:wordWrap/>
        <w:overflowPunct/>
        <w:topLinePunct w:val="0"/>
        <w:bidi w:val="0"/>
        <w:adjustRightInd w:val="0"/>
        <w:snapToGrid w:val="0"/>
        <w:spacing w:line="360" w:lineRule="auto"/>
        <w:ind w:right="0"/>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2.</w:t>
      </w:r>
      <w:r>
        <w:rPr>
          <w:rFonts w:hint="eastAsia" w:ascii="仿宋" w:hAnsi="仿宋" w:eastAsia="仿宋" w:cs="仿宋"/>
          <w:b/>
          <w:color w:val="000000" w:themeColor="text1"/>
          <w:sz w:val="21"/>
          <w:szCs w:val="21"/>
          <w:highlight w:val="none"/>
          <w:lang w:val="en-US" w:eastAsia="zh-CN"/>
          <w14:textFill>
            <w14:solidFill>
              <w14:schemeClr w14:val="tx1"/>
            </w14:solidFill>
          </w14:textFill>
        </w:rPr>
        <w:t>3</w:t>
      </w:r>
      <w:r>
        <w:rPr>
          <w:rFonts w:hint="eastAsia" w:ascii="仿宋" w:hAnsi="仿宋" w:eastAsia="仿宋" w:cs="仿宋"/>
          <w:b/>
          <w:color w:val="000000" w:themeColor="text1"/>
          <w:sz w:val="21"/>
          <w:szCs w:val="21"/>
          <w:highlight w:val="none"/>
          <w14:textFill>
            <w14:solidFill>
              <w14:schemeClr w14:val="tx1"/>
            </w14:solidFill>
          </w14:textFill>
        </w:rPr>
        <w:t>、投标文件的澄清</w:t>
      </w:r>
    </w:p>
    <w:p w14:paraId="1967079D">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w:t>
      </w: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14:textFill>
            <w14:solidFill>
              <w14:schemeClr w14:val="tx1"/>
            </w14:solidFill>
          </w14:textFill>
        </w:rPr>
        <w:t>对于</w:t>
      </w:r>
      <w:r>
        <w:rPr>
          <w:rFonts w:hint="eastAsia" w:ascii="仿宋" w:hAnsi="仿宋" w:eastAsia="仿宋" w:cs="仿宋"/>
          <w:color w:val="000000" w:themeColor="text1"/>
          <w:sz w:val="21"/>
          <w:szCs w:val="21"/>
          <w:lang w:val="en-US" w:eastAsia="zh-CN"/>
          <w14:textFill>
            <w14:solidFill>
              <w14:schemeClr w14:val="tx1"/>
            </w14:solidFill>
          </w14:textFill>
        </w:rPr>
        <w:t>投标</w:t>
      </w:r>
      <w:r>
        <w:rPr>
          <w:rFonts w:hint="eastAsia" w:ascii="仿宋" w:hAnsi="仿宋" w:eastAsia="仿宋" w:cs="仿宋"/>
          <w:color w:val="000000" w:themeColor="text1"/>
          <w:sz w:val="21"/>
          <w:szCs w:val="21"/>
          <w14:textFill>
            <w14:solidFill>
              <w14:schemeClr w14:val="tx1"/>
            </w14:solidFill>
          </w14:textFill>
        </w:rPr>
        <w:t>文件中含义不明确、同类问题表述不一致或者有明显文字和计算错误的内容，可以以书面形式要求</w:t>
      </w:r>
      <w:r>
        <w:rPr>
          <w:rFonts w:hint="eastAsia" w:ascii="仿宋" w:hAnsi="仿宋" w:eastAsia="仿宋" w:cs="仿宋"/>
          <w:color w:val="000000" w:themeColor="text1"/>
          <w:sz w:val="21"/>
          <w:szCs w:val="21"/>
          <w:lang w:val="en-US"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作出必要的澄清、说明或者补正。涉及</w:t>
      </w:r>
      <w:r>
        <w:rPr>
          <w:rFonts w:hint="eastAsia" w:ascii="仿宋" w:hAnsi="仿宋" w:eastAsia="仿宋" w:cs="仿宋"/>
          <w:color w:val="000000" w:themeColor="text1"/>
          <w:sz w:val="21"/>
          <w:szCs w:val="21"/>
          <w:lang w:val="en-US" w:eastAsia="zh-CN"/>
          <w14:textFill>
            <w14:solidFill>
              <w14:schemeClr w14:val="tx1"/>
            </w14:solidFill>
          </w14:textFill>
        </w:rPr>
        <w:t>投标</w:t>
      </w:r>
      <w:r>
        <w:rPr>
          <w:rFonts w:hint="eastAsia" w:ascii="仿宋" w:hAnsi="仿宋" w:eastAsia="仿宋" w:cs="仿宋"/>
          <w:color w:val="000000" w:themeColor="text1"/>
          <w:sz w:val="21"/>
          <w:szCs w:val="21"/>
          <w14:textFill>
            <w14:solidFill>
              <w14:schemeClr w14:val="tx1"/>
            </w14:solidFill>
          </w14:textFill>
        </w:rPr>
        <w:t>文件资格部分的，由资格审查小组负责组织，涉及</w:t>
      </w:r>
      <w:r>
        <w:rPr>
          <w:rFonts w:hint="eastAsia" w:ascii="仿宋" w:hAnsi="仿宋" w:eastAsia="仿宋" w:cs="仿宋"/>
          <w:color w:val="000000" w:themeColor="text1"/>
          <w:sz w:val="21"/>
          <w:szCs w:val="21"/>
          <w:lang w:val="en-US" w:eastAsia="zh-CN"/>
          <w14:textFill>
            <w14:solidFill>
              <w14:schemeClr w14:val="tx1"/>
            </w14:solidFill>
          </w14:textFill>
        </w:rPr>
        <w:t>投标</w:t>
      </w:r>
      <w:r>
        <w:rPr>
          <w:rFonts w:hint="eastAsia" w:ascii="仿宋" w:hAnsi="仿宋" w:eastAsia="仿宋" w:cs="仿宋"/>
          <w:color w:val="000000" w:themeColor="text1"/>
          <w:sz w:val="21"/>
          <w:szCs w:val="21"/>
          <w14:textFill>
            <w14:solidFill>
              <w14:schemeClr w14:val="tx1"/>
            </w14:solidFill>
          </w14:textFill>
        </w:rPr>
        <w:t>文件其他部分的，由</w:t>
      </w:r>
      <w:r>
        <w:rPr>
          <w:rFonts w:hint="eastAsia" w:ascii="仿宋" w:hAnsi="仿宋" w:eastAsia="仿宋" w:cs="仿宋"/>
          <w:color w:val="000000" w:themeColor="text1"/>
          <w:sz w:val="21"/>
          <w:szCs w:val="21"/>
          <w:lang w:val="en-US" w:eastAsia="zh-CN"/>
          <w14:textFill>
            <w14:solidFill>
              <w14:schemeClr w14:val="tx1"/>
            </w14:solidFill>
          </w14:textFill>
        </w:rPr>
        <w:t>评标委员会</w:t>
      </w:r>
      <w:r>
        <w:rPr>
          <w:rFonts w:hint="eastAsia" w:ascii="仿宋" w:hAnsi="仿宋" w:eastAsia="仿宋" w:cs="仿宋"/>
          <w:color w:val="000000" w:themeColor="text1"/>
          <w:sz w:val="21"/>
          <w:szCs w:val="21"/>
          <w14:textFill>
            <w14:solidFill>
              <w14:schemeClr w14:val="tx1"/>
            </w14:solidFill>
          </w14:textFill>
        </w:rPr>
        <w:t>负责组织。</w:t>
      </w:r>
    </w:p>
    <w:p w14:paraId="02CDA78E">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2.3.2、投标人</w:t>
      </w:r>
      <w:r>
        <w:rPr>
          <w:rFonts w:hint="eastAsia" w:ascii="仿宋" w:hAnsi="仿宋" w:eastAsia="仿宋" w:cs="仿宋"/>
          <w:color w:val="000000" w:themeColor="text1"/>
          <w:sz w:val="21"/>
          <w:szCs w:val="21"/>
          <w14:textFill>
            <w14:solidFill>
              <w14:schemeClr w14:val="tx1"/>
            </w14:solidFill>
          </w14:textFill>
        </w:rPr>
        <w:t>的澄清、说明或者补正应当采用书面形式，并加盖单位章，或者由其法定代表人或其委托代理人签名。</w:t>
      </w:r>
      <w:r>
        <w:rPr>
          <w:rFonts w:hint="eastAsia" w:ascii="仿宋" w:hAnsi="仿宋" w:eastAsia="仿宋" w:cs="仿宋"/>
          <w:color w:val="000000" w:themeColor="text1"/>
          <w:sz w:val="21"/>
          <w:szCs w:val="21"/>
          <w:lang w:val="en-US"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的澄清、说明或者补正不得超出</w:t>
      </w:r>
      <w:r>
        <w:rPr>
          <w:rFonts w:hint="eastAsia" w:ascii="仿宋" w:hAnsi="仿宋" w:eastAsia="仿宋" w:cs="仿宋"/>
          <w:color w:val="000000" w:themeColor="text1"/>
          <w:sz w:val="21"/>
          <w:szCs w:val="21"/>
          <w:lang w:val="en-US" w:eastAsia="zh-CN"/>
          <w14:textFill>
            <w14:solidFill>
              <w14:schemeClr w14:val="tx1"/>
            </w14:solidFill>
          </w14:textFill>
        </w:rPr>
        <w:t>投标</w:t>
      </w:r>
      <w:r>
        <w:rPr>
          <w:rFonts w:hint="eastAsia" w:ascii="仿宋" w:hAnsi="仿宋" w:eastAsia="仿宋" w:cs="仿宋"/>
          <w:color w:val="000000" w:themeColor="text1"/>
          <w:sz w:val="21"/>
          <w:szCs w:val="21"/>
          <w14:textFill>
            <w14:solidFill>
              <w14:schemeClr w14:val="tx1"/>
            </w14:solidFill>
          </w14:textFill>
        </w:rPr>
        <w:t>文件的范围或者改变</w:t>
      </w:r>
      <w:r>
        <w:rPr>
          <w:rFonts w:hint="eastAsia" w:ascii="仿宋" w:hAnsi="仿宋" w:eastAsia="仿宋" w:cs="仿宋"/>
          <w:color w:val="000000" w:themeColor="text1"/>
          <w:sz w:val="21"/>
          <w:szCs w:val="21"/>
          <w:lang w:val="en-US" w:eastAsia="zh-CN"/>
          <w14:textFill>
            <w14:solidFill>
              <w14:schemeClr w14:val="tx1"/>
            </w14:solidFill>
          </w14:textFill>
        </w:rPr>
        <w:t>投标</w:t>
      </w:r>
      <w:r>
        <w:rPr>
          <w:rFonts w:hint="eastAsia" w:ascii="仿宋" w:hAnsi="仿宋" w:eastAsia="仿宋" w:cs="仿宋"/>
          <w:color w:val="000000" w:themeColor="text1"/>
          <w:sz w:val="21"/>
          <w:szCs w:val="21"/>
          <w14:textFill>
            <w14:solidFill>
              <w14:schemeClr w14:val="tx1"/>
            </w14:solidFill>
          </w14:textFill>
        </w:rPr>
        <w:t>文件的实质性内容，并构成为</w:t>
      </w:r>
      <w:r>
        <w:rPr>
          <w:rFonts w:hint="eastAsia" w:ascii="仿宋" w:hAnsi="仿宋" w:eastAsia="仿宋" w:cs="仿宋"/>
          <w:color w:val="000000" w:themeColor="text1"/>
          <w:sz w:val="21"/>
          <w:szCs w:val="21"/>
          <w:lang w:val="en-US" w:eastAsia="zh-CN"/>
          <w14:textFill>
            <w14:solidFill>
              <w14:schemeClr w14:val="tx1"/>
            </w14:solidFill>
          </w14:textFill>
        </w:rPr>
        <w:t>投标</w:t>
      </w:r>
      <w:r>
        <w:rPr>
          <w:rFonts w:hint="eastAsia" w:ascii="仿宋" w:hAnsi="仿宋" w:eastAsia="仿宋" w:cs="仿宋"/>
          <w:color w:val="000000" w:themeColor="text1"/>
          <w:sz w:val="21"/>
          <w:szCs w:val="21"/>
          <w14:textFill>
            <w14:solidFill>
              <w14:schemeClr w14:val="tx1"/>
            </w14:solidFill>
          </w14:textFill>
        </w:rPr>
        <w:t>文件的组成部分。</w:t>
      </w:r>
    </w:p>
    <w:p w14:paraId="00C2FC20">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.3.3</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对</w:t>
      </w:r>
      <w:r>
        <w:rPr>
          <w:rFonts w:hint="eastAsia" w:ascii="仿宋" w:hAnsi="仿宋" w:eastAsia="仿宋" w:cs="仿宋"/>
          <w:color w:val="000000" w:themeColor="text1"/>
          <w:sz w:val="21"/>
          <w:szCs w:val="21"/>
          <w:lang w:val="en-US"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提交的澄清、说明或者补正有疑问的，可以要求</w:t>
      </w:r>
      <w:r>
        <w:rPr>
          <w:rFonts w:hint="eastAsia" w:ascii="仿宋" w:hAnsi="仿宋" w:eastAsia="仿宋" w:cs="仿宋"/>
          <w:color w:val="000000" w:themeColor="text1"/>
          <w:sz w:val="21"/>
          <w:szCs w:val="21"/>
          <w:lang w:val="en-US"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进一步澄清、说明或者补正，直至满足</w:t>
      </w:r>
      <w:r>
        <w:rPr>
          <w:rFonts w:hint="eastAsia" w:ascii="仿宋" w:hAnsi="仿宋" w:eastAsia="仿宋" w:cs="仿宋"/>
          <w:color w:val="000000" w:themeColor="text1"/>
          <w:sz w:val="21"/>
          <w:szCs w:val="21"/>
          <w:lang w:val="en-US" w:eastAsia="zh-CN"/>
          <w14:textFill>
            <w14:solidFill>
              <w14:schemeClr w14:val="tx1"/>
            </w14:solidFill>
          </w14:textFill>
        </w:rPr>
        <w:t>评标委员会</w:t>
      </w:r>
      <w:r>
        <w:rPr>
          <w:rFonts w:hint="eastAsia" w:ascii="仿宋" w:hAnsi="仿宋" w:eastAsia="仿宋" w:cs="仿宋"/>
          <w:color w:val="000000" w:themeColor="text1"/>
          <w:sz w:val="21"/>
          <w:szCs w:val="21"/>
          <w14:textFill>
            <w14:solidFill>
              <w14:schemeClr w14:val="tx1"/>
            </w14:solidFill>
          </w14:textFill>
        </w:rPr>
        <w:t>的要求。</w:t>
      </w:r>
    </w:p>
    <w:p w14:paraId="07C194F4">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.3.4</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 xml:space="preserve"> </w:t>
      </w:r>
      <w:r>
        <w:rPr>
          <w:rFonts w:hint="eastAsia" w:ascii="仿宋" w:hAnsi="仿宋" w:eastAsia="仿宋" w:cs="仿宋"/>
          <w:color w:val="000000" w:themeColor="text1"/>
          <w:sz w:val="21"/>
          <w:szCs w:val="21"/>
          <w:lang w:val="en-US" w:eastAsia="zh-CN"/>
          <w14:textFill>
            <w14:solidFill>
              <w14:schemeClr w14:val="tx1"/>
            </w14:solidFill>
          </w14:textFill>
        </w:rPr>
        <w:t>评标委员会</w:t>
      </w:r>
      <w:r>
        <w:rPr>
          <w:rFonts w:hint="eastAsia" w:ascii="仿宋" w:hAnsi="仿宋" w:eastAsia="仿宋" w:cs="仿宋"/>
          <w:color w:val="000000" w:themeColor="text1"/>
          <w:sz w:val="21"/>
          <w:szCs w:val="21"/>
          <w14:textFill>
            <w14:solidFill>
              <w14:schemeClr w14:val="tx1"/>
            </w14:solidFill>
          </w14:textFill>
        </w:rPr>
        <w:t>不得暗示或诱导</w:t>
      </w:r>
      <w:r>
        <w:rPr>
          <w:rFonts w:hint="eastAsia" w:ascii="仿宋" w:hAnsi="仿宋" w:eastAsia="仿宋" w:cs="仿宋"/>
          <w:color w:val="000000" w:themeColor="text1"/>
          <w:sz w:val="21"/>
          <w:szCs w:val="21"/>
          <w:lang w:val="en-US"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作出澄清、说明或者更正，不得接受</w:t>
      </w:r>
      <w:r>
        <w:rPr>
          <w:rFonts w:hint="eastAsia" w:ascii="仿宋" w:hAnsi="仿宋" w:eastAsia="仿宋" w:cs="仿宋"/>
          <w:color w:val="000000" w:themeColor="text1"/>
          <w:sz w:val="21"/>
          <w:szCs w:val="21"/>
          <w:lang w:val="en-US"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主动提出的澄清、说明或者补正。</w:t>
      </w:r>
    </w:p>
    <w:p w14:paraId="52BBD00E">
      <w:pPr>
        <w:keepNext w:val="0"/>
        <w:keepLines w:val="0"/>
        <w:pageBreakBefore w:val="0"/>
        <w:shd w:val="clear"/>
        <w:kinsoku/>
        <w:wordWrap/>
        <w:overflowPunct/>
        <w:topLinePunct w:val="0"/>
        <w:bidi w:val="0"/>
        <w:adjustRightInd w:val="0"/>
        <w:snapToGrid w:val="0"/>
        <w:spacing w:line="360" w:lineRule="auto"/>
        <w:ind w:right="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w:t>
      </w:r>
      <w:r>
        <w:rPr>
          <w:rFonts w:hint="eastAsia" w:ascii="仿宋" w:hAnsi="仿宋" w:eastAsia="仿宋" w:cs="仿宋"/>
          <w:b/>
          <w:color w:val="000000" w:themeColor="text1"/>
          <w:szCs w:val="21"/>
          <w:highlight w:val="none"/>
          <w:lang w:val="en-US" w:eastAsia="zh-CN"/>
          <w14:textFill>
            <w14:solidFill>
              <w14:schemeClr w14:val="tx1"/>
            </w14:solidFill>
          </w14:textFill>
        </w:rPr>
        <w:t>4</w:t>
      </w:r>
      <w:r>
        <w:rPr>
          <w:rFonts w:hint="eastAsia" w:ascii="仿宋" w:hAnsi="仿宋" w:eastAsia="仿宋" w:cs="仿宋"/>
          <w:b/>
          <w:color w:val="000000" w:themeColor="text1"/>
          <w:szCs w:val="21"/>
          <w:highlight w:val="none"/>
          <w14:textFill>
            <w14:solidFill>
              <w14:schemeClr w14:val="tx1"/>
            </w14:solidFill>
          </w14:textFill>
        </w:rPr>
        <w:t>、投标文件详细评审</w:t>
      </w:r>
    </w:p>
    <w:p w14:paraId="76FB3AEE">
      <w:pPr>
        <w:keepNext w:val="0"/>
        <w:keepLines w:val="0"/>
        <w:pageBreakBefore w:val="0"/>
        <w:shd w:val="clear"/>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kern w:val="1"/>
          <w:szCs w:val="21"/>
          <w:highlight w:val="none"/>
          <w14:textFill>
            <w14:solidFill>
              <w14:schemeClr w14:val="tx1"/>
            </w14:solidFill>
          </w14:textFill>
        </w:rPr>
        <w:t>比较与评价。评标委员会应当按照投标文件中规定的评审方法和标准，只对资格审查和符合性审查合格的投标文件进行商务和技术评估，综合比较与评价，不合格的投标人不再参与评审。</w:t>
      </w:r>
    </w:p>
    <w:p w14:paraId="3086AC06">
      <w:pPr>
        <w:keepNext w:val="0"/>
        <w:keepLines w:val="0"/>
        <w:pageBreakBefore w:val="0"/>
        <w:shd w:val="clear"/>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w:t>
      </w:r>
      <w:r>
        <w:rPr>
          <w:rFonts w:hint="eastAsia" w:ascii="仿宋" w:hAnsi="仿宋" w:eastAsia="仿宋" w:cs="仿宋"/>
          <w:color w:val="000000" w:themeColor="text1"/>
          <w:kern w:val="1"/>
          <w:szCs w:val="21"/>
          <w:highlight w:val="none"/>
          <w:lang w:val="en-US" w:eastAsia="zh-CN"/>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.2、评审因素的设定与</w:t>
      </w:r>
      <w:r>
        <w:rPr>
          <w:rFonts w:hint="eastAsia" w:ascii="仿宋" w:hAnsi="仿宋" w:eastAsia="仿宋" w:cs="仿宋"/>
          <w:color w:val="000000" w:themeColor="text1"/>
          <w:szCs w:val="21"/>
          <w:highlight w:val="none"/>
          <w14:textFill>
            <w14:solidFill>
              <w14:schemeClr w14:val="tx1"/>
            </w14:solidFill>
          </w14:textFill>
        </w:rPr>
        <w:t>投标人</w:t>
      </w:r>
      <w:r>
        <w:rPr>
          <w:rFonts w:hint="eastAsia" w:ascii="仿宋" w:hAnsi="仿宋" w:eastAsia="仿宋" w:cs="仿宋"/>
          <w:color w:val="000000" w:themeColor="text1"/>
          <w:kern w:val="1"/>
          <w:szCs w:val="21"/>
          <w:highlight w:val="none"/>
          <w14:textFill>
            <w14:solidFill>
              <w14:schemeClr w14:val="tx1"/>
            </w14:solidFill>
          </w14:textFill>
        </w:rPr>
        <w:t>所提供</w:t>
      </w:r>
      <w:r>
        <w:rPr>
          <w:rFonts w:hint="eastAsia" w:ascii="仿宋" w:hAnsi="仿宋" w:eastAsia="仿宋" w:cs="仿宋"/>
          <w:color w:val="000000" w:themeColor="text1"/>
          <w:kern w:val="1"/>
          <w:szCs w:val="21"/>
          <w:highlight w:val="none"/>
          <w:lang w:val="en-US" w:eastAsia="zh-CN"/>
          <w14:textFill>
            <w14:solidFill>
              <w14:schemeClr w14:val="tx1"/>
            </w14:solidFill>
          </w14:textFill>
        </w:rPr>
        <w:t>货物</w:t>
      </w:r>
      <w:r>
        <w:rPr>
          <w:rFonts w:hint="eastAsia" w:ascii="仿宋" w:hAnsi="仿宋" w:eastAsia="仿宋" w:cs="仿宋"/>
          <w:color w:val="000000" w:themeColor="text1"/>
          <w:kern w:val="1"/>
          <w:szCs w:val="21"/>
          <w:highlight w:val="none"/>
          <w14:textFill>
            <w14:solidFill>
              <w14:schemeClr w14:val="tx1"/>
            </w14:solidFill>
          </w14:textFill>
        </w:rPr>
        <w:t>的质量相关，包括报价、技术或者服务水平、履约能力、售后服务等。资格条件不作为评审因素。综合评分法评审标准中的分值设置与评审因素的量化指标相对应。招标文件中没有规定的评审标准不得作为评审依据。</w:t>
      </w:r>
    </w:p>
    <w:p w14:paraId="1BDE6152">
      <w:pPr>
        <w:keepNext w:val="0"/>
        <w:keepLines w:val="0"/>
        <w:pageBreakBefore w:val="0"/>
        <w:widowControl/>
        <w:shd w:val="clear"/>
        <w:kinsoku/>
        <w:wordWrap/>
        <w:overflowPunct/>
        <w:topLinePunct w:val="0"/>
        <w:autoSpaceDE w:val="0"/>
        <w:autoSpaceDN w:val="0"/>
        <w:bidi w:val="0"/>
        <w:adjustRightInd w:val="0"/>
        <w:snapToGrid w:val="0"/>
        <w:spacing w:line="360" w:lineRule="auto"/>
        <w:ind w:right="0" w:firstLine="210" w:firstLineChars="10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kern w:val="1"/>
          <w:szCs w:val="21"/>
          <w:highlight w:val="none"/>
          <w:lang w:val="en-US" w:eastAsia="zh-CN"/>
          <w14:textFill>
            <w14:solidFill>
              <w14:schemeClr w14:val="tx1"/>
            </w14:solidFill>
          </w14:textFill>
        </w:rPr>
        <w:t>2.4.3、</w:t>
      </w:r>
      <w:r>
        <w:rPr>
          <w:rFonts w:hint="eastAsia" w:ascii="仿宋" w:hAnsi="仿宋" w:eastAsia="仿宋" w:cs="仿宋"/>
          <w:color w:val="000000" w:themeColor="text1"/>
          <w:szCs w:val="21"/>
          <w:highlight w:val="none"/>
          <w:lang w:val="zh-CN"/>
          <w14:textFill>
            <w14:solidFill>
              <w14:schemeClr w14:val="tx1"/>
            </w14:solidFill>
          </w14:textFill>
        </w:rPr>
        <w:t>相同品牌的处理</w:t>
      </w:r>
    </w:p>
    <w:p w14:paraId="69CD71DD">
      <w:pPr>
        <w:keepNext w:val="0"/>
        <w:keepLines w:val="0"/>
        <w:pageBreakBefore w:val="0"/>
        <w:widowControl/>
        <w:shd w:val="clear"/>
        <w:kinsoku/>
        <w:wordWrap/>
        <w:overflowPunct/>
        <w:topLinePunct w:val="0"/>
        <w:autoSpaceDE w:val="0"/>
        <w:autoSpaceDN w:val="0"/>
        <w:bidi w:val="0"/>
        <w:adjustRightInd w:val="0"/>
        <w:snapToGrid w:val="0"/>
        <w:spacing w:line="360" w:lineRule="auto"/>
        <w:ind w:right="0" w:firstLine="210" w:firstLineChars="100"/>
        <w:textAlignment w:val="bottom"/>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2.4.3.1</w:t>
      </w:r>
      <w:r>
        <w:rPr>
          <w:rFonts w:hint="eastAsia" w:ascii="仿宋" w:hAnsi="仿宋" w:eastAsia="仿宋" w:cs="仿宋"/>
          <w:color w:val="000000" w:themeColor="text1"/>
          <w:szCs w:val="21"/>
          <w:highlight w:val="none"/>
          <w:lang w:val="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不同投标人提供了任意一个相同品牌的核心产品，即视为提供相同品牌的投标人。</w:t>
      </w:r>
      <w:r>
        <w:rPr>
          <w:rFonts w:hint="eastAsia" w:ascii="仿宋" w:hAnsi="仿宋" w:eastAsia="仿宋" w:cs="仿宋"/>
          <w:color w:val="000000" w:themeColor="text1"/>
          <w:szCs w:val="21"/>
          <w:highlight w:val="none"/>
          <w:lang w:val="zh-CN"/>
          <w14:textFill>
            <w14:solidFill>
              <w14:schemeClr w14:val="tx1"/>
            </w14:solidFill>
          </w14:textFill>
        </w:rPr>
        <w:t>提供相同品牌</w:t>
      </w:r>
      <w:r>
        <w:rPr>
          <w:rFonts w:hint="eastAsia" w:ascii="仿宋" w:hAnsi="仿宋" w:eastAsia="仿宋" w:cs="仿宋"/>
          <w:color w:val="000000" w:themeColor="text1"/>
          <w:szCs w:val="21"/>
          <w:highlight w:val="none"/>
          <w:lang w:val="en-US" w:eastAsia="zh-CN"/>
          <w14:textFill>
            <w14:solidFill>
              <w14:schemeClr w14:val="tx1"/>
            </w14:solidFill>
          </w14:textFill>
        </w:rPr>
        <w:t>产品</w:t>
      </w:r>
      <w:r>
        <w:rPr>
          <w:rFonts w:hint="eastAsia" w:ascii="仿宋" w:hAnsi="仿宋" w:eastAsia="仿宋" w:cs="仿宋"/>
          <w:color w:val="000000" w:themeColor="text1"/>
          <w:szCs w:val="21"/>
          <w:highlight w:val="none"/>
          <w:lang w:val="zh-CN"/>
          <w14:textFill>
            <w14:solidFill>
              <w14:schemeClr w14:val="tx1"/>
            </w14:solidFill>
          </w14:textFill>
        </w:rPr>
        <w:t>且通过资格审查、符合性审查的不同投标人参加同一合同项下</w:t>
      </w:r>
      <w:r>
        <w:rPr>
          <w:rFonts w:hint="eastAsia" w:ascii="仿宋" w:hAnsi="仿宋" w:eastAsia="仿宋" w:cs="仿宋"/>
          <w:color w:val="000000" w:themeColor="text1"/>
          <w:szCs w:val="21"/>
          <w:highlight w:val="none"/>
          <w:lang w:val="en-US" w:eastAsia="zh-CN"/>
          <w14:textFill>
            <w14:solidFill>
              <w14:schemeClr w14:val="tx1"/>
            </w14:solidFill>
          </w14:textFill>
        </w:rPr>
        <w:t>投标</w:t>
      </w:r>
      <w:r>
        <w:rPr>
          <w:rFonts w:hint="eastAsia" w:ascii="仿宋" w:hAnsi="仿宋" w:eastAsia="仿宋" w:cs="仿宋"/>
          <w:color w:val="000000" w:themeColor="text1"/>
          <w:szCs w:val="21"/>
          <w:highlight w:val="none"/>
          <w:lang w:val="zh-CN"/>
          <w14:textFill>
            <w14:solidFill>
              <w14:schemeClr w14:val="tx1"/>
            </w14:solidFill>
          </w14:textFill>
        </w:rPr>
        <w:t>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hint="eastAsia" w:ascii="仿宋" w:hAnsi="仿宋" w:eastAsia="仿宋" w:cs="仿宋"/>
          <w:color w:val="000000" w:themeColor="text1"/>
          <w:szCs w:val="21"/>
          <w:highlight w:val="none"/>
          <w:lang w:val="en-US" w:eastAsia="zh-CN"/>
          <w14:textFill>
            <w14:solidFill>
              <w14:schemeClr w14:val="tx1"/>
            </w14:solidFill>
          </w14:textFill>
        </w:rPr>
        <w:t>在符合性审查、详细评审环节提供核心产品品牌不足3个的，视为有效投标人不足3家。</w:t>
      </w:r>
    </w:p>
    <w:p w14:paraId="31193C72">
      <w:pPr>
        <w:keepNext w:val="0"/>
        <w:keepLines w:val="0"/>
        <w:pageBreakBefore w:val="0"/>
        <w:shd w:val="clear"/>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w:t>
      </w:r>
      <w:r>
        <w:rPr>
          <w:rFonts w:hint="eastAsia" w:ascii="仿宋" w:hAnsi="仿宋" w:eastAsia="仿宋" w:cs="仿宋"/>
          <w:color w:val="000000" w:themeColor="text1"/>
          <w:kern w:val="1"/>
          <w:szCs w:val="21"/>
          <w:highlight w:val="none"/>
          <w:lang w:val="en-US" w:eastAsia="zh-CN"/>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w:t>
      </w:r>
      <w:r>
        <w:rPr>
          <w:rFonts w:hint="eastAsia" w:ascii="仿宋" w:hAnsi="仿宋" w:eastAsia="仿宋" w:cs="仿宋"/>
          <w:color w:val="000000" w:themeColor="text1"/>
          <w:kern w:val="1"/>
          <w:szCs w:val="21"/>
          <w:highlight w:val="none"/>
          <w:lang w:val="en-US" w:eastAsia="zh-CN"/>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、由评标委员会成员独立地根据各项因素的评分标准，结合各投标人的实际情况，分别就报价以外的各项评审因素对各投标人独立评审赋分。</w:t>
      </w:r>
    </w:p>
    <w:p w14:paraId="21ABB5DD">
      <w:pPr>
        <w:keepNext w:val="0"/>
        <w:keepLines w:val="0"/>
        <w:pageBreakBefore w:val="0"/>
        <w:shd w:val="clear"/>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w:t>
      </w:r>
      <w:r>
        <w:rPr>
          <w:rFonts w:hint="eastAsia" w:ascii="仿宋" w:hAnsi="仿宋" w:eastAsia="仿宋" w:cs="仿宋"/>
          <w:color w:val="000000" w:themeColor="text1"/>
          <w:kern w:val="1"/>
          <w:szCs w:val="21"/>
          <w:highlight w:val="none"/>
          <w:lang w:val="en-US" w:eastAsia="zh-CN"/>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w:t>
      </w:r>
      <w:r>
        <w:rPr>
          <w:rFonts w:hint="eastAsia" w:ascii="仿宋" w:hAnsi="仿宋" w:eastAsia="仿宋" w:cs="仿宋"/>
          <w:color w:val="000000" w:themeColor="text1"/>
          <w:kern w:val="1"/>
          <w:szCs w:val="21"/>
          <w:highlight w:val="none"/>
          <w:lang w:val="en-US" w:eastAsia="zh-CN"/>
          <w14:textFill>
            <w14:solidFill>
              <w14:schemeClr w14:val="tx1"/>
            </w14:solidFill>
          </w14:textFill>
        </w:rPr>
        <w:t>5</w:t>
      </w:r>
      <w:r>
        <w:rPr>
          <w:rFonts w:hint="eastAsia" w:ascii="仿宋" w:hAnsi="仿宋" w:eastAsia="仿宋" w:cs="仿宋"/>
          <w:color w:val="000000" w:themeColor="text1"/>
          <w:kern w:val="1"/>
          <w:szCs w:val="21"/>
          <w:highlight w:val="none"/>
          <w14:textFill>
            <w14:solidFill>
              <w14:schemeClr w14:val="tx1"/>
            </w14:solidFill>
          </w14:textFill>
        </w:rPr>
        <w:t>、当排序推荐候选中标</w:t>
      </w:r>
      <w:r>
        <w:rPr>
          <w:rFonts w:hint="eastAsia" w:ascii="仿宋" w:hAnsi="仿宋" w:eastAsia="仿宋" w:cs="仿宋"/>
          <w:color w:val="000000" w:themeColor="text1"/>
          <w:kern w:val="1"/>
          <w:szCs w:val="21"/>
          <w:highlight w:val="none"/>
          <w:lang w:eastAsia="zh-CN"/>
          <w14:textFill>
            <w14:solidFill>
              <w14:schemeClr w14:val="tx1"/>
            </w14:solidFill>
          </w14:textFill>
        </w:rPr>
        <w:t>人</w:t>
      </w:r>
      <w:r>
        <w:rPr>
          <w:rFonts w:hint="eastAsia" w:ascii="仿宋" w:hAnsi="仿宋" w:eastAsia="仿宋" w:cs="仿宋"/>
          <w:color w:val="000000" w:themeColor="text1"/>
          <w:kern w:val="1"/>
          <w:szCs w:val="21"/>
          <w:highlight w:val="none"/>
          <w14:textFill>
            <w14:solidFill>
              <w14:schemeClr w14:val="tx1"/>
            </w14:solidFill>
          </w14:textFill>
        </w:rPr>
        <w:t>名单出现多数评委成员的评审意见比较一致，某一个别评委的赋分畸高畸低，导致排序结果改变的，采购代理机构应当发回该评委重新进行评价，并说明其赋分的合理理由，对拒绝说明、拒绝重新评价的，其个人评审意见与赋分作为无效处理。</w:t>
      </w:r>
    </w:p>
    <w:p w14:paraId="3D438C5E">
      <w:pPr>
        <w:keepNext w:val="0"/>
        <w:keepLines w:val="0"/>
        <w:pageBreakBefore w:val="0"/>
        <w:shd w:val="clear"/>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w:t>
      </w:r>
      <w:r>
        <w:rPr>
          <w:rFonts w:hint="eastAsia" w:ascii="仿宋" w:hAnsi="仿宋" w:eastAsia="仿宋" w:cs="仿宋"/>
          <w:color w:val="000000" w:themeColor="text1"/>
          <w:kern w:val="1"/>
          <w:szCs w:val="21"/>
          <w:highlight w:val="none"/>
          <w:lang w:val="en-US" w:eastAsia="zh-CN"/>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w:t>
      </w:r>
      <w:r>
        <w:rPr>
          <w:rFonts w:hint="eastAsia" w:ascii="仿宋" w:hAnsi="仿宋" w:eastAsia="仿宋" w:cs="仿宋"/>
          <w:color w:val="000000" w:themeColor="text1"/>
          <w:kern w:val="1"/>
          <w:szCs w:val="21"/>
          <w:highlight w:val="none"/>
          <w:lang w:val="en-US" w:eastAsia="zh-CN"/>
          <w14:textFill>
            <w14:solidFill>
              <w14:schemeClr w14:val="tx1"/>
            </w14:solidFill>
          </w14:textFill>
        </w:rPr>
        <w:t>6</w:t>
      </w:r>
      <w:r>
        <w:rPr>
          <w:rFonts w:hint="eastAsia" w:ascii="仿宋" w:hAnsi="仿宋" w:eastAsia="仿宋" w:cs="仿宋"/>
          <w:color w:val="000000" w:themeColor="text1"/>
          <w:kern w:val="1"/>
          <w:szCs w:val="21"/>
          <w:highlight w:val="none"/>
          <w14:textFill>
            <w14:solidFill>
              <w14:schemeClr w14:val="tx1"/>
            </w14:solidFill>
          </w14:textFill>
        </w:rPr>
        <w:t>、评标委员会成员对需要共同认定的事项存在争议的，应当按照少数服从多数的原则作出结论。持不同意见的评标委员会成员应当在评审报告上签署不同意见及理由，否则视为同意评审报告。</w:t>
      </w:r>
    </w:p>
    <w:p w14:paraId="46022B61">
      <w:pPr>
        <w:keepNext w:val="0"/>
        <w:keepLines w:val="0"/>
        <w:pageBreakBefore w:val="0"/>
        <w:shd w:val="clear"/>
        <w:kinsoku/>
        <w:wordWrap/>
        <w:overflowPunct/>
        <w:topLinePunct w:val="0"/>
        <w:bidi w:val="0"/>
        <w:adjustRightInd w:val="0"/>
        <w:snapToGrid w:val="0"/>
        <w:spacing w:line="360" w:lineRule="auto"/>
        <w:ind w:right="0"/>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352" w:name="_Toc18650"/>
      <w:bookmarkStart w:id="353" w:name="_Toc12782"/>
      <w:r>
        <w:rPr>
          <w:rFonts w:hint="eastAsia" w:ascii="仿宋" w:hAnsi="仿宋" w:eastAsia="仿宋" w:cs="仿宋"/>
          <w:b/>
          <w:color w:val="000000" w:themeColor="text1"/>
          <w:sz w:val="24"/>
          <w:szCs w:val="24"/>
          <w:highlight w:val="none"/>
          <w14:textFill>
            <w14:solidFill>
              <w14:schemeClr w14:val="tx1"/>
            </w14:solidFill>
          </w14:textFill>
        </w:rPr>
        <w:t>三、评审细则及标准</w:t>
      </w:r>
      <w:bookmarkEnd w:id="352"/>
      <w:bookmarkEnd w:id="353"/>
    </w:p>
    <w:p w14:paraId="6E7157CF">
      <w:pPr>
        <w:keepNext w:val="0"/>
        <w:keepLines w:val="0"/>
        <w:pageBreakBefore w:val="0"/>
        <w:shd w:val="clear"/>
        <w:kinsoku/>
        <w:wordWrap/>
        <w:overflowPunct/>
        <w:topLinePunct w:val="0"/>
        <w:bidi w:val="0"/>
        <w:adjustRightInd w:val="0"/>
        <w:snapToGrid w:val="0"/>
        <w:spacing w:line="360" w:lineRule="auto"/>
        <w:ind w:right="0"/>
        <w:rPr>
          <w:rFonts w:hint="eastAsia" w:ascii="仿宋" w:hAnsi="仿宋" w:eastAsia="仿宋" w:cs="仿宋"/>
          <w:b/>
          <w:color w:val="000000" w:themeColor="text1"/>
          <w:kern w:val="1"/>
          <w:szCs w:val="21"/>
          <w:highlight w:val="none"/>
          <w14:textFill>
            <w14:solidFill>
              <w14:schemeClr w14:val="tx1"/>
            </w14:solidFill>
          </w14:textFill>
        </w:rPr>
      </w:pPr>
      <w:r>
        <w:rPr>
          <w:rFonts w:hint="eastAsia" w:ascii="仿宋" w:hAnsi="仿宋" w:eastAsia="仿宋" w:cs="仿宋"/>
          <w:b/>
          <w:color w:val="000000" w:themeColor="text1"/>
          <w:kern w:val="1"/>
          <w:szCs w:val="21"/>
          <w:highlight w:val="none"/>
          <w14:textFill>
            <w14:solidFill>
              <w14:schemeClr w14:val="tx1"/>
            </w14:solidFill>
          </w14:textFill>
        </w:rPr>
        <w:t>3.1、综合评分法</w:t>
      </w:r>
    </w:p>
    <w:p w14:paraId="57EA59B6">
      <w:pPr>
        <w:keepNext w:val="0"/>
        <w:keepLines w:val="0"/>
        <w:pageBreakBefore w:val="0"/>
        <w:shd w:val="clear"/>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3.1.1、本采购项目评审方法采用综合评分法。即投标文件能够最大限度的满足招标文件规定的各项综合评分标准，且经评审得分最高的投标人为中标候选人。</w:t>
      </w:r>
    </w:p>
    <w:p w14:paraId="4E6E8F77">
      <w:pPr>
        <w:keepNext w:val="0"/>
        <w:keepLines w:val="0"/>
        <w:pageBreakBefore w:val="0"/>
        <w:shd w:val="clear"/>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3.2.2、综合评分法评审标准中的分值设置应当与评审因素的量化指标相对应。招标文件中没有规定的评审标准不得作为评审依据。</w:t>
      </w:r>
    </w:p>
    <w:p w14:paraId="4481BC50">
      <w:pPr>
        <w:keepNext w:val="0"/>
        <w:keepLines w:val="0"/>
        <w:pageBreakBefore w:val="0"/>
        <w:widowControl/>
        <w:shd w:val="clear"/>
        <w:kinsoku/>
        <w:wordWrap/>
        <w:overflowPunct/>
        <w:topLinePunct w:val="0"/>
        <w:autoSpaceDE w:val="0"/>
        <w:autoSpaceDN w:val="0"/>
        <w:bidi w:val="0"/>
        <w:adjustRightInd w:val="0"/>
        <w:snapToGrid w:val="0"/>
        <w:spacing w:line="360" w:lineRule="auto"/>
        <w:ind w:right="0"/>
        <w:textAlignment w:val="bottom"/>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3.2.评审细则及标准</w:t>
      </w:r>
    </w:p>
    <w:p w14:paraId="555086A7">
      <w:pPr>
        <w:keepNext w:val="0"/>
        <w:keepLines w:val="0"/>
        <w:pageBreakBefore w:val="0"/>
        <w:shd w:val="clear"/>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3.2.1、评标委员会将综合分析投标人的各项评审因素，而不以单项评审因素的优劣评选出中标</w:t>
      </w:r>
      <w:r>
        <w:rPr>
          <w:rFonts w:hint="eastAsia" w:ascii="仿宋" w:hAnsi="仿宋" w:eastAsia="仿宋" w:cs="仿宋"/>
          <w:color w:val="000000" w:themeColor="text1"/>
          <w:kern w:val="1"/>
          <w:szCs w:val="21"/>
          <w:highlight w:val="none"/>
          <w:lang w:eastAsia="zh-CN"/>
          <w14:textFill>
            <w14:solidFill>
              <w14:schemeClr w14:val="tx1"/>
            </w14:solidFill>
          </w14:textFill>
        </w:rPr>
        <w:t>人</w:t>
      </w:r>
      <w:r>
        <w:rPr>
          <w:rFonts w:hint="eastAsia" w:ascii="仿宋" w:hAnsi="仿宋" w:eastAsia="仿宋" w:cs="仿宋"/>
          <w:color w:val="000000" w:themeColor="text1"/>
          <w:kern w:val="1"/>
          <w:szCs w:val="21"/>
          <w:highlight w:val="none"/>
          <w14:textFill>
            <w14:solidFill>
              <w14:schemeClr w14:val="tx1"/>
            </w14:solidFill>
          </w14:textFill>
        </w:rPr>
        <w:t xml:space="preserve"> 。对所有投标人的响应评估，都采用相同的程序和标准，严格按照招标文件的要求和条件进行。</w:t>
      </w:r>
    </w:p>
    <w:p w14:paraId="68CDB02C">
      <w:pPr>
        <w:keepNext w:val="0"/>
        <w:keepLines w:val="0"/>
        <w:pageBreakBefore w:val="0"/>
        <w:shd w:val="clear"/>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3.2.2、评审因素包括：报价、技术、商务及对招标文件的响应程度。</w:t>
      </w:r>
    </w:p>
    <w:p w14:paraId="7FC1D17F">
      <w:pPr>
        <w:keepNext w:val="0"/>
        <w:keepLines w:val="0"/>
        <w:pageBreakBefore w:val="0"/>
        <w:shd w:val="clear"/>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lang w:val="en-US" w:eastAsia="zh-CN"/>
          <w14:textFill>
            <w14:solidFill>
              <w14:schemeClr w14:val="tx1"/>
            </w14:solidFill>
          </w14:textFill>
        </w:rPr>
      </w:pPr>
      <w:r>
        <w:rPr>
          <w:rFonts w:hint="eastAsia" w:ascii="仿宋" w:hAnsi="仿宋" w:eastAsia="仿宋" w:cs="仿宋"/>
          <w:color w:val="000000" w:themeColor="text1"/>
          <w:kern w:val="1"/>
          <w:szCs w:val="21"/>
          <w:highlight w:val="none"/>
          <w:lang w:val="en-US" w:eastAsia="zh-CN"/>
          <w14:textFill>
            <w14:solidFill>
              <w14:schemeClr w14:val="tx1"/>
            </w14:solidFill>
          </w14:textFill>
        </w:rPr>
        <w:t>3.2.3、</w:t>
      </w:r>
      <w:r>
        <w:rPr>
          <w:rFonts w:hint="eastAsia" w:ascii="仿宋" w:hAnsi="仿宋" w:eastAsia="仿宋" w:cs="仿宋"/>
          <w:color w:val="000000" w:themeColor="text1"/>
          <w:kern w:val="1"/>
          <w:szCs w:val="21"/>
          <w:highlight w:val="none"/>
          <w14:textFill>
            <w14:solidFill>
              <w14:schemeClr w14:val="tx1"/>
            </w14:solidFill>
          </w14:textFill>
        </w:rPr>
        <w:t>全部符合政策优惠条件的（即小微企业自身生产或中小企业代理的小微企业生产的</w:t>
      </w:r>
      <w:r>
        <w:rPr>
          <w:rFonts w:hint="eastAsia" w:ascii="仿宋" w:hAnsi="仿宋" w:eastAsia="仿宋" w:cs="仿宋"/>
          <w:color w:val="000000" w:themeColor="text1"/>
          <w:kern w:val="1"/>
          <w:szCs w:val="21"/>
          <w:highlight w:val="none"/>
          <w:lang w:eastAsia="zh-CN"/>
          <w14:textFill>
            <w14:solidFill>
              <w14:schemeClr w14:val="tx1"/>
            </w14:solidFill>
          </w14:textFill>
        </w:rPr>
        <w:t>设备</w:t>
      </w:r>
      <w:r>
        <w:rPr>
          <w:rFonts w:hint="eastAsia" w:ascii="仿宋" w:hAnsi="仿宋" w:eastAsia="仿宋" w:cs="仿宋"/>
          <w:color w:val="000000" w:themeColor="text1"/>
          <w:kern w:val="1"/>
          <w:szCs w:val="21"/>
          <w:highlight w:val="none"/>
          <w14:textFill>
            <w14:solidFill>
              <w14:schemeClr w14:val="tx1"/>
            </w14:solidFill>
          </w14:textFill>
        </w:rPr>
        <w:t>），报价按下列公示计算：</w:t>
      </w:r>
      <w:r>
        <w:rPr>
          <w:rFonts w:hint="eastAsia" w:ascii="仿宋" w:hAnsi="仿宋" w:eastAsia="仿宋" w:cs="仿宋"/>
          <w:color w:val="000000" w:themeColor="text1"/>
          <w:kern w:val="1"/>
          <w:szCs w:val="21"/>
          <w:highlight w:val="none"/>
          <w:lang w:val="en-US" w:eastAsia="zh-CN"/>
          <w14:textFill>
            <w14:solidFill>
              <w14:schemeClr w14:val="tx1"/>
            </w14:solidFill>
          </w14:textFill>
        </w:rPr>
        <w:t>投标</w:t>
      </w:r>
      <w:r>
        <w:rPr>
          <w:rFonts w:hint="eastAsia" w:ascii="仿宋" w:hAnsi="仿宋" w:eastAsia="仿宋" w:cs="仿宋"/>
          <w:color w:val="000000" w:themeColor="text1"/>
          <w:kern w:val="1"/>
          <w:szCs w:val="21"/>
          <w:highlight w:val="none"/>
          <w14:textFill>
            <w14:solidFill>
              <w14:schemeClr w14:val="tx1"/>
            </w14:solidFill>
          </w14:textFill>
        </w:rPr>
        <w:t>报价=报价×（1-</w:t>
      </w:r>
      <w:r>
        <w:rPr>
          <w:rFonts w:hint="eastAsia" w:ascii="仿宋" w:hAnsi="仿宋" w:eastAsia="仿宋" w:cs="仿宋"/>
          <w:color w:val="000000" w:themeColor="text1"/>
          <w:kern w:val="1"/>
          <w:szCs w:val="21"/>
          <w:highlight w:val="none"/>
          <w:lang w:val="en-US" w:eastAsia="zh-CN"/>
          <w14:textFill>
            <w14:solidFill>
              <w14:schemeClr w14:val="tx1"/>
            </w14:solidFill>
          </w14:textFill>
        </w:rPr>
        <w:t>10</w:t>
      </w:r>
      <w:r>
        <w:rPr>
          <w:rFonts w:hint="eastAsia" w:ascii="仿宋" w:hAnsi="仿宋" w:eastAsia="仿宋" w:cs="仿宋"/>
          <w:color w:val="000000" w:themeColor="text1"/>
          <w:kern w:val="1"/>
          <w:szCs w:val="21"/>
          <w:highlight w:val="none"/>
          <w14:textFill>
            <w14:solidFill>
              <w14:schemeClr w14:val="tx1"/>
            </w14:solidFill>
          </w14:textFill>
        </w:rPr>
        <w:t>%）</w:t>
      </w:r>
    </w:p>
    <w:p w14:paraId="06421038">
      <w:pPr>
        <w:keepNext w:val="0"/>
        <w:keepLines w:val="0"/>
        <w:pageBreakBefore w:val="0"/>
        <w:shd w:val="clear"/>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lang w:val="en-US" w:eastAsia="zh-CN"/>
          <w14:textFill>
            <w14:solidFill>
              <w14:schemeClr w14:val="tx1"/>
            </w14:solidFill>
          </w14:textFill>
        </w:rPr>
      </w:pPr>
      <w:r>
        <w:rPr>
          <w:rFonts w:hint="eastAsia" w:ascii="仿宋" w:hAnsi="仿宋" w:eastAsia="仿宋" w:cs="仿宋"/>
          <w:color w:val="000000" w:themeColor="text1"/>
          <w:kern w:val="1"/>
          <w:szCs w:val="21"/>
          <w:highlight w:val="none"/>
          <w:lang w:val="en-US" w:eastAsia="zh-CN"/>
          <w14:textFill>
            <w14:solidFill>
              <w14:schemeClr w14:val="tx1"/>
            </w14:solidFill>
          </w14:textFill>
        </w:rPr>
        <w:t>3.2.4、小型和微型企业磋商报价折扣幅度标准：</w:t>
      </w:r>
    </w:p>
    <w:p w14:paraId="1C60F8B8">
      <w:pPr>
        <w:keepNext w:val="0"/>
        <w:keepLines w:val="0"/>
        <w:pageBreakBefore w:val="0"/>
        <w:shd w:val="clear"/>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lang w:val="en-US" w:eastAsia="zh-CN"/>
          <w14:textFill>
            <w14:solidFill>
              <w14:schemeClr w14:val="tx1"/>
            </w14:solidFill>
          </w14:textFill>
        </w:rPr>
      </w:pPr>
      <w:r>
        <w:rPr>
          <w:rFonts w:hint="eastAsia" w:ascii="仿宋" w:hAnsi="仿宋" w:eastAsia="仿宋" w:cs="仿宋"/>
          <w:color w:val="000000" w:themeColor="text1"/>
          <w:kern w:val="1"/>
          <w:szCs w:val="21"/>
          <w:highlight w:val="none"/>
          <w:lang w:val="en-US" w:eastAsia="zh-CN"/>
          <w14:textFill>
            <w14:solidFill>
              <w14:schemeClr w14:val="tx1"/>
            </w14:solidFill>
          </w14:textFill>
        </w:rPr>
        <w:t xml:space="preserve">    3.2.4.1、对小型、微型企业提供设备的投标报价给予10%折扣。</w:t>
      </w:r>
    </w:p>
    <w:p w14:paraId="0914D646">
      <w:pPr>
        <w:keepNext w:val="0"/>
        <w:keepLines w:val="0"/>
        <w:pageBreakBefore w:val="0"/>
        <w:shd w:val="clear"/>
        <w:kinsoku/>
        <w:wordWrap/>
        <w:overflowPunct/>
        <w:topLinePunct w:val="0"/>
        <w:bidi w:val="0"/>
        <w:adjustRightInd w:val="0"/>
        <w:snapToGrid w:val="0"/>
        <w:spacing w:line="360" w:lineRule="auto"/>
        <w:ind w:right="0" w:firstLine="630" w:firstLineChars="3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kern w:val="1"/>
          <w:szCs w:val="21"/>
          <w:highlight w:val="none"/>
          <w:lang w:val="en-US" w:eastAsia="zh-CN"/>
          <w14:textFill>
            <w14:solidFill>
              <w14:schemeClr w14:val="tx1"/>
            </w14:solidFill>
          </w14:textFill>
        </w:rPr>
        <w:t>3.2.4.2、小、微企业提供本企业生产的设备或中小型企业（代理商）代理的小、微企业生产的设备享受投标报价折扣条件；中小型企业（代理商）代理的中型及以上企业生产的设备不享受投标报价折扣条件。</w:t>
      </w:r>
    </w:p>
    <w:p w14:paraId="538BB321">
      <w:pPr>
        <w:keepNext w:val="0"/>
        <w:keepLines w:val="0"/>
        <w:pageBreakBefore w:val="0"/>
        <w:shd w:val="clear"/>
        <w:tabs>
          <w:tab w:val="left" w:pos="1575"/>
        </w:tabs>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3.2.</w:t>
      </w:r>
      <w:r>
        <w:rPr>
          <w:rFonts w:hint="eastAsia" w:ascii="仿宋" w:hAnsi="仿宋" w:eastAsia="仿宋" w:cs="仿宋"/>
          <w:color w:val="000000" w:themeColor="text1"/>
          <w:kern w:val="1"/>
          <w:szCs w:val="21"/>
          <w:highlight w:val="none"/>
          <w:lang w:val="en-US" w:eastAsia="zh-CN"/>
          <w14:textFill>
            <w14:solidFill>
              <w14:schemeClr w14:val="tx1"/>
            </w14:solidFill>
          </w14:textFill>
        </w:rPr>
        <w:t>5</w:t>
      </w:r>
      <w:r>
        <w:rPr>
          <w:rFonts w:hint="eastAsia" w:ascii="仿宋" w:hAnsi="仿宋" w:eastAsia="仿宋" w:cs="仿宋"/>
          <w:color w:val="000000" w:themeColor="text1"/>
          <w:kern w:val="1"/>
          <w:szCs w:val="21"/>
          <w:highlight w:val="none"/>
          <w14:textFill>
            <w14:solidFill>
              <w14:schemeClr w14:val="tx1"/>
            </w14:solidFill>
          </w14:textFill>
        </w:rPr>
        <w:t>、评审要素一览表如下：</w:t>
      </w:r>
    </w:p>
    <w:p w14:paraId="4DD019EB">
      <w:pPr>
        <w:keepNext w:val="0"/>
        <w:keepLines w:val="0"/>
        <w:pageBreakBefore w:val="0"/>
        <w:shd w:val="clear"/>
        <w:tabs>
          <w:tab w:val="left" w:pos="1575"/>
        </w:tabs>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评审指标分值构成（总计100分）</w:t>
      </w:r>
    </w:p>
    <w:p w14:paraId="29DF9BD3">
      <w:pPr>
        <w:keepNext w:val="0"/>
        <w:keepLines w:val="0"/>
        <w:pageBreakBefore w:val="0"/>
        <w:shd w:val="clear"/>
        <w:tabs>
          <w:tab w:val="left" w:pos="1575"/>
        </w:tabs>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p>
    <w:p w14:paraId="3C4F711F">
      <w:pPr>
        <w:keepNext w:val="0"/>
        <w:keepLines w:val="0"/>
        <w:pageBreakBefore w:val="0"/>
        <w:shd w:val="clear"/>
        <w:tabs>
          <w:tab w:val="left" w:pos="1575"/>
        </w:tabs>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p>
    <w:p w14:paraId="3D3B0624">
      <w:pPr>
        <w:keepNext w:val="0"/>
        <w:keepLines w:val="0"/>
        <w:pageBreakBefore w:val="0"/>
        <w:shd w:val="clear"/>
        <w:tabs>
          <w:tab w:val="left" w:pos="1575"/>
        </w:tabs>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p>
    <w:p w14:paraId="31B84146">
      <w:pPr>
        <w:keepNext w:val="0"/>
        <w:keepLines w:val="0"/>
        <w:pageBreakBefore w:val="0"/>
        <w:shd w:val="clear"/>
        <w:tabs>
          <w:tab w:val="left" w:pos="1575"/>
        </w:tabs>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p>
    <w:p w14:paraId="22935B8A">
      <w:pPr>
        <w:keepNext w:val="0"/>
        <w:keepLines w:val="0"/>
        <w:pageBreakBefore w:val="0"/>
        <w:shd w:val="clear"/>
        <w:tabs>
          <w:tab w:val="left" w:pos="1575"/>
        </w:tabs>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p>
    <w:p w14:paraId="05FE54C3">
      <w:pPr>
        <w:keepNext w:val="0"/>
        <w:keepLines w:val="0"/>
        <w:pageBreakBefore w:val="0"/>
        <w:shd w:val="clear"/>
        <w:tabs>
          <w:tab w:val="left" w:pos="1575"/>
        </w:tabs>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p>
    <w:p w14:paraId="2BFD90F0">
      <w:pPr>
        <w:keepNext w:val="0"/>
        <w:keepLines w:val="0"/>
        <w:pageBreakBefore w:val="0"/>
        <w:shd w:val="clear"/>
        <w:tabs>
          <w:tab w:val="left" w:pos="1575"/>
        </w:tabs>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p>
    <w:p w14:paraId="6F62A46A">
      <w:pPr>
        <w:keepNext w:val="0"/>
        <w:keepLines w:val="0"/>
        <w:pageBreakBefore w:val="0"/>
        <w:shd w:val="clear"/>
        <w:tabs>
          <w:tab w:val="left" w:pos="1575"/>
        </w:tabs>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p>
    <w:p w14:paraId="0214A1C8">
      <w:pPr>
        <w:keepNext w:val="0"/>
        <w:keepLines w:val="0"/>
        <w:pageBreakBefore w:val="0"/>
        <w:shd w:val="clear"/>
        <w:tabs>
          <w:tab w:val="left" w:pos="1575"/>
        </w:tabs>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p>
    <w:p w14:paraId="72709BC6">
      <w:pPr>
        <w:keepNext w:val="0"/>
        <w:keepLines w:val="0"/>
        <w:pageBreakBefore w:val="0"/>
        <w:shd w:val="clear"/>
        <w:tabs>
          <w:tab w:val="left" w:pos="1575"/>
        </w:tabs>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p>
    <w:p w14:paraId="72AD38BE">
      <w:pPr>
        <w:pStyle w:val="13"/>
        <w:rPr>
          <w:rFonts w:hint="eastAsia" w:ascii="仿宋" w:hAnsi="仿宋" w:eastAsia="仿宋" w:cs="仿宋"/>
          <w:color w:val="000000" w:themeColor="text1"/>
          <w:kern w:val="1"/>
          <w:szCs w:val="21"/>
          <w:highlight w:val="none"/>
          <w14:textFill>
            <w14:solidFill>
              <w14:schemeClr w14:val="tx1"/>
            </w14:solidFill>
          </w14:textFill>
        </w:rPr>
      </w:pPr>
    </w:p>
    <w:tbl>
      <w:tblPr>
        <w:tblStyle w:val="43"/>
        <w:tblW w:w="10363" w:type="dxa"/>
        <w:tblInd w:w="-8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846"/>
        <w:gridCol w:w="8333"/>
      </w:tblGrid>
      <w:tr w14:paraId="2AFC00F9">
        <w:tblPrEx>
          <w:tblCellMar>
            <w:top w:w="0" w:type="dxa"/>
            <w:left w:w="108" w:type="dxa"/>
            <w:bottom w:w="0" w:type="dxa"/>
            <w:right w:w="108" w:type="dxa"/>
          </w:tblCellMar>
        </w:tblPrEx>
        <w:trPr>
          <w:trHeight w:val="677" w:hRule="atLeast"/>
        </w:trPr>
        <w:tc>
          <w:tcPr>
            <w:tcW w:w="1184" w:type="dxa"/>
            <w:vAlign w:val="center"/>
          </w:tcPr>
          <w:p w14:paraId="437D2208">
            <w:pPr>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评标因素</w:t>
            </w:r>
          </w:p>
        </w:tc>
        <w:tc>
          <w:tcPr>
            <w:tcW w:w="846" w:type="dxa"/>
            <w:vAlign w:val="center"/>
          </w:tcPr>
          <w:p w14:paraId="3B683EBA">
            <w:pPr>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分值</w:t>
            </w:r>
          </w:p>
        </w:tc>
        <w:tc>
          <w:tcPr>
            <w:tcW w:w="8333" w:type="dxa"/>
            <w:vAlign w:val="center"/>
          </w:tcPr>
          <w:p w14:paraId="7F6B16B0">
            <w:pPr>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评标标准</w:t>
            </w:r>
          </w:p>
        </w:tc>
      </w:tr>
      <w:tr w14:paraId="00640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1184" w:type="dxa"/>
            <w:vAlign w:val="center"/>
          </w:tcPr>
          <w:p w14:paraId="426633DF">
            <w:pPr>
              <w:snapToGrid w:val="0"/>
              <w:jc w:val="center"/>
              <w:rPr>
                <w:rFonts w:hint="eastAsia" w:ascii="仿宋" w:hAnsi="仿宋" w:eastAsia="仿宋" w:cs="仿宋"/>
                <w:b/>
                <w:color w:val="000000" w:themeColor="text1"/>
                <w:szCs w:val="21"/>
                <w14:textFill>
                  <w14:solidFill>
                    <w14:schemeClr w14:val="tx1"/>
                  </w14:solidFill>
                </w14:textFill>
              </w:rPr>
            </w:pPr>
          </w:p>
          <w:p w14:paraId="041DDD79">
            <w:pPr>
              <w:snapToGrid w:val="0"/>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报价</w:t>
            </w:r>
            <w:r>
              <w:rPr>
                <w:rFonts w:hint="eastAsia" w:ascii="仿宋" w:hAnsi="仿宋" w:eastAsia="仿宋" w:cs="仿宋"/>
                <w:b/>
                <w:color w:val="000000" w:themeColor="text1"/>
                <w:szCs w:val="21"/>
                <w14:textFill>
                  <w14:solidFill>
                    <w14:schemeClr w14:val="tx1"/>
                  </w14:solidFill>
                </w14:textFill>
              </w:rPr>
              <w:br w:type="textWrapping"/>
            </w:r>
            <w:r>
              <w:rPr>
                <w:rFonts w:hint="eastAsia" w:ascii="仿宋" w:hAnsi="仿宋" w:eastAsia="仿宋" w:cs="仿宋"/>
                <w:b/>
                <w:color w:val="000000" w:themeColor="text1"/>
                <w:szCs w:val="21"/>
                <w14:textFill>
                  <w14:solidFill>
                    <w14:schemeClr w14:val="tx1"/>
                  </w14:solidFill>
                </w14:textFill>
              </w:rPr>
              <w:t>（30分）</w:t>
            </w:r>
          </w:p>
        </w:tc>
        <w:tc>
          <w:tcPr>
            <w:tcW w:w="846" w:type="dxa"/>
            <w:vAlign w:val="center"/>
          </w:tcPr>
          <w:p w14:paraId="4A74106C">
            <w:pP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30分</w:t>
            </w:r>
          </w:p>
        </w:tc>
        <w:tc>
          <w:tcPr>
            <w:tcW w:w="8333" w:type="dxa"/>
          </w:tcPr>
          <w:p w14:paraId="2B8CE9D0">
            <w:pPr>
              <w:spacing w:line="336" w:lineRule="auto"/>
              <w:jc w:val="left"/>
              <w:rPr>
                <w:rFonts w:hint="eastAsia" w:ascii="仿宋" w:hAnsi="仿宋" w:eastAsia="仿宋" w:cs="仿宋"/>
                <w:color w:val="000000" w:themeColor="text1"/>
                <w:szCs w:val="22"/>
                <w14:textFill>
                  <w14:solidFill>
                    <w14:schemeClr w14:val="tx1"/>
                  </w14:solidFill>
                </w14:textFill>
              </w:rPr>
            </w:pPr>
            <w:r>
              <w:rPr>
                <w:rFonts w:hint="eastAsia" w:ascii="仿宋" w:hAnsi="仿宋" w:eastAsia="仿宋" w:cs="仿宋"/>
                <w:color w:val="000000" w:themeColor="text1"/>
                <w:szCs w:val="22"/>
                <w14:textFill>
                  <w14:solidFill>
                    <w14:schemeClr w14:val="tx1"/>
                  </w14:solidFill>
                </w14:textFill>
              </w:rPr>
              <w:t>价格分统一采用低价优先法得算，即满足招标文件要求且报价最低的报价为评标基准价，其价格分为满分。其他投标人的价格分统一按照下列公式得算：</w:t>
            </w:r>
          </w:p>
          <w:p w14:paraId="04E7968C">
            <w:pPr>
              <w:spacing w:line="336" w:lineRule="auto"/>
              <w:jc w:val="left"/>
              <w:rPr>
                <w:rFonts w:hint="eastAsia" w:ascii="仿宋" w:hAnsi="仿宋" w:eastAsia="仿宋" w:cs="仿宋"/>
                <w:color w:val="000000" w:themeColor="text1"/>
                <w:szCs w:val="22"/>
                <w14:textFill>
                  <w14:solidFill>
                    <w14:schemeClr w14:val="tx1"/>
                  </w14:solidFill>
                </w14:textFill>
              </w:rPr>
            </w:pPr>
            <w:r>
              <w:rPr>
                <w:rFonts w:hint="eastAsia" w:ascii="仿宋" w:hAnsi="仿宋" w:eastAsia="仿宋" w:cs="仿宋"/>
                <w:color w:val="000000" w:themeColor="text1"/>
                <w:szCs w:val="22"/>
                <w14:textFill>
                  <w14:solidFill>
                    <w14:schemeClr w14:val="tx1"/>
                  </w14:solidFill>
                </w14:textFill>
              </w:rPr>
              <w:t>报价得分=(评标基准价／</w:t>
            </w:r>
            <w:r>
              <w:rPr>
                <w:rFonts w:hint="eastAsia" w:ascii="仿宋" w:hAnsi="仿宋" w:eastAsia="仿宋" w:cs="仿宋"/>
                <w:color w:val="000000" w:themeColor="text1"/>
                <w:szCs w:val="22"/>
                <w:lang w:val="en-US" w:eastAsia="zh-CN"/>
                <w14:textFill>
                  <w14:solidFill>
                    <w14:schemeClr w14:val="tx1"/>
                  </w14:solidFill>
                </w14:textFill>
              </w:rPr>
              <w:t>投标</w:t>
            </w:r>
            <w:r>
              <w:rPr>
                <w:rFonts w:hint="eastAsia" w:ascii="仿宋" w:hAnsi="仿宋" w:eastAsia="仿宋" w:cs="仿宋"/>
                <w:color w:val="000000" w:themeColor="text1"/>
                <w:szCs w:val="22"/>
                <w14:textFill>
                  <w14:solidFill>
                    <w14:schemeClr w14:val="tx1"/>
                  </w14:solidFill>
                </w14:textFill>
              </w:rPr>
              <w:t>报价)×30</w:t>
            </w:r>
          </w:p>
          <w:p w14:paraId="72746261">
            <w:pPr>
              <w:spacing w:line="336" w:lineRule="auto"/>
              <w:jc w:val="left"/>
              <w:rPr>
                <w:rFonts w:hint="eastAsia" w:ascii="仿宋" w:hAnsi="仿宋" w:eastAsia="仿宋" w:cs="仿宋"/>
                <w:color w:val="000000" w:themeColor="text1"/>
                <w:szCs w:val="22"/>
                <w14:textFill>
                  <w14:solidFill>
                    <w14:schemeClr w14:val="tx1"/>
                  </w14:solidFill>
                </w14:textFill>
              </w:rPr>
            </w:pPr>
            <w:r>
              <w:rPr>
                <w:rFonts w:hint="eastAsia" w:ascii="仿宋" w:hAnsi="仿宋" w:eastAsia="仿宋" w:cs="仿宋"/>
                <w:color w:val="000000" w:themeColor="text1"/>
                <w:szCs w:val="22"/>
                <w14:textFill>
                  <w14:solidFill>
                    <w14:schemeClr w14:val="tx1"/>
                  </w14:solidFill>
                </w14:textFill>
              </w:rPr>
              <w:t>得算分数时四舍五入取小数点后两位。</w:t>
            </w:r>
          </w:p>
          <w:p w14:paraId="4D285336">
            <w:pPr>
              <w:spacing w:line="336" w:lineRule="auto"/>
              <w:jc w:val="left"/>
              <w:rPr>
                <w:rFonts w:hint="eastAsia" w:ascii="仿宋" w:hAnsi="仿宋" w:eastAsia="仿宋" w:cs="仿宋"/>
                <w:bCs/>
                <w:color w:val="000000" w:themeColor="text1"/>
                <w:szCs w:val="21"/>
                <w14:textFill>
                  <w14:solidFill>
                    <w14:schemeClr w14:val="tx1"/>
                  </w14:solidFill>
                </w14:textFill>
              </w:rPr>
            </w:pPr>
            <w:r>
              <w:rPr>
                <w:rFonts w:hint="eastAsia" w:ascii="仿宋" w:hAnsi="仿宋" w:eastAsia="仿宋" w:cs="仿宋"/>
                <w:color w:val="000000" w:themeColor="text1"/>
                <w:szCs w:val="22"/>
                <w14:textFill>
                  <w14:solidFill>
                    <w14:schemeClr w14:val="tx1"/>
                  </w14:solidFill>
                </w14:textFill>
              </w:rPr>
              <w:t>注：如投标人为中小型企业、监狱企业、福利企业的，价格给予10%的扣除，并用扣除后的价格参与评标。</w:t>
            </w:r>
          </w:p>
        </w:tc>
      </w:tr>
      <w:tr w14:paraId="315DE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1184" w:type="dxa"/>
            <w:vMerge w:val="restart"/>
          </w:tcPr>
          <w:p w14:paraId="43B21A27">
            <w:pPr>
              <w:rPr>
                <w:rFonts w:hint="eastAsia" w:ascii="仿宋" w:hAnsi="仿宋" w:eastAsia="仿宋" w:cs="仿宋"/>
                <w:b/>
                <w:color w:val="000000" w:themeColor="text1"/>
                <w:szCs w:val="21"/>
                <w14:textFill>
                  <w14:solidFill>
                    <w14:schemeClr w14:val="tx1"/>
                  </w14:solidFill>
                </w14:textFill>
              </w:rPr>
            </w:pPr>
          </w:p>
          <w:p w14:paraId="53F91762">
            <w:pPr>
              <w:rPr>
                <w:rFonts w:hint="eastAsia" w:ascii="仿宋" w:hAnsi="仿宋" w:eastAsia="仿宋" w:cs="仿宋"/>
                <w:b/>
                <w:color w:val="000000" w:themeColor="text1"/>
                <w:szCs w:val="21"/>
                <w14:textFill>
                  <w14:solidFill>
                    <w14:schemeClr w14:val="tx1"/>
                  </w14:solidFill>
                </w14:textFill>
              </w:rPr>
            </w:pPr>
          </w:p>
          <w:p w14:paraId="70253236">
            <w:pPr>
              <w:rPr>
                <w:rFonts w:hint="eastAsia" w:ascii="仿宋" w:hAnsi="仿宋" w:eastAsia="仿宋" w:cs="仿宋"/>
                <w:b/>
                <w:color w:val="000000" w:themeColor="text1"/>
                <w:szCs w:val="21"/>
                <w14:textFill>
                  <w14:solidFill>
                    <w14:schemeClr w14:val="tx1"/>
                  </w14:solidFill>
                </w14:textFill>
              </w:rPr>
            </w:pPr>
          </w:p>
          <w:p w14:paraId="260C8A14">
            <w:pPr>
              <w:rPr>
                <w:rFonts w:hint="eastAsia" w:ascii="仿宋" w:hAnsi="仿宋" w:eastAsia="仿宋" w:cs="仿宋"/>
                <w:b/>
                <w:color w:val="000000" w:themeColor="text1"/>
                <w:szCs w:val="21"/>
                <w14:textFill>
                  <w14:solidFill>
                    <w14:schemeClr w14:val="tx1"/>
                  </w14:solidFill>
                </w14:textFill>
              </w:rPr>
            </w:pPr>
          </w:p>
          <w:p w14:paraId="5C526546">
            <w:pPr>
              <w:rPr>
                <w:rFonts w:hint="eastAsia" w:ascii="仿宋" w:hAnsi="仿宋" w:eastAsia="仿宋" w:cs="仿宋"/>
                <w:b/>
                <w:color w:val="000000" w:themeColor="text1"/>
                <w:szCs w:val="21"/>
                <w14:textFill>
                  <w14:solidFill>
                    <w14:schemeClr w14:val="tx1"/>
                  </w14:solidFill>
                </w14:textFill>
              </w:rPr>
            </w:pPr>
          </w:p>
          <w:p w14:paraId="62478A5E">
            <w:pPr>
              <w:rPr>
                <w:rFonts w:hint="eastAsia" w:ascii="仿宋" w:hAnsi="仿宋" w:eastAsia="仿宋" w:cs="仿宋"/>
                <w:b/>
                <w:color w:val="000000" w:themeColor="text1"/>
                <w:szCs w:val="21"/>
                <w14:textFill>
                  <w14:solidFill>
                    <w14:schemeClr w14:val="tx1"/>
                  </w14:solidFill>
                </w14:textFill>
              </w:rPr>
            </w:pPr>
          </w:p>
          <w:p w14:paraId="3D63A911">
            <w:pPr>
              <w:rPr>
                <w:rFonts w:hint="eastAsia" w:ascii="仿宋" w:hAnsi="仿宋" w:eastAsia="仿宋" w:cs="仿宋"/>
                <w:b/>
                <w:color w:val="000000" w:themeColor="text1"/>
                <w:szCs w:val="21"/>
                <w14:textFill>
                  <w14:solidFill>
                    <w14:schemeClr w14:val="tx1"/>
                  </w14:solidFill>
                </w14:textFill>
              </w:rPr>
            </w:pPr>
          </w:p>
          <w:p w14:paraId="7BC648F9">
            <w:pPr>
              <w:rPr>
                <w:rFonts w:hint="eastAsia" w:ascii="仿宋" w:hAnsi="仿宋" w:eastAsia="仿宋" w:cs="仿宋"/>
                <w:b/>
                <w:color w:val="000000" w:themeColor="text1"/>
                <w:szCs w:val="21"/>
                <w14:textFill>
                  <w14:solidFill>
                    <w14:schemeClr w14:val="tx1"/>
                  </w14:solidFill>
                </w14:textFill>
              </w:rPr>
            </w:pPr>
          </w:p>
          <w:p w14:paraId="040EE096">
            <w:pPr>
              <w:rPr>
                <w:rFonts w:hint="eastAsia" w:ascii="仿宋" w:hAnsi="仿宋" w:eastAsia="仿宋" w:cs="仿宋"/>
                <w:b/>
                <w:color w:val="000000" w:themeColor="text1"/>
                <w:szCs w:val="21"/>
                <w14:textFill>
                  <w14:solidFill>
                    <w14:schemeClr w14:val="tx1"/>
                  </w14:solidFill>
                </w14:textFill>
              </w:rPr>
            </w:pPr>
          </w:p>
          <w:p w14:paraId="5FB8DAFF">
            <w:pPr>
              <w:rPr>
                <w:rFonts w:hint="eastAsia" w:ascii="仿宋" w:hAnsi="仿宋" w:eastAsia="仿宋" w:cs="仿宋"/>
                <w:b/>
                <w:color w:val="000000" w:themeColor="text1"/>
                <w:szCs w:val="21"/>
                <w14:textFill>
                  <w14:solidFill>
                    <w14:schemeClr w14:val="tx1"/>
                  </w14:solidFill>
                </w14:textFill>
              </w:rPr>
            </w:pPr>
          </w:p>
          <w:p w14:paraId="131BE1B0">
            <w:pPr>
              <w:rPr>
                <w:rFonts w:hint="eastAsia" w:ascii="仿宋" w:hAnsi="仿宋" w:eastAsia="仿宋" w:cs="仿宋"/>
                <w:b/>
                <w:color w:val="000000" w:themeColor="text1"/>
                <w:szCs w:val="21"/>
                <w14:textFill>
                  <w14:solidFill>
                    <w14:schemeClr w14:val="tx1"/>
                  </w14:solidFill>
                </w14:textFill>
              </w:rPr>
            </w:pPr>
          </w:p>
          <w:p w14:paraId="269178B9">
            <w:pPr>
              <w:rPr>
                <w:rFonts w:hint="eastAsia" w:ascii="仿宋" w:hAnsi="仿宋" w:eastAsia="仿宋" w:cs="仿宋"/>
                <w:b/>
                <w:color w:val="000000" w:themeColor="text1"/>
                <w:szCs w:val="21"/>
                <w14:textFill>
                  <w14:solidFill>
                    <w14:schemeClr w14:val="tx1"/>
                  </w14:solidFill>
                </w14:textFill>
              </w:rPr>
            </w:pPr>
          </w:p>
          <w:p w14:paraId="4A8F8B38">
            <w:pPr>
              <w:rPr>
                <w:rFonts w:hint="eastAsia" w:ascii="仿宋" w:hAnsi="仿宋" w:eastAsia="仿宋" w:cs="仿宋"/>
                <w:b/>
                <w:color w:val="000000" w:themeColor="text1"/>
                <w:szCs w:val="21"/>
                <w14:textFill>
                  <w14:solidFill>
                    <w14:schemeClr w14:val="tx1"/>
                  </w14:solidFill>
                </w14:textFill>
              </w:rPr>
            </w:pPr>
          </w:p>
          <w:p w14:paraId="4F65FE9A">
            <w:pPr>
              <w:rPr>
                <w:rFonts w:hint="eastAsia" w:ascii="仿宋" w:hAnsi="仿宋" w:eastAsia="仿宋" w:cs="仿宋"/>
                <w:b/>
                <w:color w:val="000000" w:themeColor="text1"/>
                <w:szCs w:val="21"/>
                <w14:textFill>
                  <w14:solidFill>
                    <w14:schemeClr w14:val="tx1"/>
                  </w14:solidFill>
                </w14:textFill>
              </w:rPr>
            </w:pPr>
          </w:p>
          <w:p w14:paraId="5308C093">
            <w:pPr>
              <w:ind w:firstLine="211" w:firstLineChars="100"/>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技术</w:t>
            </w:r>
          </w:p>
          <w:p w14:paraId="27993833">
            <w:pP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w:t>
            </w:r>
            <w:r>
              <w:rPr>
                <w:rFonts w:hint="eastAsia" w:ascii="仿宋" w:hAnsi="仿宋" w:eastAsia="仿宋" w:cs="仿宋"/>
                <w:b/>
                <w:color w:val="000000" w:themeColor="text1"/>
                <w:szCs w:val="21"/>
                <w:lang w:val="en-US" w:eastAsia="zh-CN"/>
                <w14:textFill>
                  <w14:solidFill>
                    <w14:schemeClr w14:val="tx1"/>
                  </w14:solidFill>
                </w14:textFill>
              </w:rPr>
              <w:t>50</w:t>
            </w:r>
            <w:r>
              <w:rPr>
                <w:rFonts w:hint="eastAsia" w:ascii="仿宋" w:hAnsi="仿宋" w:eastAsia="仿宋" w:cs="仿宋"/>
                <w:b/>
                <w:color w:val="000000" w:themeColor="text1"/>
                <w:szCs w:val="21"/>
                <w14:textFill>
                  <w14:solidFill>
                    <w14:schemeClr w14:val="tx1"/>
                  </w14:solidFill>
                </w14:textFill>
              </w:rPr>
              <w:t>分）</w:t>
            </w:r>
          </w:p>
        </w:tc>
        <w:tc>
          <w:tcPr>
            <w:tcW w:w="846" w:type="dxa"/>
            <w:vAlign w:val="center"/>
          </w:tcPr>
          <w:p w14:paraId="62A2B127">
            <w:pPr>
              <w:tabs>
                <w:tab w:val="left" w:pos="547"/>
              </w:tabs>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lang w:val="en-US" w:eastAsia="zh-CN"/>
                <w14:textFill>
                  <w14:solidFill>
                    <w14:schemeClr w14:val="tx1"/>
                  </w14:solidFill>
                </w14:textFill>
              </w:rPr>
              <w:t>15</w:t>
            </w:r>
            <w:r>
              <w:rPr>
                <w:rFonts w:hint="eastAsia" w:ascii="仿宋" w:hAnsi="仿宋" w:eastAsia="仿宋" w:cs="仿宋"/>
                <w:b/>
                <w:color w:val="000000" w:themeColor="text1"/>
                <w:szCs w:val="21"/>
                <w14:textFill>
                  <w14:solidFill>
                    <w14:schemeClr w14:val="tx1"/>
                  </w14:solidFill>
                </w14:textFill>
              </w:rPr>
              <w:t>分</w:t>
            </w:r>
          </w:p>
        </w:tc>
        <w:tc>
          <w:tcPr>
            <w:tcW w:w="8333" w:type="dxa"/>
            <w:vAlign w:val="center"/>
          </w:tcPr>
          <w:p w14:paraId="60367B97">
            <w:pPr>
              <w:spacing w:line="336" w:lineRule="auto"/>
              <w:jc w:val="left"/>
              <w:rPr>
                <w:rFonts w:hint="eastAsia" w:ascii="仿宋" w:hAnsi="仿宋" w:eastAsia="仿宋" w:cs="仿宋"/>
                <w:color w:val="000000" w:themeColor="text1"/>
                <w:szCs w:val="22"/>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所</w:t>
            </w:r>
            <w:r>
              <w:rPr>
                <w:rFonts w:hint="eastAsia" w:ascii="仿宋" w:hAnsi="仿宋" w:eastAsia="仿宋" w:cs="仿宋"/>
                <w:color w:val="000000" w:themeColor="text1"/>
                <w:szCs w:val="22"/>
                <w14:textFill>
                  <w14:solidFill>
                    <w14:schemeClr w14:val="tx1"/>
                  </w14:solidFill>
                </w14:textFill>
              </w:rPr>
              <w:t>投产品的技术参数、配置和功能需求：</w:t>
            </w:r>
          </w:p>
          <w:p w14:paraId="2AC7B2D8">
            <w:pPr>
              <w:spacing w:line="336" w:lineRule="auto"/>
              <w:jc w:val="left"/>
              <w:rPr>
                <w:rFonts w:hint="eastAsia" w:ascii="仿宋" w:hAnsi="仿宋" w:eastAsia="仿宋" w:cs="仿宋"/>
                <w:color w:val="000000" w:themeColor="text1"/>
                <w:szCs w:val="22"/>
                <w14:textFill>
                  <w14:solidFill>
                    <w14:schemeClr w14:val="tx1"/>
                  </w14:solidFill>
                </w14:textFill>
              </w:rPr>
            </w:pPr>
            <w:r>
              <w:rPr>
                <w:rFonts w:hint="eastAsia" w:ascii="仿宋" w:hAnsi="仿宋" w:eastAsia="仿宋" w:cs="仿宋"/>
                <w:color w:val="000000" w:themeColor="text1"/>
                <w:szCs w:val="22"/>
                <w14:textFill>
                  <w14:solidFill>
                    <w14:schemeClr w14:val="tx1"/>
                  </w14:solidFill>
                </w14:textFill>
              </w:rPr>
              <w:t>①投标人所投标产品完全满足招标文件技术参数要求，得</w:t>
            </w:r>
            <w:r>
              <w:rPr>
                <w:rFonts w:hint="eastAsia" w:ascii="仿宋" w:hAnsi="仿宋" w:eastAsia="仿宋" w:cs="仿宋"/>
                <w:color w:val="000000" w:themeColor="text1"/>
                <w:szCs w:val="22"/>
                <w:lang w:val="en-US" w:eastAsia="zh-CN"/>
                <w14:textFill>
                  <w14:solidFill>
                    <w14:schemeClr w14:val="tx1"/>
                  </w14:solidFill>
                </w14:textFill>
              </w:rPr>
              <w:t>15</w:t>
            </w:r>
            <w:r>
              <w:rPr>
                <w:rFonts w:hint="eastAsia" w:ascii="仿宋" w:hAnsi="仿宋" w:eastAsia="仿宋" w:cs="仿宋"/>
                <w:color w:val="000000" w:themeColor="text1"/>
                <w:szCs w:val="22"/>
                <w14:textFill>
                  <w14:solidFill>
                    <w14:schemeClr w14:val="tx1"/>
                  </w14:solidFill>
                </w14:textFill>
              </w:rPr>
              <w:t>分；</w:t>
            </w:r>
          </w:p>
          <w:p w14:paraId="02849AEF">
            <w:pPr>
              <w:spacing w:line="336" w:lineRule="auto"/>
              <w:jc w:val="left"/>
              <w:rPr>
                <w:rFonts w:hint="eastAsia" w:ascii="仿宋" w:hAnsi="仿宋" w:eastAsia="仿宋" w:cs="仿宋"/>
                <w:bCs/>
                <w:color w:val="000000" w:themeColor="text1"/>
                <w:szCs w:val="21"/>
                <w14:textFill>
                  <w14:solidFill>
                    <w14:schemeClr w14:val="tx1"/>
                  </w14:solidFill>
                </w14:textFill>
              </w:rPr>
            </w:pPr>
            <w:r>
              <w:rPr>
                <w:rFonts w:hint="eastAsia" w:ascii="仿宋" w:hAnsi="仿宋" w:eastAsia="仿宋" w:cs="仿宋"/>
                <w:color w:val="000000" w:themeColor="text1"/>
                <w:szCs w:val="22"/>
                <w14:textFill>
                  <w14:solidFill>
                    <w14:schemeClr w14:val="tx1"/>
                  </w14:solidFill>
                </w14:textFill>
              </w:rPr>
              <w:t>②</w:t>
            </w:r>
            <w:r>
              <w:rPr>
                <w:rFonts w:hint="eastAsia" w:ascii="仿宋" w:hAnsi="仿宋" w:eastAsia="仿宋" w:cs="仿宋"/>
                <w:color w:val="000000" w:themeColor="text1"/>
                <w14:textFill>
                  <w14:solidFill>
                    <w14:schemeClr w14:val="tx1"/>
                  </w14:solidFill>
                </w14:textFill>
              </w:rPr>
              <w:t>标“★”</w:t>
            </w:r>
            <w:r>
              <w:rPr>
                <w:rFonts w:hint="eastAsia" w:ascii="仿宋" w:hAnsi="仿宋" w:eastAsia="仿宋" w:cs="仿宋"/>
                <w:color w:val="000000" w:themeColor="text1"/>
                <w:szCs w:val="22"/>
                <w14:textFill>
                  <w14:solidFill>
                    <w14:schemeClr w14:val="tx1"/>
                  </w14:solidFill>
                </w14:textFill>
              </w:rPr>
              <w:t>技术</w:t>
            </w:r>
            <w:r>
              <w:rPr>
                <w:rFonts w:hint="eastAsia" w:ascii="仿宋" w:hAnsi="仿宋" w:eastAsia="仿宋" w:cs="仿宋"/>
                <w:color w:val="000000" w:themeColor="text1"/>
                <w14:textFill>
                  <w14:solidFill>
                    <w14:schemeClr w14:val="tx1"/>
                  </w14:solidFill>
                </w14:textFill>
              </w:rPr>
              <w:t>参数</w:t>
            </w:r>
            <w:r>
              <w:rPr>
                <w:rFonts w:hint="eastAsia" w:ascii="仿宋" w:hAnsi="仿宋" w:eastAsia="仿宋" w:cs="仿宋"/>
                <w:color w:val="000000" w:themeColor="text1"/>
                <w:lang w:val="en-US" w:eastAsia="zh-CN"/>
                <w14:textFill>
                  <w14:solidFill>
                    <w14:schemeClr w14:val="tx1"/>
                  </w14:solidFill>
                </w14:textFill>
              </w:rPr>
              <w:t>需附</w:t>
            </w:r>
            <w:r>
              <w:rPr>
                <w:rFonts w:hint="eastAsia" w:ascii="仿宋" w:hAnsi="仿宋" w:eastAsia="仿宋" w:cs="仿宋"/>
                <w:color w:val="000000" w:themeColor="text1"/>
                <w:szCs w:val="22"/>
                <w:lang w:val="en-US" w:eastAsia="zh-CN"/>
                <w14:textFill>
                  <w14:solidFill>
                    <w14:schemeClr w14:val="tx1"/>
                  </w14:solidFill>
                </w14:textFill>
              </w:rPr>
              <w:t>有效证明材料与之对应，证明材料应为检测报告或宣传彩页或技术白皮书等，</w:t>
            </w:r>
            <w:r>
              <w:rPr>
                <w:rFonts w:hint="eastAsia" w:ascii="仿宋" w:hAnsi="仿宋" w:eastAsia="仿宋" w:cs="仿宋"/>
                <w:color w:val="000000" w:themeColor="text1"/>
                <w14:textFill>
                  <w14:solidFill>
                    <w14:schemeClr w14:val="tx1"/>
                  </w14:solidFill>
                </w14:textFill>
              </w:rPr>
              <w:t>标“★”项每偏离一项扣2分，非“★”项每偏离一项扣1分，扣完为止。</w:t>
            </w:r>
          </w:p>
        </w:tc>
      </w:tr>
      <w:tr w14:paraId="090B2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4" w:type="dxa"/>
            <w:vMerge w:val="continue"/>
          </w:tcPr>
          <w:p w14:paraId="1C5E0225">
            <w:pPr>
              <w:rPr>
                <w:rFonts w:hint="eastAsia" w:ascii="仿宋" w:hAnsi="仿宋" w:eastAsia="仿宋" w:cs="仿宋"/>
                <w:b/>
                <w:color w:val="000000" w:themeColor="text1"/>
                <w:szCs w:val="21"/>
                <w14:textFill>
                  <w14:solidFill>
                    <w14:schemeClr w14:val="tx1"/>
                  </w14:solidFill>
                </w14:textFill>
              </w:rPr>
            </w:pPr>
          </w:p>
        </w:tc>
        <w:tc>
          <w:tcPr>
            <w:tcW w:w="846" w:type="dxa"/>
            <w:vAlign w:val="center"/>
          </w:tcPr>
          <w:p w14:paraId="72A16ADD">
            <w:pPr>
              <w:tabs>
                <w:tab w:val="left" w:pos="547"/>
              </w:tabs>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35分</w:t>
            </w:r>
          </w:p>
        </w:tc>
        <w:tc>
          <w:tcPr>
            <w:tcW w:w="8333" w:type="dxa"/>
            <w:vAlign w:val="center"/>
          </w:tcPr>
          <w:p w14:paraId="412EC600">
            <w:pPr>
              <w:spacing w:line="30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根据各投标人技术方案的完整性、合理性及可行性赋分：</w:t>
            </w:r>
          </w:p>
          <w:p w14:paraId="50177F4E">
            <w:pPr>
              <w:spacing w:line="300" w:lineRule="auto"/>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1、项目整体服务计划。</w:t>
            </w:r>
          </w:p>
          <w:p w14:paraId="5B98AA64">
            <w:pPr>
              <w:spacing w:line="30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①计划详细完善，满足采购人实际需求，描述条理清晰，根据响应情况得4</w:t>
            </w:r>
            <w:r>
              <w:rPr>
                <w:rFonts w:hint="eastAsia" w:ascii="仿宋" w:hAnsi="仿宋" w:eastAsia="仿宋" w:cs="仿宋"/>
                <w:color w:val="000000" w:themeColor="text1"/>
                <w:szCs w:val="21"/>
                <w:lang w:val="en-US" w:eastAsia="zh-CN"/>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-5分；</w:t>
            </w:r>
          </w:p>
          <w:p w14:paraId="56CDF91C">
            <w:pPr>
              <w:spacing w:line="30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②计划较完善，基本满足采购人实际需求，根据响应情况得3</w:t>
            </w:r>
            <w:r>
              <w:rPr>
                <w:rFonts w:hint="eastAsia" w:ascii="仿宋" w:hAnsi="仿宋" w:eastAsia="仿宋" w:cs="仿宋"/>
                <w:color w:val="000000" w:themeColor="text1"/>
                <w:szCs w:val="21"/>
                <w:lang w:val="en-US" w:eastAsia="zh-CN"/>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-4分；</w:t>
            </w:r>
          </w:p>
          <w:p w14:paraId="0B956AAC">
            <w:pPr>
              <w:spacing w:line="30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③计划基本完善，针对性不强，根据响应情况得</w:t>
            </w:r>
            <w:r>
              <w:rPr>
                <w:rFonts w:hint="eastAsia" w:ascii="仿宋" w:hAnsi="仿宋" w:eastAsia="仿宋" w:cs="仿宋"/>
                <w:color w:val="000000" w:themeColor="text1"/>
                <w:szCs w:val="21"/>
                <w:lang w:val="en-US" w:eastAsia="zh-CN"/>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szCs w:val="21"/>
                <w:lang w:val="en-US" w:eastAsia="zh-CN"/>
                <w14:textFill>
                  <w14:solidFill>
                    <w14:schemeClr w14:val="tx1"/>
                  </w14:solidFill>
                </w14:textFill>
              </w:rPr>
              <w:t>2</w:t>
            </w:r>
            <w:r>
              <w:rPr>
                <w:rFonts w:hint="eastAsia" w:ascii="仿宋" w:hAnsi="仿宋" w:eastAsia="仿宋" w:cs="仿宋"/>
                <w:color w:val="000000" w:themeColor="text1"/>
                <w:szCs w:val="21"/>
                <w14:textFill>
                  <w14:solidFill>
                    <w14:schemeClr w14:val="tx1"/>
                  </w14:solidFill>
                </w14:textFill>
              </w:rPr>
              <w:t>分。</w:t>
            </w:r>
            <w:r>
              <w:rPr>
                <w:rFonts w:hint="eastAsia" w:ascii="仿宋" w:hAnsi="仿宋" w:eastAsia="仿宋" w:cs="仿宋"/>
                <w:bCs/>
                <w:color w:val="000000" w:themeColor="text1"/>
                <w:szCs w:val="21"/>
                <w14:textFill>
                  <w14:solidFill>
                    <w14:schemeClr w14:val="tx1"/>
                  </w14:solidFill>
                </w14:textFill>
              </w:rPr>
              <w:t>未提供不得分。</w:t>
            </w:r>
          </w:p>
          <w:p w14:paraId="560FC15B">
            <w:pPr>
              <w:spacing w:line="300" w:lineRule="auto"/>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2、服务规划及合理安排方案。</w:t>
            </w:r>
          </w:p>
          <w:p w14:paraId="51595CBA">
            <w:pPr>
              <w:spacing w:line="30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①方案设计合理，架构完整，层次清晰，满足本项目采购需求，得4</w:t>
            </w:r>
            <w:r>
              <w:rPr>
                <w:rFonts w:hint="eastAsia" w:ascii="仿宋" w:hAnsi="仿宋" w:eastAsia="仿宋" w:cs="仿宋"/>
                <w:color w:val="000000" w:themeColor="text1"/>
                <w:szCs w:val="21"/>
                <w:lang w:val="en-US" w:eastAsia="zh-CN"/>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-5分；</w:t>
            </w:r>
          </w:p>
          <w:p w14:paraId="2F345C3F">
            <w:pPr>
              <w:spacing w:line="30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②方案设计较合理，架构较完整，层次较清晰，较满足本项目采购需求，得3</w:t>
            </w:r>
            <w:r>
              <w:rPr>
                <w:rFonts w:hint="eastAsia" w:ascii="仿宋" w:hAnsi="仿宋" w:eastAsia="仿宋" w:cs="仿宋"/>
                <w:color w:val="000000" w:themeColor="text1"/>
                <w:szCs w:val="21"/>
                <w:lang w:val="en-US" w:eastAsia="zh-CN"/>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-4分；</w:t>
            </w:r>
          </w:p>
          <w:p w14:paraId="3CAE4E16">
            <w:pPr>
              <w:spacing w:line="300" w:lineRule="auto"/>
              <w:rPr>
                <w:rFonts w:hint="eastAsia" w:ascii="仿宋" w:hAnsi="仿宋" w:eastAsia="仿宋" w:cs="仿宋"/>
                <w:bCs/>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③方案设计基本合理，架构基本完整，层次基本清晰，基本满足本项目采购需求，得1-2分；未提供不得分</w:t>
            </w:r>
          </w:p>
          <w:p w14:paraId="26415EA9">
            <w:pPr>
              <w:pStyle w:val="18"/>
              <w:spacing w:line="300" w:lineRule="auto"/>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3、</w:t>
            </w:r>
            <w:r>
              <w:rPr>
                <w:rFonts w:hint="eastAsia" w:ascii="仿宋" w:hAnsi="仿宋" w:eastAsia="仿宋" w:cs="仿宋"/>
                <w:b/>
                <w:bCs/>
                <w:color w:val="000000" w:themeColor="text1"/>
                <w:szCs w:val="21"/>
                <w:lang w:val="en-US" w:eastAsia="zh-CN"/>
                <w14:textFill>
                  <w14:solidFill>
                    <w14:schemeClr w14:val="tx1"/>
                  </w14:solidFill>
                </w14:textFill>
              </w:rPr>
              <w:t>产品</w:t>
            </w:r>
            <w:r>
              <w:rPr>
                <w:rFonts w:hint="eastAsia" w:ascii="仿宋" w:hAnsi="仿宋" w:eastAsia="仿宋" w:cs="仿宋"/>
                <w:b/>
                <w:bCs/>
                <w:color w:val="000000" w:themeColor="text1"/>
                <w:szCs w:val="21"/>
                <w14:textFill>
                  <w14:solidFill>
                    <w14:schemeClr w14:val="tx1"/>
                  </w14:solidFill>
                </w14:textFill>
              </w:rPr>
              <w:t>安装调试。</w:t>
            </w:r>
          </w:p>
          <w:p w14:paraId="636E0DD6">
            <w:pPr>
              <w:pStyle w:val="18"/>
              <w:spacing w:line="30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①满足采购人实际需求，描述条理清晰，根据响应情况得4</w:t>
            </w:r>
            <w:r>
              <w:rPr>
                <w:rFonts w:hint="eastAsia" w:ascii="仿宋" w:hAnsi="仿宋" w:eastAsia="仿宋" w:cs="仿宋"/>
                <w:color w:val="000000" w:themeColor="text1"/>
                <w:szCs w:val="21"/>
                <w:lang w:val="en-US" w:eastAsia="zh-CN"/>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-5分；</w:t>
            </w:r>
          </w:p>
          <w:p w14:paraId="39BAB881">
            <w:pPr>
              <w:pStyle w:val="18"/>
              <w:spacing w:line="30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②较完善，基本满足采购人实际需求，根据响应情况得3</w:t>
            </w:r>
            <w:r>
              <w:rPr>
                <w:rFonts w:hint="eastAsia" w:ascii="仿宋" w:hAnsi="仿宋" w:eastAsia="仿宋" w:cs="仿宋"/>
                <w:color w:val="000000" w:themeColor="text1"/>
                <w:szCs w:val="21"/>
                <w:lang w:val="en-US" w:eastAsia="zh-CN"/>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-4分；</w:t>
            </w:r>
          </w:p>
          <w:p w14:paraId="1E312047">
            <w:pPr>
              <w:spacing w:line="300" w:lineRule="auto"/>
              <w:rPr>
                <w:rFonts w:hint="eastAsia" w:ascii="仿宋" w:hAnsi="仿宋" w:eastAsia="仿宋" w:cs="仿宋"/>
                <w:bCs/>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③基本完善，针对性不强，根据响应情况得1-2分。</w:t>
            </w:r>
            <w:r>
              <w:rPr>
                <w:rFonts w:hint="eastAsia" w:ascii="仿宋" w:hAnsi="仿宋" w:eastAsia="仿宋" w:cs="仿宋"/>
                <w:bCs/>
                <w:color w:val="000000" w:themeColor="text1"/>
                <w:szCs w:val="21"/>
                <w14:textFill>
                  <w14:solidFill>
                    <w14:schemeClr w14:val="tx1"/>
                  </w14:solidFill>
                </w14:textFill>
              </w:rPr>
              <w:t>未提供不得分。</w:t>
            </w:r>
          </w:p>
          <w:p w14:paraId="1D409E78">
            <w:pPr>
              <w:pStyle w:val="18"/>
              <w:spacing w:line="300" w:lineRule="auto"/>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4、项目实施进度计划。</w:t>
            </w:r>
          </w:p>
          <w:p w14:paraId="2168C4B1">
            <w:pPr>
              <w:spacing w:line="30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①计划内容具体、完整、详细、全面，满足采购人需求，得4</w:t>
            </w:r>
            <w:r>
              <w:rPr>
                <w:rFonts w:hint="eastAsia" w:ascii="仿宋" w:hAnsi="仿宋" w:eastAsia="仿宋" w:cs="仿宋"/>
                <w:color w:val="000000" w:themeColor="text1"/>
                <w:szCs w:val="21"/>
                <w:lang w:val="en-US" w:eastAsia="zh-CN"/>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-5分；</w:t>
            </w:r>
          </w:p>
          <w:p w14:paraId="3909B49A">
            <w:pPr>
              <w:spacing w:line="30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②计划内容较具体、完整、详细、全面，基本满足采购人需求，得3</w:t>
            </w:r>
            <w:r>
              <w:rPr>
                <w:rFonts w:hint="eastAsia" w:ascii="仿宋" w:hAnsi="仿宋" w:eastAsia="仿宋" w:cs="仿宋"/>
                <w:color w:val="000000" w:themeColor="text1"/>
                <w:szCs w:val="21"/>
                <w:lang w:val="en-US" w:eastAsia="zh-CN"/>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-4分；</w:t>
            </w:r>
          </w:p>
          <w:p w14:paraId="59BD8FE5">
            <w:pPr>
              <w:spacing w:line="30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③计划内容基本具体、完整、详细、全面，针对性不强，得1-2分；未提供不得分</w:t>
            </w:r>
          </w:p>
          <w:p w14:paraId="769DB60F">
            <w:pPr>
              <w:pStyle w:val="18"/>
              <w:spacing w:line="300" w:lineRule="auto"/>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5、交付验收方案。</w:t>
            </w:r>
          </w:p>
          <w:p w14:paraId="6FD76E97">
            <w:pPr>
              <w:spacing w:line="30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①方案内容具体、完整、详细、全面，满足采购人需求，得4</w:t>
            </w:r>
            <w:r>
              <w:rPr>
                <w:rFonts w:hint="eastAsia" w:ascii="仿宋" w:hAnsi="仿宋" w:eastAsia="仿宋" w:cs="仿宋"/>
                <w:color w:val="000000" w:themeColor="text1"/>
                <w:szCs w:val="21"/>
                <w:lang w:val="en-US" w:eastAsia="zh-CN"/>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-5分；</w:t>
            </w:r>
          </w:p>
          <w:p w14:paraId="480AC9EE">
            <w:pPr>
              <w:spacing w:line="30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②方案内容较具体、完整、详细、全面，基本满足采购人需求，得3</w:t>
            </w:r>
            <w:r>
              <w:rPr>
                <w:rFonts w:hint="eastAsia" w:ascii="仿宋" w:hAnsi="仿宋" w:eastAsia="仿宋" w:cs="仿宋"/>
                <w:color w:val="000000" w:themeColor="text1"/>
                <w:szCs w:val="21"/>
                <w:lang w:val="en-US" w:eastAsia="zh-CN"/>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-4分；</w:t>
            </w:r>
          </w:p>
          <w:p w14:paraId="4E3E9185">
            <w:pPr>
              <w:spacing w:line="30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③方案内容基本具体、完整、详细、全面，针对性不强，得1-2分；未提供不得分</w:t>
            </w:r>
          </w:p>
          <w:p w14:paraId="26A28DAF">
            <w:pPr>
              <w:pStyle w:val="18"/>
              <w:numPr>
                <w:ilvl w:val="0"/>
                <w:numId w:val="10"/>
              </w:numPr>
              <w:spacing w:line="300" w:lineRule="auto"/>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管理体系、制度：</w:t>
            </w:r>
          </w:p>
          <w:p w14:paraId="76DACDE6">
            <w:pPr>
              <w:spacing w:line="30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针对本项目采购需求及项目实际情况，组建设计管理组织机构。</w:t>
            </w:r>
          </w:p>
          <w:p w14:paraId="292C4E07">
            <w:pPr>
              <w:spacing w:line="30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①组织机构完善、人员齐全、配置合理、岗位职责分工明确得4</w:t>
            </w:r>
            <w:r>
              <w:rPr>
                <w:rFonts w:hint="eastAsia" w:ascii="仿宋" w:hAnsi="仿宋" w:eastAsia="仿宋" w:cs="仿宋"/>
                <w:color w:val="000000" w:themeColor="text1"/>
                <w:szCs w:val="21"/>
                <w:lang w:val="en-US" w:eastAsia="zh-CN"/>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-5分；</w:t>
            </w:r>
          </w:p>
          <w:p w14:paraId="22E82B33">
            <w:pPr>
              <w:spacing w:line="30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②组织机构较完善、人员较齐全、配置较合理、岗位职责分工较明确得3</w:t>
            </w:r>
            <w:r>
              <w:rPr>
                <w:rFonts w:hint="eastAsia" w:ascii="仿宋" w:hAnsi="仿宋" w:eastAsia="仿宋" w:cs="仿宋"/>
                <w:color w:val="000000" w:themeColor="text1"/>
                <w:szCs w:val="21"/>
                <w:lang w:val="en-US" w:eastAsia="zh-CN"/>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-4分；</w:t>
            </w:r>
          </w:p>
          <w:p w14:paraId="7C70A251">
            <w:pPr>
              <w:spacing w:line="30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③组织机构基本完善、人员基本齐全、配置基本合理、岗位职责分工基本明确得1-2分；未提供不得分。</w:t>
            </w:r>
          </w:p>
          <w:p w14:paraId="43BC3DF2">
            <w:pPr>
              <w:tabs>
                <w:tab w:val="left" w:pos="547"/>
              </w:tabs>
              <w:spacing w:line="288" w:lineRule="auto"/>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7、应急预案：项目实施过程中出现突发状况，有具体可行的应对措施，确保项目顺利实施、保证项目质量，能且按时完成。</w:t>
            </w:r>
          </w:p>
          <w:p w14:paraId="29E1106B">
            <w:pPr>
              <w:pStyle w:val="18"/>
              <w:spacing w:line="312"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①满足采购人实际需求，描述条理清晰，根据响应情况得4</w:t>
            </w:r>
            <w:r>
              <w:rPr>
                <w:rFonts w:hint="eastAsia" w:ascii="仿宋" w:hAnsi="仿宋" w:eastAsia="仿宋" w:cs="仿宋"/>
                <w:color w:val="000000" w:themeColor="text1"/>
                <w:szCs w:val="21"/>
                <w:lang w:val="en-US" w:eastAsia="zh-CN"/>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-5分；</w:t>
            </w:r>
          </w:p>
          <w:p w14:paraId="01CDE4CD">
            <w:pPr>
              <w:pStyle w:val="18"/>
              <w:spacing w:line="312"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②较完善，基本满足采购人实际需求，根据响应情况得3</w:t>
            </w:r>
            <w:r>
              <w:rPr>
                <w:rFonts w:hint="eastAsia" w:ascii="仿宋" w:hAnsi="仿宋" w:eastAsia="仿宋" w:cs="仿宋"/>
                <w:color w:val="000000" w:themeColor="text1"/>
                <w:szCs w:val="21"/>
                <w:lang w:val="en-US" w:eastAsia="zh-CN"/>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-4分；</w:t>
            </w:r>
          </w:p>
          <w:p w14:paraId="0D8FB1B8">
            <w:pPr>
              <w:pStyle w:val="18"/>
              <w:spacing w:line="300" w:lineRule="auto"/>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③基本完善，根据响应情况得1-2分。</w:t>
            </w:r>
            <w:r>
              <w:rPr>
                <w:rFonts w:hint="eastAsia" w:ascii="仿宋" w:hAnsi="仿宋" w:eastAsia="仿宋" w:cs="仿宋"/>
                <w:bCs/>
                <w:color w:val="000000" w:themeColor="text1"/>
                <w:szCs w:val="21"/>
                <w14:textFill>
                  <w14:solidFill>
                    <w14:schemeClr w14:val="tx1"/>
                  </w14:solidFill>
                </w14:textFill>
              </w:rPr>
              <w:t>未提供不得分。</w:t>
            </w:r>
          </w:p>
          <w:p w14:paraId="312F0C67">
            <w:pPr>
              <w:spacing w:line="336" w:lineRule="auto"/>
              <w:rPr>
                <w:rFonts w:hint="eastAsia" w:ascii="仿宋" w:hAnsi="仿宋" w:eastAsia="仿宋" w:cs="仿宋"/>
                <w:bCs/>
                <w:color w:val="000000" w:themeColor="text1"/>
                <w:szCs w:val="21"/>
                <w14:textFill>
                  <w14:solidFill>
                    <w14:schemeClr w14:val="tx1"/>
                  </w14:solidFill>
                </w14:textFill>
              </w:rPr>
            </w:pPr>
          </w:p>
        </w:tc>
      </w:tr>
      <w:tr w14:paraId="5DDB0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1184" w:type="dxa"/>
            <w:vMerge w:val="restart"/>
          </w:tcPr>
          <w:p w14:paraId="18673AD1">
            <w:pPr>
              <w:jc w:val="center"/>
              <w:rPr>
                <w:rFonts w:hint="eastAsia" w:ascii="仿宋" w:hAnsi="仿宋" w:eastAsia="仿宋" w:cs="仿宋"/>
                <w:b/>
                <w:color w:val="000000" w:themeColor="text1"/>
                <w:szCs w:val="21"/>
                <w14:textFill>
                  <w14:solidFill>
                    <w14:schemeClr w14:val="tx1"/>
                  </w14:solidFill>
                </w14:textFill>
              </w:rPr>
            </w:pPr>
          </w:p>
          <w:p w14:paraId="1DD6E879">
            <w:pPr>
              <w:jc w:val="center"/>
              <w:rPr>
                <w:rFonts w:hint="eastAsia" w:ascii="仿宋" w:hAnsi="仿宋" w:eastAsia="仿宋" w:cs="仿宋"/>
                <w:b/>
                <w:color w:val="000000" w:themeColor="text1"/>
                <w:szCs w:val="21"/>
                <w14:textFill>
                  <w14:solidFill>
                    <w14:schemeClr w14:val="tx1"/>
                  </w14:solidFill>
                </w14:textFill>
              </w:rPr>
            </w:pPr>
          </w:p>
          <w:p w14:paraId="064579F2">
            <w:pPr>
              <w:jc w:val="center"/>
              <w:rPr>
                <w:rFonts w:hint="eastAsia" w:ascii="仿宋" w:hAnsi="仿宋" w:eastAsia="仿宋" w:cs="仿宋"/>
                <w:b/>
                <w:color w:val="000000" w:themeColor="text1"/>
                <w:szCs w:val="21"/>
                <w14:textFill>
                  <w14:solidFill>
                    <w14:schemeClr w14:val="tx1"/>
                  </w14:solidFill>
                </w14:textFill>
              </w:rPr>
            </w:pPr>
          </w:p>
          <w:p w14:paraId="5B304B8E">
            <w:pPr>
              <w:jc w:val="center"/>
              <w:rPr>
                <w:rFonts w:hint="eastAsia" w:ascii="仿宋" w:hAnsi="仿宋" w:eastAsia="仿宋" w:cs="仿宋"/>
                <w:b/>
                <w:color w:val="000000" w:themeColor="text1"/>
                <w:szCs w:val="21"/>
                <w14:textFill>
                  <w14:solidFill>
                    <w14:schemeClr w14:val="tx1"/>
                  </w14:solidFill>
                </w14:textFill>
              </w:rPr>
            </w:pPr>
          </w:p>
          <w:p w14:paraId="1B0EBBD8">
            <w:pPr>
              <w:jc w:val="center"/>
              <w:rPr>
                <w:rFonts w:hint="eastAsia" w:ascii="仿宋" w:hAnsi="仿宋" w:eastAsia="仿宋" w:cs="仿宋"/>
                <w:b/>
                <w:color w:val="000000" w:themeColor="text1"/>
                <w:szCs w:val="21"/>
                <w14:textFill>
                  <w14:solidFill>
                    <w14:schemeClr w14:val="tx1"/>
                  </w14:solidFill>
                </w14:textFill>
              </w:rPr>
            </w:pPr>
          </w:p>
          <w:p w14:paraId="2940DBD5">
            <w:pPr>
              <w:jc w:val="center"/>
              <w:rPr>
                <w:rFonts w:hint="eastAsia" w:ascii="仿宋" w:hAnsi="仿宋" w:eastAsia="仿宋" w:cs="仿宋"/>
                <w:b/>
                <w:color w:val="000000" w:themeColor="text1"/>
                <w:szCs w:val="21"/>
                <w14:textFill>
                  <w14:solidFill>
                    <w14:schemeClr w14:val="tx1"/>
                  </w14:solidFill>
                </w14:textFill>
              </w:rPr>
            </w:pPr>
          </w:p>
          <w:p w14:paraId="7F96FF0E">
            <w:pPr>
              <w:pStyle w:val="21"/>
              <w:rPr>
                <w:rFonts w:hint="eastAsia" w:ascii="仿宋" w:hAnsi="仿宋" w:eastAsia="仿宋" w:cs="仿宋"/>
                <w:b/>
                <w:color w:val="000000" w:themeColor="text1"/>
                <w:szCs w:val="21"/>
                <w14:textFill>
                  <w14:solidFill>
                    <w14:schemeClr w14:val="tx1"/>
                  </w14:solidFill>
                </w14:textFill>
              </w:rPr>
            </w:pPr>
          </w:p>
          <w:p w14:paraId="6E2312A4">
            <w:pPr>
              <w:rPr>
                <w:rFonts w:hint="eastAsia" w:ascii="仿宋" w:hAnsi="仿宋" w:eastAsia="仿宋" w:cs="仿宋"/>
                <w:b/>
                <w:color w:val="000000" w:themeColor="text1"/>
                <w:szCs w:val="21"/>
                <w14:textFill>
                  <w14:solidFill>
                    <w14:schemeClr w14:val="tx1"/>
                  </w14:solidFill>
                </w14:textFill>
              </w:rPr>
            </w:pPr>
          </w:p>
          <w:p w14:paraId="4E7004C8">
            <w:pPr>
              <w:jc w:val="center"/>
              <w:rPr>
                <w:rFonts w:hint="eastAsia" w:ascii="仿宋" w:hAnsi="仿宋" w:eastAsia="仿宋" w:cs="仿宋"/>
                <w:b/>
                <w:color w:val="000000" w:themeColor="text1"/>
                <w:szCs w:val="21"/>
                <w14:textFill>
                  <w14:solidFill>
                    <w14:schemeClr w14:val="tx1"/>
                  </w14:solidFill>
                </w14:textFill>
              </w:rPr>
            </w:pPr>
          </w:p>
          <w:p w14:paraId="03208829">
            <w:pPr>
              <w:jc w:val="center"/>
              <w:rPr>
                <w:rFonts w:hint="eastAsia" w:ascii="仿宋" w:hAnsi="仿宋" w:eastAsia="仿宋" w:cs="仿宋"/>
                <w:b/>
                <w:color w:val="000000" w:themeColor="text1"/>
                <w:szCs w:val="21"/>
                <w14:textFill>
                  <w14:solidFill>
                    <w14:schemeClr w14:val="tx1"/>
                  </w14:solidFill>
                </w14:textFill>
              </w:rPr>
            </w:pPr>
          </w:p>
          <w:p w14:paraId="101060E6">
            <w:pPr>
              <w:jc w:val="center"/>
              <w:rPr>
                <w:rFonts w:hint="eastAsia" w:ascii="仿宋" w:hAnsi="仿宋" w:eastAsia="仿宋" w:cs="仿宋"/>
                <w:b/>
                <w:color w:val="000000" w:themeColor="text1"/>
                <w:szCs w:val="21"/>
                <w14:textFill>
                  <w14:solidFill>
                    <w14:schemeClr w14:val="tx1"/>
                  </w14:solidFill>
                </w14:textFill>
              </w:rPr>
            </w:pPr>
          </w:p>
          <w:p w14:paraId="5B7412D0">
            <w:pPr>
              <w:jc w:val="center"/>
              <w:rPr>
                <w:rFonts w:hint="eastAsia" w:ascii="仿宋" w:hAnsi="仿宋" w:eastAsia="仿宋" w:cs="仿宋"/>
                <w:b/>
                <w:color w:val="000000" w:themeColor="text1"/>
                <w:szCs w:val="21"/>
                <w14:textFill>
                  <w14:solidFill>
                    <w14:schemeClr w14:val="tx1"/>
                  </w14:solidFill>
                </w14:textFill>
              </w:rPr>
            </w:pPr>
          </w:p>
          <w:p w14:paraId="692212F3">
            <w:pPr>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商务</w:t>
            </w:r>
          </w:p>
          <w:p w14:paraId="5BB8EAFC">
            <w:pP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w:t>
            </w:r>
            <w:r>
              <w:rPr>
                <w:rFonts w:hint="eastAsia" w:ascii="仿宋" w:hAnsi="仿宋" w:eastAsia="仿宋" w:cs="仿宋"/>
                <w:b/>
                <w:color w:val="000000" w:themeColor="text1"/>
                <w:szCs w:val="21"/>
                <w:lang w:val="en-US" w:eastAsia="zh-CN"/>
                <w14:textFill>
                  <w14:solidFill>
                    <w14:schemeClr w14:val="tx1"/>
                  </w14:solidFill>
                </w14:textFill>
              </w:rPr>
              <w:t>20</w:t>
            </w:r>
            <w:r>
              <w:rPr>
                <w:rFonts w:hint="eastAsia" w:ascii="仿宋" w:hAnsi="仿宋" w:eastAsia="仿宋" w:cs="仿宋"/>
                <w:b/>
                <w:color w:val="000000" w:themeColor="text1"/>
                <w:szCs w:val="21"/>
                <w14:textFill>
                  <w14:solidFill>
                    <w14:schemeClr w14:val="tx1"/>
                  </w14:solidFill>
                </w14:textFill>
              </w:rPr>
              <w:t>分）</w:t>
            </w:r>
          </w:p>
        </w:tc>
        <w:tc>
          <w:tcPr>
            <w:tcW w:w="846" w:type="dxa"/>
            <w:vAlign w:val="center"/>
          </w:tcPr>
          <w:p w14:paraId="049652EA">
            <w:pPr>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lang w:val="en-US" w:eastAsia="zh-CN"/>
                <w14:textFill>
                  <w14:solidFill>
                    <w14:schemeClr w14:val="tx1"/>
                  </w14:solidFill>
                </w14:textFill>
              </w:rPr>
              <w:t>5</w:t>
            </w:r>
            <w:r>
              <w:rPr>
                <w:rFonts w:hint="eastAsia" w:ascii="仿宋" w:hAnsi="仿宋" w:eastAsia="仿宋" w:cs="仿宋"/>
                <w:b/>
                <w:color w:val="000000" w:themeColor="text1"/>
                <w:szCs w:val="21"/>
                <w14:textFill>
                  <w14:solidFill>
                    <w14:schemeClr w14:val="tx1"/>
                  </w14:solidFill>
                </w14:textFill>
              </w:rPr>
              <w:t>分</w:t>
            </w:r>
          </w:p>
        </w:tc>
        <w:tc>
          <w:tcPr>
            <w:tcW w:w="8333" w:type="dxa"/>
            <w:vAlign w:val="center"/>
          </w:tcPr>
          <w:p w14:paraId="1DC2E076">
            <w:pPr>
              <w:tabs>
                <w:tab w:val="left" w:pos="547"/>
              </w:tabs>
              <w:spacing w:line="336" w:lineRule="auto"/>
              <w:jc w:val="left"/>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产品供货渠道合法，无假货、水货、翻新货且无产权纠纷，质量合格：</w:t>
            </w:r>
          </w:p>
          <w:p w14:paraId="5132F69A">
            <w:pPr>
              <w:tabs>
                <w:tab w:val="left" w:pos="547"/>
              </w:tabs>
              <w:spacing w:line="336" w:lineRule="auto"/>
              <w:jc w:val="left"/>
              <w:rPr>
                <w:rFonts w:hint="eastAsia" w:ascii="仿宋" w:hAnsi="仿宋" w:eastAsia="仿宋" w:cs="仿宋"/>
                <w:bCs/>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①</w:t>
            </w:r>
            <w:r>
              <w:rPr>
                <w:rFonts w:hint="eastAsia" w:ascii="仿宋" w:hAnsi="仿宋" w:eastAsia="仿宋" w:cs="仿宋"/>
                <w:color w:val="000000" w:themeColor="text1"/>
                <w:szCs w:val="21"/>
                <w:lang w:val="en-US" w:eastAsia="zh-CN"/>
                <w14:textFill>
                  <w14:solidFill>
                    <w14:schemeClr w14:val="tx1"/>
                  </w14:solidFill>
                </w14:textFill>
              </w:rPr>
              <w:t>提供产品</w:t>
            </w:r>
            <w:r>
              <w:rPr>
                <w:rFonts w:hint="eastAsia" w:ascii="仿宋" w:hAnsi="仿宋" w:eastAsia="仿宋" w:cs="仿宋"/>
                <w:bCs/>
                <w:color w:val="000000" w:themeColor="text1"/>
                <w:szCs w:val="21"/>
                <w14:textFill>
                  <w14:solidFill>
                    <w14:schemeClr w14:val="tx1"/>
                  </w14:solidFill>
                </w14:textFill>
              </w:rPr>
              <w:t>合法来源渠道</w:t>
            </w:r>
            <w:r>
              <w:rPr>
                <w:rFonts w:hint="eastAsia" w:ascii="仿宋" w:hAnsi="仿宋" w:eastAsia="仿宋" w:cs="仿宋"/>
                <w:bCs/>
                <w:color w:val="000000" w:themeColor="text1"/>
                <w:szCs w:val="21"/>
                <w:lang w:val="en-US" w:eastAsia="zh-CN"/>
                <w14:textFill>
                  <w14:solidFill>
                    <w14:schemeClr w14:val="tx1"/>
                  </w14:solidFill>
                </w14:textFill>
              </w:rPr>
              <w:t>证明;产品授权书或销售协议等，提供得5分，</w:t>
            </w:r>
            <w:r>
              <w:rPr>
                <w:rFonts w:hint="eastAsia" w:ascii="仿宋" w:hAnsi="仿宋" w:eastAsia="仿宋" w:cs="仿宋"/>
                <w:bCs/>
                <w:color w:val="000000" w:themeColor="text1"/>
                <w:szCs w:val="21"/>
                <w14:textFill>
                  <w14:solidFill>
                    <w14:schemeClr w14:val="tx1"/>
                  </w14:solidFill>
                </w14:textFill>
              </w:rPr>
              <w:t>未提供不得分。</w:t>
            </w:r>
          </w:p>
        </w:tc>
      </w:tr>
      <w:tr w14:paraId="4B90F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4" w:type="dxa"/>
            <w:vMerge w:val="continue"/>
          </w:tcPr>
          <w:p w14:paraId="5AF74214">
            <w:pPr>
              <w:rPr>
                <w:rFonts w:hint="eastAsia" w:ascii="仿宋" w:hAnsi="仿宋" w:eastAsia="仿宋" w:cs="仿宋"/>
                <w:b/>
                <w:color w:val="000000" w:themeColor="text1"/>
                <w:szCs w:val="21"/>
                <w14:textFill>
                  <w14:solidFill>
                    <w14:schemeClr w14:val="tx1"/>
                  </w14:solidFill>
                </w14:textFill>
              </w:rPr>
            </w:pPr>
          </w:p>
        </w:tc>
        <w:tc>
          <w:tcPr>
            <w:tcW w:w="846" w:type="dxa"/>
            <w:vAlign w:val="center"/>
          </w:tcPr>
          <w:p w14:paraId="22865698">
            <w:pPr>
              <w:tabs>
                <w:tab w:val="left" w:pos="547"/>
              </w:tabs>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lang w:val="en-US" w:eastAsia="zh-CN"/>
                <w14:textFill>
                  <w14:solidFill>
                    <w14:schemeClr w14:val="tx1"/>
                  </w14:solidFill>
                </w14:textFill>
              </w:rPr>
              <w:t>5</w:t>
            </w:r>
            <w:r>
              <w:rPr>
                <w:rFonts w:hint="eastAsia" w:ascii="仿宋" w:hAnsi="仿宋" w:eastAsia="仿宋" w:cs="仿宋"/>
                <w:b/>
                <w:color w:val="000000" w:themeColor="text1"/>
                <w:szCs w:val="21"/>
                <w14:textFill>
                  <w14:solidFill>
                    <w14:schemeClr w14:val="tx1"/>
                  </w14:solidFill>
                </w14:textFill>
              </w:rPr>
              <w:t>分</w:t>
            </w:r>
          </w:p>
        </w:tc>
        <w:tc>
          <w:tcPr>
            <w:tcW w:w="8333" w:type="dxa"/>
            <w:vAlign w:val="center"/>
          </w:tcPr>
          <w:p w14:paraId="01C66616">
            <w:pPr>
              <w:pStyle w:val="21"/>
              <w:spacing w:line="336" w:lineRule="auto"/>
              <w:jc w:val="left"/>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投标人具有详细的维保方案及售后服务承诺：</w:t>
            </w:r>
          </w:p>
          <w:p w14:paraId="0DB840D7">
            <w:pPr>
              <w:tabs>
                <w:tab w:val="left" w:pos="547"/>
              </w:tabs>
              <w:spacing w:line="336" w:lineRule="auto"/>
              <w:jc w:val="left"/>
              <w:rPr>
                <w:rFonts w:hint="eastAsia"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①维保方案详细，售后服务机制健全，售后服务承诺具体、可行，能够满足项目实际需求，计</w:t>
            </w:r>
            <w:r>
              <w:rPr>
                <w:rFonts w:hint="eastAsia" w:ascii="仿宋" w:hAnsi="仿宋" w:eastAsia="仿宋" w:cs="仿宋"/>
                <w:bCs/>
                <w:color w:val="000000" w:themeColor="text1"/>
                <w:szCs w:val="21"/>
                <w:lang w:val="en-US" w:eastAsia="zh-CN"/>
                <w14:textFill>
                  <w14:solidFill>
                    <w14:schemeClr w14:val="tx1"/>
                  </w14:solidFill>
                </w14:textFill>
              </w:rPr>
              <w:t>4.1</w:t>
            </w:r>
            <w:r>
              <w:rPr>
                <w:rFonts w:hint="eastAsia" w:ascii="仿宋" w:hAnsi="仿宋" w:eastAsia="仿宋" w:cs="仿宋"/>
                <w:bCs/>
                <w:color w:val="000000" w:themeColor="text1"/>
                <w:szCs w:val="21"/>
                <w14:textFill>
                  <w14:solidFill>
                    <w14:schemeClr w14:val="tx1"/>
                  </w14:solidFill>
                </w14:textFill>
              </w:rPr>
              <w:t>-</w:t>
            </w:r>
            <w:r>
              <w:rPr>
                <w:rFonts w:hint="eastAsia" w:ascii="仿宋" w:hAnsi="仿宋" w:eastAsia="仿宋" w:cs="仿宋"/>
                <w:bCs/>
                <w:color w:val="000000" w:themeColor="text1"/>
                <w:szCs w:val="21"/>
                <w:lang w:val="en-US" w:eastAsia="zh-CN"/>
                <w14:textFill>
                  <w14:solidFill>
                    <w14:schemeClr w14:val="tx1"/>
                  </w14:solidFill>
                </w14:textFill>
              </w:rPr>
              <w:t>5</w:t>
            </w:r>
            <w:r>
              <w:rPr>
                <w:rFonts w:hint="eastAsia" w:ascii="仿宋" w:hAnsi="仿宋" w:eastAsia="仿宋" w:cs="仿宋"/>
                <w:bCs/>
                <w:color w:val="000000" w:themeColor="text1"/>
                <w:szCs w:val="21"/>
                <w14:textFill>
                  <w14:solidFill>
                    <w14:schemeClr w14:val="tx1"/>
                  </w14:solidFill>
                </w14:textFill>
              </w:rPr>
              <w:t>分；</w:t>
            </w:r>
          </w:p>
          <w:p w14:paraId="0E003E46">
            <w:pPr>
              <w:pStyle w:val="18"/>
              <w:spacing w:line="300" w:lineRule="auto"/>
              <w:rPr>
                <w:rFonts w:hint="eastAsia"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②维保方案较详细；售后服务机制较健全，售后服务承诺较具体、可行，较满足项目实际需求，计</w:t>
            </w:r>
            <w:r>
              <w:rPr>
                <w:rFonts w:hint="eastAsia" w:ascii="仿宋" w:hAnsi="仿宋" w:eastAsia="仿宋" w:cs="仿宋"/>
                <w:bCs/>
                <w:color w:val="000000" w:themeColor="text1"/>
                <w:szCs w:val="21"/>
                <w:lang w:val="en-US" w:eastAsia="zh-CN"/>
                <w14:textFill>
                  <w14:solidFill>
                    <w14:schemeClr w14:val="tx1"/>
                  </w14:solidFill>
                </w14:textFill>
              </w:rPr>
              <w:t>3.1</w:t>
            </w:r>
            <w:r>
              <w:rPr>
                <w:rFonts w:hint="eastAsia" w:ascii="仿宋" w:hAnsi="仿宋" w:eastAsia="仿宋" w:cs="仿宋"/>
                <w:bCs/>
                <w:color w:val="000000" w:themeColor="text1"/>
                <w:szCs w:val="21"/>
                <w14:textFill>
                  <w14:solidFill>
                    <w14:schemeClr w14:val="tx1"/>
                  </w14:solidFill>
                </w14:textFill>
              </w:rPr>
              <w:t>-</w:t>
            </w:r>
            <w:r>
              <w:rPr>
                <w:rFonts w:hint="eastAsia" w:ascii="仿宋" w:hAnsi="仿宋" w:eastAsia="仿宋" w:cs="仿宋"/>
                <w:bCs/>
                <w:color w:val="000000" w:themeColor="text1"/>
                <w:szCs w:val="21"/>
                <w:lang w:val="en-US" w:eastAsia="zh-CN"/>
                <w14:textFill>
                  <w14:solidFill>
                    <w14:schemeClr w14:val="tx1"/>
                  </w14:solidFill>
                </w14:textFill>
              </w:rPr>
              <w:t>4</w:t>
            </w:r>
            <w:r>
              <w:rPr>
                <w:rFonts w:hint="eastAsia" w:ascii="仿宋" w:hAnsi="仿宋" w:eastAsia="仿宋" w:cs="仿宋"/>
                <w:bCs/>
                <w:color w:val="000000" w:themeColor="text1"/>
                <w:szCs w:val="21"/>
                <w14:textFill>
                  <w14:solidFill>
                    <w14:schemeClr w14:val="tx1"/>
                  </w14:solidFill>
                </w14:textFill>
              </w:rPr>
              <w:t>分；</w:t>
            </w:r>
          </w:p>
          <w:p w14:paraId="2C0A4864">
            <w:pPr>
              <w:pStyle w:val="18"/>
              <w:spacing w:line="300" w:lineRule="auto"/>
              <w:rPr>
                <w:rFonts w:hint="eastAsia" w:ascii="仿宋" w:hAnsi="仿宋" w:eastAsia="仿宋" w:cs="仿宋"/>
                <w:bCs/>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③</w:t>
            </w:r>
            <w:r>
              <w:rPr>
                <w:rFonts w:hint="eastAsia" w:ascii="仿宋" w:hAnsi="仿宋" w:eastAsia="仿宋" w:cs="仿宋"/>
                <w:color w:val="000000" w:themeColor="text1"/>
                <w:szCs w:val="21"/>
                <w:lang w:val="en-US" w:eastAsia="zh-CN"/>
                <w14:textFill>
                  <w14:solidFill>
                    <w14:schemeClr w14:val="tx1"/>
                  </w14:solidFill>
                </w14:textFill>
              </w:rPr>
              <w:t>维保及售后简陋</w:t>
            </w:r>
            <w:r>
              <w:rPr>
                <w:rFonts w:hint="eastAsia" w:ascii="仿宋" w:hAnsi="仿宋" w:eastAsia="仿宋" w:cs="仿宋"/>
                <w:color w:val="000000" w:themeColor="text1"/>
                <w:szCs w:val="21"/>
                <w14:textFill>
                  <w14:solidFill>
                    <w14:schemeClr w14:val="tx1"/>
                  </w14:solidFill>
                </w14:textFill>
              </w:rPr>
              <w:t>得1-2分。</w:t>
            </w:r>
            <w:r>
              <w:rPr>
                <w:rFonts w:hint="eastAsia" w:ascii="仿宋" w:hAnsi="仿宋" w:eastAsia="仿宋" w:cs="仿宋"/>
                <w:bCs/>
                <w:color w:val="000000" w:themeColor="text1"/>
                <w:szCs w:val="21"/>
                <w14:textFill>
                  <w14:solidFill>
                    <w14:schemeClr w14:val="tx1"/>
                  </w14:solidFill>
                </w14:textFill>
              </w:rPr>
              <w:t>未提供不得分。</w:t>
            </w:r>
          </w:p>
        </w:tc>
      </w:tr>
      <w:tr w14:paraId="11FFA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1184" w:type="dxa"/>
            <w:vMerge w:val="continue"/>
          </w:tcPr>
          <w:p w14:paraId="617278EF">
            <w:pPr>
              <w:rPr>
                <w:rFonts w:hint="eastAsia" w:ascii="仿宋" w:hAnsi="仿宋" w:eastAsia="仿宋" w:cs="仿宋"/>
                <w:b/>
                <w:color w:val="000000" w:themeColor="text1"/>
                <w:szCs w:val="21"/>
                <w14:textFill>
                  <w14:solidFill>
                    <w14:schemeClr w14:val="tx1"/>
                  </w14:solidFill>
                </w14:textFill>
              </w:rPr>
            </w:pPr>
          </w:p>
        </w:tc>
        <w:tc>
          <w:tcPr>
            <w:tcW w:w="846" w:type="dxa"/>
            <w:vAlign w:val="center"/>
          </w:tcPr>
          <w:p w14:paraId="36DB1152">
            <w:pPr>
              <w:tabs>
                <w:tab w:val="left" w:pos="547"/>
              </w:tabs>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lang w:val="en-US" w:eastAsia="zh-CN"/>
                <w14:textFill>
                  <w14:solidFill>
                    <w14:schemeClr w14:val="tx1"/>
                  </w14:solidFill>
                </w14:textFill>
              </w:rPr>
              <w:t>5</w:t>
            </w:r>
            <w:r>
              <w:rPr>
                <w:rFonts w:hint="eastAsia" w:ascii="仿宋" w:hAnsi="仿宋" w:eastAsia="仿宋" w:cs="仿宋"/>
                <w:b/>
                <w:color w:val="000000" w:themeColor="text1"/>
                <w:szCs w:val="21"/>
                <w14:textFill>
                  <w14:solidFill>
                    <w14:schemeClr w14:val="tx1"/>
                  </w14:solidFill>
                </w14:textFill>
              </w:rPr>
              <w:t>分</w:t>
            </w:r>
          </w:p>
        </w:tc>
        <w:tc>
          <w:tcPr>
            <w:tcW w:w="8333" w:type="dxa"/>
            <w:vAlign w:val="center"/>
          </w:tcPr>
          <w:p w14:paraId="57E0429B">
            <w:pPr>
              <w:tabs>
                <w:tab w:val="left" w:pos="547"/>
              </w:tabs>
              <w:spacing w:line="288" w:lineRule="auto"/>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培训方案及培训计划：</w:t>
            </w:r>
            <w:r>
              <w:rPr>
                <w:rFonts w:hint="eastAsia" w:ascii="仿宋" w:hAnsi="仿宋" w:eastAsia="仿宋" w:cs="仿宋"/>
                <w:color w:val="000000" w:themeColor="text1"/>
                <w:szCs w:val="21"/>
                <w14:textFill>
                  <w14:solidFill>
                    <w14:schemeClr w14:val="tx1"/>
                  </w14:solidFill>
                </w14:textFill>
              </w:rPr>
              <w:t>提供详尽的培训方案及培训计划，并列出培训的具体内容及方式，确保使用人员能够独立操作，并进行简单故障排查处理（包括：培训人数、培训时间、培训内容等）覆盖全部内容，设计合理。</w:t>
            </w:r>
          </w:p>
          <w:p w14:paraId="0C3D5345">
            <w:pPr>
              <w:tabs>
                <w:tab w:val="left" w:pos="547"/>
              </w:tabs>
              <w:spacing w:line="288" w:lineRule="auto"/>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①方案、计划内容具体、完整、详细、全面，满足采购人需求，得</w:t>
            </w:r>
            <w:r>
              <w:rPr>
                <w:rFonts w:hint="eastAsia" w:ascii="仿宋" w:hAnsi="仿宋" w:eastAsia="仿宋" w:cs="仿宋"/>
                <w:color w:val="000000" w:themeColor="text1"/>
                <w:szCs w:val="21"/>
                <w:lang w:val="en-US" w:eastAsia="zh-CN"/>
                <w14:textFill>
                  <w14:solidFill>
                    <w14:schemeClr w14:val="tx1"/>
                  </w14:solidFill>
                </w14:textFill>
              </w:rPr>
              <w:t>4.1</w:t>
            </w: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szCs w:val="21"/>
                <w:lang w:val="en-US" w:eastAsia="zh-CN"/>
                <w14:textFill>
                  <w14:solidFill>
                    <w14:schemeClr w14:val="tx1"/>
                  </w14:solidFill>
                </w14:textFill>
              </w:rPr>
              <w:t>5</w:t>
            </w:r>
            <w:r>
              <w:rPr>
                <w:rFonts w:hint="eastAsia" w:ascii="仿宋" w:hAnsi="仿宋" w:eastAsia="仿宋" w:cs="仿宋"/>
                <w:color w:val="000000" w:themeColor="text1"/>
                <w:szCs w:val="21"/>
                <w14:textFill>
                  <w14:solidFill>
                    <w14:schemeClr w14:val="tx1"/>
                  </w14:solidFill>
                </w14:textFill>
              </w:rPr>
              <w:t>分；</w:t>
            </w:r>
          </w:p>
          <w:p w14:paraId="2236B9F7">
            <w:pPr>
              <w:tabs>
                <w:tab w:val="left" w:pos="547"/>
              </w:tabs>
              <w:spacing w:line="288" w:lineRule="auto"/>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②方案、计划内容较具体、完整、详细、全面，较满足采购人需求，得</w:t>
            </w:r>
            <w:r>
              <w:rPr>
                <w:rFonts w:hint="eastAsia" w:ascii="仿宋" w:hAnsi="仿宋" w:eastAsia="仿宋" w:cs="仿宋"/>
                <w:color w:val="000000" w:themeColor="text1"/>
                <w:szCs w:val="21"/>
                <w:lang w:val="en-US" w:eastAsia="zh-CN"/>
                <w14:textFill>
                  <w14:solidFill>
                    <w14:schemeClr w14:val="tx1"/>
                  </w14:solidFill>
                </w14:textFill>
              </w:rPr>
              <w:t>3.1</w:t>
            </w: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szCs w:val="21"/>
                <w:lang w:val="en-US" w:eastAsia="zh-CN"/>
                <w14:textFill>
                  <w14:solidFill>
                    <w14:schemeClr w14:val="tx1"/>
                  </w14:solidFill>
                </w14:textFill>
              </w:rPr>
              <w:t>4</w:t>
            </w:r>
            <w:r>
              <w:rPr>
                <w:rFonts w:hint="eastAsia" w:ascii="仿宋" w:hAnsi="仿宋" w:eastAsia="仿宋" w:cs="仿宋"/>
                <w:color w:val="000000" w:themeColor="text1"/>
                <w:szCs w:val="21"/>
                <w14:textFill>
                  <w14:solidFill>
                    <w14:schemeClr w14:val="tx1"/>
                  </w14:solidFill>
                </w14:textFill>
              </w:rPr>
              <w:t>分；</w:t>
            </w:r>
          </w:p>
          <w:p w14:paraId="50B860FE">
            <w:pPr>
              <w:tabs>
                <w:tab w:val="left" w:pos="547"/>
              </w:tabs>
              <w:spacing w:line="288" w:lineRule="auto"/>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③方案、计划内容基本具体、完整、详细、全面，基本满足采购人需求，得</w:t>
            </w:r>
            <w:r>
              <w:rPr>
                <w:rFonts w:hint="eastAsia" w:ascii="仿宋" w:hAnsi="仿宋" w:eastAsia="仿宋" w:cs="仿宋"/>
                <w:color w:val="000000" w:themeColor="text1"/>
                <w:szCs w:val="21"/>
                <w:lang w:val="en-US" w:eastAsia="zh-CN"/>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szCs w:val="21"/>
                <w:lang w:val="en-US" w:eastAsia="zh-CN"/>
                <w14:textFill>
                  <w14:solidFill>
                    <w14:schemeClr w14:val="tx1"/>
                  </w14:solidFill>
                </w14:textFill>
              </w:rPr>
              <w:t>2</w:t>
            </w:r>
            <w:r>
              <w:rPr>
                <w:rFonts w:hint="eastAsia" w:ascii="仿宋" w:hAnsi="仿宋" w:eastAsia="仿宋" w:cs="仿宋"/>
                <w:color w:val="000000" w:themeColor="text1"/>
                <w:szCs w:val="21"/>
                <w14:textFill>
                  <w14:solidFill>
                    <w14:schemeClr w14:val="tx1"/>
                  </w14:solidFill>
                </w14:textFill>
              </w:rPr>
              <w:t>分。</w:t>
            </w:r>
          </w:p>
          <w:p w14:paraId="43F2B26B">
            <w:pPr>
              <w:tabs>
                <w:tab w:val="left" w:pos="547"/>
              </w:tabs>
              <w:spacing w:line="288" w:lineRule="auto"/>
              <w:jc w:val="left"/>
              <w:rPr>
                <w:rFonts w:hint="eastAsia"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未提供不得分。</w:t>
            </w:r>
          </w:p>
        </w:tc>
      </w:tr>
      <w:tr w14:paraId="4886E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1184" w:type="dxa"/>
            <w:vMerge w:val="continue"/>
          </w:tcPr>
          <w:p w14:paraId="35AC6230">
            <w:pPr>
              <w:rPr>
                <w:rFonts w:hint="eastAsia" w:ascii="仿宋" w:hAnsi="仿宋" w:eastAsia="仿宋" w:cs="仿宋"/>
                <w:b/>
                <w:color w:val="000000" w:themeColor="text1"/>
                <w:szCs w:val="21"/>
                <w14:textFill>
                  <w14:solidFill>
                    <w14:schemeClr w14:val="tx1"/>
                  </w14:solidFill>
                </w14:textFill>
              </w:rPr>
            </w:pPr>
          </w:p>
        </w:tc>
        <w:tc>
          <w:tcPr>
            <w:tcW w:w="846" w:type="dxa"/>
            <w:vAlign w:val="center"/>
          </w:tcPr>
          <w:p w14:paraId="1F4B0456">
            <w:pPr>
              <w:tabs>
                <w:tab w:val="left" w:pos="547"/>
              </w:tabs>
              <w:jc w:val="center"/>
              <w:rPr>
                <w:rFonts w:hint="eastAsia" w:ascii="仿宋" w:hAnsi="仿宋" w:eastAsia="仿宋" w:cs="仿宋"/>
                <w:b/>
                <w:color w:val="000000" w:themeColor="text1"/>
                <w:szCs w:val="21"/>
                <w:lang w:val="en-US" w:eastAsia="zh-CN"/>
                <w14:textFill>
                  <w14:solidFill>
                    <w14:schemeClr w14:val="tx1"/>
                  </w14:solidFill>
                </w14:textFill>
              </w:rPr>
            </w:pPr>
            <w:r>
              <w:rPr>
                <w:rFonts w:hint="eastAsia" w:ascii="仿宋" w:hAnsi="仿宋" w:eastAsia="仿宋" w:cs="仿宋"/>
                <w:b/>
                <w:color w:val="000000" w:themeColor="text1"/>
                <w:szCs w:val="21"/>
                <w:lang w:val="en-US" w:eastAsia="zh-CN"/>
                <w14:textFill>
                  <w14:solidFill>
                    <w14:schemeClr w14:val="tx1"/>
                  </w14:solidFill>
                </w14:textFill>
              </w:rPr>
              <w:t>5分</w:t>
            </w:r>
          </w:p>
        </w:tc>
        <w:tc>
          <w:tcPr>
            <w:tcW w:w="8333" w:type="dxa"/>
            <w:vAlign w:val="center"/>
          </w:tcPr>
          <w:p w14:paraId="47084843">
            <w:pPr>
              <w:pStyle w:val="21"/>
              <w:spacing w:line="336" w:lineRule="auto"/>
              <w:jc w:val="left"/>
              <w:rPr>
                <w:rFonts w:hint="eastAsia" w:ascii="仿宋" w:hAnsi="仿宋" w:eastAsia="仿宋" w:cs="仿宋"/>
                <w:bCs/>
                <w:color w:val="000000" w:themeColor="text1"/>
                <w:szCs w:val="21"/>
                <w:lang w:val="en-US" w:eastAsia="zh-CN"/>
                <w14:textFill>
                  <w14:solidFill>
                    <w14:schemeClr w14:val="tx1"/>
                  </w14:solidFill>
                </w14:textFill>
              </w:rPr>
            </w:pPr>
            <w:r>
              <w:rPr>
                <w:rFonts w:hint="eastAsia" w:ascii="仿宋" w:hAnsi="仿宋" w:eastAsia="仿宋" w:cs="仿宋"/>
                <w:b/>
                <w:bCs/>
                <w:color w:val="000000" w:themeColor="text1"/>
                <w:kern w:val="2"/>
                <w:sz w:val="21"/>
                <w:szCs w:val="21"/>
                <w:lang w:val="en-US" w:eastAsia="zh-CN" w:bidi="ar-SA"/>
                <w14:textFill>
                  <w14:solidFill>
                    <w14:schemeClr w14:val="tx1"/>
                  </w14:solidFill>
                </w14:textFill>
              </w:rPr>
              <w:t>类似项目业绩：</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提供2023年1月至今类似项目业绩，提供一份得2.5分，最高得5分，投标文件正副本中须附中标/成交通知书或合同复印件并加盖公章，未提供不得分。</w:t>
            </w:r>
          </w:p>
        </w:tc>
      </w:tr>
    </w:tbl>
    <w:p w14:paraId="1B944444">
      <w:pPr>
        <w:keepNext w:val="0"/>
        <w:keepLines w:val="0"/>
        <w:pageBreakBefore w:val="0"/>
        <w:shd w:val="clear"/>
        <w:tabs>
          <w:tab w:val="left" w:pos="1575"/>
        </w:tabs>
        <w:kinsoku/>
        <w:wordWrap/>
        <w:overflowPunct/>
        <w:topLinePunct w:val="0"/>
        <w:bidi w:val="0"/>
        <w:adjustRightInd w:val="0"/>
        <w:snapToGrid w:val="0"/>
        <w:spacing w:line="360" w:lineRule="auto"/>
        <w:ind w:right="0"/>
        <w:rPr>
          <w:rFonts w:hint="eastAsia" w:ascii="仿宋" w:hAnsi="仿宋" w:eastAsia="仿宋" w:cs="仿宋"/>
          <w:color w:val="000000" w:themeColor="text1"/>
          <w:kern w:val="1"/>
          <w:szCs w:val="21"/>
          <w:highlight w:val="none"/>
          <w14:textFill>
            <w14:solidFill>
              <w14:schemeClr w14:val="tx1"/>
            </w14:solidFill>
          </w14:textFill>
        </w:rPr>
      </w:pPr>
    </w:p>
    <w:p w14:paraId="374BCB28">
      <w:pPr>
        <w:shd w:val="clear"/>
        <w:snapToGrid w:val="0"/>
        <w:spacing w:line="360" w:lineRule="auto"/>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备注：</w:t>
      </w:r>
    </w:p>
    <w:p w14:paraId="07A03BDF">
      <w:pPr>
        <w:shd w:val="clear"/>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 若出现综合得分并列时，比较技术得分，此分项得分高者排序在前；若技术得分仍相同，比较价格得分，此分项得分高者排序在前；若投标报价得分仍相同，则由评标委员会无记名投票，得票高者排序在前；</w:t>
      </w:r>
    </w:p>
    <w:p w14:paraId="18EAF3F8">
      <w:pPr>
        <w:shd w:val="clear"/>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 评委打分超过得分界限或未按本方法赋分时，该评委的打分按废票处理；</w:t>
      </w:r>
    </w:p>
    <w:p w14:paraId="1D1E6328">
      <w:pPr>
        <w:shd w:val="clear"/>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 各种计算采用插入法，数字均保留两位小数，第三位“四舍五入”；</w:t>
      </w:r>
    </w:p>
    <w:p w14:paraId="320C2B7D">
      <w:pPr>
        <w:shd w:val="clear"/>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4）投标文件对评标内容无响应的，该项评分按照0分计算；</w:t>
      </w:r>
    </w:p>
    <w:p w14:paraId="3D54C45F">
      <w:pPr>
        <w:shd w:val="clear"/>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5）本项目以人民币为计量币种进行评标。</w:t>
      </w:r>
    </w:p>
    <w:p w14:paraId="7BEAAC04">
      <w:pPr>
        <w:shd w:val="clear"/>
        <w:snapToGrid w:val="0"/>
        <w:spacing w:line="360" w:lineRule="auto"/>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kern w:val="1"/>
          <w:szCs w:val="21"/>
          <w:highlight w:val="none"/>
          <w14:textFill>
            <w14:solidFill>
              <w14:schemeClr w14:val="tx1"/>
            </w14:solidFill>
          </w14:textFill>
        </w:rPr>
        <w:t>3.</w:t>
      </w:r>
      <w:r>
        <w:rPr>
          <w:rFonts w:hint="eastAsia" w:ascii="仿宋" w:hAnsi="仿宋" w:eastAsia="仿宋" w:cs="仿宋"/>
          <w:b/>
          <w:bCs/>
          <w:color w:val="000000" w:themeColor="text1"/>
          <w:szCs w:val="21"/>
          <w:highlight w:val="none"/>
          <w14:textFill>
            <w14:solidFill>
              <w14:schemeClr w14:val="tx1"/>
            </w14:solidFill>
          </w14:textFill>
        </w:rPr>
        <w:t>3、无效投标文件的认定</w:t>
      </w:r>
    </w:p>
    <w:p w14:paraId="30BD8806">
      <w:pPr>
        <w:pStyle w:val="14"/>
        <w:shd w:val="clear"/>
        <w:tabs>
          <w:tab w:val="left" w:pos="600"/>
        </w:tabs>
        <w:snapToGrid w:val="0"/>
        <w:spacing w:after="0" w:line="360" w:lineRule="auto"/>
        <w:ind w:left="0" w:leftChars="0"/>
        <w:jc w:val="left"/>
        <w:rPr>
          <w:rFonts w:hint="eastAsia" w:ascii="仿宋" w:hAnsi="仿宋" w:eastAsia="仿宋" w:cs="仿宋"/>
          <w:color w:val="000000" w:themeColor="text1"/>
          <w:kern w:val="2"/>
          <w:sz w:val="21"/>
          <w:szCs w:val="21"/>
          <w:highlight w:val="none"/>
          <w:lang w:val="zh-CN"/>
          <w14:textFill>
            <w14:solidFill>
              <w14:schemeClr w14:val="tx1"/>
            </w14:solidFill>
          </w14:textFill>
        </w:rPr>
      </w:pPr>
      <w:r>
        <w:rPr>
          <w:rFonts w:hint="eastAsia" w:ascii="仿宋" w:hAnsi="仿宋" w:eastAsia="仿宋" w:cs="仿宋"/>
          <w:color w:val="000000" w:themeColor="text1"/>
          <w:kern w:val="1"/>
          <w:sz w:val="21"/>
          <w:szCs w:val="21"/>
          <w:highlight w:val="none"/>
          <w14:textFill>
            <w14:solidFill>
              <w14:schemeClr w14:val="tx1"/>
            </w14:solidFill>
          </w14:textFill>
        </w:rPr>
        <w:t>3.</w:t>
      </w:r>
      <w:r>
        <w:rPr>
          <w:rFonts w:hint="eastAsia" w:ascii="仿宋" w:hAnsi="仿宋" w:eastAsia="仿宋" w:cs="仿宋"/>
          <w:color w:val="000000" w:themeColor="text1"/>
          <w:kern w:val="2"/>
          <w:sz w:val="21"/>
          <w:szCs w:val="21"/>
          <w:highlight w:val="none"/>
          <w14:textFill>
            <w14:solidFill>
              <w14:schemeClr w14:val="tx1"/>
            </w14:solidFill>
          </w14:textFill>
        </w:rPr>
        <w:t>3</w:t>
      </w:r>
      <w:r>
        <w:rPr>
          <w:rFonts w:hint="eastAsia" w:ascii="仿宋" w:hAnsi="仿宋" w:eastAsia="仿宋" w:cs="仿宋"/>
          <w:color w:val="000000" w:themeColor="text1"/>
          <w:kern w:val="2"/>
          <w:sz w:val="21"/>
          <w:szCs w:val="21"/>
          <w:highlight w:val="none"/>
          <w:lang w:val="zh-CN"/>
          <w14:textFill>
            <w14:solidFill>
              <w14:schemeClr w14:val="tx1"/>
            </w14:solidFill>
          </w14:textFill>
        </w:rPr>
        <w:t>.1、在评审过程中，出现下列情形之一的，应作为无效投标文件：</w:t>
      </w:r>
    </w:p>
    <w:p w14:paraId="3B84233F">
      <w:pPr>
        <w:shd w:val="clear"/>
        <w:snapToGrid w:val="0"/>
        <w:spacing w:line="360" w:lineRule="auto"/>
        <w:ind w:firstLine="420" w:firstLineChars="2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3</w:t>
      </w:r>
      <w:r>
        <w:rPr>
          <w:rFonts w:hint="eastAsia" w:ascii="仿宋" w:hAnsi="仿宋" w:eastAsia="仿宋" w:cs="仿宋"/>
          <w:color w:val="000000" w:themeColor="text1"/>
          <w:szCs w:val="21"/>
          <w:highlight w:val="none"/>
          <w:lang w:val="zh-CN"/>
          <w14:textFill>
            <w14:solidFill>
              <w14:schemeClr w14:val="tx1"/>
            </w14:solidFill>
          </w14:textFill>
        </w:rPr>
        <w:t>.1.1、投标人未经过正常渠道获取招标文件的；</w:t>
      </w:r>
    </w:p>
    <w:p w14:paraId="539B2563">
      <w:pPr>
        <w:pStyle w:val="35"/>
        <w:shd w:val="clear"/>
        <w:snapToGrid w:val="0"/>
        <w:spacing w:after="0" w:line="360" w:lineRule="auto"/>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kern w:val="1"/>
          <w:sz w:val="21"/>
          <w:szCs w:val="21"/>
          <w:highlight w:val="none"/>
          <w14:textFill>
            <w14:solidFill>
              <w14:schemeClr w14:val="tx1"/>
            </w14:solidFill>
          </w14:textFill>
        </w:rPr>
        <w:t>3.</w:t>
      </w:r>
      <w:r>
        <w:rPr>
          <w:rFonts w:hint="eastAsia" w:ascii="仿宋" w:hAnsi="仿宋" w:eastAsia="仿宋" w:cs="仿宋"/>
          <w:color w:val="000000" w:themeColor="text1"/>
          <w:sz w:val="21"/>
          <w:szCs w:val="21"/>
          <w:highlight w:val="none"/>
          <w14:textFill>
            <w14:solidFill>
              <w14:schemeClr w14:val="tx1"/>
            </w14:solidFill>
          </w14:textFill>
        </w:rPr>
        <w:t>3</w:t>
      </w:r>
      <w:r>
        <w:rPr>
          <w:rFonts w:hint="eastAsia" w:ascii="仿宋" w:hAnsi="仿宋" w:eastAsia="仿宋" w:cs="仿宋"/>
          <w:color w:val="000000" w:themeColor="text1"/>
          <w:sz w:val="21"/>
          <w:szCs w:val="21"/>
          <w:highlight w:val="none"/>
          <w:lang w:val="zh-CN"/>
          <w14:textFill>
            <w14:solidFill>
              <w14:schemeClr w14:val="tx1"/>
            </w14:solidFill>
          </w14:textFill>
        </w:rPr>
        <w:t>.1.2、投标人名称与登记获取招标文件单位的名称不一致的；</w:t>
      </w:r>
    </w:p>
    <w:p w14:paraId="686213E1">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000000" w:themeColor="text1"/>
          <w:szCs w:val="21"/>
          <w:highlight w:val="none"/>
          <w:lang w:val="zh-CN"/>
          <w14:textFill>
            <w14:solidFill>
              <w14:schemeClr w14:val="tx1"/>
            </w14:solidFill>
          </w14:textFill>
        </w:rPr>
      </w:pPr>
      <w:bookmarkStart w:id="354" w:name="_Toc455956649"/>
      <w:r>
        <w:rPr>
          <w:rFonts w:hint="eastAsia" w:ascii="仿宋" w:hAnsi="仿宋" w:eastAsia="仿宋" w:cs="仿宋"/>
          <w:color w:val="000000" w:themeColor="text1"/>
          <w:kern w:val="1"/>
          <w:sz w:val="21"/>
          <w:szCs w:val="21"/>
          <w:highlight w:val="none"/>
          <w14:textFill>
            <w14:solidFill>
              <w14:schemeClr w14:val="tx1"/>
            </w14:solidFill>
          </w14:textFill>
        </w:rPr>
        <w:t>3.</w:t>
      </w:r>
      <w:r>
        <w:rPr>
          <w:rFonts w:hint="eastAsia" w:ascii="仿宋" w:hAnsi="仿宋" w:eastAsia="仿宋" w:cs="仿宋"/>
          <w:color w:val="000000" w:themeColor="text1"/>
          <w:sz w:val="21"/>
          <w:szCs w:val="21"/>
          <w:highlight w:val="none"/>
          <w14:textFill>
            <w14:solidFill>
              <w14:schemeClr w14:val="tx1"/>
            </w14:solidFill>
          </w14:textFill>
        </w:rPr>
        <w:t>3</w:t>
      </w:r>
      <w:r>
        <w:rPr>
          <w:rFonts w:hint="eastAsia" w:ascii="仿宋" w:hAnsi="仿宋" w:eastAsia="仿宋" w:cs="仿宋"/>
          <w:color w:val="000000" w:themeColor="text1"/>
          <w:sz w:val="21"/>
          <w:szCs w:val="21"/>
          <w:highlight w:val="none"/>
          <w:lang w:val="zh-CN"/>
          <w14:textFill>
            <w14:solidFill>
              <w14:schemeClr w14:val="tx1"/>
            </w14:solidFill>
          </w14:textFill>
        </w:rPr>
        <w:t>.1.3、</w:t>
      </w:r>
      <w:r>
        <w:rPr>
          <w:rFonts w:hint="eastAsia" w:ascii="仿宋" w:hAnsi="仿宋" w:eastAsia="仿宋" w:cs="仿宋"/>
          <w:color w:val="000000" w:themeColor="text1"/>
          <w:szCs w:val="21"/>
          <w:highlight w:val="none"/>
          <w:lang w:val="zh-CN"/>
          <w14:textFill>
            <w14:solidFill>
              <w14:schemeClr w14:val="tx1"/>
            </w14:solidFill>
          </w14:textFill>
        </w:rPr>
        <w:t>未按照招标文件规定和要求签署、盖章的;</w:t>
      </w:r>
    </w:p>
    <w:p w14:paraId="012D9EB1">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3</w:t>
      </w:r>
      <w:r>
        <w:rPr>
          <w:rFonts w:hint="eastAsia" w:ascii="仿宋" w:hAnsi="仿宋" w:eastAsia="仿宋" w:cs="仿宋"/>
          <w:color w:val="000000" w:themeColor="text1"/>
          <w:szCs w:val="21"/>
          <w:highlight w:val="none"/>
          <w:lang w:val="zh-CN"/>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lang w:val="zh-CN"/>
          <w14:textFill>
            <w14:solidFill>
              <w14:schemeClr w14:val="tx1"/>
            </w14:solidFill>
          </w14:textFill>
        </w:rPr>
        <w:t>、不具备招标文件中规定的资格条件和资格审查要求的;</w:t>
      </w:r>
    </w:p>
    <w:p w14:paraId="50E898E7">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3</w:t>
      </w:r>
      <w:r>
        <w:rPr>
          <w:rFonts w:hint="eastAsia" w:ascii="仿宋" w:hAnsi="仿宋" w:eastAsia="仿宋" w:cs="仿宋"/>
          <w:color w:val="000000" w:themeColor="text1"/>
          <w:szCs w:val="21"/>
          <w:highlight w:val="none"/>
          <w:lang w:val="zh-CN"/>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lang w:val="zh-CN"/>
          <w14:textFill>
            <w14:solidFill>
              <w14:schemeClr w14:val="tx1"/>
            </w14:solidFill>
          </w14:textFill>
        </w:rPr>
        <w:t>、未按照招标文件规定的格式要求编制的；</w:t>
      </w:r>
    </w:p>
    <w:p w14:paraId="2351B334">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3</w:t>
      </w:r>
      <w:r>
        <w:rPr>
          <w:rFonts w:hint="eastAsia" w:ascii="仿宋" w:hAnsi="仿宋" w:eastAsia="仿宋" w:cs="仿宋"/>
          <w:color w:val="000000" w:themeColor="text1"/>
          <w:szCs w:val="21"/>
          <w:highlight w:val="none"/>
          <w:lang w:val="zh-CN"/>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lang w:val="zh-CN"/>
          <w14:textFill>
            <w14:solidFill>
              <w14:schemeClr w14:val="tx1"/>
            </w14:solidFill>
          </w14:textFill>
        </w:rPr>
        <w:t>、未按</w:t>
      </w:r>
      <w:r>
        <w:rPr>
          <w:rFonts w:hint="eastAsia" w:ascii="仿宋" w:hAnsi="仿宋" w:eastAsia="仿宋" w:cs="仿宋"/>
          <w:color w:val="000000" w:themeColor="text1"/>
          <w:szCs w:val="21"/>
          <w:highlight w:val="none"/>
          <w:lang w:val="en-US" w:eastAsia="zh-CN"/>
          <w14:textFill>
            <w14:solidFill>
              <w14:schemeClr w14:val="tx1"/>
            </w14:solidFill>
          </w14:textFill>
        </w:rPr>
        <w:t>招标文件</w:t>
      </w:r>
      <w:r>
        <w:rPr>
          <w:rFonts w:hint="eastAsia" w:ascii="仿宋" w:hAnsi="仿宋" w:eastAsia="仿宋" w:cs="仿宋"/>
          <w:color w:val="000000" w:themeColor="text1"/>
          <w:szCs w:val="21"/>
          <w:highlight w:val="none"/>
          <w:lang w:val="zh-CN"/>
          <w14:textFill>
            <w14:solidFill>
              <w14:schemeClr w14:val="tx1"/>
            </w14:solidFill>
          </w14:textFill>
        </w:rPr>
        <w:t>要求提交投标文件的；</w:t>
      </w:r>
    </w:p>
    <w:p w14:paraId="5678C8E1">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3</w:t>
      </w:r>
      <w:r>
        <w:rPr>
          <w:rFonts w:hint="eastAsia" w:ascii="仿宋" w:hAnsi="仿宋" w:eastAsia="仿宋" w:cs="仿宋"/>
          <w:color w:val="000000" w:themeColor="text1"/>
          <w:szCs w:val="21"/>
          <w:highlight w:val="none"/>
          <w:lang w:val="zh-CN"/>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lang w:val="zh-CN"/>
          <w14:textFill>
            <w14:solidFill>
              <w14:schemeClr w14:val="tx1"/>
            </w14:solidFill>
          </w14:textFill>
        </w:rPr>
        <w:t>、进口货物（产品）未办理正常进口手续的（如有）；</w:t>
      </w:r>
    </w:p>
    <w:p w14:paraId="3B3473EC">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3</w:t>
      </w:r>
      <w:r>
        <w:rPr>
          <w:rFonts w:hint="eastAsia" w:ascii="仿宋" w:hAnsi="仿宋" w:eastAsia="仿宋" w:cs="仿宋"/>
          <w:color w:val="000000" w:themeColor="text1"/>
          <w:szCs w:val="21"/>
          <w:highlight w:val="none"/>
          <w:lang w:val="zh-CN"/>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8</w:t>
      </w:r>
      <w:r>
        <w:rPr>
          <w:rFonts w:hint="eastAsia" w:ascii="仿宋" w:hAnsi="仿宋" w:eastAsia="仿宋" w:cs="仿宋"/>
          <w:color w:val="000000" w:themeColor="text1"/>
          <w:szCs w:val="21"/>
          <w:highlight w:val="none"/>
          <w:lang w:val="zh-CN"/>
          <w14:textFill>
            <w14:solidFill>
              <w14:schemeClr w14:val="tx1"/>
            </w14:solidFill>
          </w14:textFill>
        </w:rPr>
        <w:t>、提供响应内容出现漏项或数量与要求不符的；</w:t>
      </w:r>
    </w:p>
    <w:p w14:paraId="561CA04A">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3</w:t>
      </w:r>
      <w:r>
        <w:rPr>
          <w:rFonts w:hint="eastAsia" w:ascii="仿宋" w:hAnsi="仿宋" w:eastAsia="仿宋" w:cs="仿宋"/>
          <w:color w:val="000000" w:themeColor="text1"/>
          <w:szCs w:val="21"/>
          <w:highlight w:val="none"/>
          <w:lang w:val="zh-CN"/>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9</w:t>
      </w:r>
      <w:r>
        <w:rPr>
          <w:rFonts w:hint="eastAsia" w:ascii="仿宋" w:hAnsi="仿宋" w:eastAsia="仿宋" w:cs="仿宋"/>
          <w:color w:val="000000" w:themeColor="text1"/>
          <w:szCs w:val="21"/>
          <w:highlight w:val="none"/>
          <w:lang w:val="zh-CN"/>
          <w14:textFill>
            <w14:solidFill>
              <w14:schemeClr w14:val="tx1"/>
            </w14:solidFill>
          </w14:textFill>
        </w:rPr>
        <w:t>、响应的</w:t>
      </w:r>
      <w:r>
        <w:rPr>
          <w:rFonts w:hint="eastAsia" w:ascii="仿宋" w:hAnsi="仿宋" w:eastAsia="仿宋" w:cs="仿宋"/>
          <w:color w:val="000000" w:themeColor="text1"/>
          <w:szCs w:val="21"/>
          <w:highlight w:val="none"/>
          <w:lang w:val="en-US" w:eastAsia="zh-CN"/>
          <w14:textFill>
            <w14:solidFill>
              <w14:schemeClr w14:val="tx1"/>
            </w14:solidFill>
          </w14:textFill>
        </w:rPr>
        <w:t>交付期</w:t>
      </w:r>
      <w:r>
        <w:rPr>
          <w:rFonts w:hint="eastAsia" w:ascii="仿宋" w:hAnsi="仿宋" w:eastAsia="仿宋" w:cs="仿宋"/>
          <w:color w:val="000000" w:themeColor="text1"/>
          <w:szCs w:val="21"/>
          <w:highlight w:val="none"/>
          <w:lang w:val="zh-CN"/>
          <w14:textFill>
            <w14:solidFill>
              <w14:schemeClr w14:val="tx1"/>
            </w14:solidFill>
          </w14:textFill>
        </w:rPr>
        <w:t>等商务条款不能满足招标要求的；</w:t>
      </w:r>
    </w:p>
    <w:p w14:paraId="648B9154">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3</w:t>
      </w:r>
      <w:r>
        <w:rPr>
          <w:rFonts w:hint="eastAsia" w:ascii="仿宋" w:hAnsi="仿宋" w:eastAsia="仿宋" w:cs="仿宋"/>
          <w:color w:val="000000" w:themeColor="text1"/>
          <w:szCs w:val="21"/>
          <w:highlight w:val="none"/>
          <w:lang w:val="zh-CN"/>
          <w14:textFill>
            <w14:solidFill>
              <w14:schemeClr w14:val="tx1"/>
            </w14:solidFill>
          </w14:textFill>
        </w:rPr>
        <w:t>.1.1</w:t>
      </w:r>
      <w:r>
        <w:rPr>
          <w:rFonts w:hint="eastAsia" w:ascii="仿宋" w:hAnsi="仿宋" w:eastAsia="仿宋" w:cs="仿宋"/>
          <w:color w:val="000000" w:themeColor="text1"/>
          <w:szCs w:val="21"/>
          <w:highlight w:val="none"/>
          <w:lang w:val="en-US" w:eastAsia="zh-CN"/>
          <w14:textFill>
            <w14:solidFill>
              <w14:schemeClr w14:val="tx1"/>
            </w14:solidFill>
          </w14:textFill>
        </w:rPr>
        <w:t>0</w:t>
      </w:r>
      <w:r>
        <w:rPr>
          <w:rFonts w:hint="eastAsia" w:ascii="仿宋" w:hAnsi="仿宋" w:eastAsia="仿宋" w:cs="仿宋"/>
          <w:color w:val="000000" w:themeColor="text1"/>
          <w:szCs w:val="21"/>
          <w:highlight w:val="none"/>
          <w:lang w:val="zh-CN"/>
          <w14:textFill>
            <w14:solidFill>
              <w14:schemeClr w14:val="tx1"/>
            </w14:solidFill>
          </w14:textFill>
        </w:rPr>
        <w:t>、投标人的报价超过了采购人的预算价</w:t>
      </w:r>
      <w:r>
        <w:rPr>
          <w:rFonts w:hint="eastAsia" w:ascii="仿宋" w:hAnsi="仿宋" w:eastAsia="仿宋" w:cs="仿宋"/>
          <w:color w:val="000000" w:themeColor="text1"/>
          <w:szCs w:val="21"/>
          <w:highlight w:val="none"/>
          <w14:textFill>
            <w14:solidFill>
              <w14:schemeClr w14:val="tx1"/>
            </w14:solidFill>
          </w14:textFill>
        </w:rPr>
        <w:t>及最高限价</w:t>
      </w:r>
      <w:r>
        <w:rPr>
          <w:rFonts w:hint="eastAsia" w:ascii="仿宋" w:hAnsi="仿宋" w:eastAsia="仿宋" w:cs="仿宋"/>
          <w:color w:val="000000" w:themeColor="text1"/>
          <w:szCs w:val="21"/>
          <w:highlight w:val="none"/>
          <w:lang w:val="zh-CN"/>
          <w14:textFill>
            <w14:solidFill>
              <w14:schemeClr w14:val="tx1"/>
            </w14:solidFill>
          </w14:textFill>
        </w:rPr>
        <w:t>；</w:t>
      </w:r>
    </w:p>
    <w:p w14:paraId="5BB1DBD4">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3</w:t>
      </w:r>
      <w:r>
        <w:rPr>
          <w:rFonts w:hint="eastAsia" w:ascii="仿宋" w:hAnsi="仿宋" w:eastAsia="仿宋" w:cs="仿宋"/>
          <w:color w:val="000000" w:themeColor="text1"/>
          <w:szCs w:val="21"/>
          <w:highlight w:val="none"/>
          <w:lang w:val="zh-CN"/>
          <w14:textFill>
            <w14:solidFill>
              <w14:schemeClr w14:val="tx1"/>
            </w14:solidFill>
          </w14:textFill>
        </w:rPr>
        <w:t>.1.1</w:t>
      </w:r>
      <w:r>
        <w:rPr>
          <w:rFonts w:hint="eastAsia" w:ascii="仿宋" w:hAnsi="仿宋" w:eastAsia="仿宋" w:cs="仿宋"/>
          <w:color w:val="000000" w:themeColor="text1"/>
          <w:szCs w:val="21"/>
          <w:highlight w:val="none"/>
          <w:lang w:val="en-US" w:eastAsia="zh-CN"/>
          <w14:textFill>
            <w14:solidFill>
              <w14:schemeClr w14:val="tx1"/>
            </w14:solidFill>
          </w14:textFill>
        </w:rPr>
        <w:t>1</w:t>
      </w:r>
      <w:r>
        <w:rPr>
          <w:rFonts w:hint="eastAsia" w:ascii="仿宋" w:hAnsi="仿宋" w:eastAsia="仿宋" w:cs="仿宋"/>
          <w:color w:val="000000" w:themeColor="text1"/>
          <w:szCs w:val="21"/>
          <w:highlight w:val="none"/>
          <w:lang w:val="zh-CN"/>
          <w14:textFill>
            <w14:solidFill>
              <w14:schemeClr w14:val="tx1"/>
            </w14:solidFill>
          </w14:textFill>
        </w:rPr>
        <w:t>、投标文件中附有采购人不能接受的条件；</w:t>
      </w:r>
    </w:p>
    <w:p w14:paraId="24D10082">
      <w:pPr>
        <w:pStyle w:val="14"/>
        <w:keepNext w:val="0"/>
        <w:keepLines w:val="0"/>
        <w:pageBreakBefore w:val="0"/>
        <w:widowControl w:val="0"/>
        <w:shd w:val="clear"/>
        <w:tabs>
          <w:tab w:val="left" w:pos="600"/>
        </w:tabs>
        <w:kinsoku/>
        <w:wordWrap/>
        <w:overflowPunct/>
        <w:topLinePunct w:val="0"/>
        <w:autoSpaceDE/>
        <w:autoSpaceDN/>
        <w:bidi w:val="0"/>
        <w:adjustRightInd/>
        <w:snapToGrid w:val="0"/>
        <w:spacing w:after="0" w:line="360" w:lineRule="auto"/>
        <w:ind w:left="0" w:leftChars="0" w:firstLine="420" w:firstLineChars="200"/>
        <w:textAlignment w:val="auto"/>
        <w:rPr>
          <w:rFonts w:hint="eastAsia" w:ascii="仿宋" w:hAnsi="仿宋" w:eastAsia="仿宋" w:cs="仿宋"/>
          <w:b w:val="0"/>
          <w:color w:val="000000" w:themeColor="text1"/>
          <w:kern w:val="2"/>
          <w:sz w:val="21"/>
          <w:szCs w:val="21"/>
          <w:highlight w:val="none"/>
          <w:lang w:val="zh-CN"/>
          <w14:textFill>
            <w14:solidFill>
              <w14:schemeClr w14:val="tx1"/>
            </w14:solidFill>
          </w14:textFill>
        </w:rPr>
      </w:pPr>
      <w:r>
        <w:rPr>
          <w:rFonts w:hint="eastAsia" w:ascii="仿宋" w:hAnsi="仿宋" w:eastAsia="仿宋" w:cs="仿宋"/>
          <w:b w:val="0"/>
          <w:color w:val="000000" w:themeColor="text1"/>
          <w:kern w:val="1"/>
          <w:sz w:val="21"/>
          <w:szCs w:val="21"/>
          <w:highlight w:val="none"/>
          <w14:textFill>
            <w14:solidFill>
              <w14:schemeClr w14:val="tx1"/>
            </w14:solidFill>
          </w14:textFill>
        </w:rPr>
        <w:t>3.</w:t>
      </w:r>
      <w:r>
        <w:rPr>
          <w:rFonts w:hint="eastAsia" w:ascii="仿宋" w:hAnsi="仿宋" w:eastAsia="仿宋" w:cs="仿宋"/>
          <w:b w:val="0"/>
          <w:color w:val="000000" w:themeColor="text1"/>
          <w:kern w:val="2"/>
          <w:sz w:val="21"/>
          <w:szCs w:val="21"/>
          <w:highlight w:val="none"/>
          <w14:textFill>
            <w14:solidFill>
              <w14:schemeClr w14:val="tx1"/>
            </w14:solidFill>
          </w14:textFill>
        </w:rPr>
        <w:t>3</w:t>
      </w:r>
      <w:r>
        <w:rPr>
          <w:rFonts w:hint="eastAsia" w:ascii="仿宋" w:hAnsi="仿宋" w:eastAsia="仿宋" w:cs="仿宋"/>
          <w:b w:val="0"/>
          <w:color w:val="000000" w:themeColor="text1"/>
          <w:kern w:val="2"/>
          <w:sz w:val="21"/>
          <w:szCs w:val="21"/>
          <w:highlight w:val="none"/>
          <w:lang w:val="zh-CN"/>
          <w14:textFill>
            <w14:solidFill>
              <w14:schemeClr w14:val="tx1"/>
            </w14:solidFill>
          </w14:textFill>
        </w:rPr>
        <w:t>.1.1</w:t>
      </w:r>
      <w:r>
        <w:rPr>
          <w:rFonts w:hint="eastAsia" w:ascii="仿宋" w:hAnsi="仿宋" w:eastAsia="仿宋" w:cs="仿宋"/>
          <w:b w:val="0"/>
          <w:color w:val="000000" w:themeColor="text1"/>
          <w:kern w:val="2"/>
          <w:sz w:val="21"/>
          <w:szCs w:val="21"/>
          <w:highlight w:val="none"/>
          <w:lang w:val="en-US" w:eastAsia="zh-CN"/>
          <w14:textFill>
            <w14:solidFill>
              <w14:schemeClr w14:val="tx1"/>
            </w14:solidFill>
          </w14:textFill>
        </w:rPr>
        <w:t>2</w:t>
      </w:r>
      <w:r>
        <w:rPr>
          <w:rFonts w:hint="eastAsia" w:ascii="仿宋" w:hAnsi="仿宋" w:eastAsia="仿宋" w:cs="仿宋"/>
          <w:b w:val="0"/>
          <w:color w:val="000000" w:themeColor="text1"/>
          <w:kern w:val="2"/>
          <w:sz w:val="21"/>
          <w:szCs w:val="21"/>
          <w:highlight w:val="none"/>
          <w:lang w:val="zh-CN"/>
          <w14:textFill>
            <w14:solidFill>
              <w14:schemeClr w14:val="tx1"/>
            </w14:solidFill>
          </w14:textFill>
        </w:rPr>
        <w:t>、未载明或者载明的采购项目履约时间、方式、数量、技术参数、质量标准明及其他政府采购合同实质性内容与招标文件要求不一致；</w:t>
      </w:r>
    </w:p>
    <w:p w14:paraId="3049D19F">
      <w:pPr>
        <w:pStyle w:val="14"/>
        <w:keepNext w:val="0"/>
        <w:keepLines w:val="0"/>
        <w:pageBreakBefore w:val="0"/>
        <w:widowControl w:val="0"/>
        <w:shd w:val="clear"/>
        <w:tabs>
          <w:tab w:val="left" w:pos="600"/>
        </w:tabs>
        <w:kinsoku/>
        <w:wordWrap/>
        <w:overflowPunct/>
        <w:topLinePunct w:val="0"/>
        <w:autoSpaceDE/>
        <w:autoSpaceDN/>
        <w:bidi w:val="0"/>
        <w:adjustRightInd/>
        <w:snapToGrid w:val="0"/>
        <w:spacing w:after="0" w:line="360" w:lineRule="auto"/>
        <w:ind w:left="0" w:leftChars="0" w:firstLine="420" w:firstLineChars="200"/>
        <w:textAlignment w:val="auto"/>
        <w:rPr>
          <w:rFonts w:hint="eastAsia" w:ascii="仿宋" w:hAnsi="仿宋" w:eastAsia="仿宋" w:cs="仿宋"/>
          <w:b w:val="0"/>
          <w:color w:val="000000" w:themeColor="text1"/>
          <w:kern w:val="2"/>
          <w:sz w:val="21"/>
          <w:szCs w:val="21"/>
          <w:highlight w:val="none"/>
          <w:lang w:val="zh-CN"/>
          <w14:textFill>
            <w14:solidFill>
              <w14:schemeClr w14:val="tx1"/>
            </w14:solidFill>
          </w14:textFill>
        </w:rPr>
      </w:pPr>
      <w:r>
        <w:rPr>
          <w:rFonts w:hint="eastAsia" w:ascii="仿宋" w:hAnsi="仿宋" w:eastAsia="仿宋" w:cs="仿宋"/>
          <w:b w:val="0"/>
          <w:color w:val="000000" w:themeColor="text1"/>
          <w:kern w:val="1"/>
          <w:sz w:val="21"/>
          <w:szCs w:val="21"/>
          <w:highlight w:val="none"/>
          <w14:textFill>
            <w14:solidFill>
              <w14:schemeClr w14:val="tx1"/>
            </w14:solidFill>
          </w14:textFill>
        </w:rPr>
        <w:t>3.</w:t>
      </w:r>
      <w:r>
        <w:rPr>
          <w:rFonts w:hint="eastAsia" w:ascii="仿宋" w:hAnsi="仿宋" w:eastAsia="仿宋" w:cs="仿宋"/>
          <w:b w:val="0"/>
          <w:color w:val="000000" w:themeColor="text1"/>
          <w:kern w:val="2"/>
          <w:sz w:val="21"/>
          <w:szCs w:val="21"/>
          <w:highlight w:val="none"/>
          <w14:textFill>
            <w14:solidFill>
              <w14:schemeClr w14:val="tx1"/>
            </w14:solidFill>
          </w14:textFill>
        </w:rPr>
        <w:t>3</w:t>
      </w:r>
      <w:r>
        <w:rPr>
          <w:rFonts w:hint="eastAsia" w:ascii="仿宋" w:hAnsi="仿宋" w:eastAsia="仿宋" w:cs="仿宋"/>
          <w:b w:val="0"/>
          <w:color w:val="000000" w:themeColor="text1"/>
          <w:kern w:val="2"/>
          <w:sz w:val="21"/>
          <w:szCs w:val="21"/>
          <w:highlight w:val="none"/>
          <w:lang w:val="zh-CN"/>
          <w14:textFill>
            <w14:solidFill>
              <w14:schemeClr w14:val="tx1"/>
            </w14:solidFill>
          </w14:textFill>
        </w:rPr>
        <w:t>.1.1</w:t>
      </w:r>
      <w:r>
        <w:rPr>
          <w:rFonts w:hint="eastAsia" w:ascii="仿宋" w:hAnsi="仿宋" w:eastAsia="仿宋" w:cs="仿宋"/>
          <w:b w:val="0"/>
          <w:color w:val="000000" w:themeColor="text1"/>
          <w:kern w:val="2"/>
          <w:sz w:val="21"/>
          <w:szCs w:val="21"/>
          <w:highlight w:val="none"/>
          <w:lang w:val="en-US" w:eastAsia="zh-CN"/>
          <w14:textFill>
            <w14:solidFill>
              <w14:schemeClr w14:val="tx1"/>
            </w14:solidFill>
          </w14:textFill>
        </w:rPr>
        <w:t>3</w:t>
      </w:r>
      <w:r>
        <w:rPr>
          <w:rFonts w:hint="eastAsia" w:ascii="仿宋" w:hAnsi="仿宋" w:eastAsia="仿宋" w:cs="仿宋"/>
          <w:b w:val="0"/>
          <w:color w:val="000000" w:themeColor="text1"/>
          <w:kern w:val="2"/>
          <w:sz w:val="21"/>
          <w:szCs w:val="21"/>
          <w:highlight w:val="none"/>
          <w:lang w:val="zh-CN"/>
          <w14:textFill>
            <w14:solidFill>
              <w14:schemeClr w14:val="tx1"/>
            </w14:solidFill>
          </w14:textFill>
        </w:rPr>
        <w:t>、提供货物（产品）不符合强制执行的国家标准；</w:t>
      </w:r>
    </w:p>
    <w:p w14:paraId="13A31727">
      <w:pPr>
        <w:pStyle w:val="14"/>
        <w:keepNext w:val="0"/>
        <w:keepLines w:val="0"/>
        <w:pageBreakBefore w:val="0"/>
        <w:widowControl w:val="0"/>
        <w:shd w:val="clear"/>
        <w:tabs>
          <w:tab w:val="left" w:pos="600"/>
        </w:tabs>
        <w:kinsoku/>
        <w:wordWrap/>
        <w:overflowPunct/>
        <w:topLinePunct w:val="0"/>
        <w:autoSpaceDE/>
        <w:autoSpaceDN/>
        <w:bidi w:val="0"/>
        <w:adjustRightInd/>
        <w:snapToGrid w:val="0"/>
        <w:spacing w:after="0" w:line="360" w:lineRule="auto"/>
        <w:ind w:left="0" w:leftChars="0" w:firstLine="420" w:firstLineChars="200"/>
        <w:textAlignment w:val="auto"/>
        <w:rPr>
          <w:rFonts w:hint="eastAsia" w:ascii="仿宋" w:hAnsi="仿宋" w:eastAsia="仿宋" w:cs="仿宋"/>
          <w:b w:val="0"/>
          <w:color w:val="000000" w:themeColor="text1"/>
          <w:kern w:val="2"/>
          <w:sz w:val="21"/>
          <w:szCs w:val="21"/>
          <w:highlight w:val="none"/>
          <w:lang w:val="zh-CN"/>
          <w14:textFill>
            <w14:solidFill>
              <w14:schemeClr w14:val="tx1"/>
            </w14:solidFill>
          </w14:textFill>
        </w:rPr>
      </w:pPr>
      <w:r>
        <w:rPr>
          <w:rFonts w:hint="eastAsia" w:ascii="仿宋" w:hAnsi="仿宋" w:eastAsia="仿宋" w:cs="仿宋"/>
          <w:b w:val="0"/>
          <w:color w:val="000000" w:themeColor="text1"/>
          <w:kern w:val="1"/>
          <w:sz w:val="21"/>
          <w:szCs w:val="21"/>
          <w:highlight w:val="none"/>
          <w14:textFill>
            <w14:solidFill>
              <w14:schemeClr w14:val="tx1"/>
            </w14:solidFill>
          </w14:textFill>
        </w:rPr>
        <w:t>3.</w:t>
      </w:r>
      <w:r>
        <w:rPr>
          <w:rFonts w:hint="eastAsia" w:ascii="仿宋" w:hAnsi="仿宋" w:eastAsia="仿宋" w:cs="仿宋"/>
          <w:b w:val="0"/>
          <w:color w:val="000000" w:themeColor="text1"/>
          <w:kern w:val="2"/>
          <w:sz w:val="21"/>
          <w:szCs w:val="21"/>
          <w:highlight w:val="none"/>
          <w14:textFill>
            <w14:solidFill>
              <w14:schemeClr w14:val="tx1"/>
            </w14:solidFill>
          </w14:textFill>
        </w:rPr>
        <w:t>3</w:t>
      </w:r>
      <w:r>
        <w:rPr>
          <w:rFonts w:hint="eastAsia" w:ascii="仿宋" w:hAnsi="仿宋" w:eastAsia="仿宋" w:cs="仿宋"/>
          <w:b w:val="0"/>
          <w:color w:val="000000" w:themeColor="text1"/>
          <w:kern w:val="2"/>
          <w:sz w:val="21"/>
          <w:szCs w:val="21"/>
          <w:highlight w:val="none"/>
          <w:lang w:val="zh-CN"/>
          <w14:textFill>
            <w14:solidFill>
              <w14:schemeClr w14:val="tx1"/>
            </w14:solidFill>
          </w14:textFill>
        </w:rPr>
        <w:t>.1.1</w:t>
      </w:r>
      <w:r>
        <w:rPr>
          <w:rFonts w:hint="eastAsia" w:ascii="仿宋" w:hAnsi="仿宋" w:eastAsia="仿宋" w:cs="仿宋"/>
          <w:b w:val="0"/>
          <w:color w:val="000000" w:themeColor="text1"/>
          <w:kern w:val="2"/>
          <w:sz w:val="21"/>
          <w:szCs w:val="21"/>
          <w:highlight w:val="none"/>
          <w:lang w:val="en-US" w:eastAsia="zh-CN"/>
          <w14:textFill>
            <w14:solidFill>
              <w14:schemeClr w14:val="tx1"/>
            </w14:solidFill>
          </w14:textFill>
        </w:rPr>
        <w:t>4</w:t>
      </w:r>
      <w:r>
        <w:rPr>
          <w:rFonts w:hint="eastAsia" w:ascii="仿宋" w:hAnsi="仿宋" w:eastAsia="仿宋" w:cs="仿宋"/>
          <w:b w:val="0"/>
          <w:color w:val="000000" w:themeColor="text1"/>
          <w:kern w:val="2"/>
          <w:sz w:val="21"/>
          <w:szCs w:val="21"/>
          <w:highlight w:val="none"/>
          <w:lang w:val="zh-CN"/>
          <w14:textFill>
            <w14:solidFill>
              <w14:schemeClr w14:val="tx1"/>
            </w14:solidFill>
          </w14:textFill>
        </w:rPr>
        <w:t>、投标文件的关键内容字迹模糊和无法辨认的；</w:t>
      </w:r>
    </w:p>
    <w:p w14:paraId="40DB93F0">
      <w:pPr>
        <w:pStyle w:val="14"/>
        <w:keepNext w:val="0"/>
        <w:keepLines w:val="0"/>
        <w:pageBreakBefore w:val="0"/>
        <w:widowControl w:val="0"/>
        <w:shd w:val="clear"/>
        <w:tabs>
          <w:tab w:val="left" w:pos="600"/>
        </w:tabs>
        <w:kinsoku/>
        <w:wordWrap/>
        <w:overflowPunct/>
        <w:topLinePunct w:val="0"/>
        <w:autoSpaceDE/>
        <w:autoSpaceDN/>
        <w:bidi w:val="0"/>
        <w:adjustRightInd/>
        <w:snapToGrid w:val="0"/>
        <w:spacing w:after="0" w:line="360" w:lineRule="auto"/>
        <w:ind w:left="0" w:leftChars="0" w:firstLine="420" w:firstLineChars="200"/>
        <w:textAlignment w:val="auto"/>
        <w:rPr>
          <w:rFonts w:hint="eastAsia" w:ascii="仿宋" w:hAnsi="仿宋" w:eastAsia="仿宋" w:cs="仿宋"/>
          <w:b w:val="0"/>
          <w:color w:val="000000" w:themeColor="text1"/>
          <w:kern w:val="2"/>
          <w:sz w:val="21"/>
          <w:szCs w:val="21"/>
          <w:highlight w:val="none"/>
          <w:lang w:val="zh-CN"/>
          <w14:textFill>
            <w14:solidFill>
              <w14:schemeClr w14:val="tx1"/>
            </w14:solidFill>
          </w14:textFill>
        </w:rPr>
      </w:pPr>
      <w:r>
        <w:rPr>
          <w:rFonts w:hint="eastAsia" w:ascii="仿宋" w:hAnsi="仿宋" w:eastAsia="仿宋" w:cs="仿宋"/>
          <w:b w:val="0"/>
          <w:color w:val="000000" w:themeColor="text1"/>
          <w:kern w:val="1"/>
          <w:sz w:val="21"/>
          <w:szCs w:val="21"/>
          <w:highlight w:val="none"/>
          <w14:textFill>
            <w14:solidFill>
              <w14:schemeClr w14:val="tx1"/>
            </w14:solidFill>
          </w14:textFill>
        </w:rPr>
        <w:t>3.</w:t>
      </w:r>
      <w:r>
        <w:rPr>
          <w:rFonts w:hint="eastAsia" w:ascii="仿宋" w:hAnsi="仿宋" w:eastAsia="仿宋" w:cs="仿宋"/>
          <w:b w:val="0"/>
          <w:color w:val="000000" w:themeColor="text1"/>
          <w:kern w:val="2"/>
          <w:sz w:val="21"/>
          <w:szCs w:val="21"/>
          <w:highlight w:val="none"/>
          <w14:textFill>
            <w14:solidFill>
              <w14:schemeClr w14:val="tx1"/>
            </w14:solidFill>
          </w14:textFill>
        </w:rPr>
        <w:t>3</w:t>
      </w:r>
      <w:r>
        <w:rPr>
          <w:rFonts w:hint="eastAsia" w:ascii="仿宋" w:hAnsi="仿宋" w:eastAsia="仿宋" w:cs="仿宋"/>
          <w:b w:val="0"/>
          <w:color w:val="000000" w:themeColor="text1"/>
          <w:kern w:val="2"/>
          <w:sz w:val="21"/>
          <w:szCs w:val="21"/>
          <w:highlight w:val="none"/>
          <w:lang w:val="zh-CN"/>
          <w14:textFill>
            <w14:solidFill>
              <w14:schemeClr w14:val="tx1"/>
            </w14:solidFill>
          </w14:textFill>
        </w:rPr>
        <w:t>.1.1</w:t>
      </w:r>
      <w:r>
        <w:rPr>
          <w:rFonts w:hint="eastAsia" w:ascii="仿宋" w:hAnsi="仿宋" w:eastAsia="仿宋" w:cs="仿宋"/>
          <w:b w:val="0"/>
          <w:color w:val="000000" w:themeColor="text1"/>
          <w:kern w:val="2"/>
          <w:sz w:val="21"/>
          <w:szCs w:val="21"/>
          <w:highlight w:val="none"/>
          <w:lang w:val="en-US" w:eastAsia="zh-CN"/>
          <w14:textFill>
            <w14:solidFill>
              <w14:schemeClr w14:val="tx1"/>
            </w14:solidFill>
          </w14:textFill>
        </w:rPr>
        <w:t>5</w:t>
      </w:r>
      <w:r>
        <w:rPr>
          <w:rFonts w:hint="eastAsia" w:ascii="仿宋" w:hAnsi="仿宋" w:eastAsia="仿宋" w:cs="仿宋"/>
          <w:b w:val="0"/>
          <w:color w:val="000000" w:themeColor="text1"/>
          <w:kern w:val="2"/>
          <w:sz w:val="21"/>
          <w:szCs w:val="21"/>
          <w:highlight w:val="none"/>
          <w:lang w:val="zh-CN"/>
          <w14:textFill>
            <w14:solidFill>
              <w14:schemeClr w14:val="tx1"/>
            </w14:solidFill>
          </w14:textFill>
        </w:rPr>
        <w:t>、投标文件不符合招标文件规定的其他情形的；</w:t>
      </w:r>
    </w:p>
    <w:p w14:paraId="57FF0F82">
      <w:pPr>
        <w:pStyle w:val="14"/>
        <w:keepNext w:val="0"/>
        <w:keepLines w:val="0"/>
        <w:pageBreakBefore w:val="0"/>
        <w:widowControl w:val="0"/>
        <w:shd w:val="clear"/>
        <w:tabs>
          <w:tab w:val="left" w:pos="600"/>
        </w:tabs>
        <w:kinsoku/>
        <w:wordWrap/>
        <w:overflowPunct/>
        <w:topLinePunct w:val="0"/>
        <w:autoSpaceDE/>
        <w:autoSpaceDN/>
        <w:bidi w:val="0"/>
        <w:adjustRightInd/>
        <w:snapToGrid w:val="0"/>
        <w:spacing w:after="0" w:line="360" w:lineRule="auto"/>
        <w:ind w:left="0" w:leftChars="0" w:firstLine="420" w:firstLineChars="200"/>
        <w:textAlignment w:val="auto"/>
        <w:rPr>
          <w:rFonts w:hint="eastAsia" w:ascii="仿宋" w:hAnsi="仿宋" w:eastAsia="仿宋" w:cs="仿宋"/>
          <w:b w:val="0"/>
          <w:color w:val="000000" w:themeColor="text1"/>
          <w:kern w:val="2"/>
          <w:sz w:val="21"/>
          <w:szCs w:val="21"/>
          <w:highlight w:val="none"/>
          <w:lang w:val="zh-CN"/>
          <w14:textFill>
            <w14:solidFill>
              <w14:schemeClr w14:val="tx1"/>
            </w14:solidFill>
          </w14:textFill>
        </w:rPr>
      </w:pPr>
      <w:r>
        <w:rPr>
          <w:rFonts w:hint="eastAsia" w:ascii="仿宋" w:hAnsi="仿宋" w:eastAsia="仿宋" w:cs="仿宋"/>
          <w:b w:val="0"/>
          <w:color w:val="000000" w:themeColor="text1"/>
          <w:kern w:val="1"/>
          <w:sz w:val="21"/>
          <w:szCs w:val="21"/>
          <w:highlight w:val="none"/>
          <w14:textFill>
            <w14:solidFill>
              <w14:schemeClr w14:val="tx1"/>
            </w14:solidFill>
          </w14:textFill>
        </w:rPr>
        <w:t>3.</w:t>
      </w:r>
      <w:r>
        <w:rPr>
          <w:rFonts w:hint="eastAsia" w:ascii="仿宋" w:hAnsi="仿宋" w:eastAsia="仿宋" w:cs="仿宋"/>
          <w:b w:val="0"/>
          <w:color w:val="000000" w:themeColor="text1"/>
          <w:kern w:val="2"/>
          <w:sz w:val="21"/>
          <w:szCs w:val="21"/>
          <w:highlight w:val="none"/>
          <w14:textFill>
            <w14:solidFill>
              <w14:schemeClr w14:val="tx1"/>
            </w14:solidFill>
          </w14:textFill>
        </w:rPr>
        <w:t>3</w:t>
      </w:r>
      <w:r>
        <w:rPr>
          <w:rFonts w:hint="eastAsia" w:ascii="仿宋" w:hAnsi="仿宋" w:eastAsia="仿宋" w:cs="仿宋"/>
          <w:b w:val="0"/>
          <w:color w:val="000000" w:themeColor="text1"/>
          <w:kern w:val="2"/>
          <w:sz w:val="21"/>
          <w:szCs w:val="21"/>
          <w:highlight w:val="none"/>
          <w:lang w:val="zh-CN"/>
          <w14:textFill>
            <w14:solidFill>
              <w14:schemeClr w14:val="tx1"/>
            </w14:solidFill>
          </w14:textFill>
        </w:rPr>
        <w:t>.1.1</w:t>
      </w:r>
      <w:r>
        <w:rPr>
          <w:rFonts w:hint="eastAsia" w:ascii="仿宋" w:hAnsi="仿宋" w:eastAsia="仿宋" w:cs="仿宋"/>
          <w:b w:val="0"/>
          <w:color w:val="000000" w:themeColor="text1"/>
          <w:kern w:val="2"/>
          <w:sz w:val="21"/>
          <w:szCs w:val="21"/>
          <w:highlight w:val="none"/>
          <w:lang w:val="en-US" w:eastAsia="zh-CN"/>
          <w14:textFill>
            <w14:solidFill>
              <w14:schemeClr w14:val="tx1"/>
            </w14:solidFill>
          </w14:textFill>
        </w:rPr>
        <w:t>6</w:t>
      </w:r>
      <w:r>
        <w:rPr>
          <w:rFonts w:hint="eastAsia" w:ascii="仿宋" w:hAnsi="仿宋" w:eastAsia="仿宋" w:cs="仿宋"/>
          <w:b w:val="0"/>
          <w:color w:val="000000" w:themeColor="text1"/>
          <w:kern w:val="2"/>
          <w:sz w:val="21"/>
          <w:szCs w:val="21"/>
          <w:highlight w:val="none"/>
          <w:lang w:val="zh-CN"/>
          <w14:textFill>
            <w14:solidFill>
              <w14:schemeClr w14:val="tx1"/>
            </w14:solidFill>
          </w14:textFill>
        </w:rPr>
        <w:t>、投标文件不符合法律法规要求的。</w:t>
      </w:r>
    </w:p>
    <w:p w14:paraId="624AC3AE">
      <w:pPr>
        <w:keepNext w:val="0"/>
        <w:keepLines w:val="0"/>
        <w:pageBreakBefore w:val="0"/>
        <w:widowControl/>
        <w:shd w:val="clear"/>
        <w:kinsoku/>
        <w:wordWrap/>
        <w:overflowPunct/>
        <w:topLinePunct w:val="0"/>
        <w:autoSpaceDE w:val="0"/>
        <w:autoSpaceDN w:val="0"/>
        <w:bidi w:val="0"/>
        <w:adjustRightInd/>
        <w:snapToGrid w:val="0"/>
        <w:spacing w:line="360" w:lineRule="auto"/>
        <w:ind w:right="0"/>
        <w:textAlignment w:val="bottom"/>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3.4、特殊情况的处理</w:t>
      </w:r>
    </w:p>
    <w:p w14:paraId="449E8745">
      <w:pPr>
        <w:widowControl/>
        <w:shd w:val="clear"/>
        <w:autoSpaceDE w:val="0"/>
        <w:autoSpaceDN w:val="0"/>
        <w:snapToGrid w:val="0"/>
        <w:spacing w:line="360" w:lineRule="auto"/>
        <w:ind w:right="53" w:firstLine="420" w:firstLineChars="20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.1、投标文件中如果出现前后不一致的，按照下列规定修正：</w:t>
      </w:r>
    </w:p>
    <w:p w14:paraId="1879D28B">
      <w:pPr>
        <w:shd w:val="clear"/>
        <w:snapToGrid w:val="0"/>
        <w:spacing w:line="360" w:lineRule="auto"/>
        <w:ind w:firstLine="420" w:firstLineChars="2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.1.1、投标文件中的大写金额与小写金额不一致的，以大写金额为准；</w:t>
      </w:r>
    </w:p>
    <w:p w14:paraId="4C2D5B3C">
      <w:pPr>
        <w:shd w:val="clear"/>
        <w:snapToGrid w:val="0"/>
        <w:spacing w:line="360" w:lineRule="auto"/>
        <w:ind w:firstLine="420" w:firstLineChars="2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.1.2、投标文件中的总报价与按单价计算的汇总报价不一致的，以单价计算的汇总报价为准；</w:t>
      </w:r>
    </w:p>
    <w:p w14:paraId="443EAF27">
      <w:pPr>
        <w:shd w:val="clear"/>
        <w:snapToGrid w:val="0"/>
        <w:spacing w:line="360" w:lineRule="auto"/>
        <w:ind w:firstLine="420" w:firstLineChars="2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.1.3、投标文件中的报价有明显小数点错误的，以总报价为准，并修改报价；</w:t>
      </w:r>
    </w:p>
    <w:p w14:paraId="27AF886D">
      <w:pPr>
        <w:shd w:val="clear"/>
        <w:snapToGrid w:val="0"/>
        <w:spacing w:line="360" w:lineRule="auto"/>
        <w:ind w:firstLine="420" w:firstLineChars="2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.1.4、投标文件中图表与文字表述不一致的，以文字表述为准；</w:t>
      </w:r>
    </w:p>
    <w:p w14:paraId="64553233">
      <w:pPr>
        <w:widowControl/>
        <w:shd w:val="clear"/>
        <w:autoSpaceDE w:val="0"/>
        <w:autoSpaceDN w:val="0"/>
        <w:snapToGrid w:val="0"/>
        <w:spacing w:line="360" w:lineRule="auto"/>
        <w:ind w:right="53" w:firstLine="420" w:firstLineChars="20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.1.5、投标文件正本与副本不一致的，以正本为准；</w:t>
      </w:r>
    </w:p>
    <w:p w14:paraId="131D4697">
      <w:pPr>
        <w:pStyle w:val="12"/>
        <w:shd w:val="clear"/>
        <w:snapToGrid w:val="0"/>
        <w:spacing w:line="360" w:lineRule="auto"/>
        <w:ind w:firstLineChars="2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.1.6、对不同文字文本投标文件的解释发生异议的，以中文文本为准。</w:t>
      </w:r>
    </w:p>
    <w:p w14:paraId="639F3C98">
      <w:pPr>
        <w:widowControl/>
        <w:shd w:val="clear"/>
        <w:autoSpaceDE w:val="0"/>
        <w:autoSpaceDN w:val="0"/>
        <w:snapToGrid w:val="0"/>
        <w:spacing w:line="360" w:lineRule="auto"/>
        <w:ind w:right="53" w:firstLine="420" w:firstLineChars="20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.1.7、按上述修正错误的方法调整的报价应对投标人具有约束力。如果投标人不接受修正后的价格，投标文件按无效</w:t>
      </w:r>
      <w:r>
        <w:rPr>
          <w:rFonts w:hint="eastAsia" w:ascii="仿宋" w:hAnsi="仿宋" w:eastAsia="仿宋" w:cs="仿宋"/>
          <w:color w:val="000000" w:themeColor="text1"/>
          <w:szCs w:val="21"/>
          <w:highlight w:val="none"/>
          <w:lang w:val="en-US" w:eastAsia="zh-CN"/>
          <w14:textFill>
            <w14:solidFill>
              <w14:schemeClr w14:val="tx1"/>
            </w14:solidFill>
          </w14:textFill>
        </w:rPr>
        <w:t>文件</w:t>
      </w:r>
      <w:r>
        <w:rPr>
          <w:rFonts w:hint="eastAsia" w:ascii="仿宋" w:hAnsi="仿宋" w:eastAsia="仿宋" w:cs="仿宋"/>
          <w:color w:val="000000" w:themeColor="text1"/>
          <w:szCs w:val="21"/>
          <w:highlight w:val="none"/>
          <w:lang w:val="zh-CN"/>
          <w14:textFill>
            <w14:solidFill>
              <w14:schemeClr w14:val="tx1"/>
            </w14:solidFill>
          </w14:textFill>
        </w:rPr>
        <w:t>处理。</w:t>
      </w:r>
    </w:p>
    <w:p w14:paraId="31C94F1D">
      <w:pPr>
        <w:widowControl/>
        <w:shd w:val="clear"/>
        <w:autoSpaceDE w:val="0"/>
        <w:autoSpaceDN w:val="0"/>
        <w:snapToGrid w:val="0"/>
        <w:spacing w:line="360" w:lineRule="auto"/>
        <w:ind w:right="53" w:firstLine="420" w:firstLineChars="20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.2、 投标文件中，若某项内容为零报价、无报价，经评标委员会评审后，报价得分为零，不参与投标报价分值的计算。</w:t>
      </w:r>
    </w:p>
    <w:p w14:paraId="1624DA5A">
      <w:pPr>
        <w:widowControl/>
        <w:shd w:val="clear"/>
        <w:autoSpaceDE w:val="0"/>
        <w:autoSpaceDN w:val="0"/>
        <w:snapToGrid w:val="0"/>
        <w:spacing w:line="360" w:lineRule="auto"/>
        <w:ind w:right="53" w:firstLine="420" w:firstLineChars="20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.3、评标过程中，若出现本评审办法以外的特殊情况时，将暂停评标，待评标委员会商榷后，再进行评定。</w:t>
      </w:r>
    </w:p>
    <w:p w14:paraId="381C9933">
      <w:pPr>
        <w:widowControl/>
        <w:shd w:val="clear"/>
        <w:autoSpaceDE w:val="0"/>
        <w:autoSpaceDN w:val="0"/>
        <w:snapToGrid w:val="0"/>
        <w:spacing w:line="360" w:lineRule="auto"/>
        <w:ind w:right="53" w:firstLine="420" w:firstLineChars="20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.4、评标结果汇总完成后，除下列情形外，任何人不得修改评标结果：</w:t>
      </w:r>
    </w:p>
    <w:p w14:paraId="4B32363B">
      <w:pPr>
        <w:widowControl/>
        <w:shd w:val="clear"/>
        <w:autoSpaceDE w:val="0"/>
        <w:autoSpaceDN w:val="0"/>
        <w:snapToGrid w:val="0"/>
        <w:spacing w:line="360" w:lineRule="auto"/>
        <w:ind w:right="53" w:firstLine="420" w:firstLineChars="20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.4.1、分值汇总计算错误的；</w:t>
      </w:r>
    </w:p>
    <w:p w14:paraId="59859A52">
      <w:pPr>
        <w:widowControl/>
        <w:shd w:val="clear"/>
        <w:autoSpaceDE w:val="0"/>
        <w:autoSpaceDN w:val="0"/>
        <w:snapToGrid w:val="0"/>
        <w:spacing w:line="360" w:lineRule="auto"/>
        <w:ind w:right="53" w:firstLine="420" w:firstLineChars="20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.4.2、分项评分超出评分标准范围的；</w:t>
      </w:r>
    </w:p>
    <w:p w14:paraId="4CD9AD2A">
      <w:pPr>
        <w:widowControl/>
        <w:shd w:val="clear"/>
        <w:autoSpaceDE w:val="0"/>
        <w:autoSpaceDN w:val="0"/>
        <w:snapToGrid w:val="0"/>
        <w:spacing w:line="360" w:lineRule="auto"/>
        <w:ind w:right="53" w:firstLine="420" w:firstLineChars="20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.4.3、评标委员会对客观评标因素评分不一致的；</w:t>
      </w:r>
    </w:p>
    <w:p w14:paraId="1DC8FE6D">
      <w:pPr>
        <w:widowControl/>
        <w:shd w:val="clear"/>
        <w:autoSpaceDE w:val="0"/>
        <w:autoSpaceDN w:val="0"/>
        <w:snapToGrid w:val="0"/>
        <w:spacing w:line="360" w:lineRule="auto"/>
        <w:ind w:right="53" w:firstLine="420" w:firstLineChars="20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.4.4、经评标委员会认定评分畸高、畸低的。</w:t>
      </w:r>
    </w:p>
    <w:p w14:paraId="7AF5AD15">
      <w:pPr>
        <w:widowControl/>
        <w:shd w:val="clear"/>
        <w:autoSpaceDE w:val="0"/>
        <w:autoSpaceDN w:val="0"/>
        <w:snapToGrid w:val="0"/>
        <w:spacing w:line="360" w:lineRule="auto"/>
        <w:ind w:right="53" w:firstLine="420" w:firstLineChars="20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5、评标报告签署前，经复核发现存在以上情形之一的，评标委员会应当当场修改评标结果，并在评标报告中记载；评标报告签署后，采购人或者采购代理机构发现存在以上情形之一的，应当组织原评标委员会进行重新评标，重新评标改变中标结果的，书面报采购人</w:t>
      </w:r>
      <w:r>
        <w:rPr>
          <w:rFonts w:hint="eastAsia" w:ascii="仿宋" w:hAnsi="仿宋" w:eastAsia="仿宋" w:cs="仿宋"/>
          <w:color w:val="000000" w:themeColor="text1"/>
          <w:szCs w:val="21"/>
          <w:highlight w:val="none"/>
          <w:lang w:val="en-US" w:eastAsia="zh-CN"/>
          <w14:textFill>
            <w14:solidFill>
              <w14:schemeClr w14:val="tx1"/>
            </w14:solidFill>
          </w14:textFill>
        </w:rPr>
        <w:t>同</w:t>
      </w:r>
      <w:r>
        <w:rPr>
          <w:rFonts w:hint="eastAsia" w:ascii="仿宋" w:hAnsi="仿宋" w:eastAsia="仿宋" w:cs="仿宋"/>
          <w:color w:val="000000" w:themeColor="text1"/>
          <w:szCs w:val="21"/>
          <w:highlight w:val="none"/>
          <w:lang w:val="zh-CN"/>
          <w14:textFill>
            <w14:solidFill>
              <w14:schemeClr w14:val="tx1"/>
            </w14:solidFill>
          </w14:textFill>
        </w:rPr>
        <w:t>级财政部门认定。</w:t>
      </w:r>
    </w:p>
    <w:p w14:paraId="64CF4B4B">
      <w:pPr>
        <w:widowControl/>
        <w:shd w:val="clear"/>
        <w:autoSpaceDE w:val="0"/>
        <w:autoSpaceDN w:val="0"/>
        <w:snapToGrid w:val="0"/>
        <w:spacing w:line="360" w:lineRule="auto"/>
        <w:ind w:right="53" w:firstLine="420" w:firstLineChars="20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6、排名第一的中标候选人，主动放弃中标或因不可抗力不能履行合同、或被查实存在影响中标结果的违法行为等情形，已不再符合中标条件的，采购人可以按照评标委员会提出的中标候选人名单排序依次确定第二中标候选人为中标人 ，也可以根据实际情况需要，依法重新组织采购活动。</w:t>
      </w:r>
    </w:p>
    <w:p w14:paraId="45F7198D">
      <w:pPr>
        <w:keepNext w:val="0"/>
        <w:keepLines w:val="0"/>
        <w:pageBreakBefore w:val="0"/>
        <w:widowControl/>
        <w:shd w:val="clear"/>
        <w:kinsoku/>
        <w:wordWrap/>
        <w:overflowPunct/>
        <w:topLinePunct w:val="0"/>
        <w:autoSpaceDE w:val="0"/>
        <w:autoSpaceDN w:val="0"/>
        <w:bidi w:val="0"/>
        <w:adjustRightInd/>
        <w:snapToGrid w:val="0"/>
        <w:spacing w:line="360" w:lineRule="auto"/>
        <w:ind w:right="0" w:firstLine="361" w:firstLineChars="150"/>
        <w:textAlignment w:val="bottom"/>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355" w:name="_Toc26763"/>
      <w:bookmarkStart w:id="356" w:name="_Toc14680"/>
      <w:r>
        <w:rPr>
          <w:rFonts w:hint="eastAsia" w:ascii="仿宋" w:hAnsi="仿宋" w:eastAsia="仿宋" w:cs="仿宋"/>
          <w:b/>
          <w:color w:val="000000" w:themeColor="text1"/>
          <w:sz w:val="24"/>
          <w:szCs w:val="24"/>
          <w:highlight w:val="none"/>
          <w14:textFill>
            <w14:solidFill>
              <w14:schemeClr w14:val="tx1"/>
            </w14:solidFill>
          </w14:textFill>
        </w:rPr>
        <w:t>四、中标结果</w:t>
      </w:r>
      <w:bookmarkEnd w:id="354"/>
      <w:bookmarkEnd w:id="355"/>
      <w:bookmarkEnd w:id="356"/>
    </w:p>
    <w:p w14:paraId="7A5FBA4C">
      <w:pPr>
        <w:keepNext w:val="0"/>
        <w:keepLines w:val="0"/>
        <w:pageBreakBefore w:val="0"/>
        <w:widowControl/>
        <w:shd w:val="clear" w:color="auto"/>
        <w:kinsoku/>
        <w:wordWrap/>
        <w:overflowPunct/>
        <w:topLinePunct w:val="0"/>
        <w:bidi w:val="0"/>
        <w:adjustRightInd/>
        <w:snapToGrid w:val="0"/>
        <w:spacing w:line="360" w:lineRule="auto"/>
        <w:ind w:right="0" w:firstLine="316" w:firstLineChars="150"/>
        <w:jc w:val="left"/>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4.1、中标原则</w:t>
      </w:r>
    </w:p>
    <w:p w14:paraId="67C4CEB1">
      <w:pPr>
        <w:keepNext w:val="0"/>
        <w:keepLines w:val="0"/>
        <w:pageBreakBefore w:val="0"/>
        <w:widowControl/>
        <w:shd w:val="clear"/>
        <w:kinsoku/>
        <w:wordWrap/>
        <w:overflowPunct/>
        <w:topLinePunct w:val="0"/>
        <w:autoSpaceDE w:val="0"/>
        <w:autoSpaceDN w:val="0"/>
        <w:bidi w:val="0"/>
        <w:adjustRightInd/>
        <w:snapToGrid w:val="0"/>
        <w:spacing w:line="360" w:lineRule="auto"/>
        <w:ind w:right="0" w:firstLine="315" w:firstLineChars="15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采购人从</w:t>
      </w:r>
      <w:r>
        <w:rPr>
          <w:rFonts w:hint="eastAsia" w:ascii="仿宋" w:hAnsi="仿宋" w:eastAsia="仿宋" w:cs="仿宋"/>
          <w:color w:val="000000" w:themeColor="text1"/>
          <w:szCs w:val="21"/>
          <w:highlight w:val="none"/>
          <w:lang w:val="en-US" w:eastAsia="zh-CN"/>
          <w14:textFill>
            <w14:solidFill>
              <w14:schemeClr w14:val="tx1"/>
            </w14:solidFill>
          </w14:textFill>
        </w:rPr>
        <w:t>评标</w:t>
      </w:r>
      <w:r>
        <w:rPr>
          <w:rFonts w:hint="eastAsia" w:ascii="仿宋" w:hAnsi="仿宋" w:eastAsia="仿宋" w:cs="仿宋"/>
          <w:color w:val="000000" w:themeColor="text1"/>
          <w:szCs w:val="21"/>
          <w:highlight w:val="none"/>
          <w:lang w:val="zh-CN"/>
          <w14:textFill>
            <w14:solidFill>
              <w14:schemeClr w14:val="tx1"/>
            </w14:solidFill>
          </w14:textFill>
        </w:rPr>
        <w:t>报告中推荐的中标候选人中，按照排序由高到低的原则确定中标人。</w:t>
      </w:r>
    </w:p>
    <w:p w14:paraId="4BA6D781">
      <w:pPr>
        <w:keepNext w:val="0"/>
        <w:keepLines w:val="0"/>
        <w:pageBreakBefore w:val="0"/>
        <w:widowControl/>
        <w:shd w:val="clear" w:color="auto"/>
        <w:kinsoku/>
        <w:wordWrap/>
        <w:overflowPunct/>
        <w:topLinePunct w:val="0"/>
        <w:bidi w:val="0"/>
        <w:adjustRightInd/>
        <w:snapToGrid w:val="0"/>
        <w:spacing w:line="360" w:lineRule="auto"/>
        <w:ind w:right="0" w:firstLine="316" w:firstLineChars="150"/>
        <w:jc w:val="left"/>
        <w:rPr>
          <w:rFonts w:hint="eastAsia" w:ascii="仿宋" w:hAnsi="仿宋" w:eastAsia="仿宋" w:cs="仿宋"/>
          <w:b/>
          <w:color w:val="000000" w:themeColor="text1"/>
          <w:szCs w:val="21"/>
          <w:highlight w:val="none"/>
          <w14:textFill>
            <w14:solidFill>
              <w14:schemeClr w14:val="tx1"/>
            </w14:solidFill>
          </w14:textFill>
        </w:rPr>
      </w:pPr>
      <w:bookmarkStart w:id="357" w:name="_Toc183682375"/>
      <w:bookmarkStart w:id="358" w:name="_Toc217446063"/>
      <w:bookmarkStart w:id="359" w:name="_Toc183582238"/>
      <w:r>
        <w:rPr>
          <w:rFonts w:hint="eastAsia" w:ascii="仿宋" w:hAnsi="仿宋" w:eastAsia="仿宋" w:cs="仿宋"/>
          <w:b/>
          <w:color w:val="000000" w:themeColor="text1"/>
          <w:szCs w:val="21"/>
          <w:highlight w:val="none"/>
          <w14:textFill>
            <w14:solidFill>
              <w14:schemeClr w14:val="tx1"/>
            </w14:solidFill>
          </w14:textFill>
        </w:rPr>
        <w:t>4.2、确定中标候选人</w:t>
      </w:r>
    </w:p>
    <w:p w14:paraId="66FCC709">
      <w:pPr>
        <w:keepNext w:val="0"/>
        <w:keepLines w:val="0"/>
        <w:pageBreakBefore w:val="0"/>
        <w:widowControl/>
        <w:shd w:val="clear"/>
        <w:kinsoku/>
        <w:wordWrap/>
        <w:overflowPunct/>
        <w:topLinePunct w:val="0"/>
        <w:autoSpaceDE w:val="0"/>
        <w:autoSpaceDN w:val="0"/>
        <w:bidi w:val="0"/>
        <w:adjustRightInd/>
        <w:snapToGrid w:val="0"/>
        <w:spacing w:line="360" w:lineRule="auto"/>
        <w:ind w:right="0" w:firstLine="315" w:firstLineChars="15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4.2</w:t>
      </w:r>
      <w:r>
        <w:rPr>
          <w:rFonts w:hint="eastAsia" w:ascii="仿宋" w:hAnsi="仿宋" w:eastAsia="仿宋" w:cs="仿宋"/>
          <w:color w:val="000000" w:themeColor="text1"/>
          <w:szCs w:val="21"/>
          <w:highlight w:val="none"/>
          <w:lang w:val="zh-CN"/>
          <w14:textFill>
            <w14:solidFill>
              <w14:schemeClr w14:val="tx1"/>
            </w14:solidFill>
          </w14:textFill>
        </w:rPr>
        <w:t>.1、评标委员会将</w:t>
      </w:r>
      <w:r>
        <w:rPr>
          <w:rFonts w:hint="eastAsia" w:ascii="仿宋" w:hAnsi="仿宋" w:eastAsia="仿宋" w:cs="仿宋"/>
          <w:color w:val="000000" w:themeColor="text1"/>
          <w:szCs w:val="21"/>
          <w:highlight w:val="none"/>
          <w:lang w:val="en-US" w:eastAsia="zh-CN"/>
          <w14:textFill>
            <w14:solidFill>
              <w14:schemeClr w14:val="tx1"/>
            </w14:solidFill>
          </w14:textFill>
        </w:rPr>
        <w:t>评标</w:t>
      </w:r>
      <w:r>
        <w:rPr>
          <w:rFonts w:hint="eastAsia" w:ascii="仿宋" w:hAnsi="仿宋" w:eastAsia="仿宋" w:cs="仿宋"/>
          <w:color w:val="000000" w:themeColor="text1"/>
          <w:szCs w:val="21"/>
          <w:highlight w:val="none"/>
          <w:lang w:val="zh-CN"/>
          <w14:textFill>
            <w14:solidFill>
              <w14:schemeClr w14:val="tx1"/>
            </w14:solidFill>
          </w14:textFill>
        </w:rPr>
        <w:t>情况写出书面报告，至少推荐3名以上中标候选人，并按照综合得分高低标明排列顺序，综合得分相同的，按投标报价由低到高顺序排列；得分且投标报价相同的，按技术指标优劣顺序排列，以上全部相同的，由评标委员会投票决定。</w:t>
      </w:r>
    </w:p>
    <w:p w14:paraId="468520AB">
      <w:pPr>
        <w:keepNext w:val="0"/>
        <w:keepLines w:val="0"/>
        <w:pageBreakBefore w:val="0"/>
        <w:widowControl/>
        <w:shd w:val="clear"/>
        <w:kinsoku/>
        <w:wordWrap/>
        <w:overflowPunct/>
        <w:topLinePunct w:val="0"/>
        <w:autoSpaceDE w:val="0"/>
        <w:autoSpaceDN w:val="0"/>
        <w:bidi w:val="0"/>
        <w:adjustRightInd/>
        <w:snapToGrid w:val="0"/>
        <w:spacing w:line="360" w:lineRule="auto"/>
        <w:ind w:right="0" w:firstLine="315" w:firstLineChars="15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4.2</w:t>
      </w:r>
      <w:r>
        <w:rPr>
          <w:rFonts w:hint="eastAsia" w:ascii="仿宋" w:hAnsi="仿宋" w:eastAsia="仿宋" w:cs="仿宋"/>
          <w:color w:val="000000" w:themeColor="text1"/>
          <w:szCs w:val="21"/>
          <w:highlight w:val="none"/>
          <w:lang w:val="zh-CN"/>
          <w14:textFill>
            <w14:solidFill>
              <w14:schemeClr w14:val="tx1"/>
            </w14:solidFill>
          </w14:textFill>
        </w:rPr>
        <w:t>.2、采购代理机构应当在</w:t>
      </w:r>
      <w:r>
        <w:rPr>
          <w:rFonts w:hint="eastAsia" w:ascii="仿宋" w:hAnsi="仿宋" w:eastAsia="仿宋" w:cs="仿宋"/>
          <w:color w:val="000000" w:themeColor="text1"/>
          <w:szCs w:val="21"/>
          <w:highlight w:val="none"/>
          <w:lang w:val="en-US" w:eastAsia="zh-CN"/>
          <w14:textFill>
            <w14:solidFill>
              <w14:schemeClr w14:val="tx1"/>
            </w14:solidFill>
          </w14:textFill>
        </w:rPr>
        <w:t>评标</w:t>
      </w:r>
      <w:r>
        <w:rPr>
          <w:rFonts w:hint="eastAsia" w:ascii="仿宋" w:hAnsi="仿宋" w:eastAsia="仿宋" w:cs="仿宋"/>
          <w:color w:val="000000" w:themeColor="text1"/>
          <w:szCs w:val="21"/>
          <w:highlight w:val="none"/>
          <w:lang w:val="zh-CN"/>
          <w14:textFill>
            <w14:solidFill>
              <w14:schemeClr w14:val="tx1"/>
            </w14:solidFill>
          </w14:textFill>
        </w:rPr>
        <w:t>结束后2个工作日内将</w:t>
      </w:r>
      <w:r>
        <w:rPr>
          <w:rFonts w:hint="eastAsia" w:ascii="仿宋" w:hAnsi="仿宋" w:eastAsia="仿宋" w:cs="仿宋"/>
          <w:color w:val="000000" w:themeColor="text1"/>
          <w:szCs w:val="21"/>
          <w:highlight w:val="none"/>
          <w:lang w:val="en-US" w:eastAsia="zh-CN"/>
          <w14:textFill>
            <w14:solidFill>
              <w14:schemeClr w14:val="tx1"/>
            </w14:solidFill>
          </w14:textFill>
        </w:rPr>
        <w:t>评标</w:t>
      </w:r>
      <w:r>
        <w:rPr>
          <w:rFonts w:hint="eastAsia" w:ascii="仿宋" w:hAnsi="仿宋" w:eastAsia="仿宋" w:cs="仿宋"/>
          <w:color w:val="000000" w:themeColor="text1"/>
          <w:szCs w:val="21"/>
          <w:highlight w:val="none"/>
          <w:lang w:val="zh-CN"/>
          <w14:textFill>
            <w14:solidFill>
              <w14:schemeClr w14:val="tx1"/>
            </w14:solidFill>
          </w14:textFill>
        </w:rPr>
        <w:t>报告送采购人确认。</w:t>
      </w:r>
    </w:p>
    <w:p w14:paraId="5485238F">
      <w:pPr>
        <w:keepNext w:val="0"/>
        <w:keepLines w:val="0"/>
        <w:pageBreakBefore w:val="0"/>
        <w:widowControl/>
        <w:shd w:val="clear"/>
        <w:kinsoku/>
        <w:wordWrap/>
        <w:overflowPunct/>
        <w:topLinePunct w:val="0"/>
        <w:autoSpaceDE w:val="0"/>
        <w:autoSpaceDN w:val="0"/>
        <w:bidi w:val="0"/>
        <w:adjustRightInd/>
        <w:snapToGrid w:val="0"/>
        <w:spacing w:line="360" w:lineRule="auto"/>
        <w:ind w:right="0" w:firstLine="315" w:firstLineChars="15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4.2</w:t>
      </w:r>
      <w:r>
        <w:rPr>
          <w:rFonts w:hint="eastAsia" w:ascii="仿宋" w:hAnsi="仿宋" w:eastAsia="仿宋" w:cs="仿宋"/>
          <w:color w:val="000000" w:themeColor="text1"/>
          <w:szCs w:val="21"/>
          <w:highlight w:val="none"/>
          <w:lang w:val="zh-CN"/>
          <w14:textFill>
            <w14:solidFill>
              <w14:schemeClr w14:val="tx1"/>
            </w14:solidFill>
          </w14:textFill>
        </w:rPr>
        <w:t>.3、采购人在收到</w:t>
      </w:r>
      <w:r>
        <w:rPr>
          <w:rFonts w:hint="eastAsia" w:ascii="仿宋" w:hAnsi="仿宋" w:eastAsia="仿宋" w:cs="仿宋"/>
          <w:color w:val="000000" w:themeColor="text1"/>
          <w:szCs w:val="21"/>
          <w:highlight w:val="none"/>
          <w:lang w:val="en-US" w:eastAsia="zh-CN"/>
          <w14:textFill>
            <w14:solidFill>
              <w14:schemeClr w14:val="tx1"/>
            </w14:solidFill>
          </w14:textFill>
        </w:rPr>
        <w:t>评标</w:t>
      </w:r>
      <w:r>
        <w:rPr>
          <w:rFonts w:hint="eastAsia" w:ascii="仿宋" w:hAnsi="仿宋" w:eastAsia="仿宋" w:cs="仿宋"/>
          <w:color w:val="000000" w:themeColor="text1"/>
          <w:szCs w:val="21"/>
          <w:highlight w:val="none"/>
          <w:lang w:val="zh-CN"/>
          <w14:textFill>
            <w14:solidFill>
              <w14:schemeClr w14:val="tx1"/>
            </w14:solidFill>
          </w14:textFill>
        </w:rPr>
        <w:t>报告后5个工作日内，按照</w:t>
      </w:r>
      <w:r>
        <w:rPr>
          <w:rFonts w:hint="eastAsia" w:ascii="仿宋" w:hAnsi="仿宋" w:eastAsia="仿宋" w:cs="仿宋"/>
          <w:color w:val="000000" w:themeColor="text1"/>
          <w:szCs w:val="21"/>
          <w:highlight w:val="none"/>
          <w:lang w:val="en-US" w:eastAsia="zh-CN"/>
          <w14:textFill>
            <w14:solidFill>
              <w14:schemeClr w14:val="tx1"/>
            </w14:solidFill>
          </w14:textFill>
        </w:rPr>
        <w:t>评标</w:t>
      </w:r>
      <w:r>
        <w:rPr>
          <w:rFonts w:hint="eastAsia" w:ascii="仿宋" w:hAnsi="仿宋" w:eastAsia="仿宋" w:cs="仿宋"/>
          <w:color w:val="000000" w:themeColor="text1"/>
          <w:szCs w:val="21"/>
          <w:highlight w:val="none"/>
          <w:lang w:val="zh-CN"/>
          <w14:textFill>
            <w14:solidFill>
              <w14:schemeClr w14:val="tx1"/>
            </w14:solidFill>
          </w14:textFill>
        </w:rPr>
        <w:t>报告推荐的中标候选人顺序和有关规定确定中标人。</w:t>
      </w:r>
    </w:p>
    <w:p w14:paraId="4D15DC4C">
      <w:pPr>
        <w:keepNext w:val="0"/>
        <w:keepLines w:val="0"/>
        <w:pageBreakBefore w:val="0"/>
        <w:widowControl/>
        <w:shd w:val="clear"/>
        <w:kinsoku/>
        <w:wordWrap/>
        <w:overflowPunct/>
        <w:topLinePunct w:val="0"/>
        <w:autoSpaceDE w:val="0"/>
        <w:autoSpaceDN w:val="0"/>
        <w:bidi w:val="0"/>
        <w:adjustRightInd/>
        <w:snapToGrid w:val="0"/>
        <w:spacing w:line="360" w:lineRule="auto"/>
        <w:ind w:right="0" w:firstLine="315" w:firstLineChars="15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4.2</w:t>
      </w:r>
      <w:r>
        <w:rPr>
          <w:rFonts w:hint="eastAsia" w:ascii="仿宋" w:hAnsi="仿宋" w:eastAsia="仿宋" w:cs="仿宋"/>
          <w:color w:val="000000" w:themeColor="text1"/>
          <w:szCs w:val="21"/>
          <w:highlight w:val="none"/>
          <w:lang w:val="zh-CN"/>
          <w14:textFill>
            <w14:solidFill>
              <w14:schemeClr w14:val="tx1"/>
            </w14:solidFill>
          </w14:textFill>
        </w:rPr>
        <w:t>.4、</w:t>
      </w:r>
      <w:r>
        <w:rPr>
          <w:rFonts w:hint="eastAsia" w:ascii="仿宋" w:hAnsi="仿宋" w:eastAsia="仿宋" w:cs="仿宋"/>
          <w:color w:val="000000" w:themeColor="text1"/>
          <w:szCs w:val="21"/>
          <w:highlight w:val="none"/>
          <w:lang w:val="en-US" w:eastAsia="zh-CN"/>
          <w14:textFill>
            <w14:solidFill>
              <w14:schemeClr w14:val="tx1"/>
            </w14:solidFill>
          </w14:textFill>
        </w:rPr>
        <w:t>采购人或者</w:t>
      </w:r>
      <w:r>
        <w:rPr>
          <w:rFonts w:hint="eastAsia" w:ascii="仿宋" w:hAnsi="仿宋" w:eastAsia="仿宋" w:cs="仿宋"/>
          <w:color w:val="000000" w:themeColor="text1"/>
          <w:szCs w:val="21"/>
          <w:highlight w:val="none"/>
          <w:lang w:val="zh-CN"/>
          <w14:textFill>
            <w14:solidFill>
              <w14:schemeClr w14:val="tx1"/>
            </w14:solidFill>
          </w14:textFill>
        </w:rPr>
        <w:t>采购代理机构</w:t>
      </w:r>
      <w:r>
        <w:rPr>
          <w:rFonts w:hint="eastAsia" w:ascii="仿宋" w:hAnsi="仿宋" w:eastAsia="仿宋" w:cs="仿宋"/>
          <w:color w:val="000000" w:themeColor="text1"/>
          <w:szCs w:val="21"/>
          <w:highlight w:val="none"/>
          <w:lang w:val="en-US" w:eastAsia="zh-CN"/>
          <w14:textFill>
            <w14:solidFill>
              <w14:schemeClr w14:val="tx1"/>
            </w14:solidFill>
          </w14:textFill>
        </w:rPr>
        <w:t>应当自</w:t>
      </w:r>
      <w:r>
        <w:rPr>
          <w:rFonts w:hint="eastAsia" w:ascii="仿宋" w:hAnsi="仿宋" w:eastAsia="仿宋" w:cs="仿宋"/>
          <w:color w:val="000000" w:themeColor="text1"/>
          <w:szCs w:val="21"/>
          <w:highlight w:val="none"/>
          <w:lang w:val="zh-CN"/>
          <w14:textFill>
            <w14:solidFill>
              <w14:schemeClr w14:val="tx1"/>
            </w14:solidFill>
          </w14:textFill>
        </w:rPr>
        <w:t>中标人</w:t>
      </w:r>
      <w:r>
        <w:rPr>
          <w:rFonts w:hint="eastAsia" w:ascii="仿宋" w:hAnsi="仿宋" w:eastAsia="仿宋" w:cs="仿宋"/>
          <w:color w:val="000000" w:themeColor="text1"/>
          <w:szCs w:val="21"/>
          <w:highlight w:val="none"/>
          <w:lang w:val="en-US" w:eastAsia="zh-CN"/>
          <w14:textFill>
            <w14:solidFill>
              <w14:schemeClr w14:val="tx1"/>
            </w14:solidFill>
          </w14:textFill>
        </w:rPr>
        <w:t>确定</w:t>
      </w:r>
      <w:r>
        <w:rPr>
          <w:rFonts w:hint="eastAsia" w:ascii="仿宋" w:hAnsi="仿宋" w:eastAsia="仿宋" w:cs="仿宋"/>
          <w:color w:val="000000" w:themeColor="text1"/>
          <w:szCs w:val="21"/>
          <w:highlight w:val="none"/>
          <w:lang w:val="zh-CN"/>
          <w14:textFill>
            <w14:solidFill>
              <w14:schemeClr w14:val="tx1"/>
            </w14:solidFill>
          </w14:textFill>
        </w:rPr>
        <w:t>之日起2个工作日内，在财政部门指定的媒体《陕西省政府采购网》发布采购结果公告，同时向中标人发出《中标通知书》。</w:t>
      </w:r>
    </w:p>
    <w:p w14:paraId="30A0097E">
      <w:pPr>
        <w:keepNext w:val="0"/>
        <w:keepLines w:val="0"/>
        <w:pageBreakBefore w:val="0"/>
        <w:shd w:val="clear"/>
        <w:kinsoku/>
        <w:wordWrap/>
        <w:overflowPunct/>
        <w:topLinePunct w:val="0"/>
        <w:bidi w:val="0"/>
        <w:adjustRightInd/>
        <w:snapToGrid w:val="0"/>
        <w:spacing w:line="360" w:lineRule="auto"/>
        <w:ind w:right="0" w:firstLine="315"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4.2</w:t>
      </w:r>
      <w:r>
        <w:rPr>
          <w:rFonts w:hint="eastAsia" w:ascii="仿宋" w:hAnsi="仿宋" w:eastAsia="仿宋" w:cs="仿宋"/>
          <w:color w:val="000000" w:themeColor="text1"/>
          <w:szCs w:val="21"/>
          <w:highlight w:val="none"/>
          <w:lang w:val="zh-CN"/>
          <w14:textFill>
            <w14:solidFill>
              <w14:schemeClr w14:val="tx1"/>
            </w14:solidFill>
          </w14:textFill>
        </w:rPr>
        <w:t>.5、采购代理机构将</w:t>
      </w:r>
      <w:r>
        <w:rPr>
          <w:rFonts w:hint="eastAsia" w:ascii="仿宋" w:hAnsi="仿宋" w:eastAsia="仿宋" w:cs="仿宋"/>
          <w:color w:val="000000" w:themeColor="text1"/>
          <w:szCs w:val="21"/>
          <w:highlight w:val="none"/>
          <w:lang w:val="en-US" w:eastAsia="zh-CN"/>
          <w14:textFill>
            <w14:solidFill>
              <w14:schemeClr w14:val="tx1"/>
            </w14:solidFill>
          </w14:textFill>
        </w:rPr>
        <w:t>评标</w:t>
      </w:r>
      <w:r>
        <w:rPr>
          <w:rFonts w:hint="eastAsia" w:ascii="仿宋" w:hAnsi="仿宋" w:eastAsia="仿宋" w:cs="仿宋"/>
          <w:color w:val="000000" w:themeColor="text1"/>
          <w:szCs w:val="21"/>
          <w:highlight w:val="none"/>
          <w:lang w:val="zh-CN"/>
          <w14:textFill>
            <w14:solidFill>
              <w14:schemeClr w14:val="tx1"/>
            </w14:solidFill>
          </w14:textFill>
        </w:rPr>
        <w:t>过程与采购人情况书面报送有关监督机构备案</w:t>
      </w:r>
      <w:r>
        <w:rPr>
          <w:rFonts w:hint="eastAsia" w:ascii="仿宋" w:hAnsi="仿宋" w:eastAsia="仿宋" w:cs="仿宋"/>
          <w:color w:val="000000" w:themeColor="text1"/>
          <w:szCs w:val="21"/>
          <w:highlight w:val="none"/>
          <w14:textFill>
            <w14:solidFill>
              <w14:schemeClr w14:val="tx1"/>
            </w14:solidFill>
          </w14:textFill>
        </w:rPr>
        <w:t>。</w:t>
      </w:r>
    </w:p>
    <w:bookmarkEnd w:id="357"/>
    <w:bookmarkEnd w:id="358"/>
    <w:bookmarkEnd w:id="359"/>
    <w:p w14:paraId="4F81D924">
      <w:pPr>
        <w:keepNext w:val="0"/>
        <w:keepLines w:val="0"/>
        <w:pageBreakBefore w:val="0"/>
        <w:widowControl/>
        <w:shd w:val="clear" w:color="auto"/>
        <w:kinsoku/>
        <w:wordWrap/>
        <w:overflowPunct/>
        <w:topLinePunct w:val="0"/>
        <w:autoSpaceDE/>
        <w:autoSpaceDN/>
        <w:bidi w:val="0"/>
        <w:adjustRightInd/>
        <w:snapToGrid w:val="0"/>
        <w:spacing w:line="360" w:lineRule="auto"/>
        <w:ind w:right="0" w:firstLine="316" w:firstLineChars="150"/>
        <w:jc w:val="left"/>
        <w:textAlignment w:val="auto"/>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4.3、中标通知书</w:t>
      </w:r>
    </w:p>
    <w:p w14:paraId="64D3824B">
      <w:pPr>
        <w:keepNext w:val="0"/>
        <w:keepLines w:val="0"/>
        <w:pageBreakBefore w:val="0"/>
        <w:widowControl/>
        <w:shd w:val="clear"/>
        <w:kinsoku/>
        <w:wordWrap/>
        <w:overflowPunct/>
        <w:topLinePunct w:val="0"/>
        <w:autoSpaceDE w:val="0"/>
        <w:autoSpaceDN w:val="0"/>
        <w:bidi w:val="0"/>
        <w:adjustRightInd/>
        <w:snapToGrid w:val="0"/>
        <w:spacing w:line="360" w:lineRule="auto"/>
        <w:ind w:right="0" w:firstLine="315" w:firstLineChars="15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4.3</w:t>
      </w:r>
      <w:r>
        <w:rPr>
          <w:rFonts w:hint="eastAsia" w:ascii="仿宋" w:hAnsi="仿宋" w:eastAsia="仿宋" w:cs="仿宋"/>
          <w:color w:val="000000" w:themeColor="text1"/>
          <w:szCs w:val="21"/>
          <w:highlight w:val="none"/>
          <w:lang w:val="zh-CN"/>
          <w14:textFill>
            <w14:solidFill>
              <w14:schemeClr w14:val="tx1"/>
            </w14:solidFill>
          </w14:textFill>
        </w:rPr>
        <w:t>.1、中标通知书是合同文件的组成部分，对采购人和中标人具有同等法律效力。中标通知书发出后，采购人改变中标结果或者中标人放弃</w:t>
      </w:r>
      <w:r>
        <w:rPr>
          <w:rFonts w:hint="eastAsia" w:ascii="仿宋" w:hAnsi="仿宋" w:eastAsia="仿宋" w:cs="仿宋"/>
          <w:color w:val="000000" w:themeColor="text1"/>
          <w:szCs w:val="21"/>
          <w:highlight w:val="none"/>
          <w:lang w:val="en-US" w:eastAsia="zh-CN"/>
          <w14:textFill>
            <w14:solidFill>
              <w14:schemeClr w14:val="tx1"/>
            </w14:solidFill>
          </w14:textFill>
        </w:rPr>
        <w:t>中标</w:t>
      </w:r>
      <w:r>
        <w:rPr>
          <w:rFonts w:hint="eastAsia" w:ascii="仿宋" w:hAnsi="仿宋" w:eastAsia="仿宋" w:cs="仿宋"/>
          <w:color w:val="000000" w:themeColor="text1"/>
          <w:szCs w:val="21"/>
          <w:highlight w:val="none"/>
          <w:lang w:val="zh-CN"/>
          <w14:textFill>
            <w14:solidFill>
              <w14:schemeClr w14:val="tx1"/>
            </w14:solidFill>
          </w14:textFill>
        </w:rPr>
        <w:t>，应按相关法律、规章、规范性文件的要求承担相应的法律责任。</w:t>
      </w:r>
    </w:p>
    <w:p w14:paraId="6D10C0AE">
      <w:pPr>
        <w:keepNext w:val="0"/>
        <w:keepLines w:val="0"/>
        <w:pageBreakBefore w:val="0"/>
        <w:widowControl/>
        <w:shd w:val="clear"/>
        <w:kinsoku/>
        <w:wordWrap/>
        <w:overflowPunct/>
        <w:topLinePunct w:val="0"/>
        <w:autoSpaceDE w:val="0"/>
        <w:autoSpaceDN w:val="0"/>
        <w:bidi w:val="0"/>
        <w:adjustRightInd/>
        <w:snapToGrid w:val="0"/>
        <w:spacing w:line="360" w:lineRule="auto"/>
        <w:ind w:right="0" w:firstLine="315" w:firstLineChars="15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4.3</w:t>
      </w:r>
      <w:r>
        <w:rPr>
          <w:rFonts w:hint="eastAsia" w:ascii="仿宋" w:hAnsi="仿宋" w:eastAsia="仿宋" w:cs="仿宋"/>
          <w:color w:val="000000" w:themeColor="text1"/>
          <w:szCs w:val="21"/>
          <w:highlight w:val="none"/>
          <w:lang w:val="zh-CN"/>
          <w14:textFill>
            <w14:solidFill>
              <w14:schemeClr w14:val="tx1"/>
            </w14:solidFill>
          </w14:textFill>
        </w:rPr>
        <w:t>.2、中标人应当在接到采购代理机构通知之日起5个工作日内，领取《中标通知书》。</w:t>
      </w:r>
    </w:p>
    <w:p w14:paraId="017BC4F3">
      <w:pPr>
        <w:keepNext w:val="0"/>
        <w:keepLines w:val="0"/>
        <w:pageBreakBefore w:val="0"/>
        <w:widowControl/>
        <w:shd w:val="clear"/>
        <w:kinsoku/>
        <w:wordWrap/>
        <w:overflowPunct/>
        <w:topLinePunct w:val="0"/>
        <w:autoSpaceDE w:val="0"/>
        <w:autoSpaceDN w:val="0"/>
        <w:bidi w:val="0"/>
        <w:adjustRightInd/>
        <w:snapToGrid w:val="0"/>
        <w:spacing w:line="360" w:lineRule="auto"/>
        <w:ind w:right="0" w:firstLine="315" w:firstLineChars="15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4.3</w:t>
      </w:r>
      <w:r>
        <w:rPr>
          <w:rFonts w:hint="eastAsia" w:ascii="仿宋" w:hAnsi="仿宋" w:eastAsia="仿宋" w:cs="仿宋"/>
          <w:color w:val="000000" w:themeColor="text1"/>
          <w:szCs w:val="21"/>
          <w:highlight w:val="none"/>
          <w:lang w:val="zh-CN"/>
          <w14:textFill>
            <w14:solidFill>
              <w14:schemeClr w14:val="tx1"/>
            </w14:solidFill>
          </w14:textFill>
        </w:rPr>
        <w:t>.3、在《中标通知书》发出后，发现中标人有政府采购法律法规规章制度规定的中标无效情形的，采购代理机构在取得有权主体认定后，应当宣布发出的中标通知书无效，并收回发出的中标通知书（中标人也应当缴回），依法重新确定中标人或者重新开展采购活动。</w:t>
      </w:r>
    </w:p>
    <w:bookmarkEnd w:id="59"/>
    <w:bookmarkEnd w:id="60"/>
    <w:bookmarkEnd w:id="61"/>
    <w:bookmarkEnd w:id="62"/>
    <w:bookmarkEnd w:id="228"/>
    <w:bookmarkEnd w:id="229"/>
    <w:bookmarkEnd w:id="230"/>
    <w:bookmarkEnd w:id="231"/>
    <w:bookmarkEnd w:id="232"/>
    <w:bookmarkEnd w:id="233"/>
    <w:bookmarkEnd w:id="234"/>
    <w:bookmarkEnd w:id="235"/>
    <w:bookmarkEnd w:id="236"/>
    <w:bookmarkEnd w:id="237"/>
    <w:bookmarkEnd w:id="238"/>
    <w:bookmarkEnd w:id="239"/>
    <w:p w14:paraId="7872A8F3">
      <w:pPr>
        <w:pStyle w:val="2"/>
        <w:shd w:val="clear"/>
        <w:jc w:val="center"/>
        <w:rPr>
          <w:rFonts w:hint="eastAsia" w:ascii="仿宋" w:hAnsi="仿宋" w:eastAsia="仿宋" w:cs="仿宋"/>
          <w:color w:val="000000" w:themeColor="text1"/>
          <w:highlight w:val="none"/>
          <w14:textFill>
            <w14:solidFill>
              <w14:schemeClr w14:val="tx1"/>
            </w14:solidFill>
          </w14:textFill>
        </w:rPr>
      </w:pPr>
      <w:bookmarkStart w:id="360" w:name="_Toc531189845"/>
      <w:bookmarkStart w:id="361" w:name="_Toc19784_WPSOffice_Level1"/>
      <w:bookmarkStart w:id="362" w:name="_Toc16970"/>
      <w:bookmarkStart w:id="363" w:name="_Toc12023"/>
      <w:bookmarkStart w:id="364" w:name="_Toc15866"/>
      <w:bookmarkStart w:id="365" w:name="_Toc84"/>
      <w:bookmarkStart w:id="366" w:name="_Toc3774"/>
      <w:bookmarkStart w:id="367" w:name="_Toc24958"/>
      <w:bookmarkStart w:id="368" w:name="_Toc12648"/>
      <w:bookmarkStart w:id="369" w:name="_Toc10376"/>
      <w:bookmarkStart w:id="370" w:name="_Toc6969"/>
      <w:bookmarkStart w:id="371" w:name="_Toc24517_WPSOffice_Level1"/>
      <w:bookmarkStart w:id="372" w:name="_Toc12252"/>
      <w:bookmarkStart w:id="373" w:name="_Toc8008"/>
      <w:bookmarkStart w:id="374" w:name="_Toc8771"/>
      <w:bookmarkStart w:id="375" w:name="_Toc5366"/>
      <w:bookmarkStart w:id="376" w:name="_Toc7100_WPSOffice_Level1"/>
      <w:bookmarkStart w:id="377" w:name="_Toc5237"/>
      <w:bookmarkStart w:id="378" w:name="_Toc20503"/>
      <w:bookmarkStart w:id="379" w:name="_Toc175973405"/>
      <w:bookmarkStart w:id="380" w:name="_Toc105649645"/>
      <w:bookmarkStart w:id="381" w:name="_Toc105649520"/>
    </w:p>
    <w:p w14:paraId="274D0624">
      <w:pPr>
        <w:pStyle w:val="2"/>
        <w:shd w:val="clear"/>
        <w:jc w:val="center"/>
        <w:rPr>
          <w:rFonts w:hint="eastAsia" w:ascii="仿宋" w:hAnsi="仿宋" w:eastAsia="仿宋" w:cs="仿宋"/>
          <w:color w:val="000000" w:themeColor="text1"/>
          <w:highlight w:val="none"/>
          <w14:textFill>
            <w14:solidFill>
              <w14:schemeClr w14:val="tx1"/>
            </w14:solidFill>
          </w14:textFill>
        </w:rPr>
      </w:pPr>
    </w:p>
    <w:p w14:paraId="0C99741A">
      <w:pPr>
        <w:pStyle w:val="2"/>
        <w:shd w:val="clear"/>
        <w:jc w:val="center"/>
        <w:rPr>
          <w:rFonts w:hint="eastAsia" w:ascii="仿宋" w:hAnsi="仿宋" w:eastAsia="仿宋" w:cs="仿宋"/>
          <w:color w:val="000000" w:themeColor="text1"/>
          <w:highlight w:val="none"/>
          <w14:textFill>
            <w14:solidFill>
              <w14:schemeClr w14:val="tx1"/>
            </w14:solidFill>
          </w14:textFill>
        </w:rPr>
      </w:pPr>
    </w:p>
    <w:p w14:paraId="1AC41C9A">
      <w:pPr>
        <w:pStyle w:val="2"/>
        <w:shd w:val="clear"/>
        <w:jc w:val="center"/>
        <w:rPr>
          <w:rFonts w:hint="eastAsia" w:ascii="仿宋" w:hAnsi="仿宋" w:eastAsia="仿宋" w:cs="仿宋"/>
          <w:color w:val="000000" w:themeColor="text1"/>
          <w:highlight w:val="none"/>
          <w14:textFill>
            <w14:solidFill>
              <w14:schemeClr w14:val="tx1"/>
            </w14:solidFill>
          </w14:textFill>
        </w:rPr>
      </w:pPr>
    </w:p>
    <w:p w14:paraId="4A32CFAF">
      <w:pPr>
        <w:pStyle w:val="2"/>
        <w:shd w:val="clear"/>
        <w:jc w:val="center"/>
        <w:rPr>
          <w:rFonts w:hint="eastAsia" w:ascii="仿宋" w:hAnsi="仿宋" w:eastAsia="仿宋" w:cs="仿宋"/>
          <w:color w:val="000000" w:themeColor="text1"/>
          <w:highlight w:val="none"/>
          <w14:textFill>
            <w14:solidFill>
              <w14:schemeClr w14:val="tx1"/>
            </w14:solidFill>
          </w14:textFill>
        </w:rPr>
      </w:pPr>
    </w:p>
    <w:p w14:paraId="0E0A10DD">
      <w:pPr>
        <w:pStyle w:val="2"/>
        <w:shd w:val="clear"/>
        <w:ind w:firstLine="1440" w:firstLineChars="400"/>
        <w:jc w:val="both"/>
        <w:rPr>
          <w:rFonts w:hint="eastAsia" w:ascii="仿宋" w:hAnsi="仿宋" w:eastAsia="仿宋" w:cs="仿宋"/>
          <w:color w:val="000000" w:themeColor="text1"/>
          <w:highlight w:val="none"/>
          <w14:textFill>
            <w14:solidFill>
              <w14:schemeClr w14:val="tx1"/>
            </w14:solidFill>
          </w14:textFill>
        </w:rPr>
      </w:pPr>
    </w:p>
    <w:p w14:paraId="1A31AC74">
      <w:pPr>
        <w:pStyle w:val="2"/>
        <w:shd w:val="clear"/>
        <w:ind w:firstLine="1440" w:firstLineChars="400"/>
        <w:jc w:val="both"/>
        <w:rPr>
          <w:rFonts w:hint="eastAsia" w:ascii="仿宋" w:hAnsi="仿宋" w:eastAsia="仿宋" w:cs="仿宋"/>
          <w:color w:val="000000" w:themeColor="text1"/>
          <w:highlight w:val="none"/>
          <w14:textFill>
            <w14:solidFill>
              <w14:schemeClr w14:val="tx1"/>
            </w14:solidFill>
          </w14:textFill>
        </w:rPr>
      </w:pPr>
    </w:p>
    <w:p w14:paraId="44891B37">
      <w:pPr>
        <w:pStyle w:val="2"/>
        <w:shd w:val="clear"/>
        <w:ind w:firstLine="1440" w:firstLineChars="400"/>
        <w:jc w:val="both"/>
        <w:rPr>
          <w:rFonts w:hint="eastAsia" w:ascii="仿宋" w:hAnsi="仿宋" w:eastAsia="仿宋" w:cs="仿宋"/>
          <w:color w:val="000000" w:themeColor="text1"/>
          <w:highlight w:val="none"/>
          <w14:textFill>
            <w14:solidFill>
              <w14:schemeClr w14:val="tx1"/>
            </w14:solidFill>
          </w14:textFill>
        </w:rPr>
      </w:pPr>
    </w:p>
    <w:p w14:paraId="27025606">
      <w:pPr>
        <w:pStyle w:val="2"/>
        <w:shd w:val="clear"/>
        <w:ind w:firstLine="1440" w:firstLineChars="400"/>
        <w:jc w:val="both"/>
        <w:rPr>
          <w:rFonts w:hint="eastAsia" w:ascii="仿宋" w:hAnsi="仿宋" w:eastAsia="仿宋" w:cs="仿宋"/>
          <w:color w:val="000000" w:themeColor="text1"/>
          <w:highlight w:val="none"/>
          <w14:textFill>
            <w14:solidFill>
              <w14:schemeClr w14:val="tx1"/>
            </w14:solidFill>
          </w14:textFill>
        </w:rPr>
      </w:pPr>
    </w:p>
    <w:p w14:paraId="71606F84">
      <w:pPr>
        <w:pStyle w:val="2"/>
        <w:shd w:val="clear"/>
        <w:ind w:firstLine="1440" w:firstLineChars="400"/>
        <w:jc w:val="both"/>
        <w:rPr>
          <w:rFonts w:hint="eastAsia" w:ascii="仿宋" w:hAnsi="仿宋" w:eastAsia="仿宋" w:cs="仿宋"/>
          <w:color w:val="000000" w:themeColor="text1"/>
          <w:highlight w:val="none"/>
          <w14:textFill>
            <w14:solidFill>
              <w14:schemeClr w14:val="tx1"/>
            </w14:solidFill>
          </w14:textFill>
        </w:rPr>
      </w:pPr>
    </w:p>
    <w:p w14:paraId="3C9EB590">
      <w:pPr>
        <w:pStyle w:val="2"/>
        <w:shd w:val="clear"/>
        <w:ind w:firstLine="1440" w:firstLineChars="400"/>
        <w:jc w:val="both"/>
        <w:rPr>
          <w:rFonts w:hint="eastAsia" w:ascii="仿宋" w:hAnsi="仿宋" w:eastAsia="仿宋" w:cs="仿宋"/>
          <w:color w:val="000000" w:themeColor="text1"/>
          <w:highlight w:val="none"/>
          <w14:textFill>
            <w14:solidFill>
              <w14:schemeClr w14:val="tx1"/>
            </w14:solidFill>
          </w14:textFill>
        </w:rPr>
      </w:pPr>
    </w:p>
    <w:p w14:paraId="22F9D525">
      <w:pPr>
        <w:pStyle w:val="2"/>
        <w:shd w:val="clear"/>
        <w:ind w:firstLine="1440" w:firstLineChars="400"/>
        <w:jc w:val="both"/>
        <w:rPr>
          <w:rFonts w:hint="eastAsia" w:ascii="仿宋" w:hAnsi="仿宋" w:eastAsia="仿宋" w:cs="仿宋"/>
          <w:color w:val="000000" w:themeColor="text1"/>
          <w:highlight w:val="none"/>
          <w14:textFill>
            <w14:solidFill>
              <w14:schemeClr w14:val="tx1"/>
            </w14:solidFill>
          </w14:textFill>
        </w:rPr>
      </w:pPr>
    </w:p>
    <w:p w14:paraId="4ABB70B2">
      <w:pPr>
        <w:pStyle w:val="2"/>
        <w:shd w:val="clear"/>
        <w:ind w:firstLine="1440" w:firstLineChars="400"/>
        <w:jc w:val="both"/>
        <w:rPr>
          <w:rFonts w:hint="eastAsia" w:ascii="仿宋" w:hAnsi="仿宋" w:eastAsia="仿宋" w:cs="仿宋"/>
          <w:color w:val="000000" w:themeColor="text1"/>
          <w:highlight w:val="none"/>
          <w14:textFill>
            <w14:solidFill>
              <w14:schemeClr w14:val="tx1"/>
            </w14:solidFill>
          </w14:textFill>
        </w:rPr>
      </w:pPr>
    </w:p>
    <w:p w14:paraId="1ED39A43">
      <w:pPr>
        <w:pStyle w:val="2"/>
        <w:shd w:val="clear"/>
        <w:ind w:firstLine="1440" w:firstLineChars="400"/>
        <w:jc w:val="both"/>
        <w:rPr>
          <w:rFonts w:hint="eastAsia" w:ascii="仿宋" w:hAnsi="仿宋" w:eastAsia="仿宋" w:cs="仿宋"/>
          <w:color w:val="000000" w:themeColor="text1"/>
          <w:highlight w:val="none"/>
          <w14:textFill>
            <w14:solidFill>
              <w14:schemeClr w14:val="tx1"/>
            </w14:solidFill>
          </w14:textFill>
        </w:rPr>
      </w:pPr>
    </w:p>
    <w:p w14:paraId="4F3EEE14">
      <w:pPr>
        <w:pStyle w:val="2"/>
        <w:shd w:val="clear"/>
        <w:ind w:firstLine="1440" w:firstLineChars="400"/>
        <w:jc w:val="both"/>
        <w:rPr>
          <w:rFonts w:hint="eastAsia" w:ascii="仿宋" w:hAnsi="仿宋" w:eastAsia="仿宋" w:cs="仿宋"/>
          <w:color w:val="000000" w:themeColor="text1"/>
          <w:highlight w:val="none"/>
          <w14:textFill>
            <w14:solidFill>
              <w14:schemeClr w14:val="tx1"/>
            </w14:solidFill>
          </w14:textFill>
        </w:rPr>
      </w:pPr>
    </w:p>
    <w:p w14:paraId="1326793E">
      <w:pPr>
        <w:pStyle w:val="2"/>
        <w:shd w:val="clear"/>
        <w:ind w:firstLine="1440" w:firstLineChars="400"/>
        <w:jc w:val="both"/>
        <w:rPr>
          <w:rFonts w:hint="eastAsia" w:ascii="仿宋" w:hAnsi="仿宋" w:eastAsia="仿宋" w:cs="仿宋"/>
          <w:color w:val="000000" w:themeColor="text1"/>
          <w:highlight w:val="none"/>
          <w14:textFill>
            <w14:solidFill>
              <w14:schemeClr w14:val="tx1"/>
            </w14:solidFill>
          </w14:textFill>
        </w:rPr>
      </w:pPr>
    </w:p>
    <w:p w14:paraId="137E4473">
      <w:pPr>
        <w:pStyle w:val="2"/>
        <w:shd w:val="clear"/>
        <w:ind w:firstLine="1440" w:firstLineChars="400"/>
        <w:jc w:val="both"/>
        <w:rPr>
          <w:rFonts w:hint="eastAsia" w:ascii="仿宋" w:hAnsi="仿宋" w:eastAsia="仿宋" w:cs="仿宋"/>
          <w:color w:val="000000" w:themeColor="text1"/>
          <w:highlight w:val="none"/>
          <w14:textFill>
            <w14:solidFill>
              <w14:schemeClr w14:val="tx1"/>
            </w14:solidFill>
          </w14:textFill>
        </w:rPr>
      </w:pPr>
    </w:p>
    <w:p w14:paraId="50F4391D">
      <w:pPr>
        <w:pStyle w:val="2"/>
        <w:shd w:val="clear"/>
        <w:ind w:firstLine="1446" w:firstLineChars="400"/>
        <w:jc w:val="both"/>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第</w:t>
      </w:r>
      <w:r>
        <w:rPr>
          <w:rFonts w:hint="eastAsia" w:ascii="仿宋" w:hAnsi="仿宋" w:eastAsia="仿宋" w:cs="仿宋"/>
          <w:b/>
          <w:bCs/>
          <w:color w:val="000000" w:themeColor="text1"/>
          <w:highlight w:val="none"/>
          <w:lang w:val="en-US" w:eastAsia="zh-CN"/>
          <w14:textFill>
            <w14:solidFill>
              <w14:schemeClr w14:val="tx1"/>
            </w14:solidFill>
          </w14:textFill>
        </w:rPr>
        <w:t>五</w:t>
      </w:r>
      <w:r>
        <w:rPr>
          <w:rFonts w:hint="eastAsia" w:ascii="仿宋" w:hAnsi="仿宋" w:eastAsia="仿宋" w:cs="仿宋"/>
          <w:b/>
          <w:bCs/>
          <w:color w:val="000000" w:themeColor="text1"/>
          <w:highlight w:val="none"/>
          <w14:textFill>
            <w14:solidFill>
              <w14:schemeClr w14:val="tx1"/>
            </w14:solidFill>
          </w14:textFill>
        </w:rPr>
        <w:t>章   投标文件格式</w:t>
      </w:r>
      <w:bookmarkEnd w:id="360"/>
      <w:r>
        <w:rPr>
          <w:rFonts w:hint="eastAsia" w:ascii="仿宋" w:hAnsi="仿宋" w:eastAsia="仿宋" w:cs="仿宋"/>
          <w:b/>
          <w:bCs/>
          <w:color w:val="000000" w:themeColor="text1"/>
          <w:highlight w:val="none"/>
          <w14:textFill>
            <w14:solidFill>
              <w14:schemeClr w14:val="tx1"/>
            </w14:solidFill>
          </w14:textFill>
        </w:rPr>
        <w:t>及构成</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14:paraId="67178603">
      <w:pPr>
        <w:shd w:val="clear"/>
        <w:spacing w:line="360" w:lineRule="auto"/>
        <w:ind w:firstLine="3092" w:firstLineChars="1100"/>
        <w:outlineLvl w:val="1"/>
        <w:rPr>
          <w:rFonts w:hint="eastAsia" w:ascii="仿宋" w:hAnsi="仿宋" w:eastAsia="仿宋" w:cs="仿宋"/>
          <w:b/>
          <w:color w:val="000000" w:themeColor="text1"/>
          <w:szCs w:val="21"/>
          <w:highlight w:val="none"/>
          <w14:textFill>
            <w14:solidFill>
              <w14:schemeClr w14:val="tx1"/>
            </w14:solidFill>
          </w14:textFill>
        </w:rPr>
      </w:pPr>
      <w:bookmarkStart w:id="382" w:name="_Toc6778"/>
      <w:bookmarkStart w:id="383" w:name="_Toc6217"/>
      <w:r>
        <w:rPr>
          <w:rFonts w:hint="eastAsia" w:ascii="仿宋" w:hAnsi="仿宋" w:eastAsia="仿宋" w:cs="仿宋"/>
          <w:b/>
          <w:color w:val="000000" w:themeColor="text1"/>
          <w:sz w:val="28"/>
          <w:szCs w:val="28"/>
          <w:highlight w:val="none"/>
          <w14:textFill>
            <w14:solidFill>
              <w14:schemeClr w14:val="tx1"/>
            </w14:solidFill>
          </w14:textFill>
        </w:rPr>
        <w:t>投标文件编制说明</w:t>
      </w:r>
      <w:bookmarkEnd w:id="382"/>
      <w:bookmarkEnd w:id="383"/>
    </w:p>
    <w:p w14:paraId="09C47C97">
      <w:pPr>
        <w:numPr>
          <w:ilvl w:val="0"/>
          <w:numId w:val="11"/>
        </w:numPr>
        <w:shd w:val="clear"/>
        <w:autoSpaceDE w:val="0"/>
        <w:autoSpaceDN w:val="0"/>
        <w:adjustRightInd w:val="0"/>
        <w:spacing w:line="360" w:lineRule="auto"/>
        <w:ind w:firstLine="48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投标文件格式是投标人的部分投标文件格式，投标人应当严格按照这些格式编制投标文件。编制投标文件前，请详细阅读招标文件，理解文件中的每一项要求，做出逐一实质性响应，认为有必要，可做补充说明。</w:t>
      </w:r>
    </w:p>
    <w:p w14:paraId="31B07984">
      <w:pPr>
        <w:shd w:val="clear"/>
        <w:autoSpaceDE w:val="0"/>
        <w:autoSpaceDN w:val="0"/>
        <w:adjustRightIn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2、纸质投标文件均须A4纸打印（提倡双面打印），分别各自装订成册并编制目录和页码。</w:t>
      </w:r>
    </w:p>
    <w:p w14:paraId="428D9157">
      <w:pPr>
        <w:shd w:val="clear"/>
        <w:autoSpaceDE w:val="0"/>
        <w:autoSpaceDN w:val="0"/>
        <w:adjustRightInd w:val="0"/>
        <w:spacing w:line="360" w:lineRule="auto"/>
        <w:ind w:firstLine="480"/>
        <w:outlineLvl w:val="1"/>
        <w:rPr>
          <w:rFonts w:hint="eastAsia" w:ascii="仿宋" w:hAnsi="仿宋" w:eastAsia="仿宋" w:cs="仿宋"/>
          <w:b/>
          <w:bCs/>
          <w:color w:val="000000" w:themeColor="text1"/>
          <w:szCs w:val="21"/>
          <w:highlight w:val="none"/>
          <w:lang w:val="zh-CN"/>
          <w14:textFill>
            <w14:solidFill>
              <w14:schemeClr w14:val="tx1"/>
            </w14:solidFill>
          </w14:textFill>
        </w:rPr>
      </w:pPr>
      <w:bookmarkStart w:id="384" w:name="_Toc10884"/>
      <w:r>
        <w:rPr>
          <w:rFonts w:hint="eastAsia" w:ascii="仿宋" w:hAnsi="仿宋" w:eastAsia="仿宋" w:cs="仿宋"/>
          <w:color w:val="000000" w:themeColor="text1"/>
          <w:szCs w:val="21"/>
          <w:highlight w:val="none"/>
          <w14:textFill>
            <w14:solidFill>
              <w14:schemeClr w14:val="tx1"/>
            </w14:solidFill>
          </w14:textFill>
        </w:rPr>
        <w:t>3、投标文件中的法人授权书及相关声明承诺须为原件。</w:t>
      </w:r>
      <w:bookmarkEnd w:id="384"/>
    </w:p>
    <w:p w14:paraId="3A724703">
      <w:pPr>
        <w:pStyle w:val="150"/>
        <w:shd w:val="clear"/>
        <w:ind w:firstLine="643"/>
        <w:rPr>
          <w:rFonts w:hint="eastAsia" w:ascii="仿宋" w:hAnsi="仿宋" w:eastAsia="仿宋" w:cs="仿宋"/>
          <w:b/>
          <w:color w:val="000000" w:themeColor="text1"/>
          <w:sz w:val="32"/>
          <w:highlight w:val="none"/>
          <w14:textFill>
            <w14:solidFill>
              <w14:schemeClr w14:val="tx1"/>
            </w14:solidFill>
          </w14:textFill>
        </w:rPr>
      </w:pPr>
    </w:p>
    <w:p w14:paraId="2AA0D700">
      <w:pPr>
        <w:pStyle w:val="150"/>
        <w:shd w:val="clear"/>
        <w:ind w:firstLine="643"/>
        <w:rPr>
          <w:rFonts w:hint="eastAsia" w:ascii="仿宋" w:hAnsi="仿宋" w:eastAsia="仿宋" w:cs="仿宋"/>
          <w:b/>
          <w:color w:val="000000" w:themeColor="text1"/>
          <w:sz w:val="32"/>
          <w:highlight w:val="none"/>
          <w14:textFill>
            <w14:solidFill>
              <w14:schemeClr w14:val="tx1"/>
            </w14:solidFill>
          </w14:textFill>
        </w:rPr>
      </w:pPr>
    </w:p>
    <w:p w14:paraId="732325F2">
      <w:pPr>
        <w:pStyle w:val="150"/>
        <w:shd w:val="clear"/>
        <w:ind w:firstLine="643"/>
        <w:rPr>
          <w:rFonts w:hint="eastAsia" w:ascii="仿宋" w:hAnsi="仿宋" w:eastAsia="仿宋" w:cs="仿宋"/>
          <w:b/>
          <w:color w:val="000000" w:themeColor="text1"/>
          <w:sz w:val="32"/>
          <w:highlight w:val="none"/>
          <w14:textFill>
            <w14:solidFill>
              <w14:schemeClr w14:val="tx1"/>
            </w14:solidFill>
          </w14:textFill>
        </w:rPr>
      </w:pPr>
    </w:p>
    <w:p w14:paraId="3D3AE3DC">
      <w:pPr>
        <w:pStyle w:val="150"/>
        <w:shd w:val="clear"/>
        <w:ind w:firstLine="643"/>
        <w:rPr>
          <w:rFonts w:hint="eastAsia" w:ascii="仿宋" w:hAnsi="仿宋" w:eastAsia="仿宋" w:cs="仿宋"/>
          <w:b/>
          <w:color w:val="000000" w:themeColor="text1"/>
          <w:sz w:val="32"/>
          <w:highlight w:val="none"/>
          <w14:textFill>
            <w14:solidFill>
              <w14:schemeClr w14:val="tx1"/>
            </w14:solidFill>
          </w14:textFill>
        </w:rPr>
      </w:pPr>
    </w:p>
    <w:p w14:paraId="69E566CA">
      <w:pPr>
        <w:shd w:val="clear"/>
        <w:ind w:firstLine="281" w:firstLineChars="100"/>
        <w:jc w:val="left"/>
        <w:outlineLvl w:val="9"/>
        <w:rPr>
          <w:rFonts w:hint="eastAsia" w:ascii="仿宋" w:hAnsi="仿宋" w:eastAsia="仿宋" w:cs="仿宋"/>
          <w:b/>
          <w:color w:val="000000" w:themeColor="text1"/>
          <w:sz w:val="28"/>
          <w:szCs w:val="28"/>
          <w:highlight w:val="none"/>
          <w14:textFill>
            <w14:solidFill>
              <w14:schemeClr w14:val="tx1"/>
            </w14:solidFill>
          </w14:textFill>
        </w:rPr>
      </w:pPr>
      <w:bookmarkStart w:id="385" w:name="_Toc28277"/>
      <w:bookmarkStart w:id="386" w:name="_Toc24237_WPSOffice_Level1"/>
      <w:bookmarkStart w:id="387" w:name="_Toc28156"/>
      <w:bookmarkStart w:id="388" w:name="_Toc30817_WPSOffice_Level1"/>
      <w:bookmarkStart w:id="389" w:name="_Toc5230"/>
      <w:bookmarkStart w:id="390" w:name="_Toc15316"/>
      <w:bookmarkStart w:id="391" w:name="_Toc27567"/>
      <w:bookmarkStart w:id="392" w:name="_Toc29912"/>
      <w:bookmarkStart w:id="393" w:name="_Toc30921"/>
      <w:bookmarkStart w:id="394" w:name="_Toc2465"/>
      <w:bookmarkStart w:id="395" w:name="_Toc13880"/>
      <w:bookmarkStart w:id="396" w:name="_Toc5957"/>
      <w:bookmarkStart w:id="397" w:name="_Toc24126_WPSOffice_Level1"/>
      <w:bookmarkStart w:id="398" w:name="_Toc27208"/>
      <w:bookmarkStart w:id="399" w:name="_Toc568"/>
      <w:bookmarkStart w:id="400" w:name="_Toc17925"/>
    </w:p>
    <w:p w14:paraId="0090E228">
      <w:pPr>
        <w:pStyle w:val="21"/>
        <w:shd w:val="clear"/>
        <w:rPr>
          <w:rFonts w:hint="eastAsia" w:ascii="仿宋" w:hAnsi="仿宋" w:eastAsia="仿宋" w:cs="仿宋"/>
          <w:color w:val="000000" w:themeColor="text1"/>
          <w:highlight w:val="none"/>
          <w14:textFill>
            <w14:solidFill>
              <w14:schemeClr w14:val="tx1"/>
            </w14:solidFill>
          </w14:textFill>
        </w:rPr>
      </w:pPr>
    </w:p>
    <w:p w14:paraId="511880E0">
      <w:pPr>
        <w:shd w:val="clear"/>
        <w:ind w:firstLine="281" w:firstLineChars="100"/>
        <w:jc w:val="left"/>
        <w:outlineLvl w:val="9"/>
        <w:rPr>
          <w:rFonts w:hint="eastAsia" w:ascii="仿宋" w:hAnsi="仿宋" w:eastAsia="仿宋" w:cs="仿宋"/>
          <w:b/>
          <w:color w:val="000000" w:themeColor="text1"/>
          <w:sz w:val="28"/>
          <w:szCs w:val="28"/>
          <w:highlight w:val="none"/>
          <w14:textFill>
            <w14:solidFill>
              <w14:schemeClr w14:val="tx1"/>
            </w14:solidFill>
          </w14:textFill>
        </w:rPr>
      </w:pPr>
    </w:p>
    <w:p w14:paraId="6A0697AF">
      <w:pPr>
        <w:shd w:val="clear"/>
        <w:ind w:firstLine="281" w:firstLineChars="100"/>
        <w:jc w:val="left"/>
        <w:outlineLvl w:val="9"/>
        <w:rPr>
          <w:rFonts w:hint="eastAsia" w:ascii="仿宋" w:hAnsi="仿宋" w:eastAsia="仿宋" w:cs="仿宋"/>
          <w:b/>
          <w:color w:val="000000" w:themeColor="text1"/>
          <w:sz w:val="28"/>
          <w:szCs w:val="28"/>
          <w:highlight w:val="none"/>
          <w14:textFill>
            <w14:solidFill>
              <w14:schemeClr w14:val="tx1"/>
            </w14:solidFill>
          </w14:textFill>
        </w:rPr>
      </w:pPr>
    </w:p>
    <w:p w14:paraId="607BB64D">
      <w:pPr>
        <w:shd w:val="clear"/>
        <w:ind w:firstLine="281" w:firstLineChars="100"/>
        <w:jc w:val="left"/>
        <w:outlineLvl w:val="9"/>
        <w:rPr>
          <w:rFonts w:hint="eastAsia" w:ascii="仿宋" w:hAnsi="仿宋" w:eastAsia="仿宋" w:cs="仿宋"/>
          <w:b/>
          <w:color w:val="000000" w:themeColor="text1"/>
          <w:sz w:val="28"/>
          <w:szCs w:val="28"/>
          <w:highlight w:val="none"/>
          <w14:textFill>
            <w14:solidFill>
              <w14:schemeClr w14:val="tx1"/>
            </w14:solidFill>
          </w14:textFill>
        </w:rPr>
      </w:pPr>
    </w:p>
    <w:p w14:paraId="67CA4A10">
      <w:pPr>
        <w:shd w:val="clear"/>
        <w:ind w:firstLine="281" w:firstLineChars="100"/>
        <w:jc w:val="left"/>
        <w:outlineLvl w:val="9"/>
        <w:rPr>
          <w:rFonts w:hint="eastAsia" w:ascii="仿宋" w:hAnsi="仿宋" w:eastAsia="仿宋" w:cs="仿宋"/>
          <w:b/>
          <w:color w:val="000000" w:themeColor="text1"/>
          <w:sz w:val="28"/>
          <w:szCs w:val="28"/>
          <w:highlight w:val="none"/>
          <w14:textFill>
            <w14:solidFill>
              <w14:schemeClr w14:val="tx1"/>
            </w14:solidFill>
          </w14:textFill>
        </w:rPr>
      </w:pPr>
    </w:p>
    <w:p w14:paraId="63FE1830">
      <w:pPr>
        <w:shd w:val="clear"/>
        <w:ind w:firstLine="281" w:firstLineChars="100"/>
        <w:jc w:val="left"/>
        <w:outlineLvl w:val="9"/>
        <w:rPr>
          <w:rFonts w:hint="eastAsia" w:ascii="仿宋" w:hAnsi="仿宋" w:eastAsia="仿宋" w:cs="仿宋"/>
          <w:b/>
          <w:color w:val="000000" w:themeColor="text1"/>
          <w:sz w:val="28"/>
          <w:szCs w:val="28"/>
          <w:highlight w:val="none"/>
          <w14:textFill>
            <w14:solidFill>
              <w14:schemeClr w14:val="tx1"/>
            </w14:solidFill>
          </w14:textFill>
        </w:rPr>
      </w:pPr>
    </w:p>
    <w:p w14:paraId="1FD58F36">
      <w:pPr>
        <w:shd w:val="clear"/>
        <w:ind w:firstLine="281" w:firstLineChars="100"/>
        <w:jc w:val="left"/>
        <w:outlineLvl w:val="9"/>
        <w:rPr>
          <w:rFonts w:hint="eastAsia" w:ascii="仿宋" w:hAnsi="仿宋" w:eastAsia="仿宋" w:cs="仿宋"/>
          <w:b/>
          <w:color w:val="000000" w:themeColor="text1"/>
          <w:sz w:val="28"/>
          <w:szCs w:val="28"/>
          <w:highlight w:val="none"/>
          <w14:textFill>
            <w14:solidFill>
              <w14:schemeClr w14:val="tx1"/>
            </w14:solidFill>
          </w14:textFill>
        </w:rPr>
      </w:pPr>
    </w:p>
    <w:p w14:paraId="46E68B70">
      <w:pPr>
        <w:shd w:val="clear"/>
        <w:ind w:firstLine="281" w:firstLineChars="100"/>
        <w:jc w:val="left"/>
        <w:outlineLvl w:val="9"/>
        <w:rPr>
          <w:rFonts w:hint="eastAsia" w:ascii="仿宋" w:hAnsi="仿宋" w:eastAsia="仿宋" w:cs="仿宋"/>
          <w:b/>
          <w:color w:val="000000" w:themeColor="text1"/>
          <w:sz w:val="28"/>
          <w:szCs w:val="28"/>
          <w:highlight w:val="none"/>
          <w14:textFill>
            <w14:solidFill>
              <w14:schemeClr w14:val="tx1"/>
            </w14:solidFill>
          </w14:textFill>
        </w:rPr>
      </w:pPr>
    </w:p>
    <w:p w14:paraId="182F38C2">
      <w:pPr>
        <w:pStyle w:val="23"/>
        <w:shd w:val="clear"/>
        <w:ind w:left="1470" w:right="1470"/>
        <w:rPr>
          <w:rFonts w:hint="eastAsia" w:ascii="仿宋" w:hAnsi="仿宋" w:eastAsia="仿宋" w:cs="仿宋"/>
          <w:color w:val="000000" w:themeColor="text1"/>
          <w:highlight w:val="none"/>
          <w14:textFill>
            <w14:solidFill>
              <w14:schemeClr w14:val="tx1"/>
            </w14:solidFill>
          </w14:textFill>
        </w:rPr>
      </w:pPr>
    </w:p>
    <w:p w14:paraId="32CE363F">
      <w:pPr>
        <w:shd w:val="clear"/>
        <w:ind w:firstLine="281" w:firstLineChars="100"/>
        <w:jc w:val="left"/>
        <w:outlineLvl w:val="9"/>
        <w:rPr>
          <w:rFonts w:hint="eastAsia" w:ascii="仿宋" w:hAnsi="仿宋" w:eastAsia="仿宋" w:cs="仿宋"/>
          <w:b/>
          <w:color w:val="000000" w:themeColor="text1"/>
          <w:sz w:val="28"/>
          <w:szCs w:val="28"/>
          <w:highlight w:val="none"/>
          <w14:textFill>
            <w14:solidFill>
              <w14:schemeClr w14:val="tx1"/>
            </w14:solidFill>
          </w14:textFill>
        </w:rPr>
      </w:pPr>
    </w:p>
    <w:p w14:paraId="7D219066">
      <w:pPr>
        <w:shd w:val="clear"/>
        <w:jc w:val="left"/>
        <w:outlineLvl w:val="9"/>
        <w:rPr>
          <w:rFonts w:hint="eastAsia" w:ascii="仿宋" w:hAnsi="仿宋" w:eastAsia="仿宋" w:cs="仿宋"/>
          <w:b/>
          <w:color w:val="000000" w:themeColor="text1"/>
          <w:sz w:val="28"/>
          <w:szCs w:val="28"/>
          <w:highlight w:val="none"/>
          <w14:textFill>
            <w14:solidFill>
              <w14:schemeClr w14:val="tx1"/>
            </w14:solidFill>
          </w14:textFill>
        </w:rPr>
      </w:pPr>
    </w:p>
    <w:p w14:paraId="2C657BD9">
      <w:pPr>
        <w:shd w:val="clear"/>
        <w:jc w:val="left"/>
        <w:outlineLvl w:val="0"/>
        <w:rPr>
          <w:rFonts w:hint="eastAsia" w:ascii="仿宋" w:hAnsi="仿宋" w:eastAsia="仿宋" w:cs="仿宋"/>
          <w:color w:val="000000" w:themeColor="text1"/>
          <w:sz w:val="24"/>
          <w:highlight w:val="none"/>
          <w14:textFill>
            <w14:solidFill>
              <w14:schemeClr w14:val="tx1"/>
            </w14:solidFill>
          </w14:textFill>
        </w:rPr>
      </w:pPr>
      <w:bookmarkStart w:id="401" w:name="_Toc26332"/>
      <w:bookmarkStart w:id="402" w:name="_Toc29972"/>
      <w:r>
        <w:rPr>
          <w:rFonts w:hint="eastAsia" w:ascii="仿宋" w:hAnsi="仿宋" w:eastAsia="仿宋" w:cs="仿宋"/>
          <w:b/>
          <w:color w:val="000000" w:themeColor="text1"/>
          <w:sz w:val="28"/>
          <w:szCs w:val="28"/>
          <w:highlight w:val="none"/>
          <w:lang w:eastAsia="zh-CN"/>
          <w14:textFill>
            <w14:solidFill>
              <w14:schemeClr w14:val="tx1"/>
            </w14:solidFill>
          </w14:textFill>
        </w:rPr>
        <w:t>项目编号</w:t>
      </w:r>
      <w:r>
        <w:rPr>
          <w:rFonts w:hint="eastAsia" w:ascii="仿宋" w:hAnsi="仿宋" w:eastAsia="仿宋" w:cs="仿宋"/>
          <w:b/>
          <w:color w:val="000000" w:themeColor="text1"/>
          <w:sz w:val="28"/>
          <w:szCs w:val="28"/>
          <w:highlight w:val="none"/>
          <w14:textFill>
            <w14:solidFill>
              <w14:schemeClr w14:val="tx1"/>
            </w14:solidFill>
          </w14:textFill>
        </w:rPr>
        <w:t>：</w:t>
      </w:r>
      <w:r>
        <w:rPr>
          <w:rFonts w:hint="eastAsia" w:ascii="仿宋" w:hAnsi="仿宋" w:eastAsia="仿宋" w:cs="仿宋"/>
          <w:b/>
          <w:color w:val="000000" w:themeColor="text1"/>
          <w:sz w:val="28"/>
          <w:szCs w:val="28"/>
          <w:highlight w:val="none"/>
          <w:lang w:eastAsia="zh-CN"/>
          <w14:textFill>
            <w14:solidFill>
              <w14:schemeClr w14:val="tx1"/>
            </w14:solidFill>
          </w14:textFill>
        </w:rPr>
        <w:t>TZZB-HZ-2025109C</w:t>
      </w:r>
      <w:r>
        <w:rPr>
          <w:rFonts w:hint="eastAsia" w:ascii="仿宋" w:hAnsi="仿宋" w:eastAsia="仿宋" w:cs="仿宋"/>
          <w:b/>
          <w:color w:val="000000" w:themeColor="text1"/>
          <w:sz w:val="28"/>
          <w:szCs w:val="28"/>
          <w:highlight w:val="none"/>
          <w14:textFill>
            <w14:solidFill>
              <w14:schemeClr w14:val="tx1"/>
            </w14:solidFill>
          </w14:textFill>
        </w:rPr>
        <w:t>（正本或副本）</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1E580D43">
      <w:pPr>
        <w:shd w:val="clear"/>
        <w:rPr>
          <w:rFonts w:hint="eastAsia" w:ascii="仿宋" w:hAnsi="仿宋" w:eastAsia="仿宋" w:cs="仿宋"/>
          <w:b/>
          <w:color w:val="000000" w:themeColor="text1"/>
          <w:sz w:val="36"/>
          <w:szCs w:val="10"/>
          <w:highlight w:val="none"/>
          <w14:textFill>
            <w14:solidFill>
              <w14:schemeClr w14:val="tx1"/>
            </w14:solidFill>
          </w14:textFill>
        </w:rPr>
      </w:pPr>
    </w:p>
    <w:p w14:paraId="0D258C6C">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color w:val="000000" w:themeColor="text1"/>
          <w:sz w:val="48"/>
          <w:szCs w:val="15"/>
          <w:highlight w:val="none"/>
          <w:lang w:eastAsia="zh-CN"/>
          <w14:textFill>
            <w14:solidFill>
              <w14:schemeClr w14:val="tx1"/>
            </w14:solidFill>
          </w14:textFill>
        </w:rPr>
      </w:pPr>
      <w:bookmarkStart w:id="403" w:name="_Toc25183"/>
      <w:bookmarkStart w:id="404" w:name="_Toc18750"/>
      <w:bookmarkStart w:id="405" w:name="_Toc3120"/>
      <w:bookmarkStart w:id="406" w:name="_Toc23631"/>
      <w:bookmarkStart w:id="407" w:name="_Toc8889"/>
      <w:bookmarkStart w:id="408" w:name="_Toc8883"/>
      <w:bookmarkStart w:id="409" w:name="_Toc23447"/>
      <w:bookmarkStart w:id="410" w:name="_Toc7836"/>
      <w:bookmarkStart w:id="411" w:name="_Toc18819"/>
      <w:bookmarkStart w:id="412" w:name="_Toc27564"/>
      <w:bookmarkStart w:id="413" w:name="_Toc31903"/>
      <w:bookmarkStart w:id="414" w:name="_Toc21875"/>
      <w:r>
        <w:rPr>
          <w:rFonts w:hint="eastAsia" w:ascii="仿宋" w:hAnsi="仿宋" w:eastAsia="仿宋" w:cs="仿宋"/>
          <w:b/>
          <w:color w:val="000000" w:themeColor="text1"/>
          <w:sz w:val="48"/>
          <w:szCs w:val="15"/>
          <w:highlight w:val="none"/>
          <w:lang w:eastAsia="zh-CN"/>
          <w14:textFill>
            <w14:solidFill>
              <w14:schemeClr w14:val="tx1"/>
            </w14:solidFill>
          </w14:textFill>
        </w:rPr>
        <w:t xml:space="preserve"> </w:t>
      </w:r>
      <w:r>
        <w:rPr>
          <w:rFonts w:hint="eastAsia" w:ascii="仿宋" w:hAnsi="仿宋" w:eastAsia="仿宋" w:cs="仿宋"/>
          <w:b/>
          <w:color w:val="000000" w:themeColor="text1"/>
          <w:sz w:val="44"/>
          <w:szCs w:val="13"/>
          <w:highlight w:val="none"/>
          <w:lang w:eastAsia="zh-CN"/>
          <w14:textFill>
            <w14:solidFill>
              <w14:schemeClr w14:val="tx1"/>
            </w14:solidFill>
          </w14:textFill>
        </w:rPr>
        <w:t>汉中市南郑区人民医院肝胆泌尿外科等医疗设备采购项目（</w:t>
      </w:r>
      <w:r>
        <w:rPr>
          <w:rFonts w:hint="eastAsia" w:ascii="仿宋" w:hAnsi="仿宋" w:eastAsia="仿宋" w:cs="仿宋"/>
          <w:b/>
          <w:color w:val="000000" w:themeColor="text1"/>
          <w:sz w:val="44"/>
          <w:szCs w:val="13"/>
          <w:highlight w:val="none"/>
          <w:lang w:val="en-US" w:eastAsia="zh-CN"/>
          <w14:textFill>
            <w14:solidFill>
              <w14:schemeClr w14:val="tx1"/>
            </w14:solidFill>
          </w14:textFill>
        </w:rPr>
        <w:t>合同包</w:t>
      </w:r>
      <w:r>
        <w:rPr>
          <w:rFonts w:hint="eastAsia" w:ascii="仿宋" w:hAnsi="仿宋" w:eastAsia="仿宋" w:cs="仿宋"/>
          <w:b/>
          <w:color w:val="000000" w:themeColor="text1"/>
          <w:sz w:val="44"/>
          <w:szCs w:val="13"/>
          <w:highlight w:val="none"/>
          <w:u w:val="single"/>
          <w:lang w:val="en-US" w:eastAsia="zh-CN"/>
          <w14:textFill>
            <w14:solidFill>
              <w14:schemeClr w14:val="tx1"/>
            </w14:solidFill>
          </w14:textFill>
        </w:rPr>
        <w:t xml:space="preserve">   </w:t>
      </w:r>
      <w:r>
        <w:rPr>
          <w:rFonts w:hint="eastAsia" w:ascii="仿宋" w:hAnsi="仿宋" w:eastAsia="仿宋" w:cs="仿宋"/>
          <w:b/>
          <w:color w:val="000000" w:themeColor="text1"/>
          <w:sz w:val="44"/>
          <w:szCs w:val="13"/>
          <w:highlight w:val="none"/>
          <w:lang w:eastAsia="zh-CN"/>
          <w14:textFill>
            <w14:solidFill>
              <w14:schemeClr w14:val="tx1"/>
            </w14:solidFill>
          </w14:textFill>
        </w:rPr>
        <w:t>）</w:t>
      </w:r>
    </w:p>
    <w:p w14:paraId="572A46A0">
      <w:pPr>
        <w:pStyle w:val="57"/>
        <w:shd w:val="clear"/>
        <w:rPr>
          <w:rFonts w:hint="eastAsia" w:ascii="仿宋" w:hAnsi="仿宋" w:eastAsia="仿宋" w:cs="仿宋"/>
          <w:b/>
          <w:color w:val="000000" w:themeColor="text1"/>
          <w:sz w:val="36"/>
          <w:szCs w:val="10"/>
          <w:highlight w:val="none"/>
          <w14:textFill>
            <w14:solidFill>
              <w14:schemeClr w14:val="tx1"/>
            </w14:solidFill>
          </w14:textFill>
        </w:rPr>
      </w:pPr>
    </w:p>
    <w:p w14:paraId="57437494">
      <w:pPr>
        <w:pStyle w:val="57"/>
        <w:shd w:val="clear"/>
        <w:rPr>
          <w:rFonts w:hint="eastAsia" w:ascii="仿宋" w:hAnsi="仿宋" w:eastAsia="仿宋" w:cs="仿宋"/>
          <w:b/>
          <w:color w:val="000000" w:themeColor="text1"/>
          <w:sz w:val="36"/>
          <w:szCs w:val="10"/>
          <w:highlight w:val="none"/>
          <w14:textFill>
            <w14:solidFill>
              <w14:schemeClr w14:val="tx1"/>
            </w14:solidFill>
          </w14:textFill>
        </w:rPr>
      </w:pPr>
    </w:p>
    <w:p w14:paraId="0E4E5536">
      <w:pPr>
        <w:pStyle w:val="57"/>
        <w:shd w:val="clear"/>
        <w:rPr>
          <w:rFonts w:hint="eastAsia" w:ascii="仿宋" w:hAnsi="仿宋" w:eastAsia="仿宋" w:cs="仿宋"/>
          <w:b/>
          <w:color w:val="000000" w:themeColor="text1"/>
          <w:sz w:val="36"/>
          <w:szCs w:val="10"/>
          <w:highlight w:val="none"/>
          <w14:textFill>
            <w14:solidFill>
              <w14:schemeClr w14:val="tx1"/>
            </w14:solidFill>
          </w14:textFill>
        </w:rPr>
      </w:pPr>
    </w:p>
    <w:p w14:paraId="5296C075">
      <w:pPr>
        <w:pStyle w:val="57"/>
        <w:shd w:val="clear"/>
        <w:rPr>
          <w:rFonts w:hint="eastAsia" w:ascii="仿宋" w:hAnsi="仿宋" w:eastAsia="仿宋" w:cs="仿宋"/>
          <w:b/>
          <w:color w:val="000000" w:themeColor="text1"/>
          <w:sz w:val="36"/>
          <w:szCs w:val="10"/>
          <w:highlight w:val="none"/>
          <w14:textFill>
            <w14:solidFill>
              <w14:schemeClr w14:val="tx1"/>
            </w14:solidFill>
          </w14:textFill>
        </w:rPr>
      </w:pPr>
    </w:p>
    <w:p w14:paraId="530C8B68">
      <w:pPr>
        <w:pStyle w:val="57"/>
        <w:shd w:val="clear"/>
        <w:rPr>
          <w:rFonts w:hint="eastAsia" w:ascii="仿宋" w:hAnsi="仿宋" w:eastAsia="仿宋" w:cs="仿宋"/>
          <w:b/>
          <w:color w:val="000000" w:themeColor="text1"/>
          <w:sz w:val="36"/>
          <w:szCs w:val="10"/>
          <w:highlight w:val="none"/>
          <w14:textFill>
            <w14:solidFill>
              <w14:schemeClr w14:val="tx1"/>
            </w14:solidFill>
          </w14:textFill>
        </w:rPr>
      </w:pPr>
    </w:p>
    <w:p w14:paraId="50D3B91B">
      <w:pPr>
        <w:pStyle w:val="57"/>
        <w:shd w:val="clear"/>
        <w:rPr>
          <w:rFonts w:hint="eastAsia" w:ascii="仿宋" w:hAnsi="仿宋" w:eastAsia="仿宋" w:cs="仿宋"/>
          <w:b/>
          <w:color w:val="000000" w:themeColor="text1"/>
          <w:sz w:val="36"/>
          <w:szCs w:val="10"/>
          <w:highlight w:val="none"/>
          <w14:textFill>
            <w14:solidFill>
              <w14:schemeClr w14:val="tx1"/>
            </w14:solidFill>
          </w14:textFill>
        </w:rPr>
      </w:pPr>
    </w:p>
    <w:p w14:paraId="2CB9DAE8">
      <w:pPr>
        <w:pStyle w:val="57"/>
        <w:shd w:val="clear"/>
        <w:rPr>
          <w:rFonts w:hint="eastAsia" w:ascii="仿宋" w:hAnsi="仿宋" w:eastAsia="仿宋" w:cs="仿宋"/>
          <w:b/>
          <w:color w:val="000000" w:themeColor="text1"/>
          <w:sz w:val="36"/>
          <w:szCs w:val="10"/>
          <w:highlight w:val="none"/>
          <w14:textFill>
            <w14:solidFill>
              <w14:schemeClr w14:val="tx1"/>
            </w14:solidFill>
          </w14:textFill>
        </w:rPr>
      </w:pPr>
    </w:p>
    <w:p w14:paraId="45087F20">
      <w:pPr>
        <w:pStyle w:val="57"/>
        <w:shd w:val="clear"/>
        <w:rPr>
          <w:rFonts w:hint="eastAsia" w:ascii="仿宋" w:hAnsi="仿宋" w:eastAsia="仿宋" w:cs="仿宋"/>
          <w:b/>
          <w:color w:val="000000" w:themeColor="text1"/>
          <w:sz w:val="36"/>
          <w:szCs w:val="10"/>
          <w:highlight w:val="none"/>
          <w14:textFill>
            <w14:solidFill>
              <w14:schemeClr w14:val="tx1"/>
            </w14:solidFill>
          </w14:textFill>
        </w:rPr>
      </w:pPr>
    </w:p>
    <w:p w14:paraId="1F649D28">
      <w:pPr>
        <w:shd w:val="clear"/>
        <w:jc w:val="center"/>
        <w:outlineLvl w:val="0"/>
        <w:rPr>
          <w:rFonts w:hint="eastAsia" w:ascii="仿宋" w:hAnsi="仿宋" w:eastAsia="仿宋" w:cs="仿宋"/>
          <w:b/>
          <w:color w:val="000000" w:themeColor="text1"/>
          <w:sz w:val="48"/>
          <w:szCs w:val="15"/>
          <w:highlight w:val="none"/>
          <w14:textFill>
            <w14:solidFill>
              <w14:schemeClr w14:val="tx1"/>
            </w14:solidFill>
          </w14:textFill>
        </w:rPr>
      </w:pPr>
      <w:bookmarkStart w:id="415" w:name="_Toc10746"/>
      <w:bookmarkStart w:id="416" w:name="_Toc16481"/>
      <w:r>
        <w:rPr>
          <w:rFonts w:hint="eastAsia" w:ascii="仿宋" w:hAnsi="仿宋" w:eastAsia="仿宋" w:cs="仿宋"/>
          <w:b/>
          <w:color w:val="000000" w:themeColor="text1"/>
          <w:sz w:val="48"/>
          <w:szCs w:val="15"/>
          <w:highlight w:val="none"/>
          <w14:textFill>
            <w14:solidFill>
              <w14:schemeClr w14:val="tx1"/>
            </w14:solidFill>
          </w14:textFill>
        </w:rPr>
        <w:t>投 标 文 件</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31E06EE8">
      <w:pPr>
        <w:shd w:val="clear"/>
        <w:tabs>
          <w:tab w:val="left" w:pos="2520"/>
        </w:tabs>
        <w:ind w:firstLine="211"/>
        <w:rPr>
          <w:rFonts w:hint="eastAsia" w:ascii="仿宋" w:hAnsi="仿宋" w:eastAsia="仿宋" w:cs="仿宋"/>
          <w:color w:val="000000" w:themeColor="text1"/>
          <w:sz w:val="40"/>
          <w:szCs w:val="40"/>
          <w:highlight w:val="none"/>
          <w14:textFill>
            <w14:solidFill>
              <w14:schemeClr w14:val="tx1"/>
            </w14:solidFill>
          </w14:textFill>
        </w:rPr>
      </w:pPr>
    </w:p>
    <w:p w14:paraId="2B2527CE">
      <w:pPr>
        <w:shd w:val="clear"/>
        <w:ind w:firstLine="211"/>
        <w:jc w:val="center"/>
        <w:rPr>
          <w:rFonts w:hint="eastAsia" w:ascii="仿宋" w:hAnsi="仿宋" w:eastAsia="仿宋" w:cs="仿宋"/>
          <w:color w:val="000000" w:themeColor="text1"/>
          <w:sz w:val="24"/>
          <w:highlight w:val="none"/>
          <w14:textFill>
            <w14:solidFill>
              <w14:schemeClr w14:val="tx1"/>
            </w14:solidFill>
          </w14:textFill>
        </w:rPr>
      </w:pPr>
    </w:p>
    <w:p w14:paraId="2C6CD69E">
      <w:pPr>
        <w:shd w:val="clear"/>
        <w:ind w:firstLine="211"/>
        <w:jc w:val="center"/>
        <w:rPr>
          <w:rFonts w:hint="eastAsia" w:ascii="仿宋" w:hAnsi="仿宋" w:eastAsia="仿宋" w:cs="仿宋"/>
          <w:color w:val="000000" w:themeColor="text1"/>
          <w:sz w:val="24"/>
          <w:highlight w:val="none"/>
          <w14:textFill>
            <w14:solidFill>
              <w14:schemeClr w14:val="tx1"/>
            </w14:solidFill>
          </w14:textFill>
        </w:rPr>
      </w:pPr>
    </w:p>
    <w:p w14:paraId="0D88A79E">
      <w:pPr>
        <w:shd w:val="clear"/>
        <w:ind w:firstLine="211"/>
        <w:jc w:val="center"/>
        <w:rPr>
          <w:rFonts w:hint="eastAsia" w:ascii="仿宋" w:hAnsi="仿宋" w:eastAsia="仿宋" w:cs="仿宋"/>
          <w:color w:val="000000" w:themeColor="text1"/>
          <w:sz w:val="24"/>
          <w:highlight w:val="none"/>
          <w14:textFill>
            <w14:solidFill>
              <w14:schemeClr w14:val="tx1"/>
            </w14:solidFill>
          </w14:textFill>
        </w:rPr>
      </w:pPr>
    </w:p>
    <w:p w14:paraId="47767D9E">
      <w:pPr>
        <w:pStyle w:val="57"/>
        <w:shd w:val="clear"/>
        <w:rPr>
          <w:rFonts w:hint="eastAsia" w:ascii="仿宋" w:hAnsi="仿宋" w:eastAsia="仿宋" w:cs="仿宋"/>
          <w:color w:val="000000" w:themeColor="text1"/>
          <w:highlight w:val="none"/>
          <w14:textFill>
            <w14:solidFill>
              <w14:schemeClr w14:val="tx1"/>
            </w14:solidFill>
          </w14:textFill>
        </w:rPr>
      </w:pPr>
    </w:p>
    <w:p w14:paraId="4223B125">
      <w:pPr>
        <w:pStyle w:val="57"/>
        <w:shd w:val="clear"/>
        <w:rPr>
          <w:rFonts w:hint="eastAsia" w:ascii="仿宋" w:hAnsi="仿宋" w:eastAsia="仿宋" w:cs="仿宋"/>
          <w:color w:val="000000" w:themeColor="text1"/>
          <w:highlight w:val="none"/>
          <w14:textFill>
            <w14:solidFill>
              <w14:schemeClr w14:val="tx1"/>
            </w14:solidFill>
          </w14:textFill>
        </w:rPr>
      </w:pPr>
    </w:p>
    <w:p w14:paraId="003851EE">
      <w:pPr>
        <w:pStyle w:val="57"/>
        <w:shd w:val="clear"/>
        <w:ind w:left="0" w:leftChars="0" w:firstLine="0" w:firstLineChars="0"/>
        <w:rPr>
          <w:rFonts w:hint="eastAsia" w:ascii="仿宋" w:hAnsi="仿宋" w:eastAsia="仿宋" w:cs="仿宋"/>
          <w:color w:val="000000" w:themeColor="text1"/>
          <w:highlight w:val="none"/>
          <w14:textFill>
            <w14:solidFill>
              <w14:schemeClr w14:val="tx1"/>
            </w14:solidFill>
          </w14:textFill>
        </w:rPr>
      </w:pPr>
    </w:p>
    <w:p w14:paraId="0388E6DA">
      <w:pPr>
        <w:pStyle w:val="57"/>
        <w:shd w:val="clear"/>
        <w:rPr>
          <w:rFonts w:hint="eastAsia" w:ascii="仿宋" w:hAnsi="仿宋" w:eastAsia="仿宋" w:cs="仿宋"/>
          <w:color w:val="000000" w:themeColor="text1"/>
          <w:highlight w:val="none"/>
          <w14:textFill>
            <w14:solidFill>
              <w14:schemeClr w14:val="tx1"/>
            </w14:solidFill>
          </w14:textFill>
        </w:rPr>
      </w:pPr>
    </w:p>
    <w:p w14:paraId="4EC74F8C">
      <w:pPr>
        <w:shd w:val="clear"/>
        <w:spacing w:line="480" w:lineRule="auto"/>
        <w:ind w:firstLine="281" w:firstLineChars="100"/>
        <w:outlineLvl w:val="0"/>
        <w:rPr>
          <w:rFonts w:hint="eastAsia" w:ascii="仿宋" w:hAnsi="仿宋" w:eastAsia="仿宋" w:cs="仿宋"/>
          <w:b/>
          <w:color w:val="000000" w:themeColor="text1"/>
          <w:sz w:val="28"/>
          <w:szCs w:val="18"/>
          <w:highlight w:val="none"/>
          <w14:textFill>
            <w14:solidFill>
              <w14:schemeClr w14:val="tx1"/>
            </w14:solidFill>
          </w14:textFill>
        </w:rPr>
      </w:pPr>
      <w:bookmarkStart w:id="417" w:name="_Toc8670"/>
      <w:bookmarkStart w:id="418" w:name="_Toc8896"/>
      <w:bookmarkStart w:id="419" w:name="_Toc20098"/>
      <w:bookmarkStart w:id="420" w:name="_Toc9137"/>
      <w:bookmarkStart w:id="421" w:name="_Toc345"/>
      <w:bookmarkStart w:id="422" w:name="_Toc6562"/>
      <w:bookmarkStart w:id="423" w:name="_Toc28749"/>
      <w:bookmarkStart w:id="424" w:name="_Toc20301"/>
      <w:bookmarkStart w:id="425" w:name="_Toc20665"/>
      <w:bookmarkStart w:id="426" w:name="_Toc22745"/>
      <w:bookmarkStart w:id="427" w:name="_Toc5928"/>
      <w:bookmarkStart w:id="428" w:name="_Toc22634"/>
      <w:bookmarkStart w:id="429" w:name="_Toc8379"/>
      <w:bookmarkStart w:id="430" w:name="_Toc5217"/>
      <w:r>
        <w:rPr>
          <w:rFonts w:hint="eastAsia" w:ascii="仿宋" w:hAnsi="仿宋" w:eastAsia="仿宋" w:cs="仿宋"/>
          <w:b/>
          <w:color w:val="000000" w:themeColor="text1"/>
          <w:sz w:val="28"/>
          <w:szCs w:val="18"/>
          <w:highlight w:val="none"/>
          <w14:textFill>
            <w14:solidFill>
              <w14:schemeClr w14:val="tx1"/>
            </w14:solidFill>
          </w14:textFill>
        </w:rPr>
        <w:t>投</w:t>
      </w:r>
      <w:r>
        <w:rPr>
          <w:rFonts w:hint="eastAsia" w:ascii="仿宋" w:hAnsi="仿宋" w:eastAsia="仿宋" w:cs="仿宋"/>
          <w:b/>
          <w:color w:val="000000" w:themeColor="text1"/>
          <w:sz w:val="28"/>
          <w:szCs w:val="18"/>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28"/>
          <w:szCs w:val="18"/>
          <w:highlight w:val="none"/>
          <w14:textFill>
            <w14:solidFill>
              <w14:schemeClr w14:val="tx1"/>
            </w14:solidFill>
          </w14:textFill>
        </w:rPr>
        <w:t xml:space="preserve"> 标 </w:t>
      </w:r>
      <w:r>
        <w:rPr>
          <w:rFonts w:hint="eastAsia" w:ascii="仿宋" w:hAnsi="仿宋" w:eastAsia="仿宋" w:cs="仿宋"/>
          <w:b/>
          <w:color w:val="000000" w:themeColor="text1"/>
          <w:sz w:val="28"/>
          <w:szCs w:val="18"/>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28"/>
          <w:szCs w:val="18"/>
          <w:highlight w:val="none"/>
          <w14:textFill>
            <w14:solidFill>
              <w14:schemeClr w14:val="tx1"/>
            </w14:solidFill>
          </w14:textFill>
        </w:rPr>
        <w:t>人：</w:t>
      </w:r>
      <w:r>
        <w:rPr>
          <w:rFonts w:hint="eastAsia" w:ascii="仿宋" w:hAnsi="仿宋" w:eastAsia="仿宋" w:cs="仿宋"/>
          <w:b/>
          <w:color w:val="000000" w:themeColor="text1"/>
          <w:sz w:val="28"/>
          <w:szCs w:val="18"/>
          <w:highlight w:val="none"/>
          <w:u w:val="single"/>
          <w14:textFill>
            <w14:solidFill>
              <w14:schemeClr w14:val="tx1"/>
            </w14:solidFill>
          </w14:textFill>
        </w:rPr>
        <w:t xml:space="preserve">          </w:t>
      </w:r>
      <w:r>
        <w:rPr>
          <w:rFonts w:hint="eastAsia" w:ascii="仿宋" w:hAnsi="仿宋" w:eastAsia="仿宋" w:cs="仿宋"/>
          <w:b/>
          <w:color w:val="000000" w:themeColor="text1"/>
          <w:sz w:val="28"/>
          <w:szCs w:val="21"/>
          <w:highlight w:val="none"/>
          <w:u w:val="single"/>
          <w14:textFill>
            <w14:solidFill>
              <w14:schemeClr w14:val="tx1"/>
            </w14:solidFill>
          </w14:textFill>
        </w:rPr>
        <w:t xml:space="preserve">            （公章）</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4B99C16A">
      <w:pPr>
        <w:pStyle w:val="57"/>
        <w:shd w:val="clear"/>
        <w:spacing w:line="480" w:lineRule="auto"/>
        <w:ind w:firstLine="281" w:firstLineChars="100"/>
        <w:outlineLvl w:val="9"/>
        <w:rPr>
          <w:rFonts w:hint="eastAsia" w:ascii="仿宋" w:hAnsi="仿宋" w:eastAsia="仿宋" w:cs="仿宋"/>
          <w:b/>
          <w:color w:val="000000" w:themeColor="text1"/>
          <w:kern w:val="2"/>
          <w:sz w:val="28"/>
          <w:szCs w:val="21"/>
          <w:highlight w:val="none"/>
          <w14:textFill>
            <w14:solidFill>
              <w14:schemeClr w14:val="tx1"/>
            </w14:solidFill>
          </w14:textFill>
        </w:rPr>
      </w:pPr>
      <w:bookmarkStart w:id="431" w:name="_Toc16444"/>
      <w:bookmarkStart w:id="432" w:name="_Toc27648"/>
      <w:bookmarkStart w:id="433" w:name="_Toc6819"/>
      <w:bookmarkStart w:id="434" w:name="_Toc21282"/>
      <w:bookmarkStart w:id="435" w:name="_Toc23371"/>
      <w:bookmarkStart w:id="436" w:name="_Toc11921"/>
      <w:bookmarkStart w:id="437" w:name="_Toc14313"/>
      <w:bookmarkStart w:id="438" w:name="_Toc14125"/>
      <w:bookmarkStart w:id="439" w:name="_Toc16111"/>
      <w:bookmarkStart w:id="440" w:name="_Toc9466"/>
      <w:bookmarkStart w:id="441" w:name="_Toc1223"/>
      <w:bookmarkStart w:id="442" w:name="_Toc20062"/>
    </w:p>
    <w:p w14:paraId="3E1FC594">
      <w:pPr>
        <w:pStyle w:val="57"/>
        <w:shd w:val="clear"/>
        <w:spacing w:line="480" w:lineRule="auto"/>
        <w:ind w:firstLine="281" w:firstLineChars="100"/>
        <w:outlineLvl w:val="0"/>
        <w:rPr>
          <w:rFonts w:hint="eastAsia" w:ascii="仿宋" w:hAnsi="仿宋" w:eastAsia="仿宋" w:cs="仿宋"/>
          <w:b/>
          <w:color w:val="000000" w:themeColor="text1"/>
          <w:kern w:val="2"/>
          <w:sz w:val="28"/>
          <w:szCs w:val="21"/>
          <w:highlight w:val="none"/>
          <w:u w:val="single"/>
          <w14:textFill>
            <w14:solidFill>
              <w14:schemeClr w14:val="tx1"/>
            </w14:solidFill>
          </w14:textFill>
        </w:rPr>
      </w:pPr>
      <w:bookmarkStart w:id="443" w:name="_Toc24261"/>
      <w:bookmarkStart w:id="444" w:name="_Toc22811"/>
      <w:r>
        <w:rPr>
          <w:rFonts w:hint="eastAsia" w:ascii="仿宋" w:hAnsi="仿宋" w:eastAsia="仿宋" w:cs="仿宋"/>
          <w:b/>
          <w:color w:val="000000" w:themeColor="text1"/>
          <w:kern w:val="2"/>
          <w:sz w:val="28"/>
          <w:szCs w:val="21"/>
          <w:highlight w:val="none"/>
          <w:lang w:eastAsia="zh-CN"/>
          <w14:textFill>
            <w14:solidFill>
              <w14:schemeClr w14:val="tx1"/>
            </w14:solidFill>
          </w14:textFill>
        </w:rPr>
        <w:t>法定代表人或授权代表</w:t>
      </w:r>
      <w:r>
        <w:rPr>
          <w:rFonts w:hint="eastAsia" w:ascii="仿宋" w:hAnsi="仿宋" w:eastAsia="仿宋" w:cs="仿宋"/>
          <w:b/>
          <w:color w:val="000000" w:themeColor="text1"/>
          <w:kern w:val="2"/>
          <w:sz w:val="28"/>
          <w:szCs w:val="21"/>
          <w:highlight w:val="none"/>
          <w14:textFill>
            <w14:solidFill>
              <w14:schemeClr w14:val="tx1"/>
            </w14:solidFill>
          </w14:textFill>
        </w:rPr>
        <w:t>：</w:t>
      </w:r>
      <w:r>
        <w:rPr>
          <w:rFonts w:hint="eastAsia" w:ascii="仿宋" w:hAnsi="仿宋" w:eastAsia="仿宋" w:cs="仿宋"/>
          <w:b/>
          <w:color w:val="000000" w:themeColor="text1"/>
          <w:kern w:val="2"/>
          <w:sz w:val="28"/>
          <w:szCs w:val="21"/>
          <w:highlight w:val="none"/>
          <w:u w:val="single"/>
          <w14:textFill>
            <w14:solidFill>
              <w14:schemeClr w14:val="tx1"/>
            </w14:solidFill>
          </w14:textFill>
        </w:rPr>
        <w:t xml:space="preserve">    </w:t>
      </w:r>
      <w:r>
        <w:rPr>
          <w:rFonts w:hint="eastAsia" w:ascii="仿宋" w:hAnsi="仿宋" w:eastAsia="仿宋" w:cs="仿宋"/>
          <w:b/>
          <w:color w:val="000000" w:themeColor="text1"/>
          <w:kern w:val="2"/>
          <w:sz w:val="28"/>
          <w:szCs w:val="21"/>
          <w:highlight w:val="none"/>
          <w:u w:val="single"/>
          <w:lang w:val="en-US" w:eastAsia="zh-CN"/>
          <w14:textFill>
            <w14:solidFill>
              <w14:schemeClr w14:val="tx1"/>
            </w14:solidFill>
          </w14:textFill>
        </w:rPr>
        <w:t xml:space="preserve">           </w:t>
      </w:r>
      <w:r>
        <w:rPr>
          <w:rFonts w:hint="eastAsia" w:ascii="仿宋" w:hAnsi="仿宋" w:eastAsia="仿宋" w:cs="仿宋"/>
          <w:b/>
          <w:color w:val="000000" w:themeColor="text1"/>
          <w:kern w:val="2"/>
          <w:sz w:val="28"/>
          <w:szCs w:val="21"/>
          <w:highlight w:val="none"/>
          <w:u w:val="single"/>
          <w14:textFill>
            <w14:solidFill>
              <w14:schemeClr w14:val="tx1"/>
            </w14:solidFill>
          </w14:textFill>
        </w:rPr>
        <w:t xml:space="preserve"> （签字）</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3DE7EA15">
      <w:pPr>
        <w:shd w:val="clear"/>
        <w:spacing w:line="480" w:lineRule="auto"/>
        <w:ind w:firstLine="1968" w:firstLineChars="700"/>
        <w:outlineLvl w:val="9"/>
        <w:rPr>
          <w:rFonts w:hint="eastAsia" w:ascii="仿宋" w:hAnsi="仿宋" w:eastAsia="仿宋" w:cs="仿宋"/>
          <w:b/>
          <w:color w:val="000000" w:themeColor="text1"/>
          <w:sz w:val="28"/>
          <w:szCs w:val="18"/>
          <w:highlight w:val="none"/>
          <w14:textFill>
            <w14:solidFill>
              <w14:schemeClr w14:val="tx1"/>
            </w14:solidFill>
          </w14:textFill>
        </w:rPr>
      </w:pPr>
      <w:bookmarkStart w:id="445" w:name="_Toc6135"/>
      <w:bookmarkStart w:id="446" w:name="_Toc32195"/>
      <w:bookmarkStart w:id="447" w:name="_Toc805"/>
      <w:bookmarkStart w:id="448" w:name="_Toc31173"/>
      <w:bookmarkStart w:id="449" w:name="_Toc4493"/>
      <w:bookmarkStart w:id="450" w:name="_Toc17633"/>
      <w:bookmarkStart w:id="451" w:name="_Toc12642"/>
      <w:bookmarkStart w:id="452" w:name="_Toc27525"/>
      <w:bookmarkStart w:id="453" w:name="_Toc26886"/>
      <w:bookmarkStart w:id="454" w:name="_Toc542"/>
      <w:bookmarkStart w:id="455" w:name="_Toc15860"/>
      <w:bookmarkStart w:id="456" w:name="_Toc4051"/>
    </w:p>
    <w:p w14:paraId="02879D99">
      <w:pPr>
        <w:shd w:val="clear"/>
        <w:spacing w:line="480" w:lineRule="auto"/>
        <w:ind w:firstLine="1687" w:firstLineChars="600"/>
        <w:outlineLvl w:val="0"/>
        <w:rPr>
          <w:rFonts w:hint="eastAsia" w:ascii="仿宋" w:hAnsi="仿宋" w:eastAsia="仿宋" w:cs="仿宋"/>
          <w:b/>
          <w:color w:val="000000" w:themeColor="text1"/>
          <w:sz w:val="28"/>
          <w:szCs w:val="18"/>
          <w:highlight w:val="none"/>
          <w14:textFill>
            <w14:solidFill>
              <w14:schemeClr w14:val="tx1"/>
            </w14:solidFill>
          </w14:textFill>
        </w:rPr>
      </w:pPr>
      <w:bookmarkStart w:id="457" w:name="_Toc17689"/>
      <w:bookmarkStart w:id="458" w:name="_Toc18652"/>
      <w:r>
        <w:rPr>
          <w:rFonts w:hint="eastAsia" w:ascii="仿宋" w:hAnsi="仿宋" w:eastAsia="仿宋" w:cs="仿宋"/>
          <w:b/>
          <w:color w:val="000000" w:themeColor="text1"/>
          <w:sz w:val="28"/>
          <w:szCs w:val="18"/>
          <w:highlight w:val="none"/>
          <w14:textFill>
            <w14:solidFill>
              <w14:schemeClr w14:val="tx1"/>
            </w14:solidFill>
          </w14:textFill>
        </w:rPr>
        <w:t>日    期：     年  月  日</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0BFCFC60">
      <w:pPr>
        <w:shd w:val="clear"/>
        <w:spacing w:line="360" w:lineRule="auto"/>
        <w:ind w:firstLine="1968" w:firstLineChars="700"/>
        <w:outlineLvl w:val="9"/>
        <w:rPr>
          <w:rFonts w:hint="eastAsia" w:ascii="仿宋" w:hAnsi="仿宋" w:eastAsia="仿宋" w:cs="仿宋"/>
          <w:b/>
          <w:color w:val="000000" w:themeColor="text1"/>
          <w:sz w:val="28"/>
          <w:szCs w:val="28"/>
          <w:highlight w:val="none"/>
          <w14:textFill>
            <w14:solidFill>
              <w14:schemeClr w14:val="tx1"/>
            </w14:solidFill>
          </w14:textFill>
        </w:rPr>
      </w:pPr>
      <w:bookmarkStart w:id="459" w:name="_Toc9357_WPSOffice_Level1"/>
      <w:bookmarkStart w:id="460" w:name="_Toc5232_WPSOffice_Level1"/>
      <w:bookmarkStart w:id="461" w:name="_Toc9368"/>
      <w:bookmarkStart w:id="462" w:name="_Toc30891"/>
      <w:bookmarkStart w:id="463" w:name="_Toc25291_WPSOffice_Level1"/>
      <w:bookmarkStart w:id="464" w:name="_Toc24422"/>
      <w:bookmarkStart w:id="465" w:name="_Toc14374"/>
      <w:bookmarkStart w:id="466" w:name="_Toc26731"/>
      <w:bookmarkStart w:id="467" w:name="_Toc30338"/>
      <w:bookmarkStart w:id="468" w:name="_Toc1074"/>
      <w:bookmarkStart w:id="469" w:name="_Toc18210"/>
      <w:bookmarkStart w:id="470" w:name="_Toc24840"/>
      <w:bookmarkStart w:id="471" w:name="_Toc20723"/>
      <w:bookmarkStart w:id="472" w:name="_Toc15258"/>
    </w:p>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14:paraId="16E0EE42">
      <w:pPr>
        <w:pStyle w:val="41"/>
        <w:shd w:val="clear"/>
        <w:spacing w:after="0" w:line="480" w:lineRule="auto"/>
        <w:ind w:firstLine="321"/>
        <w:jc w:val="both"/>
        <w:outlineLvl w:val="9"/>
        <w:rPr>
          <w:rFonts w:hint="eastAsia" w:ascii="仿宋" w:hAnsi="仿宋" w:eastAsia="仿宋" w:cs="仿宋"/>
          <w:b/>
          <w:color w:val="000000" w:themeColor="text1"/>
          <w:sz w:val="32"/>
          <w:szCs w:val="32"/>
          <w:highlight w:val="none"/>
          <w14:textFill>
            <w14:solidFill>
              <w14:schemeClr w14:val="tx1"/>
            </w14:solidFill>
          </w14:textFill>
        </w:rPr>
      </w:pPr>
      <w:bookmarkStart w:id="473" w:name="_Toc5206_WPSOffice_Level1"/>
      <w:bookmarkEnd w:id="473"/>
      <w:bookmarkStart w:id="474" w:name="_Toc5604"/>
      <w:bookmarkEnd w:id="474"/>
      <w:bookmarkStart w:id="475" w:name="_Toc10461_WPSOffice_Level1"/>
      <w:bookmarkEnd w:id="475"/>
      <w:bookmarkStart w:id="476" w:name="_Toc13984_WPSOffice_Level1"/>
      <w:bookmarkEnd w:id="476"/>
      <w:bookmarkStart w:id="477" w:name="_Toc8980"/>
      <w:bookmarkEnd w:id="477"/>
      <w:bookmarkStart w:id="478" w:name="_Toc28704"/>
      <w:bookmarkEnd w:id="478"/>
      <w:bookmarkStart w:id="479" w:name="_Toc2275"/>
      <w:bookmarkEnd w:id="479"/>
      <w:bookmarkStart w:id="480" w:name="_Toc23210"/>
      <w:bookmarkEnd w:id="480"/>
      <w:bookmarkStart w:id="481" w:name="_Toc32417"/>
      <w:bookmarkEnd w:id="481"/>
      <w:bookmarkStart w:id="482" w:name="_Toc13104"/>
      <w:bookmarkEnd w:id="482"/>
      <w:bookmarkStart w:id="483" w:name="_Toc4824"/>
      <w:bookmarkEnd w:id="483"/>
      <w:bookmarkStart w:id="484" w:name="_Toc18085"/>
      <w:bookmarkEnd w:id="484"/>
      <w:bookmarkStart w:id="485" w:name="_Toc9386"/>
      <w:bookmarkEnd w:id="485"/>
      <w:bookmarkStart w:id="486" w:name="_Toc11228"/>
      <w:bookmarkEnd w:id="486"/>
    </w:p>
    <w:p w14:paraId="7B5FA271">
      <w:pPr>
        <w:pStyle w:val="41"/>
        <w:shd w:val="clear"/>
        <w:spacing w:after="0" w:line="480" w:lineRule="auto"/>
        <w:ind w:left="0" w:leftChars="0" w:firstLine="0" w:firstLineChars="0"/>
        <w:jc w:val="center"/>
        <w:outlineLvl w:val="0"/>
        <w:rPr>
          <w:rFonts w:hint="eastAsia" w:ascii="仿宋" w:hAnsi="仿宋" w:eastAsia="仿宋" w:cs="仿宋"/>
          <w:b/>
          <w:color w:val="000000" w:themeColor="text1"/>
          <w:sz w:val="36"/>
          <w:szCs w:val="36"/>
          <w:highlight w:val="none"/>
          <w14:textFill>
            <w14:solidFill>
              <w14:schemeClr w14:val="tx1"/>
            </w14:solidFill>
          </w14:textFill>
        </w:rPr>
      </w:pPr>
      <w:bookmarkStart w:id="487" w:name="_Toc23238"/>
      <w:bookmarkStart w:id="488" w:name="_Toc32635"/>
    </w:p>
    <w:p w14:paraId="2A6A3640">
      <w:pPr>
        <w:pStyle w:val="41"/>
        <w:shd w:val="clear"/>
        <w:spacing w:after="0" w:line="480" w:lineRule="auto"/>
        <w:ind w:left="0" w:leftChars="0" w:firstLine="0" w:firstLineChars="0"/>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目  录</w:t>
      </w:r>
      <w:bookmarkEnd w:id="487"/>
      <w:bookmarkEnd w:id="488"/>
    </w:p>
    <w:p w14:paraId="7B003F76">
      <w:pPr>
        <w:pStyle w:val="41"/>
        <w:shd w:val="clear"/>
        <w:spacing w:after="0" w:line="360" w:lineRule="auto"/>
        <w:ind w:firstLine="210"/>
        <w:jc w:val="both"/>
        <w:outlineLvl w:val="9"/>
        <w:rPr>
          <w:rFonts w:hint="eastAsia" w:ascii="仿宋" w:hAnsi="仿宋" w:eastAsia="仿宋" w:cs="仿宋"/>
          <w:bCs/>
          <w:color w:val="000000" w:themeColor="text1"/>
          <w:sz w:val="21"/>
          <w:szCs w:val="21"/>
          <w:highlight w:val="none"/>
          <w14:textFill>
            <w14:solidFill>
              <w14:schemeClr w14:val="tx1"/>
            </w14:solidFill>
          </w14:textFill>
        </w:rPr>
      </w:pPr>
    </w:p>
    <w:p w14:paraId="5EEB1F51">
      <w:pPr>
        <w:pStyle w:val="41"/>
        <w:keepNext w:val="0"/>
        <w:keepLines w:val="0"/>
        <w:pageBreakBefore w:val="0"/>
        <w:widowControl w:val="0"/>
        <w:shd w:val="clear"/>
        <w:kinsoku/>
        <w:wordWrap/>
        <w:overflowPunct/>
        <w:topLinePunct w:val="0"/>
        <w:autoSpaceDE/>
        <w:autoSpaceDN/>
        <w:bidi w:val="0"/>
        <w:adjustRightInd w:val="0"/>
        <w:snapToGrid w:val="0"/>
        <w:spacing w:after="0" w:line="480" w:lineRule="auto"/>
        <w:ind w:firstLine="241" w:firstLineChars="100"/>
        <w:jc w:val="both"/>
        <w:textAlignment w:val="auto"/>
        <w:outlineLvl w:val="0"/>
        <w:rPr>
          <w:rFonts w:hint="eastAsia" w:ascii="仿宋" w:hAnsi="仿宋" w:eastAsia="仿宋" w:cs="仿宋"/>
          <w:bCs/>
          <w:color w:val="000000" w:themeColor="text1"/>
          <w:sz w:val="21"/>
          <w:szCs w:val="21"/>
          <w:highlight w:val="none"/>
          <w14:textFill>
            <w14:solidFill>
              <w14:schemeClr w14:val="tx1"/>
            </w14:solidFill>
          </w14:textFill>
        </w:rPr>
      </w:pPr>
      <w:bookmarkStart w:id="489" w:name="_Toc27890"/>
      <w:bookmarkStart w:id="490" w:name="_Toc5608"/>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 xml:space="preserve">第1部分 </w:t>
      </w:r>
      <w:r>
        <w:rPr>
          <w:rFonts w:hint="eastAsia" w:ascii="仿宋" w:hAnsi="仿宋" w:eastAsia="仿宋" w:cs="仿宋"/>
          <w:b/>
          <w:bCs w:val="0"/>
          <w:color w:val="000000" w:themeColor="text1"/>
          <w:sz w:val="24"/>
          <w:szCs w:val="24"/>
          <w:highlight w:val="none"/>
          <w14:textFill>
            <w14:solidFill>
              <w14:schemeClr w14:val="tx1"/>
            </w14:solidFill>
          </w14:textFill>
        </w:rPr>
        <w:t xml:space="preserve">投标函 </w:t>
      </w:r>
      <w:r>
        <w:rPr>
          <w:rFonts w:hint="eastAsia" w:ascii="仿宋" w:hAnsi="仿宋" w:eastAsia="仿宋" w:cs="仿宋"/>
          <w:b/>
          <w:bCs w:val="0"/>
          <w:color w:val="000000" w:themeColor="text1"/>
          <w:sz w:val="21"/>
          <w:szCs w:val="21"/>
          <w:highlight w:val="none"/>
          <w14:textFill>
            <w14:solidFill>
              <w14:schemeClr w14:val="tx1"/>
            </w14:solidFill>
          </w14:textFill>
        </w:rPr>
        <w:t>……………………………………………………………………</w:t>
      </w:r>
      <w:r>
        <w:rPr>
          <w:rFonts w:hint="eastAsia" w:ascii="仿宋" w:hAnsi="仿宋" w:eastAsia="仿宋" w:cs="仿宋"/>
          <w:b/>
          <w:bCs w:val="0"/>
          <w:color w:val="000000" w:themeColor="text1"/>
          <w:sz w:val="22"/>
          <w:szCs w:val="22"/>
          <w:highlight w:val="none"/>
          <w14:textFill>
            <w14:solidFill>
              <w14:schemeClr w14:val="tx1"/>
            </w14:solidFill>
          </w14:textFill>
        </w:rPr>
        <w:t>页码</w:t>
      </w:r>
      <w:bookmarkEnd w:id="489"/>
      <w:bookmarkEnd w:id="490"/>
    </w:p>
    <w:p w14:paraId="1C31210D">
      <w:pPr>
        <w:pStyle w:val="41"/>
        <w:keepNext w:val="0"/>
        <w:keepLines w:val="0"/>
        <w:pageBreakBefore w:val="0"/>
        <w:widowControl w:val="0"/>
        <w:shd w:val="clear"/>
        <w:kinsoku/>
        <w:wordWrap/>
        <w:overflowPunct/>
        <w:topLinePunct w:val="0"/>
        <w:autoSpaceDE/>
        <w:autoSpaceDN/>
        <w:bidi w:val="0"/>
        <w:adjustRightInd w:val="0"/>
        <w:snapToGrid w:val="0"/>
        <w:spacing w:after="0" w:line="480" w:lineRule="auto"/>
        <w:ind w:firstLine="241" w:firstLineChars="100"/>
        <w:jc w:val="both"/>
        <w:textAlignment w:val="auto"/>
        <w:outlineLvl w:val="0"/>
        <w:rPr>
          <w:rFonts w:hint="eastAsia" w:ascii="仿宋" w:hAnsi="仿宋" w:eastAsia="仿宋" w:cs="仿宋"/>
          <w:b/>
          <w:bCs w:val="0"/>
          <w:color w:val="000000" w:themeColor="text1"/>
          <w:sz w:val="21"/>
          <w:szCs w:val="21"/>
          <w:highlight w:val="none"/>
          <w14:textFill>
            <w14:solidFill>
              <w14:schemeClr w14:val="tx1"/>
            </w14:solidFill>
          </w14:textFill>
        </w:rPr>
      </w:pPr>
      <w:bookmarkStart w:id="491" w:name="_Toc32756"/>
      <w:bookmarkStart w:id="492" w:name="_Toc30020"/>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 xml:space="preserve">第2部分 </w:t>
      </w:r>
      <w:r>
        <w:rPr>
          <w:rFonts w:hint="eastAsia" w:ascii="仿宋" w:hAnsi="仿宋" w:eastAsia="仿宋" w:cs="仿宋"/>
          <w:b/>
          <w:bCs w:val="0"/>
          <w:color w:val="000000" w:themeColor="text1"/>
          <w:sz w:val="24"/>
          <w:szCs w:val="24"/>
          <w:highlight w:val="none"/>
          <w14:textFill>
            <w14:solidFill>
              <w14:schemeClr w14:val="tx1"/>
            </w14:solidFill>
          </w14:textFill>
        </w:rPr>
        <w:t>开标一览表</w:t>
      </w:r>
      <w:r>
        <w:rPr>
          <w:rFonts w:hint="eastAsia" w:ascii="仿宋" w:hAnsi="仿宋" w:eastAsia="仿宋" w:cs="仿宋"/>
          <w:b/>
          <w:bCs w:val="0"/>
          <w:color w:val="000000" w:themeColor="text1"/>
          <w:sz w:val="21"/>
          <w:szCs w:val="21"/>
          <w:highlight w:val="none"/>
          <w14:textFill>
            <w14:solidFill>
              <w14:schemeClr w14:val="tx1"/>
            </w14:solidFill>
          </w14:textFill>
        </w:rPr>
        <w:t xml:space="preserve"> ………………………………………………………………</w:t>
      </w:r>
      <w:bookmarkEnd w:id="491"/>
      <w:bookmarkEnd w:id="492"/>
      <w:bookmarkStart w:id="493" w:name="_Toc13949"/>
      <w:bookmarkStart w:id="494" w:name="_Toc25926"/>
    </w:p>
    <w:bookmarkEnd w:id="493"/>
    <w:bookmarkEnd w:id="494"/>
    <w:p w14:paraId="0E8627DF">
      <w:pPr>
        <w:keepNext w:val="0"/>
        <w:keepLines w:val="0"/>
        <w:pageBreakBefore w:val="0"/>
        <w:widowControl w:val="0"/>
        <w:shd w:val="clear"/>
        <w:kinsoku/>
        <w:wordWrap/>
        <w:overflowPunct/>
        <w:topLinePunct w:val="0"/>
        <w:autoSpaceDE/>
        <w:autoSpaceDN/>
        <w:bidi w:val="0"/>
        <w:adjustRightInd w:val="0"/>
        <w:snapToGrid w:val="0"/>
        <w:spacing w:line="480" w:lineRule="auto"/>
        <w:ind w:firstLine="241" w:firstLineChars="100"/>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t>第3部分 技术文件</w:t>
      </w:r>
      <w:r>
        <w:rPr>
          <w:rFonts w:hint="eastAsia" w:ascii="仿宋" w:hAnsi="仿宋" w:eastAsia="仿宋" w:cs="仿宋"/>
          <w:bCs/>
          <w:color w:val="000000" w:themeColor="text1"/>
          <w:szCs w:val="21"/>
          <w:highlight w:val="none"/>
          <w14:textFill>
            <w14:solidFill>
              <w14:schemeClr w14:val="tx1"/>
            </w14:solidFill>
          </w14:textFill>
        </w:rPr>
        <w:t xml:space="preserve">…………………………………………………………………… </w:t>
      </w:r>
    </w:p>
    <w:p w14:paraId="7BC9D79E">
      <w:pPr>
        <w:keepNext w:val="0"/>
        <w:keepLines w:val="0"/>
        <w:pageBreakBefore w:val="0"/>
        <w:widowControl w:val="0"/>
        <w:shd w:val="clear"/>
        <w:kinsoku/>
        <w:wordWrap/>
        <w:overflowPunct/>
        <w:topLinePunct w:val="0"/>
        <w:autoSpaceDE/>
        <w:autoSpaceDN/>
        <w:bidi w:val="0"/>
        <w:adjustRightInd w:val="0"/>
        <w:snapToGrid w:val="0"/>
        <w:spacing w:line="480" w:lineRule="auto"/>
        <w:ind w:firstLine="241" w:firstLineChars="100"/>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t>第4部分 商务文件</w:t>
      </w:r>
      <w:r>
        <w:rPr>
          <w:rFonts w:hint="eastAsia" w:ascii="仿宋" w:hAnsi="仿宋" w:eastAsia="仿宋" w:cs="仿宋"/>
          <w:bCs/>
          <w:color w:val="000000" w:themeColor="text1"/>
          <w:szCs w:val="21"/>
          <w:highlight w:val="none"/>
          <w14:textFill>
            <w14:solidFill>
              <w14:schemeClr w14:val="tx1"/>
            </w14:solidFill>
          </w14:textFill>
        </w:rPr>
        <w:t xml:space="preserve">……………………………………………………………………      </w:t>
      </w:r>
    </w:p>
    <w:p w14:paraId="7FE8001B">
      <w:pPr>
        <w:keepNext w:val="0"/>
        <w:keepLines w:val="0"/>
        <w:pageBreakBefore w:val="0"/>
        <w:widowControl w:val="0"/>
        <w:shd w:val="clear"/>
        <w:kinsoku/>
        <w:wordWrap/>
        <w:overflowPunct/>
        <w:topLinePunct w:val="0"/>
        <w:autoSpaceDE/>
        <w:autoSpaceDN/>
        <w:bidi w:val="0"/>
        <w:adjustRightInd w:val="0"/>
        <w:snapToGrid w:val="0"/>
        <w:spacing w:line="480" w:lineRule="auto"/>
        <w:ind w:left="210" w:leftChars="100" w:firstLine="0" w:firstLineChars="0"/>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t xml:space="preserve">第5部分 投标人认为有必要补充说明的事项 </w:t>
      </w:r>
      <w:r>
        <w:rPr>
          <w:rFonts w:hint="eastAsia" w:ascii="仿宋" w:hAnsi="仿宋" w:eastAsia="仿宋" w:cs="仿宋"/>
          <w:bCs/>
          <w:color w:val="000000" w:themeColor="text1"/>
          <w:szCs w:val="21"/>
          <w:highlight w:val="none"/>
          <w14:textFill>
            <w14:solidFill>
              <w14:schemeClr w14:val="tx1"/>
            </w14:solidFill>
          </w14:textFill>
        </w:rPr>
        <w:t xml:space="preserve">…………………………………    </w:t>
      </w:r>
    </w:p>
    <w:p w14:paraId="2820F0B0">
      <w:pPr>
        <w:keepNext w:val="0"/>
        <w:keepLines w:val="0"/>
        <w:pageBreakBefore w:val="0"/>
        <w:widowControl w:val="0"/>
        <w:shd w:val="clear"/>
        <w:kinsoku/>
        <w:wordWrap/>
        <w:overflowPunct/>
        <w:topLinePunct w:val="0"/>
        <w:autoSpaceDE/>
        <w:autoSpaceDN/>
        <w:bidi w:val="0"/>
        <w:adjustRightInd w:val="0"/>
        <w:snapToGrid w:val="0"/>
        <w:spacing w:line="480" w:lineRule="auto"/>
        <w:ind w:left="210" w:leftChars="100" w:firstLine="0" w:firstLineChars="0"/>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t>第6部分 投标人资格证明文件</w:t>
      </w:r>
      <w:r>
        <w:rPr>
          <w:rFonts w:hint="eastAsia" w:ascii="仿宋" w:hAnsi="仿宋" w:eastAsia="仿宋" w:cs="仿宋"/>
          <w:bCs/>
          <w:color w:val="000000" w:themeColor="text1"/>
          <w:szCs w:val="21"/>
          <w:highlight w:val="none"/>
          <w14:textFill>
            <w14:solidFill>
              <w14:schemeClr w14:val="tx1"/>
            </w14:solidFill>
          </w14:textFill>
        </w:rPr>
        <w:t xml:space="preserve">…………………………………………………… </w:t>
      </w:r>
    </w:p>
    <w:p w14:paraId="66A307BF">
      <w:pPr>
        <w:keepNext w:val="0"/>
        <w:keepLines w:val="0"/>
        <w:pageBreakBefore w:val="0"/>
        <w:widowControl w:val="0"/>
        <w:shd w:val="clear"/>
        <w:kinsoku/>
        <w:wordWrap/>
        <w:overflowPunct/>
        <w:topLinePunct w:val="0"/>
        <w:autoSpaceDE/>
        <w:autoSpaceDN/>
        <w:bidi w:val="0"/>
        <w:adjustRightInd w:val="0"/>
        <w:snapToGrid w:val="0"/>
        <w:spacing w:line="480" w:lineRule="auto"/>
        <w:ind w:firstLine="210" w:firstLineChars="100"/>
        <w:textAlignment w:val="auto"/>
        <w:rPr>
          <w:rFonts w:hint="eastAsia" w:ascii="仿宋" w:hAnsi="仿宋" w:eastAsia="仿宋" w:cs="仿宋"/>
          <w:bCs/>
          <w:color w:val="000000" w:themeColor="text1"/>
          <w:szCs w:val="21"/>
          <w:highlight w:val="none"/>
          <w14:textFill>
            <w14:solidFill>
              <w14:schemeClr w14:val="tx1"/>
            </w14:solidFill>
          </w14:textFill>
        </w:rPr>
      </w:pPr>
    </w:p>
    <w:p w14:paraId="52C72355">
      <w:pPr>
        <w:keepNext w:val="0"/>
        <w:keepLines w:val="0"/>
        <w:pageBreakBefore w:val="0"/>
        <w:widowControl w:val="0"/>
        <w:shd w:val="clear"/>
        <w:kinsoku/>
        <w:wordWrap/>
        <w:overflowPunct/>
        <w:topLinePunct w:val="0"/>
        <w:autoSpaceDE/>
        <w:autoSpaceDN/>
        <w:bidi w:val="0"/>
        <w:adjustRightInd w:val="0"/>
        <w:snapToGrid w:val="0"/>
        <w:spacing w:line="480" w:lineRule="auto"/>
        <w:ind w:left="210" w:leftChars="100" w:firstLine="0" w:firstLineChars="0"/>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 xml:space="preserve">   </w:t>
      </w:r>
    </w:p>
    <w:p w14:paraId="10A7ED39">
      <w:pPr>
        <w:keepNext w:val="0"/>
        <w:keepLines w:val="0"/>
        <w:pageBreakBefore w:val="0"/>
        <w:widowControl w:val="0"/>
        <w:shd w:val="clear"/>
        <w:kinsoku/>
        <w:wordWrap/>
        <w:overflowPunct/>
        <w:topLinePunct w:val="0"/>
        <w:autoSpaceDE/>
        <w:autoSpaceDN/>
        <w:bidi w:val="0"/>
        <w:adjustRightInd w:val="0"/>
        <w:snapToGrid w:val="0"/>
        <w:spacing w:line="360" w:lineRule="auto"/>
        <w:ind w:left="210" w:leftChars="100" w:firstLine="0" w:firstLineChars="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 xml:space="preserve">    </w:t>
      </w:r>
    </w:p>
    <w:p w14:paraId="0A9D19E3">
      <w:pPr>
        <w:shd w:val="clear"/>
        <w:snapToGrid w:val="0"/>
        <w:spacing w:line="360" w:lineRule="auto"/>
        <w:ind w:firstLine="420" w:firstLineChars="200"/>
        <w:outlineLvl w:val="9"/>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 xml:space="preserve"> </w:t>
      </w:r>
    </w:p>
    <w:p w14:paraId="441CC7A1">
      <w:pPr>
        <w:shd w:val="clear"/>
        <w:rPr>
          <w:rFonts w:hint="eastAsia" w:ascii="仿宋" w:hAnsi="仿宋" w:eastAsia="仿宋" w:cs="仿宋"/>
          <w:b/>
          <w:color w:val="000000" w:themeColor="text1"/>
          <w:sz w:val="24"/>
          <w:szCs w:val="24"/>
          <w:highlight w:val="none"/>
          <w14:textFill>
            <w14:solidFill>
              <w14:schemeClr w14:val="tx1"/>
            </w14:solidFill>
          </w14:textFill>
        </w:rPr>
      </w:pPr>
    </w:p>
    <w:p w14:paraId="1C18B10B">
      <w:pPr>
        <w:shd w:val="clear"/>
        <w:rPr>
          <w:rFonts w:hint="eastAsia" w:ascii="仿宋" w:hAnsi="仿宋" w:eastAsia="仿宋" w:cs="仿宋"/>
          <w:b/>
          <w:color w:val="000000" w:themeColor="text1"/>
          <w:sz w:val="24"/>
          <w:szCs w:val="24"/>
          <w:highlight w:val="none"/>
          <w14:textFill>
            <w14:solidFill>
              <w14:schemeClr w14:val="tx1"/>
            </w14:solidFill>
          </w14:textFill>
        </w:rPr>
      </w:pPr>
    </w:p>
    <w:p w14:paraId="1427ACE2">
      <w:pPr>
        <w:shd w:val="clear"/>
        <w:jc w:val="center"/>
        <w:outlineLvl w:val="0"/>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br w:type="page"/>
      </w:r>
      <w:bookmarkStart w:id="495" w:name="_Toc23361"/>
      <w:bookmarkStart w:id="496" w:name="_Toc7595_WPSOffice_Level1"/>
      <w:bookmarkStart w:id="497" w:name="_Toc24632"/>
      <w:bookmarkStart w:id="498" w:name="_Toc24872"/>
      <w:bookmarkStart w:id="499" w:name="_Toc17963"/>
      <w:bookmarkStart w:id="500" w:name="_Toc2877_WPSOffice_Level1"/>
      <w:bookmarkStart w:id="501" w:name="_Toc19976"/>
      <w:bookmarkStart w:id="502" w:name="_Toc11323"/>
      <w:bookmarkStart w:id="503" w:name="_Toc22149"/>
      <w:bookmarkStart w:id="504" w:name="_Toc2582"/>
      <w:bookmarkStart w:id="505" w:name="_Toc12818"/>
      <w:bookmarkStart w:id="506" w:name="_Toc2212"/>
      <w:bookmarkStart w:id="507" w:name="_Toc13659"/>
      <w:bookmarkStart w:id="508" w:name="_Toc32681"/>
      <w:bookmarkStart w:id="509" w:name="_Toc13717_WPSOffice_Level1"/>
      <w:bookmarkStart w:id="510" w:name="_Toc9795"/>
      <w:bookmarkStart w:id="511" w:name="_Toc15443"/>
      <w:bookmarkStart w:id="512" w:name="_Toc10929"/>
      <w:r>
        <w:rPr>
          <w:rFonts w:hint="eastAsia" w:ascii="仿宋" w:hAnsi="仿宋" w:eastAsia="仿宋" w:cs="仿宋"/>
          <w:b/>
          <w:color w:val="000000" w:themeColor="text1"/>
          <w:sz w:val="32"/>
          <w:highlight w:val="none"/>
          <w:lang w:val="en-US" w:eastAsia="zh-CN"/>
          <w14:textFill>
            <w14:solidFill>
              <w14:schemeClr w14:val="tx1"/>
            </w14:solidFill>
          </w14:textFill>
        </w:rPr>
        <w:t xml:space="preserve">第1部分  </w:t>
      </w:r>
      <w:r>
        <w:rPr>
          <w:rFonts w:hint="eastAsia" w:ascii="仿宋" w:hAnsi="仿宋" w:eastAsia="仿宋" w:cs="仿宋"/>
          <w:b/>
          <w:color w:val="000000" w:themeColor="text1"/>
          <w:sz w:val="32"/>
          <w:highlight w:val="none"/>
          <w14:textFill>
            <w14:solidFill>
              <w14:schemeClr w14:val="tx1"/>
            </w14:solidFill>
          </w14:textFill>
        </w:rPr>
        <w:t>投标函</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14:paraId="450B3608">
      <w:pPr>
        <w:shd w:val="clear"/>
        <w:jc w:val="left"/>
        <w:rPr>
          <w:rFonts w:hint="eastAsia" w:ascii="仿宋" w:hAnsi="仿宋" w:eastAsia="仿宋" w:cs="仿宋"/>
          <w:color w:val="000000" w:themeColor="text1"/>
          <w:spacing w:val="4"/>
          <w:szCs w:val="21"/>
          <w:highlight w:val="none"/>
          <w14:textFill>
            <w14:solidFill>
              <w14:schemeClr w14:val="tx1"/>
            </w14:solidFill>
          </w14:textFill>
        </w:rPr>
      </w:pPr>
      <w:bookmarkStart w:id="513" w:name="_Toc19462"/>
      <w:bookmarkStart w:id="514" w:name="_Toc2867_WPSOffice_Level1"/>
      <w:bookmarkStart w:id="515" w:name="_Toc3600"/>
      <w:bookmarkStart w:id="516" w:name="_Toc17648_WPSOffice_Level1"/>
      <w:bookmarkStart w:id="517" w:name="_Toc31162_WPSOffice_Level1"/>
      <w:bookmarkStart w:id="518" w:name="_Toc26428"/>
      <w:bookmarkStart w:id="519" w:name="_Toc15529"/>
      <w:bookmarkStart w:id="520" w:name="_Toc12932"/>
      <w:bookmarkStart w:id="521" w:name="_Toc1469"/>
      <w:bookmarkStart w:id="522" w:name="_Toc23412"/>
      <w:bookmarkStart w:id="523" w:name="_Toc24827"/>
      <w:bookmarkStart w:id="524" w:name="_Toc565"/>
      <w:bookmarkStart w:id="525" w:name="_Toc23969"/>
    </w:p>
    <w:p w14:paraId="6B52E764">
      <w:pPr>
        <w:shd w:val="clear"/>
        <w:spacing w:line="400" w:lineRule="exact"/>
        <w:jc w:val="left"/>
        <w:rPr>
          <w:rFonts w:hint="eastAsia" w:ascii="仿宋" w:hAnsi="仿宋" w:eastAsia="仿宋" w:cs="仿宋"/>
          <w:color w:val="000000" w:themeColor="text1"/>
          <w:spacing w:val="4"/>
          <w:szCs w:val="21"/>
          <w:highlight w:val="none"/>
          <w14:textFill>
            <w14:solidFill>
              <w14:schemeClr w14:val="tx1"/>
            </w14:solidFill>
          </w14:textFill>
        </w:rPr>
      </w:pPr>
      <w:r>
        <w:rPr>
          <w:rFonts w:hint="eastAsia" w:ascii="仿宋" w:hAnsi="仿宋" w:eastAsia="仿宋" w:cs="仿宋"/>
          <w:color w:val="000000" w:themeColor="text1"/>
          <w:spacing w:val="4"/>
          <w:szCs w:val="21"/>
          <w:highlight w:val="none"/>
          <w14:textFill>
            <w14:solidFill>
              <w14:schemeClr w14:val="tx1"/>
            </w14:solidFill>
          </w14:textFill>
        </w:rPr>
        <w:t>致：</w:t>
      </w:r>
      <w:r>
        <w:rPr>
          <w:rFonts w:hint="eastAsia" w:ascii="仿宋" w:hAnsi="仿宋" w:eastAsia="仿宋" w:cs="仿宋"/>
          <w:color w:val="000000" w:themeColor="text1"/>
          <w:spacing w:val="4"/>
          <w:szCs w:val="21"/>
          <w:highlight w:val="none"/>
          <w:u w:val="single"/>
          <w:lang w:eastAsia="zh-CN"/>
          <w14:textFill>
            <w14:solidFill>
              <w14:schemeClr w14:val="tx1"/>
            </w14:solidFill>
          </w14:textFill>
        </w:rPr>
        <w:t xml:space="preserve"> 汉中市南郑区人民医院</w:t>
      </w:r>
      <w:r>
        <w:rPr>
          <w:rFonts w:hint="eastAsia" w:ascii="仿宋" w:hAnsi="仿宋" w:eastAsia="仿宋" w:cs="仿宋"/>
          <w:color w:val="000000" w:themeColor="text1"/>
          <w:spacing w:val="4"/>
          <w:szCs w:val="21"/>
          <w:highlight w:val="none"/>
          <w:u w:val="single"/>
          <w14:textFill>
            <w14:solidFill>
              <w14:schemeClr w14:val="tx1"/>
            </w14:solidFill>
          </w14:textFill>
        </w:rPr>
        <w:t>/</w:t>
      </w:r>
      <w:r>
        <w:rPr>
          <w:rFonts w:hint="eastAsia" w:ascii="仿宋" w:hAnsi="仿宋" w:eastAsia="仿宋" w:cs="仿宋"/>
          <w:color w:val="000000" w:themeColor="text1"/>
          <w:spacing w:val="4"/>
          <w:szCs w:val="21"/>
          <w:highlight w:val="none"/>
          <w:u w:val="single"/>
          <w:lang w:eastAsia="zh-CN"/>
          <w14:textFill>
            <w14:solidFill>
              <w14:schemeClr w14:val="tx1"/>
            </w14:solidFill>
          </w14:textFill>
        </w:rPr>
        <w:t>同正项目管理有限公司</w:t>
      </w:r>
      <w:r>
        <w:rPr>
          <w:rFonts w:hint="eastAsia" w:ascii="仿宋" w:hAnsi="仿宋" w:eastAsia="仿宋" w:cs="仿宋"/>
          <w:color w:val="000000" w:themeColor="text1"/>
          <w:spacing w:val="4"/>
          <w:szCs w:val="21"/>
          <w:highlight w:val="none"/>
          <w:u w:val="single"/>
          <w14:textFill>
            <w14:solidFill>
              <w14:schemeClr w14:val="tx1"/>
            </w14:solidFill>
          </w14:textFill>
        </w:rPr>
        <w:t xml:space="preserve"> </w:t>
      </w:r>
    </w:p>
    <w:p w14:paraId="01BBDB6B">
      <w:pPr>
        <w:shd w:val="clear"/>
        <w:spacing w:line="400" w:lineRule="exact"/>
        <w:ind w:left="6" w:leftChars="0" w:firstLine="518" w:firstLineChars="238"/>
        <w:jc w:val="left"/>
        <w:rPr>
          <w:rFonts w:hint="eastAsia" w:ascii="仿宋" w:hAnsi="仿宋" w:eastAsia="仿宋" w:cs="仿宋"/>
          <w:color w:val="000000" w:themeColor="text1"/>
          <w:spacing w:val="4"/>
          <w:szCs w:val="21"/>
          <w:highlight w:val="none"/>
          <w14:textFill>
            <w14:solidFill>
              <w14:schemeClr w14:val="tx1"/>
            </w14:solidFill>
          </w14:textFill>
        </w:rPr>
      </w:pPr>
      <w:r>
        <w:rPr>
          <w:rFonts w:hint="eastAsia" w:ascii="仿宋" w:hAnsi="仿宋" w:eastAsia="仿宋" w:cs="仿宋"/>
          <w:color w:val="000000" w:themeColor="text1"/>
          <w:spacing w:val="4"/>
          <w:szCs w:val="21"/>
          <w:highlight w:val="none"/>
          <w14:textFill>
            <w14:solidFill>
              <w14:schemeClr w14:val="tx1"/>
            </w14:solidFill>
          </w14:textFill>
        </w:rPr>
        <w:t>根据贵方“</w:t>
      </w:r>
      <w:r>
        <w:rPr>
          <w:rFonts w:hint="eastAsia" w:ascii="仿宋" w:hAnsi="仿宋" w:eastAsia="仿宋" w:cs="仿宋"/>
          <w:color w:val="000000" w:themeColor="text1"/>
          <w:spacing w:val="4"/>
          <w:szCs w:val="21"/>
          <w:highlight w:val="none"/>
          <w:u w:val="single"/>
          <w:lang w:eastAsia="zh-CN"/>
          <w14:textFill>
            <w14:solidFill>
              <w14:schemeClr w14:val="tx1"/>
            </w14:solidFill>
          </w14:textFill>
        </w:rPr>
        <w:t>汉中市南郑区人民医院肝胆泌尿外科等医疗设备采购项目</w:t>
      </w:r>
      <w:r>
        <w:rPr>
          <w:rFonts w:hint="eastAsia" w:ascii="仿宋" w:hAnsi="仿宋" w:eastAsia="仿宋" w:cs="仿宋"/>
          <w:color w:val="000000" w:themeColor="text1"/>
          <w:spacing w:val="4"/>
          <w:szCs w:val="21"/>
          <w:highlight w:val="none"/>
          <w:u w:val="single"/>
          <w:lang w:val="en-US" w:eastAsia="zh-CN"/>
          <w14:textFill>
            <w14:solidFill>
              <w14:schemeClr w14:val="tx1"/>
            </w14:solidFill>
          </w14:textFill>
        </w:rPr>
        <w:t xml:space="preserve">合同包  </w:t>
      </w:r>
      <w:r>
        <w:rPr>
          <w:rFonts w:hint="eastAsia" w:ascii="仿宋" w:hAnsi="仿宋" w:eastAsia="仿宋" w:cs="仿宋"/>
          <w:color w:val="000000" w:themeColor="text1"/>
          <w:spacing w:val="4"/>
          <w:szCs w:val="21"/>
          <w:highlight w:val="none"/>
          <w:u w:val="single"/>
          <w14:textFill>
            <w14:solidFill>
              <w14:schemeClr w14:val="tx1"/>
            </w14:solidFill>
          </w14:textFill>
        </w:rPr>
        <w:t>(</w:t>
      </w:r>
      <w:r>
        <w:rPr>
          <w:rFonts w:hint="eastAsia" w:ascii="仿宋" w:hAnsi="仿宋" w:eastAsia="仿宋" w:cs="仿宋"/>
          <w:color w:val="000000" w:themeColor="text1"/>
          <w:spacing w:val="4"/>
          <w:szCs w:val="21"/>
          <w:highlight w:val="none"/>
          <w:u w:val="single"/>
          <w:lang w:val="en-US" w:eastAsia="zh-CN"/>
          <w14:textFill>
            <w14:solidFill>
              <w14:schemeClr w14:val="tx1"/>
            </w14:solidFill>
          </w14:textFill>
        </w:rPr>
        <w:t>项目</w:t>
      </w:r>
      <w:r>
        <w:rPr>
          <w:rFonts w:hint="eastAsia" w:ascii="仿宋" w:hAnsi="仿宋" w:eastAsia="仿宋" w:cs="仿宋"/>
          <w:color w:val="000000" w:themeColor="text1"/>
          <w:spacing w:val="4"/>
          <w:szCs w:val="21"/>
          <w:highlight w:val="none"/>
          <w:u w:val="single"/>
          <w14:textFill>
            <w14:solidFill>
              <w14:schemeClr w14:val="tx1"/>
            </w14:solidFill>
          </w14:textFill>
        </w:rPr>
        <w:t>编号：</w:t>
      </w:r>
      <w:r>
        <w:rPr>
          <w:rFonts w:hint="eastAsia" w:ascii="仿宋" w:hAnsi="仿宋" w:eastAsia="仿宋" w:cs="仿宋"/>
          <w:color w:val="000000" w:themeColor="text1"/>
          <w:spacing w:val="4"/>
          <w:szCs w:val="21"/>
          <w:highlight w:val="none"/>
          <w:u w:val="single"/>
          <w:lang w:eastAsia="zh-CN"/>
          <w14:textFill>
            <w14:solidFill>
              <w14:schemeClr w14:val="tx1"/>
            </w14:solidFill>
          </w14:textFill>
        </w:rPr>
        <w:t>TZZB-HZ-2025109C</w:t>
      </w:r>
      <w:r>
        <w:rPr>
          <w:rFonts w:hint="eastAsia" w:ascii="仿宋" w:hAnsi="仿宋" w:eastAsia="仿宋" w:cs="仿宋"/>
          <w:color w:val="000000" w:themeColor="text1"/>
          <w:spacing w:val="4"/>
          <w:szCs w:val="21"/>
          <w:highlight w:val="none"/>
          <w:u w:val="single"/>
          <w14:textFill>
            <w14:solidFill>
              <w14:schemeClr w14:val="tx1"/>
            </w14:solidFill>
          </w14:textFill>
        </w:rPr>
        <w:t>)</w:t>
      </w:r>
      <w:r>
        <w:rPr>
          <w:rFonts w:hint="eastAsia" w:ascii="仿宋" w:hAnsi="仿宋" w:eastAsia="仿宋" w:cs="仿宋"/>
          <w:color w:val="000000" w:themeColor="text1"/>
          <w:spacing w:val="4"/>
          <w:szCs w:val="21"/>
          <w:highlight w:val="none"/>
          <w14:textFill>
            <w14:solidFill>
              <w14:schemeClr w14:val="tx1"/>
            </w14:solidFill>
          </w14:textFill>
        </w:rPr>
        <w:t xml:space="preserve"> ”，签字代表</w:t>
      </w:r>
      <w:r>
        <w:rPr>
          <w:rFonts w:hint="eastAsia" w:ascii="仿宋" w:hAnsi="仿宋" w:eastAsia="仿宋" w:cs="仿宋"/>
          <w:color w:val="000000" w:themeColor="text1"/>
          <w:spacing w:val="4"/>
          <w:szCs w:val="21"/>
          <w:highlight w:val="none"/>
          <w:u w:val="single"/>
          <w14:textFill>
            <w14:solidFill>
              <w14:schemeClr w14:val="tx1"/>
            </w14:solidFill>
          </w14:textFill>
        </w:rPr>
        <w:t>（全名、职务）</w:t>
      </w:r>
      <w:r>
        <w:rPr>
          <w:rFonts w:hint="eastAsia" w:ascii="仿宋" w:hAnsi="仿宋" w:eastAsia="仿宋" w:cs="仿宋"/>
          <w:color w:val="000000" w:themeColor="text1"/>
          <w:spacing w:val="4"/>
          <w:szCs w:val="21"/>
          <w:highlight w:val="none"/>
          <w14:textFill>
            <w14:solidFill>
              <w14:schemeClr w14:val="tx1"/>
            </w14:solidFill>
          </w14:textFill>
        </w:rPr>
        <w:t>经正式授权并代表我方</w:t>
      </w:r>
      <w:r>
        <w:rPr>
          <w:rFonts w:hint="eastAsia" w:ascii="仿宋" w:hAnsi="仿宋" w:eastAsia="仿宋" w:cs="仿宋"/>
          <w:color w:val="000000" w:themeColor="text1"/>
          <w:spacing w:val="4"/>
          <w:szCs w:val="21"/>
          <w:highlight w:val="none"/>
          <w:u w:val="single"/>
          <w14:textFill>
            <w14:solidFill>
              <w14:schemeClr w14:val="tx1"/>
            </w14:solidFill>
          </w14:textFill>
        </w:rPr>
        <w:t xml:space="preserve">    (投标人名称)</w:t>
      </w:r>
      <w:r>
        <w:rPr>
          <w:rFonts w:hint="eastAsia" w:ascii="仿宋" w:hAnsi="仿宋" w:eastAsia="仿宋" w:cs="仿宋"/>
          <w:color w:val="000000" w:themeColor="text1"/>
          <w:spacing w:val="4"/>
          <w:szCs w:val="21"/>
          <w:highlight w:val="none"/>
          <w14:textFill>
            <w14:solidFill>
              <w14:schemeClr w14:val="tx1"/>
            </w14:solidFill>
          </w14:textFill>
        </w:rPr>
        <w:t xml:space="preserve"> 提交投标文件正本</w:t>
      </w:r>
      <w:r>
        <w:rPr>
          <w:rFonts w:hint="eastAsia" w:ascii="仿宋" w:hAnsi="仿宋" w:eastAsia="仿宋" w:cs="仿宋"/>
          <w:color w:val="000000" w:themeColor="text1"/>
          <w:spacing w:val="4"/>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pacing w:val="4"/>
          <w:szCs w:val="21"/>
          <w:highlight w:val="none"/>
          <w14:textFill>
            <w14:solidFill>
              <w14:schemeClr w14:val="tx1"/>
            </w14:solidFill>
          </w14:textFill>
        </w:rPr>
        <w:t>份、副本</w:t>
      </w:r>
      <w:r>
        <w:rPr>
          <w:rFonts w:hint="eastAsia" w:ascii="仿宋" w:hAnsi="仿宋" w:eastAsia="仿宋" w:cs="仿宋"/>
          <w:color w:val="000000" w:themeColor="text1"/>
          <w:spacing w:val="4"/>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pacing w:val="4"/>
          <w:szCs w:val="21"/>
          <w:highlight w:val="none"/>
          <w14:textFill>
            <w14:solidFill>
              <w14:schemeClr w14:val="tx1"/>
            </w14:solidFill>
          </w14:textFill>
        </w:rPr>
        <w:t>份、开标一览表</w:t>
      </w:r>
      <w:r>
        <w:rPr>
          <w:rFonts w:hint="eastAsia" w:ascii="仿宋" w:hAnsi="仿宋" w:eastAsia="仿宋" w:cs="仿宋"/>
          <w:color w:val="000000" w:themeColor="text1"/>
          <w:spacing w:val="4"/>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pacing w:val="4"/>
          <w:szCs w:val="21"/>
          <w:highlight w:val="none"/>
          <w14:textFill>
            <w14:solidFill>
              <w14:schemeClr w14:val="tx1"/>
            </w14:solidFill>
          </w14:textFill>
        </w:rPr>
        <w:t>份、</w:t>
      </w:r>
      <w:r>
        <w:rPr>
          <w:rFonts w:hint="eastAsia" w:ascii="仿宋" w:hAnsi="仿宋" w:eastAsia="仿宋" w:cs="仿宋"/>
          <w:color w:val="000000" w:themeColor="text1"/>
          <w:szCs w:val="21"/>
          <w:highlight w:val="none"/>
          <w14:textFill>
            <w14:solidFill>
              <w14:schemeClr w14:val="tx1"/>
            </w14:solidFill>
          </w14:textFill>
        </w:rPr>
        <w:t>投标文件电子版U盘</w:t>
      </w:r>
      <w:r>
        <w:rPr>
          <w:rFonts w:hint="eastAsia" w:ascii="仿宋" w:hAnsi="仿宋" w:eastAsia="仿宋" w:cs="仿宋"/>
          <w:color w:val="000000" w:themeColor="text1"/>
          <w:spacing w:val="4"/>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pacing w:val="4"/>
          <w:szCs w:val="21"/>
          <w:highlight w:val="none"/>
          <w14:textFill>
            <w14:solidFill>
              <w14:schemeClr w14:val="tx1"/>
            </w14:solidFill>
          </w14:textFill>
        </w:rPr>
        <w:t>份。</w:t>
      </w:r>
    </w:p>
    <w:p w14:paraId="03A403EA">
      <w:pPr>
        <w:shd w:val="clear"/>
        <w:spacing w:line="400" w:lineRule="exact"/>
        <w:ind w:left="546" w:leftChars="251" w:hanging="19" w:hangingChars="9"/>
        <w:jc w:val="left"/>
        <w:rPr>
          <w:rFonts w:hint="eastAsia" w:ascii="仿宋" w:hAnsi="仿宋" w:eastAsia="仿宋" w:cs="仿宋"/>
          <w:color w:val="000000" w:themeColor="text1"/>
          <w:spacing w:val="4"/>
          <w:szCs w:val="21"/>
          <w:highlight w:val="none"/>
          <w14:textFill>
            <w14:solidFill>
              <w14:schemeClr w14:val="tx1"/>
            </w14:solidFill>
          </w14:textFill>
        </w:rPr>
      </w:pPr>
      <w:r>
        <w:rPr>
          <w:rFonts w:hint="eastAsia" w:ascii="仿宋" w:hAnsi="仿宋" w:eastAsia="仿宋" w:cs="仿宋"/>
          <w:color w:val="000000" w:themeColor="text1"/>
          <w:spacing w:val="4"/>
          <w:szCs w:val="21"/>
          <w:highlight w:val="none"/>
          <w14:textFill>
            <w14:solidFill>
              <w14:schemeClr w14:val="tx1"/>
            </w14:solidFill>
          </w14:textFill>
        </w:rPr>
        <w:t>我方承诺如下：</w:t>
      </w:r>
    </w:p>
    <w:p w14:paraId="397BBF2D">
      <w:pPr>
        <w:shd w:val="clear"/>
        <w:tabs>
          <w:tab w:val="left" w:pos="2160"/>
        </w:tabs>
        <w:spacing w:line="400" w:lineRule="exact"/>
        <w:ind w:firstLine="436" w:firstLineChars="200"/>
        <w:jc w:val="left"/>
        <w:rPr>
          <w:rFonts w:hint="eastAsia" w:ascii="仿宋" w:hAnsi="仿宋" w:eastAsia="仿宋" w:cs="仿宋"/>
          <w:color w:val="000000" w:themeColor="text1"/>
          <w:spacing w:val="4"/>
          <w:szCs w:val="21"/>
          <w:highlight w:val="none"/>
          <w14:textFill>
            <w14:solidFill>
              <w14:schemeClr w14:val="tx1"/>
            </w14:solidFill>
          </w14:textFill>
        </w:rPr>
      </w:pPr>
      <w:r>
        <w:rPr>
          <w:rFonts w:hint="eastAsia" w:ascii="仿宋" w:hAnsi="仿宋" w:eastAsia="仿宋" w:cs="仿宋"/>
          <w:color w:val="000000" w:themeColor="text1"/>
          <w:spacing w:val="4"/>
          <w:szCs w:val="21"/>
          <w:highlight w:val="none"/>
          <w14:textFill>
            <w14:solidFill>
              <w14:schemeClr w14:val="tx1"/>
            </w14:solidFill>
          </w14:textFill>
        </w:rPr>
        <w:t>1）投标报价为人民币（¥</w:t>
      </w:r>
      <w:r>
        <w:rPr>
          <w:rFonts w:hint="eastAsia" w:ascii="仿宋" w:hAnsi="仿宋" w:eastAsia="仿宋" w:cs="仿宋"/>
          <w:color w:val="000000" w:themeColor="text1"/>
          <w:spacing w:val="4"/>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pacing w:val="4"/>
          <w:szCs w:val="21"/>
          <w:highlight w:val="none"/>
          <w:u w:val="single"/>
          <w14:textFill>
            <w14:solidFill>
              <w14:schemeClr w14:val="tx1"/>
            </w14:solidFill>
          </w14:textFill>
        </w:rPr>
        <w:t xml:space="preserve"> </w:t>
      </w:r>
      <w:r>
        <w:rPr>
          <w:rFonts w:hint="eastAsia" w:ascii="仿宋" w:hAnsi="仿宋" w:eastAsia="仿宋" w:cs="仿宋"/>
          <w:color w:val="000000" w:themeColor="text1"/>
          <w:spacing w:val="4"/>
          <w:szCs w:val="21"/>
          <w:highlight w:val="none"/>
          <w14:textFill>
            <w14:solidFill>
              <w14:schemeClr w14:val="tx1"/>
            </w14:solidFill>
          </w14:textFill>
        </w:rPr>
        <w:t>）（用文字和数字表示的投标总价）。</w:t>
      </w:r>
    </w:p>
    <w:p w14:paraId="13BB6E45">
      <w:pPr>
        <w:shd w:val="clear"/>
        <w:tabs>
          <w:tab w:val="left" w:pos="2160"/>
        </w:tabs>
        <w:spacing w:line="400" w:lineRule="exact"/>
        <w:ind w:firstLine="436" w:firstLineChars="200"/>
        <w:jc w:val="left"/>
        <w:rPr>
          <w:rFonts w:hint="eastAsia" w:ascii="仿宋" w:hAnsi="仿宋" w:eastAsia="仿宋" w:cs="仿宋"/>
          <w:color w:val="000000" w:themeColor="text1"/>
          <w:spacing w:val="4"/>
          <w:szCs w:val="21"/>
          <w:highlight w:val="none"/>
          <w14:textFill>
            <w14:solidFill>
              <w14:schemeClr w14:val="tx1"/>
            </w14:solidFill>
          </w14:textFill>
        </w:rPr>
      </w:pPr>
      <w:r>
        <w:rPr>
          <w:rFonts w:hint="eastAsia" w:ascii="仿宋" w:hAnsi="仿宋" w:eastAsia="仿宋" w:cs="仿宋"/>
          <w:color w:val="000000" w:themeColor="text1"/>
          <w:spacing w:val="4"/>
          <w:szCs w:val="21"/>
          <w:highlight w:val="none"/>
          <w14:textFill>
            <w14:solidFill>
              <w14:schemeClr w14:val="tx1"/>
            </w14:solidFill>
          </w14:textFill>
        </w:rPr>
        <w:t>2）如果中标，我们根据招标文件的规定，履行合同的责任和义务。</w:t>
      </w:r>
    </w:p>
    <w:p w14:paraId="4418369F">
      <w:pPr>
        <w:shd w:val="clear"/>
        <w:tabs>
          <w:tab w:val="left" w:pos="2160"/>
        </w:tabs>
        <w:spacing w:line="400" w:lineRule="exact"/>
        <w:ind w:firstLine="436" w:firstLineChars="200"/>
        <w:jc w:val="left"/>
        <w:rPr>
          <w:rFonts w:hint="eastAsia" w:ascii="仿宋" w:hAnsi="仿宋" w:eastAsia="仿宋" w:cs="仿宋"/>
          <w:color w:val="000000" w:themeColor="text1"/>
          <w:spacing w:val="4"/>
          <w:szCs w:val="21"/>
          <w:highlight w:val="none"/>
          <w14:textFill>
            <w14:solidFill>
              <w14:schemeClr w14:val="tx1"/>
            </w14:solidFill>
          </w14:textFill>
        </w:rPr>
      </w:pPr>
      <w:r>
        <w:rPr>
          <w:rFonts w:hint="eastAsia" w:ascii="仿宋" w:hAnsi="仿宋" w:eastAsia="仿宋" w:cs="仿宋"/>
          <w:color w:val="000000" w:themeColor="text1"/>
          <w:spacing w:val="4"/>
          <w:szCs w:val="21"/>
          <w:highlight w:val="none"/>
          <w14:textFill>
            <w14:solidFill>
              <w14:schemeClr w14:val="tx1"/>
            </w14:solidFill>
          </w14:textFill>
        </w:rPr>
        <w:t>3）我方已仔细阅读了招标文件的全部内容，并同意和放弃对招标文件不明或误解而询问、质疑和投诉的权利。</w:t>
      </w:r>
    </w:p>
    <w:p w14:paraId="1AF03FE4">
      <w:pPr>
        <w:shd w:val="clear"/>
        <w:tabs>
          <w:tab w:val="left" w:pos="2160"/>
        </w:tabs>
        <w:spacing w:line="400" w:lineRule="exact"/>
        <w:ind w:firstLine="436" w:firstLineChars="200"/>
        <w:jc w:val="left"/>
        <w:rPr>
          <w:rFonts w:hint="eastAsia" w:ascii="仿宋" w:hAnsi="仿宋" w:eastAsia="仿宋" w:cs="仿宋"/>
          <w:color w:val="000000" w:themeColor="text1"/>
          <w:spacing w:val="4"/>
          <w:szCs w:val="21"/>
          <w:highlight w:val="none"/>
          <w14:textFill>
            <w14:solidFill>
              <w14:schemeClr w14:val="tx1"/>
            </w14:solidFill>
          </w14:textFill>
        </w:rPr>
      </w:pPr>
      <w:r>
        <w:rPr>
          <w:rFonts w:hint="eastAsia" w:ascii="仿宋" w:hAnsi="仿宋" w:eastAsia="仿宋" w:cs="仿宋"/>
          <w:color w:val="000000" w:themeColor="text1"/>
          <w:spacing w:val="4"/>
          <w:szCs w:val="21"/>
          <w:highlight w:val="none"/>
          <w14:textFill>
            <w14:solidFill>
              <w14:schemeClr w14:val="tx1"/>
            </w14:solidFill>
          </w14:textFill>
        </w:rPr>
        <w:t>4）我们同意在投标有效期内（</w:t>
      </w:r>
      <w:r>
        <w:rPr>
          <w:rFonts w:hint="eastAsia" w:ascii="仿宋" w:hAnsi="仿宋" w:eastAsia="仿宋" w:cs="仿宋"/>
          <w:color w:val="000000" w:themeColor="text1"/>
          <w:spacing w:val="4"/>
          <w:szCs w:val="21"/>
          <w:highlight w:val="none"/>
          <w:u w:val="single"/>
          <w14:textFill>
            <w14:solidFill>
              <w14:schemeClr w14:val="tx1"/>
            </w14:solidFill>
          </w14:textFill>
        </w:rPr>
        <w:t>自投标之日起   天</w:t>
      </w:r>
      <w:r>
        <w:rPr>
          <w:rFonts w:hint="eastAsia" w:ascii="仿宋" w:hAnsi="仿宋" w:eastAsia="仿宋" w:cs="仿宋"/>
          <w:color w:val="000000" w:themeColor="text1"/>
          <w:spacing w:val="4"/>
          <w:szCs w:val="21"/>
          <w:highlight w:val="none"/>
          <w14:textFill>
            <w14:solidFill>
              <w14:schemeClr w14:val="tx1"/>
            </w14:solidFill>
          </w14:textFill>
        </w:rPr>
        <w:t>），本投标函对我方具有约束力。</w:t>
      </w:r>
    </w:p>
    <w:p w14:paraId="4773E0D4">
      <w:pPr>
        <w:shd w:val="clear"/>
        <w:tabs>
          <w:tab w:val="left" w:pos="2160"/>
        </w:tabs>
        <w:spacing w:line="400" w:lineRule="exact"/>
        <w:ind w:firstLine="436" w:firstLineChars="200"/>
        <w:jc w:val="left"/>
        <w:rPr>
          <w:rFonts w:hint="eastAsia" w:ascii="仿宋" w:hAnsi="仿宋" w:eastAsia="仿宋" w:cs="仿宋"/>
          <w:color w:val="000000" w:themeColor="text1"/>
          <w:spacing w:val="4"/>
          <w:szCs w:val="21"/>
          <w:highlight w:val="none"/>
          <w14:textFill>
            <w14:solidFill>
              <w14:schemeClr w14:val="tx1"/>
            </w14:solidFill>
          </w14:textFill>
        </w:rPr>
      </w:pPr>
      <w:r>
        <w:rPr>
          <w:rFonts w:hint="eastAsia" w:ascii="仿宋" w:hAnsi="仿宋" w:eastAsia="仿宋" w:cs="仿宋"/>
          <w:color w:val="000000" w:themeColor="text1"/>
          <w:spacing w:val="4"/>
          <w:szCs w:val="21"/>
          <w:highlight w:val="none"/>
          <w:lang w:val="en-US" w:eastAsia="zh-CN"/>
          <w14:textFill>
            <w14:solidFill>
              <w14:schemeClr w14:val="tx1"/>
            </w14:solidFill>
          </w14:textFill>
        </w:rPr>
        <w:t>5</w:t>
      </w:r>
      <w:r>
        <w:rPr>
          <w:rFonts w:hint="eastAsia" w:ascii="仿宋" w:hAnsi="仿宋" w:eastAsia="仿宋" w:cs="仿宋"/>
          <w:color w:val="000000" w:themeColor="text1"/>
          <w:spacing w:val="4"/>
          <w:szCs w:val="21"/>
          <w:highlight w:val="none"/>
          <w14:textFill>
            <w14:solidFill>
              <w14:schemeClr w14:val="tx1"/>
            </w14:solidFill>
          </w14:textFill>
        </w:rPr>
        <w:t xml:space="preserve">）同意提供贵方可能另外要求的与本投标有关的任何证据和资料。 </w:t>
      </w:r>
    </w:p>
    <w:p w14:paraId="59A95359">
      <w:pPr>
        <w:shd w:val="clear"/>
        <w:tabs>
          <w:tab w:val="left" w:pos="2160"/>
        </w:tabs>
        <w:spacing w:line="400" w:lineRule="exact"/>
        <w:ind w:firstLine="436" w:firstLineChars="200"/>
        <w:jc w:val="left"/>
        <w:rPr>
          <w:rFonts w:hint="eastAsia" w:ascii="仿宋" w:hAnsi="仿宋" w:eastAsia="仿宋" w:cs="仿宋"/>
          <w:color w:val="000000" w:themeColor="text1"/>
          <w:spacing w:val="4"/>
          <w:szCs w:val="21"/>
          <w:highlight w:val="none"/>
          <w14:textFill>
            <w14:solidFill>
              <w14:schemeClr w14:val="tx1"/>
            </w14:solidFill>
          </w14:textFill>
        </w:rPr>
      </w:pPr>
      <w:r>
        <w:rPr>
          <w:rFonts w:hint="eastAsia" w:ascii="仿宋" w:hAnsi="仿宋" w:eastAsia="仿宋" w:cs="仿宋"/>
          <w:color w:val="000000" w:themeColor="text1"/>
          <w:spacing w:val="4"/>
          <w:szCs w:val="21"/>
          <w:highlight w:val="none"/>
          <w:lang w:val="en-US" w:eastAsia="zh-CN"/>
          <w14:textFill>
            <w14:solidFill>
              <w14:schemeClr w14:val="tx1"/>
            </w14:solidFill>
          </w14:textFill>
        </w:rPr>
        <w:t>6</w:t>
      </w:r>
      <w:r>
        <w:rPr>
          <w:rFonts w:hint="eastAsia" w:ascii="仿宋" w:hAnsi="仿宋" w:eastAsia="仿宋" w:cs="仿宋"/>
          <w:color w:val="000000" w:themeColor="text1"/>
          <w:spacing w:val="4"/>
          <w:szCs w:val="21"/>
          <w:highlight w:val="none"/>
          <w14:textFill>
            <w14:solidFill>
              <w14:schemeClr w14:val="tx1"/>
            </w14:solidFill>
          </w14:textFill>
        </w:rPr>
        <w:t>）我</w:t>
      </w:r>
      <w:r>
        <w:rPr>
          <w:rFonts w:hint="eastAsia" w:ascii="仿宋" w:hAnsi="仿宋" w:eastAsia="仿宋" w:cs="仿宋"/>
          <w:color w:val="000000" w:themeColor="text1"/>
          <w:spacing w:val="4"/>
          <w:szCs w:val="21"/>
          <w:highlight w:val="none"/>
          <w:lang w:val="en-US" w:eastAsia="zh-CN"/>
          <w14:textFill>
            <w14:solidFill>
              <w14:schemeClr w14:val="tx1"/>
            </w14:solidFill>
          </w14:textFill>
        </w:rPr>
        <w:t>方</w:t>
      </w:r>
      <w:r>
        <w:rPr>
          <w:rFonts w:hint="eastAsia" w:ascii="仿宋" w:hAnsi="仿宋" w:eastAsia="仿宋" w:cs="仿宋"/>
          <w:color w:val="000000" w:themeColor="text1"/>
          <w:spacing w:val="4"/>
          <w:szCs w:val="21"/>
          <w:highlight w:val="none"/>
          <w14:textFill>
            <w14:solidFill>
              <w14:schemeClr w14:val="tx1"/>
            </w14:solidFill>
          </w14:textFill>
        </w:rPr>
        <w:t>保证，如果中标，按规定和标准向贵方交纳招标代理服务费。</w:t>
      </w:r>
    </w:p>
    <w:p w14:paraId="1B997FB9">
      <w:pPr>
        <w:shd w:val="clear"/>
        <w:tabs>
          <w:tab w:val="left" w:pos="2160"/>
        </w:tabs>
        <w:spacing w:line="400" w:lineRule="exact"/>
        <w:ind w:firstLine="436" w:firstLineChars="200"/>
        <w:jc w:val="left"/>
        <w:rPr>
          <w:rFonts w:hint="eastAsia" w:ascii="仿宋" w:hAnsi="仿宋" w:eastAsia="仿宋" w:cs="仿宋"/>
          <w:color w:val="000000" w:themeColor="text1"/>
          <w:spacing w:val="4"/>
          <w:szCs w:val="21"/>
          <w:highlight w:val="none"/>
          <w14:textFill>
            <w14:solidFill>
              <w14:schemeClr w14:val="tx1"/>
            </w14:solidFill>
          </w14:textFill>
        </w:rPr>
      </w:pPr>
      <w:r>
        <w:rPr>
          <w:rFonts w:hint="eastAsia" w:ascii="仿宋" w:hAnsi="仿宋" w:eastAsia="仿宋" w:cs="仿宋"/>
          <w:color w:val="000000" w:themeColor="text1"/>
          <w:spacing w:val="4"/>
          <w:szCs w:val="21"/>
          <w:highlight w:val="none"/>
          <w:lang w:val="en-US" w:eastAsia="zh-CN"/>
          <w14:textFill>
            <w14:solidFill>
              <w14:schemeClr w14:val="tx1"/>
            </w14:solidFill>
          </w14:textFill>
        </w:rPr>
        <w:t>7</w:t>
      </w:r>
      <w:r>
        <w:rPr>
          <w:rFonts w:hint="eastAsia" w:ascii="仿宋" w:hAnsi="仿宋" w:eastAsia="仿宋" w:cs="仿宋"/>
          <w:color w:val="000000" w:themeColor="text1"/>
          <w:spacing w:val="4"/>
          <w:szCs w:val="21"/>
          <w:highlight w:val="none"/>
          <w14:textFill>
            <w14:solidFill>
              <w14:schemeClr w14:val="tx1"/>
            </w14:solidFill>
          </w14:textFill>
        </w:rPr>
        <w:t>）与本投标有关的一切正式往来通讯为：</w:t>
      </w:r>
    </w:p>
    <w:p w14:paraId="708A6EE4">
      <w:pPr>
        <w:shd w:val="clear"/>
        <w:kinsoku w:val="0"/>
        <w:spacing w:line="360" w:lineRule="auto"/>
        <w:ind w:firstLine="84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地    址：</w:t>
      </w:r>
    </w:p>
    <w:p w14:paraId="7AAF8145">
      <w:pPr>
        <w:pStyle w:val="27"/>
        <w:shd w:val="clear"/>
        <w:spacing w:after="0"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联  系 人：</w:t>
      </w:r>
    </w:p>
    <w:p w14:paraId="73851C1F">
      <w:pPr>
        <w:shd w:val="clear"/>
        <w:kinsoku w:val="0"/>
        <w:spacing w:line="360" w:lineRule="auto"/>
        <w:ind w:firstLine="84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电    话：</w:t>
      </w:r>
    </w:p>
    <w:p w14:paraId="316A7E6C">
      <w:pPr>
        <w:shd w:val="clear"/>
        <w:kinsoku w:val="0"/>
        <w:spacing w:line="360" w:lineRule="auto"/>
        <w:ind w:firstLine="84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传    真：</w:t>
      </w:r>
    </w:p>
    <w:p w14:paraId="73E2343B">
      <w:pPr>
        <w:shd w:val="clear"/>
        <w:kinsoku w:val="0"/>
        <w:spacing w:line="360" w:lineRule="auto"/>
        <w:ind w:firstLine="84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邮    编：</w:t>
      </w:r>
    </w:p>
    <w:p w14:paraId="173A5D7B">
      <w:pPr>
        <w:shd w:val="clear"/>
        <w:kinsoku w:val="0"/>
        <w:spacing w:line="360" w:lineRule="auto"/>
        <w:ind w:firstLine="840" w:firstLineChars="400"/>
        <w:rPr>
          <w:rFonts w:hint="eastAsia" w:ascii="仿宋" w:hAnsi="仿宋" w:eastAsia="仿宋" w:cs="仿宋"/>
          <w:color w:val="000000" w:themeColor="text1"/>
          <w:szCs w:val="21"/>
          <w:highlight w:val="none"/>
          <w14:textFill>
            <w14:solidFill>
              <w14:schemeClr w14:val="tx1"/>
            </w14:solidFill>
          </w14:textFill>
        </w:rPr>
      </w:pPr>
    </w:p>
    <w:p w14:paraId="550A02BA">
      <w:pPr>
        <w:shd w:val="clear"/>
        <w:kinsoku w:val="0"/>
        <w:spacing w:line="360" w:lineRule="auto"/>
        <w:ind w:firstLine="840" w:firstLineChars="400"/>
        <w:rPr>
          <w:rFonts w:hint="eastAsia" w:ascii="仿宋" w:hAnsi="仿宋" w:eastAsia="仿宋" w:cs="仿宋"/>
          <w:color w:val="000000" w:themeColor="text1"/>
          <w:szCs w:val="21"/>
          <w:highlight w:val="none"/>
          <w14:textFill>
            <w14:solidFill>
              <w14:schemeClr w14:val="tx1"/>
            </w14:solidFill>
          </w14:textFill>
        </w:rPr>
      </w:pPr>
    </w:p>
    <w:p w14:paraId="3CA217A7">
      <w:pPr>
        <w:shd w:val="clear"/>
        <w:kinsoku w:val="0"/>
        <w:spacing w:line="360" w:lineRule="auto"/>
        <w:ind w:firstLine="840" w:firstLineChars="400"/>
        <w:rPr>
          <w:rFonts w:hint="eastAsia" w:ascii="仿宋" w:hAnsi="仿宋" w:eastAsia="仿宋" w:cs="仿宋"/>
          <w:color w:val="000000" w:themeColor="text1"/>
          <w:szCs w:val="21"/>
          <w:highlight w:val="none"/>
          <w14:textFill>
            <w14:solidFill>
              <w14:schemeClr w14:val="tx1"/>
            </w14:solidFill>
          </w14:textFill>
        </w:rPr>
      </w:pPr>
    </w:p>
    <w:p w14:paraId="04DFB558">
      <w:pPr>
        <w:shd w:val="clear"/>
        <w:kinsoku w:val="0"/>
        <w:spacing w:line="360" w:lineRule="auto"/>
        <w:ind w:firstLine="4410" w:firstLineChars="2100"/>
        <w:rPr>
          <w:rFonts w:hint="eastAsia" w:ascii="仿宋" w:hAnsi="仿宋" w:eastAsia="仿宋" w:cs="仿宋"/>
          <w:color w:val="000000" w:themeColor="text1"/>
          <w:szCs w:val="21"/>
          <w:highlight w:val="none"/>
          <w:u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 标 人：</w:t>
      </w:r>
      <w:r>
        <w:rPr>
          <w:rFonts w:hint="eastAsia" w:ascii="仿宋" w:hAnsi="仿宋" w:eastAsia="仿宋" w:cs="仿宋"/>
          <w:color w:val="000000" w:themeColor="text1"/>
          <w:szCs w:val="21"/>
          <w:highlight w:val="none"/>
          <w:u w:val="none"/>
          <w14:textFill>
            <w14:solidFill>
              <w14:schemeClr w14:val="tx1"/>
            </w14:solidFill>
          </w14:textFill>
        </w:rPr>
        <w:t xml:space="preserve">（公章）  </w:t>
      </w:r>
    </w:p>
    <w:p w14:paraId="629F3470">
      <w:pPr>
        <w:pStyle w:val="21"/>
        <w:shd w:val="clear"/>
        <w:rPr>
          <w:rFonts w:hint="eastAsia" w:ascii="仿宋" w:hAnsi="仿宋" w:eastAsia="仿宋" w:cs="仿宋"/>
          <w:color w:val="000000" w:themeColor="text1"/>
          <w:highlight w:val="none"/>
          <w14:textFill>
            <w14:solidFill>
              <w14:schemeClr w14:val="tx1"/>
            </w14:solidFill>
          </w14:textFill>
        </w:rPr>
      </w:pPr>
    </w:p>
    <w:p w14:paraId="11CD3C50">
      <w:pPr>
        <w:shd w:val="clear"/>
        <w:kinsoku w:val="0"/>
        <w:spacing w:line="360" w:lineRule="auto"/>
        <w:ind w:firstLine="4410" w:firstLineChars="2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法定代表人或授权代表：（签字）</w:t>
      </w:r>
    </w:p>
    <w:p w14:paraId="7A0D130C">
      <w:pPr>
        <w:shd w:val="clear"/>
        <w:kinsoku w:val="0"/>
        <w:spacing w:line="360" w:lineRule="auto"/>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p>
    <w:p w14:paraId="46437392">
      <w:pPr>
        <w:shd w:val="clear"/>
        <w:kinsoku w:val="0"/>
        <w:spacing w:line="360" w:lineRule="auto"/>
        <w:ind w:firstLine="4410" w:firstLineChars="2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日期：     </w:t>
      </w:r>
      <w:r>
        <w:rPr>
          <w:rFonts w:hint="eastAsia" w:ascii="仿宋" w:hAnsi="仿宋" w:eastAsia="仿宋" w:cs="仿宋"/>
          <w:color w:val="000000" w:themeColor="text1"/>
          <w:szCs w:val="21"/>
          <w:highlight w:val="none"/>
          <w14:textFill>
            <w14:solidFill>
              <w14:schemeClr w14:val="tx1"/>
            </w14:solidFill>
          </w14:textFill>
        </w:rPr>
        <w:t>年   月   日</w:t>
      </w:r>
    </w:p>
    <w:p w14:paraId="35FD624F">
      <w:pPr>
        <w:shd w:val="clear"/>
        <w:spacing w:line="360" w:lineRule="auto"/>
        <w:ind w:firstLine="1606" w:firstLineChars="500"/>
        <w:rPr>
          <w:rFonts w:hint="eastAsia" w:ascii="仿宋" w:hAnsi="仿宋" w:eastAsia="仿宋" w:cs="仿宋"/>
          <w:b/>
          <w:color w:val="000000" w:themeColor="text1"/>
          <w:sz w:val="32"/>
          <w:highlight w:val="none"/>
          <w14:textFill>
            <w14:solidFill>
              <w14:schemeClr w14:val="tx1"/>
            </w14:solidFill>
          </w14:textFill>
        </w:rPr>
      </w:pPr>
      <w:bookmarkStart w:id="526" w:name="_Toc28204"/>
    </w:p>
    <w:p w14:paraId="30D74CDA">
      <w:pPr>
        <w:shd w:val="clear"/>
        <w:spacing w:line="360" w:lineRule="auto"/>
        <w:ind w:firstLine="1606" w:firstLineChars="500"/>
        <w:outlineLvl w:val="9"/>
        <w:rPr>
          <w:rFonts w:hint="eastAsia" w:ascii="仿宋" w:hAnsi="仿宋" w:eastAsia="仿宋" w:cs="仿宋"/>
          <w:b/>
          <w:color w:val="000000" w:themeColor="text1"/>
          <w:sz w:val="32"/>
          <w:highlight w:val="none"/>
          <w14:textFill>
            <w14:solidFill>
              <w14:schemeClr w14:val="tx1"/>
            </w14:solidFill>
          </w14:textFill>
        </w:rPr>
      </w:pPr>
      <w:bookmarkStart w:id="527" w:name="_Toc21004"/>
      <w:bookmarkStart w:id="528" w:name="_Toc1200"/>
    </w:p>
    <w:p w14:paraId="6FD1DA32">
      <w:pPr>
        <w:shd w:val="clear"/>
        <w:spacing w:line="360" w:lineRule="auto"/>
        <w:outlineLvl w:val="9"/>
        <w:rPr>
          <w:rFonts w:hint="eastAsia" w:ascii="仿宋" w:hAnsi="仿宋" w:eastAsia="仿宋" w:cs="仿宋"/>
          <w:b/>
          <w:color w:val="000000" w:themeColor="text1"/>
          <w:sz w:val="32"/>
          <w:highlight w:val="none"/>
          <w14:textFill>
            <w14:solidFill>
              <w14:schemeClr w14:val="tx1"/>
            </w14:solidFill>
          </w14:textFill>
        </w:rPr>
      </w:pPr>
    </w:p>
    <w:p w14:paraId="1C9E1786">
      <w:pPr>
        <w:numPr>
          <w:ilvl w:val="0"/>
          <w:numId w:val="0"/>
        </w:numPr>
        <w:shd w:val="clear"/>
        <w:spacing w:line="360" w:lineRule="auto"/>
        <w:ind w:firstLine="2891" w:firstLineChars="900"/>
        <w:outlineLvl w:val="0"/>
        <w:rPr>
          <w:rFonts w:hint="eastAsia" w:ascii="仿宋" w:hAnsi="仿宋" w:eastAsia="仿宋" w:cs="仿宋"/>
          <w:b/>
          <w:color w:val="000000" w:themeColor="text1"/>
          <w:sz w:val="32"/>
          <w:highlight w:val="none"/>
          <w14:textFill>
            <w14:solidFill>
              <w14:schemeClr w14:val="tx1"/>
            </w14:solidFill>
          </w14:textFill>
        </w:rPr>
      </w:pPr>
      <w:bookmarkStart w:id="529" w:name="_Toc26374"/>
      <w:bookmarkStart w:id="530" w:name="_Toc11132"/>
      <w:r>
        <w:rPr>
          <w:rFonts w:hint="eastAsia" w:ascii="仿宋" w:hAnsi="仿宋" w:eastAsia="仿宋" w:cs="仿宋"/>
          <w:b/>
          <w:color w:val="000000" w:themeColor="text1"/>
          <w:kern w:val="2"/>
          <w:sz w:val="32"/>
          <w:lang w:val="en-US" w:eastAsia="zh-CN" w:bidi="ar-SA"/>
          <w14:textFill>
            <w14:solidFill>
              <w14:schemeClr w14:val="tx1"/>
            </w14:solidFill>
          </w14:textFill>
        </w:rPr>
        <w:t>第2部分</w:t>
      </w:r>
      <w:r>
        <w:rPr>
          <w:rFonts w:hint="eastAsia" w:ascii="仿宋" w:hAnsi="仿宋" w:eastAsia="仿宋" w:cs="仿宋"/>
          <w:b/>
          <w:color w:val="000000" w:themeColor="text1"/>
          <w:sz w:val="32"/>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32"/>
          <w:highlight w:val="none"/>
          <w14:textFill>
            <w14:solidFill>
              <w14:schemeClr w14:val="tx1"/>
            </w14:solidFill>
          </w14:textFill>
        </w:rPr>
        <w:t>开标一览表</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14:paraId="3E6AD5B2">
      <w:pPr>
        <w:numPr>
          <w:ilvl w:val="0"/>
          <w:numId w:val="0"/>
        </w:numPr>
        <w:shd w:val="clear"/>
        <w:spacing w:line="360" w:lineRule="auto"/>
        <w:jc w:val="center"/>
        <w:outlineLvl w:val="0"/>
        <w:rPr>
          <w:rFonts w:hint="eastAsia" w:ascii="仿宋" w:hAnsi="仿宋" w:eastAsia="仿宋" w:cs="仿宋"/>
          <w:b/>
          <w:color w:val="000000" w:themeColor="text1"/>
          <w:sz w:val="28"/>
          <w:szCs w:val="18"/>
          <w:highlight w:val="none"/>
          <w:lang w:val="en-US" w:eastAsia="zh-CN"/>
          <w14:textFill>
            <w14:solidFill>
              <w14:schemeClr w14:val="tx1"/>
            </w14:solidFill>
          </w14:textFill>
        </w:rPr>
      </w:pPr>
      <w:r>
        <w:rPr>
          <w:rFonts w:hint="eastAsia" w:ascii="仿宋" w:hAnsi="仿宋" w:eastAsia="仿宋" w:cs="仿宋"/>
          <w:b/>
          <w:color w:val="000000" w:themeColor="text1"/>
          <w:sz w:val="28"/>
          <w:szCs w:val="18"/>
          <w:highlight w:val="none"/>
          <w:lang w:val="en-US" w:eastAsia="zh-CN"/>
          <w14:textFill>
            <w14:solidFill>
              <w14:schemeClr w14:val="tx1"/>
            </w14:solidFill>
          </w14:textFill>
        </w:rPr>
        <w:t>2.1、开标一览表</w:t>
      </w:r>
    </w:p>
    <w:p w14:paraId="71F2F05D">
      <w:pPr>
        <w:shd w:val="clea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项目</w:t>
      </w:r>
      <w:r>
        <w:rPr>
          <w:rFonts w:hint="eastAsia" w:ascii="仿宋" w:hAnsi="仿宋" w:eastAsia="仿宋" w:cs="仿宋"/>
          <w:color w:val="000000" w:themeColor="text1"/>
          <w:szCs w:val="21"/>
          <w:highlight w:val="none"/>
          <w14:textFill>
            <w14:solidFill>
              <w14:schemeClr w14:val="tx1"/>
            </w14:solidFill>
          </w14:textFill>
        </w:rPr>
        <w:t>名称：</w:t>
      </w:r>
      <w:r>
        <w:rPr>
          <w:rFonts w:hint="eastAsia" w:ascii="仿宋" w:hAnsi="仿宋" w:eastAsia="仿宋" w:cs="仿宋"/>
          <w:color w:val="000000" w:themeColor="text1"/>
          <w:szCs w:val="21"/>
          <w:highlight w:val="none"/>
          <w:lang w:eastAsia="zh-CN"/>
          <w14:textFill>
            <w14:solidFill>
              <w14:schemeClr w14:val="tx1"/>
            </w14:solidFill>
          </w14:textFill>
        </w:rPr>
        <w:t>汉中市南郑区人民医院肝胆泌尿外科等医疗设备采购项目（</w:t>
      </w:r>
      <w:r>
        <w:rPr>
          <w:rFonts w:hint="eastAsia" w:ascii="仿宋" w:hAnsi="仿宋" w:eastAsia="仿宋" w:cs="仿宋"/>
          <w:color w:val="000000" w:themeColor="text1"/>
          <w:szCs w:val="21"/>
          <w:highlight w:val="none"/>
          <w:lang w:val="en-US" w:eastAsia="zh-CN"/>
          <w14:textFill>
            <w14:solidFill>
              <w14:schemeClr w14:val="tx1"/>
            </w14:solidFill>
          </w14:textFill>
        </w:rPr>
        <w:t>合同包</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 xml:space="preserve">     </w:t>
      </w:r>
    </w:p>
    <w:tbl>
      <w:tblPr>
        <w:tblStyle w:val="42"/>
        <w:tblW w:w="9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4"/>
        <w:gridCol w:w="1968"/>
        <w:gridCol w:w="1493"/>
        <w:gridCol w:w="1440"/>
        <w:gridCol w:w="1320"/>
        <w:gridCol w:w="812"/>
      </w:tblGrid>
      <w:tr w14:paraId="17024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2154" w:type="dxa"/>
            <w:tcBorders>
              <w:tl2br w:val="single" w:color="auto" w:sz="4" w:space="0"/>
            </w:tcBorders>
          </w:tcPr>
          <w:p w14:paraId="00E708C8">
            <w:pPr>
              <w:shd w:val="clear"/>
              <w:spacing w:line="520" w:lineRule="exact"/>
              <w:ind w:firstLine="630" w:firstLineChars="3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投标内容</w:t>
            </w:r>
          </w:p>
          <w:p w14:paraId="1DC8A5D0">
            <w:pPr>
              <w:shd w:val="clear"/>
              <w:spacing w:line="520" w:lineRule="exact"/>
              <w:ind w:left="435" w:leftChars="207" w:firstLine="315" w:firstLineChars="150"/>
              <w:rPr>
                <w:rFonts w:hint="eastAsia" w:ascii="仿宋" w:hAnsi="仿宋" w:eastAsia="仿宋" w:cs="仿宋"/>
                <w:color w:val="000000" w:themeColor="text1"/>
                <w:szCs w:val="21"/>
                <w:highlight w:val="none"/>
                <w14:textFill>
                  <w14:solidFill>
                    <w14:schemeClr w14:val="tx1"/>
                  </w14:solidFill>
                </w14:textFill>
              </w:rPr>
            </w:pPr>
          </w:p>
          <w:p w14:paraId="1C1BFCF0">
            <w:pPr>
              <w:shd w:val="clea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投标人名称</w:t>
            </w:r>
          </w:p>
        </w:tc>
        <w:tc>
          <w:tcPr>
            <w:tcW w:w="1968" w:type="dxa"/>
            <w:vAlign w:val="center"/>
          </w:tcPr>
          <w:p w14:paraId="0BFBFFB8">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投标总报价</w:t>
            </w:r>
          </w:p>
          <w:p w14:paraId="1B27AC19">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（人民币）</w:t>
            </w:r>
          </w:p>
        </w:tc>
        <w:tc>
          <w:tcPr>
            <w:tcW w:w="1493" w:type="dxa"/>
            <w:vAlign w:val="center"/>
          </w:tcPr>
          <w:p w14:paraId="374109AB">
            <w:pPr>
              <w:shd w:val="clear"/>
              <w:spacing w:line="360" w:lineRule="auto"/>
              <w:jc w:val="center"/>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交付期</w:t>
            </w:r>
          </w:p>
        </w:tc>
        <w:tc>
          <w:tcPr>
            <w:tcW w:w="1440" w:type="dxa"/>
            <w:vAlign w:val="center"/>
          </w:tcPr>
          <w:p w14:paraId="0E248E25">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质保期</w:t>
            </w:r>
          </w:p>
        </w:tc>
        <w:tc>
          <w:tcPr>
            <w:tcW w:w="1320" w:type="dxa"/>
            <w:vAlign w:val="center"/>
          </w:tcPr>
          <w:p w14:paraId="4B12C680">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投标保证金</w:t>
            </w:r>
          </w:p>
        </w:tc>
        <w:tc>
          <w:tcPr>
            <w:tcW w:w="812" w:type="dxa"/>
            <w:vAlign w:val="center"/>
          </w:tcPr>
          <w:p w14:paraId="639555D6">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备注</w:t>
            </w:r>
          </w:p>
        </w:tc>
      </w:tr>
      <w:tr w14:paraId="2DFE8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2154" w:type="dxa"/>
          </w:tcPr>
          <w:p w14:paraId="43E08F02">
            <w:pPr>
              <w:shd w:val="clear"/>
              <w:spacing w:line="360" w:lineRule="auto"/>
              <w:rPr>
                <w:rFonts w:hint="eastAsia" w:ascii="仿宋" w:hAnsi="仿宋" w:eastAsia="仿宋" w:cs="仿宋"/>
                <w:color w:val="000000" w:themeColor="text1"/>
                <w:szCs w:val="21"/>
                <w:highlight w:val="none"/>
                <w14:textFill>
                  <w14:solidFill>
                    <w14:schemeClr w14:val="tx1"/>
                  </w14:solidFill>
                </w14:textFill>
              </w:rPr>
            </w:pPr>
          </w:p>
        </w:tc>
        <w:tc>
          <w:tcPr>
            <w:tcW w:w="1968" w:type="dxa"/>
            <w:vAlign w:val="center"/>
          </w:tcPr>
          <w:p w14:paraId="1B9558A7">
            <w:pPr>
              <w:shd w:val="clear"/>
              <w:spacing w:line="360" w:lineRule="auto"/>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大写：</w:t>
            </w:r>
          </w:p>
          <w:p w14:paraId="0547EB54">
            <w:pPr>
              <w:shd w:val="clear"/>
              <w:spacing w:line="360" w:lineRule="auto"/>
              <w:jc w:val="left"/>
              <w:rPr>
                <w:rFonts w:hint="eastAsia" w:ascii="仿宋" w:hAnsi="仿宋" w:eastAsia="仿宋" w:cs="仿宋"/>
                <w:color w:val="000000" w:themeColor="text1"/>
                <w:szCs w:val="21"/>
                <w:highlight w:val="none"/>
                <w14:textFill>
                  <w14:solidFill>
                    <w14:schemeClr w14:val="tx1"/>
                  </w14:solidFill>
                </w14:textFill>
              </w:rPr>
            </w:pPr>
          </w:p>
          <w:p w14:paraId="4C088A36">
            <w:pPr>
              <w:shd w:val="clear"/>
              <w:spacing w:line="360" w:lineRule="auto"/>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小写：</w:t>
            </w:r>
          </w:p>
        </w:tc>
        <w:tc>
          <w:tcPr>
            <w:tcW w:w="1493" w:type="dxa"/>
            <w:vAlign w:val="center"/>
          </w:tcPr>
          <w:p w14:paraId="6B38D116">
            <w:pPr>
              <w:shd w:val="clear"/>
              <w:spacing w:line="360" w:lineRule="auto"/>
              <w:rPr>
                <w:rFonts w:hint="eastAsia" w:ascii="仿宋" w:hAnsi="仿宋" w:eastAsia="仿宋" w:cs="仿宋"/>
                <w:color w:val="000000" w:themeColor="text1"/>
                <w:szCs w:val="21"/>
                <w:highlight w:val="none"/>
                <w14:textFill>
                  <w14:solidFill>
                    <w14:schemeClr w14:val="tx1"/>
                  </w14:solidFill>
                </w14:textFill>
              </w:rPr>
            </w:pPr>
          </w:p>
        </w:tc>
        <w:tc>
          <w:tcPr>
            <w:tcW w:w="1440" w:type="dxa"/>
          </w:tcPr>
          <w:p w14:paraId="2E2CED81">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320" w:type="dxa"/>
            <w:vAlign w:val="center"/>
          </w:tcPr>
          <w:p w14:paraId="1E91B7E9">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812" w:type="dxa"/>
            <w:vAlign w:val="center"/>
          </w:tcPr>
          <w:p w14:paraId="3AA52342">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r>
    </w:tbl>
    <w:p w14:paraId="0380DE47">
      <w:pPr>
        <w:pStyle w:val="27"/>
        <w:shd w:val="clear"/>
        <w:spacing w:after="0" w:line="360" w:lineRule="auto"/>
        <w:ind w:left="0" w:left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说明：1.报价应按总报价填写，精确到小数点后两位，大小写不一致时，以大写为准；</w:t>
      </w:r>
    </w:p>
    <w:p w14:paraId="3E8F72E2">
      <w:pPr>
        <w:shd w:val="clear"/>
        <w:spacing w:line="360" w:lineRule="auto"/>
        <w:ind w:firstLine="630" w:firstLineChars="3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 xml:space="preserve">.本表所列各项数据与投标文件其他地方表述不一致时，以本表为准； </w:t>
      </w:r>
    </w:p>
    <w:p w14:paraId="1F3B1902">
      <w:pPr>
        <w:shd w:val="clear"/>
        <w:spacing w:line="360" w:lineRule="auto"/>
        <w:ind w:firstLine="630" w:firstLineChars="3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lang w:val="zh-CN"/>
          <w14:textFill>
            <w14:solidFill>
              <w14:schemeClr w14:val="tx1"/>
            </w14:solidFill>
          </w14:textFill>
        </w:rPr>
        <w:t>本次报价需包含完成本项目所必须的全部费用。（产品如涉及专利等方面问题，应按 国家相关规定取得授权并确保不发生纠纷，投标（中标）企业须承担相关费用，如产生纠纷 由投标（中标）企业承担全部责任。）</w:t>
      </w:r>
    </w:p>
    <w:p w14:paraId="3888E9A5">
      <w:pPr>
        <w:shd w:val="clear"/>
        <w:spacing w:line="360" w:lineRule="auto"/>
        <w:ind w:firstLine="2730" w:firstLineChars="1300"/>
        <w:rPr>
          <w:rFonts w:hint="eastAsia" w:ascii="仿宋" w:hAnsi="仿宋" w:eastAsia="仿宋" w:cs="仿宋"/>
          <w:color w:val="000000" w:themeColor="text1"/>
          <w:szCs w:val="21"/>
          <w:highlight w:val="none"/>
          <w:lang w:val="zh-CN"/>
          <w14:textFill>
            <w14:solidFill>
              <w14:schemeClr w14:val="tx1"/>
            </w14:solidFill>
          </w14:textFill>
        </w:rPr>
      </w:pPr>
    </w:p>
    <w:p w14:paraId="6A11F27B">
      <w:pPr>
        <w:shd w:val="clear"/>
        <w:spacing w:line="360" w:lineRule="auto"/>
        <w:ind w:firstLine="2730" w:firstLineChars="1300"/>
        <w:rPr>
          <w:rFonts w:hint="eastAsia" w:ascii="仿宋" w:hAnsi="仿宋" w:eastAsia="仿宋" w:cs="仿宋"/>
          <w:color w:val="000000" w:themeColor="text1"/>
          <w:szCs w:val="21"/>
          <w:highlight w:val="none"/>
          <w:lang w:val="zh-CN"/>
          <w14:textFill>
            <w14:solidFill>
              <w14:schemeClr w14:val="tx1"/>
            </w14:solidFill>
          </w14:textFill>
        </w:rPr>
      </w:pPr>
    </w:p>
    <w:p w14:paraId="6BA649CA">
      <w:pPr>
        <w:shd w:val="clear"/>
        <w:spacing w:line="360" w:lineRule="auto"/>
        <w:ind w:firstLine="2730" w:firstLineChars="1300"/>
        <w:rPr>
          <w:rFonts w:hint="eastAsia" w:ascii="仿宋" w:hAnsi="仿宋" w:eastAsia="仿宋" w:cs="仿宋"/>
          <w:color w:val="000000" w:themeColor="text1"/>
          <w:szCs w:val="21"/>
          <w:highlight w:val="none"/>
          <w:lang w:val="zh-CN"/>
          <w14:textFill>
            <w14:solidFill>
              <w14:schemeClr w14:val="tx1"/>
            </w14:solidFill>
          </w14:textFill>
        </w:rPr>
      </w:pPr>
    </w:p>
    <w:p w14:paraId="2C63456B">
      <w:pPr>
        <w:shd w:val="clear"/>
        <w:spacing w:line="360" w:lineRule="auto"/>
        <w:ind w:firstLine="2730" w:firstLineChars="1300"/>
        <w:rPr>
          <w:rFonts w:hint="eastAsia" w:ascii="仿宋" w:hAnsi="仿宋" w:eastAsia="仿宋" w:cs="仿宋"/>
          <w:color w:val="000000" w:themeColor="text1"/>
          <w:szCs w:val="21"/>
          <w:highlight w:val="none"/>
          <w:lang w:val="zh-CN"/>
          <w14:textFill>
            <w14:solidFill>
              <w14:schemeClr w14:val="tx1"/>
            </w14:solidFill>
          </w14:textFill>
        </w:rPr>
      </w:pPr>
    </w:p>
    <w:p w14:paraId="657C2D6D">
      <w:pPr>
        <w:shd w:val="clear"/>
        <w:spacing w:line="360" w:lineRule="auto"/>
        <w:ind w:firstLine="2730" w:firstLineChars="1300"/>
        <w:rPr>
          <w:rFonts w:hint="eastAsia" w:ascii="仿宋" w:hAnsi="仿宋" w:eastAsia="仿宋" w:cs="仿宋"/>
          <w:color w:val="000000" w:themeColor="text1"/>
          <w:szCs w:val="21"/>
          <w:highlight w:val="none"/>
          <w:lang w:val="zh-CN"/>
          <w14:textFill>
            <w14:solidFill>
              <w14:schemeClr w14:val="tx1"/>
            </w14:solidFill>
          </w14:textFill>
        </w:rPr>
      </w:pPr>
    </w:p>
    <w:p w14:paraId="3FCC0F62">
      <w:pPr>
        <w:shd w:val="clear"/>
        <w:spacing w:line="360" w:lineRule="auto"/>
        <w:ind w:firstLine="2730" w:firstLineChars="1300"/>
        <w:rPr>
          <w:rFonts w:hint="eastAsia" w:ascii="仿宋" w:hAnsi="仿宋" w:eastAsia="仿宋" w:cs="仿宋"/>
          <w:color w:val="000000" w:themeColor="text1"/>
          <w:szCs w:val="21"/>
          <w:highlight w:val="none"/>
          <w:lang w:val="zh-CN"/>
          <w14:textFill>
            <w14:solidFill>
              <w14:schemeClr w14:val="tx1"/>
            </w14:solidFill>
          </w14:textFill>
        </w:rPr>
      </w:pPr>
    </w:p>
    <w:p w14:paraId="452CAFBC">
      <w:pPr>
        <w:shd w:val="clear"/>
        <w:spacing w:line="360" w:lineRule="auto"/>
        <w:ind w:firstLine="2940" w:firstLineChars="14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投标人：（公章）</w:t>
      </w:r>
    </w:p>
    <w:p w14:paraId="2B70491D">
      <w:pPr>
        <w:shd w:val="clear"/>
        <w:spacing w:line="360" w:lineRule="auto"/>
        <w:ind w:firstLine="2940" w:firstLineChars="1400"/>
        <w:rPr>
          <w:rFonts w:hint="eastAsia" w:ascii="仿宋" w:hAnsi="仿宋" w:eastAsia="仿宋" w:cs="仿宋"/>
          <w:color w:val="000000" w:themeColor="text1"/>
          <w:szCs w:val="21"/>
          <w:highlight w:val="none"/>
          <w:lang w:val="zh-CN"/>
          <w14:textFill>
            <w14:solidFill>
              <w14:schemeClr w14:val="tx1"/>
            </w14:solidFill>
          </w14:textFill>
        </w:rPr>
      </w:pPr>
    </w:p>
    <w:p w14:paraId="0679825E">
      <w:pPr>
        <w:shd w:val="clear"/>
        <w:spacing w:line="360" w:lineRule="auto"/>
        <w:ind w:firstLine="2940" w:firstLineChars="14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法定代表人或授权代表：（签字）</w:t>
      </w:r>
    </w:p>
    <w:p w14:paraId="10963632">
      <w:pPr>
        <w:shd w:val="clear"/>
        <w:spacing w:line="360" w:lineRule="auto"/>
        <w:rPr>
          <w:rFonts w:hint="eastAsia" w:ascii="仿宋" w:hAnsi="仿宋" w:eastAsia="仿宋" w:cs="仿宋"/>
          <w:color w:val="000000" w:themeColor="text1"/>
          <w:szCs w:val="21"/>
          <w:highlight w:val="none"/>
          <w:lang w:val="zh-CN"/>
          <w14:textFill>
            <w14:solidFill>
              <w14:schemeClr w14:val="tx1"/>
            </w14:solidFill>
          </w14:textFill>
        </w:rPr>
      </w:pPr>
    </w:p>
    <w:p w14:paraId="2620D036">
      <w:pPr>
        <w:shd w:val="clear"/>
        <w:spacing w:line="420" w:lineRule="exact"/>
        <w:ind w:firstLine="3360" w:firstLineChars="16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日期：</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年</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月</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日</w:t>
      </w:r>
    </w:p>
    <w:p w14:paraId="7162F305">
      <w:pPr>
        <w:pStyle w:val="27"/>
        <w:shd w:val="clear"/>
        <w:spacing w:after="0" w:line="360" w:lineRule="auto"/>
        <w:rPr>
          <w:rFonts w:hint="eastAsia" w:ascii="仿宋" w:hAnsi="仿宋" w:eastAsia="仿宋" w:cs="仿宋"/>
          <w:color w:val="000000" w:themeColor="text1"/>
          <w:szCs w:val="21"/>
          <w:highlight w:val="none"/>
          <w14:textFill>
            <w14:solidFill>
              <w14:schemeClr w14:val="tx1"/>
            </w14:solidFill>
          </w14:textFill>
        </w:rPr>
      </w:pPr>
    </w:p>
    <w:p w14:paraId="37E3936A">
      <w:pPr>
        <w:shd w:val="clear"/>
        <w:spacing w:afterLines="100"/>
        <w:rPr>
          <w:rFonts w:hint="eastAsia" w:ascii="仿宋" w:hAnsi="仿宋" w:eastAsia="仿宋" w:cs="仿宋"/>
          <w:b/>
          <w:color w:val="000000" w:themeColor="text1"/>
          <w:sz w:val="28"/>
          <w:szCs w:val="28"/>
          <w:highlight w:val="none"/>
          <w14:textFill>
            <w14:solidFill>
              <w14:schemeClr w14:val="tx1"/>
            </w14:solidFill>
          </w14:textFill>
        </w:rPr>
      </w:pPr>
      <w:bookmarkStart w:id="531" w:name="_Toc30668"/>
      <w:bookmarkStart w:id="532" w:name="_Toc9652"/>
      <w:bookmarkStart w:id="533" w:name="_Toc12929"/>
      <w:bookmarkStart w:id="534" w:name="_Toc14392"/>
      <w:bookmarkStart w:id="535" w:name="_Toc1640"/>
      <w:bookmarkStart w:id="536" w:name="_Toc24922"/>
      <w:bookmarkStart w:id="537" w:name="_Toc23970"/>
    </w:p>
    <w:p w14:paraId="4BDDFC79">
      <w:pPr>
        <w:numPr>
          <w:ilvl w:val="0"/>
          <w:numId w:val="0"/>
        </w:numPr>
        <w:shd w:val="clear"/>
        <w:spacing w:line="360" w:lineRule="auto"/>
        <w:jc w:val="center"/>
        <w:outlineLvl w:val="0"/>
        <w:rPr>
          <w:rFonts w:hint="eastAsia" w:ascii="仿宋" w:hAnsi="仿宋" w:eastAsia="仿宋" w:cs="仿宋"/>
          <w:b/>
          <w:color w:val="000000" w:themeColor="text1"/>
          <w:sz w:val="28"/>
          <w:szCs w:val="18"/>
          <w:highlight w:val="none"/>
          <w:lang w:val="en-US" w:eastAsia="zh-CN"/>
          <w14:textFill>
            <w14:solidFill>
              <w14:schemeClr w14:val="tx1"/>
            </w14:solidFill>
          </w14:textFill>
        </w:rPr>
      </w:pPr>
      <w:r>
        <w:rPr>
          <w:rFonts w:hint="eastAsia" w:ascii="仿宋" w:hAnsi="仿宋" w:eastAsia="仿宋" w:cs="仿宋"/>
          <w:b/>
          <w:color w:val="000000" w:themeColor="text1"/>
          <w:sz w:val="28"/>
          <w:szCs w:val="18"/>
          <w:highlight w:val="none"/>
          <w:lang w:val="en-US" w:eastAsia="zh-CN"/>
          <w14:textFill>
            <w14:solidFill>
              <w14:schemeClr w14:val="tx1"/>
            </w14:solidFill>
          </w14:textFill>
        </w:rPr>
        <w:t>2.2、货物（产品）分项报价表</w:t>
      </w:r>
    </w:p>
    <w:p w14:paraId="0571DA57">
      <w:pPr>
        <w:shd w:val="clea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项目</w:t>
      </w:r>
      <w:r>
        <w:rPr>
          <w:rFonts w:hint="eastAsia" w:ascii="仿宋" w:hAnsi="仿宋" w:eastAsia="仿宋" w:cs="仿宋"/>
          <w:color w:val="000000" w:themeColor="text1"/>
          <w:szCs w:val="21"/>
          <w:highlight w:val="none"/>
          <w14:textFill>
            <w14:solidFill>
              <w14:schemeClr w14:val="tx1"/>
            </w14:solidFill>
          </w14:textFill>
        </w:rPr>
        <w:t>名称：</w:t>
      </w:r>
      <w:r>
        <w:rPr>
          <w:rFonts w:hint="eastAsia" w:ascii="仿宋" w:hAnsi="仿宋" w:eastAsia="仿宋" w:cs="仿宋"/>
          <w:color w:val="000000" w:themeColor="text1"/>
          <w:szCs w:val="21"/>
          <w:highlight w:val="none"/>
          <w:lang w:eastAsia="zh-CN"/>
          <w14:textFill>
            <w14:solidFill>
              <w14:schemeClr w14:val="tx1"/>
            </w14:solidFill>
          </w14:textFill>
        </w:rPr>
        <w:t>汉中市南郑区人民医院肝胆泌尿外科等医疗设备采购项目（</w:t>
      </w:r>
      <w:r>
        <w:rPr>
          <w:rFonts w:hint="eastAsia" w:ascii="仿宋" w:hAnsi="仿宋" w:eastAsia="仿宋" w:cs="仿宋"/>
          <w:color w:val="000000" w:themeColor="text1"/>
          <w:szCs w:val="21"/>
          <w:highlight w:val="none"/>
          <w:lang w:val="en-US" w:eastAsia="zh-CN"/>
          <w14:textFill>
            <w14:solidFill>
              <w14:schemeClr w14:val="tx1"/>
            </w14:solidFill>
          </w14:textFill>
        </w:rPr>
        <w:t>合同包</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 xml:space="preserve">                                          </w:t>
      </w:r>
    </w:p>
    <w:p w14:paraId="4DCB03FE">
      <w:pPr>
        <w:shd w:val="clear"/>
        <w:spacing w:line="360" w:lineRule="auto"/>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项目</w:t>
      </w:r>
      <w:r>
        <w:rPr>
          <w:rFonts w:hint="eastAsia" w:ascii="仿宋" w:hAnsi="仿宋" w:eastAsia="仿宋" w:cs="仿宋"/>
          <w:color w:val="000000" w:themeColor="text1"/>
          <w:szCs w:val="21"/>
          <w:highlight w:val="none"/>
          <w14:textFill>
            <w14:solidFill>
              <w14:schemeClr w14:val="tx1"/>
            </w14:solidFill>
          </w14:textFill>
        </w:rPr>
        <w:t>编号：</w:t>
      </w:r>
      <w:r>
        <w:rPr>
          <w:rFonts w:hint="eastAsia" w:ascii="仿宋" w:hAnsi="仿宋" w:eastAsia="仿宋" w:cs="仿宋"/>
          <w:color w:val="000000" w:themeColor="text1"/>
          <w:szCs w:val="21"/>
          <w:highlight w:val="none"/>
          <w:lang w:eastAsia="zh-CN"/>
          <w14:textFill>
            <w14:solidFill>
              <w14:schemeClr w14:val="tx1"/>
            </w14:solidFill>
          </w14:textFill>
        </w:rPr>
        <w:t>TZZB-HZ-2025109C</w:t>
      </w:r>
    </w:p>
    <w:tbl>
      <w:tblPr>
        <w:tblStyle w:val="42"/>
        <w:tblpPr w:leftFromText="180" w:rightFromText="180" w:vertAnchor="text" w:horzAnchor="page" w:tblpX="1313" w:tblpY="118"/>
        <w:tblOverlap w:val="never"/>
        <w:tblW w:w="880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208"/>
        <w:gridCol w:w="945"/>
        <w:gridCol w:w="810"/>
        <w:gridCol w:w="1245"/>
        <w:gridCol w:w="1292"/>
        <w:gridCol w:w="1284"/>
        <w:gridCol w:w="1344"/>
      </w:tblGrid>
      <w:tr w14:paraId="6EE4A82A">
        <w:tblPrEx>
          <w:tblCellMar>
            <w:top w:w="0" w:type="dxa"/>
            <w:left w:w="108" w:type="dxa"/>
            <w:bottom w:w="0" w:type="dxa"/>
            <w:right w:w="108" w:type="dxa"/>
          </w:tblCellMar>
        </w:tblPrEx>
        <w:trPr>
          <w:trHeight w:val="789" w:hRule="atLeast"/>
        </w:trPr>
        <w:tc>
          <w:tcPr>
            <w:tcW w:w="673" w:type="dxa"/>
            <w:vAlign w:val="center"/>
          </w:tcPr>
          <w:p w14:paraId="0969329C">
            <w:pPr>
              <w:shd w:val="clear"/>
              <w:adjustRightInd w:val="0"/>
              <w:snapToGrid w:val="0"/>
              <w:spacing w:line="240" w:lineRule="auto"/>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序号</w:t>
            </w:r>
          </w:p>
        </w:tc>
        <w:tc>
          <w:tcPr>
            <w:tcW w:w="1208" w:type="dxa"/>
            <w:vAlign w:val="center"/>
          </w:tcPr>
          <w:p w14:paraId="459FB9BF">
            <w:pPr>
              <w:shd w:val="clear"/>
              <w:adjustRightInd w:val="0"/>
              <w:snapToGrid w:val="0"/>
              <w:spacing w:line="240" w:lineRule="auto"/>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货物</w:t>
            </w:r>
          </w:p>
          <w:p w14:paraId="2CC4B8E8">
            <w:pPr>
              <w:shd w:val="clear"/>
              <w:adjustRightInd w:val="0"/>
              <w:snapToGrid w:val="0"/>
              <w:spacing w:line="240" w:lineRule="auto"/>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名称</w:t>
            </w:r>
          </w:p>
        </w:tc>
        <w:tc>
          <w:tcPr>
            <w:tcW w:w="945" w:type="dxa"/>
            <w:vAlign w:val="center"/>
          </w:tcPr>
          <w:p w14:paraId="3F054EFE">
            <w:pPr>
              <w:shd w:val="clear"/>
              <w:adjustRightInd w:val="0"/>
              <w:snapToGrid w:val="0"/>
              <w:spacing w:line="240" w:lineRule="auto"/>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品牌</w:t>
            </w:r>
          </w:p>
        </w:tc>
        <w:tc>
          <w:tcPr>
            <w:tcW w:w="810" w:type="dxa"/>
            <w:vAlign w:val="center"/>
          </w:tcPr>
          <w:p w14:paraId="363FFE90">
            <w:pPr>
              <w:shd w:val="clear"/>
              <w:adjustRightInd w:val="0"/>
              <w:snapToGrid w:val="0"/>
              <w:spacing w:line="240" w:lineRule="auto"/>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型号规格</w:t>
            </w:r>
          </w:p>
        </w:tc>
        <w:tc>
          <w:tcPr>
            <w:tcW w:w="1245" w:type="dxa"/>
            <w:vAlign w:val="center"/>
          </w:tcPr>
          <w:p w14:paraId="44C426CA">
            <w:pPr>
              <w:shd w:val="clear"/>
              <w:adjustRightInd w:val="0"/>
              <w:snapToGrid w:val="0"/>
              <w:spacing w:line="240" w:lineRule="auto"/>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制造商</w:t>
            </w:r>
          </w:p>
        </w:tc>
        <w:tc>
          <w:tcPr>
            <w:tcW w:w="1292" w:type="dxa"/>
            <w:vAlign w:val="center"/>
          </w:tcPr>
          <w:p w14:paraId="7AFD0AE3">
            <w:pPr>
              <w:shd w:val="clear"/>
              <w:adjustRightInd w:val="0"/>
              <w:snapToGrid w:val="0"/>
              <w:spacing w:line="240" w:lineRule="auto"/>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数量/单位</w:t>
            </w:r>
          </w:p>
        </w:tc>
        <w:tc>
          <w:tcPr>
            <w:tcW w:w="1284" w:type="dxa"/>
            <w:vAlign w:val="center"/>
          </w:tcPr>
          <w:p w14:paraId="760552A7">
            <w:pPr>
              <w:shd w:val="clear"/>
              <w:adjustRightInd w:val="0"/>
              <w:snapToGrid w:val="0"/>
              <w:spacing w:line="240" w:lineRule="auto"/>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单价（元）</w:t>
            </w:r>
          </w:p>
        </w:tc>
        <w:tc>
          <w:tcPr>
            <w:tcW w:w="1344" w:type="dxa"/>
            <w:vAlign w:val="center"/>
          </w:tcPr>
          <w:p w14:paraId="151B8B75">
            <w:pPr>
              <w:shd w:val="clear"/>
              <w:adjustRightInd w:val="0"/>
              <w:snapToGrid w:val="0"/>
              <w:spacing w:line="240" w:lineRule="auto"/>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小计（元）</w:t>
            </w:r>
          </w:p>
        </w:tc>
      </w:tr>
      <w:tr w14:paraId="78758C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3" w:type="dxa"/>
            <w:vAlign w:val="bottom"/>
          </w:tcPr>
          <w:p w14:paraId="21EAE34C">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p>
        </w:tc>
        <w:tc>
          <w:tcPr>
            <w:tcW w:w="1208" w:type="dxa"/>
            <w:vAlign w:val="bottom"/>
          </w:tcPr>
          <w:p w14:paraId="41158A3D">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945" w:type="dxa"/>
            <w:vAlign w:val="bottom"/>
          </w:tcPr>
          <w:p w14:paraId="7F3A4004">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810" w:type="dxa"/>
            <w:vAlign w:val="bottom"/>
          </w:tcPr>
          <w:p w14:paraId="7A3DF5FB">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245" w:type="dxa"/>
            <w:vAlign w:val="bottom"/>
          </w:tcPr>
          <w:p w14:paraId="7DE7FA8A">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292" w:type="dxa"/>
            <w:vAlign w:val="bottom"/>
          </w:tcPr>
          <w:p w14:paraId="2D90B726">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284" w:type="dxa"/>
            <w:vAlign w:val="bottom"/>
          </w:tcPr>
          <w:p w14:paraId="50DC865E">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344" w:type="dxa"/>
            <w:vAlign w:val="bottom"/>
          </w:tcPr>
          <w:p w14:paraId="2D5CF879">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r>
      <w:tr w14:paraId="4C3AF1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3" w:type="dxa"/>
            <w:vAlign w:val="bottom"/>
          </w:tcPr>
          <w:p w14:paraId="1A99AD5F">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w:t>
            </w:r>
          </w:p>
        </w:tc>
        <w:tc>
          <w:tcPr>
            <w:tcW w:w="1208" w:type="dxa"/>
            <w:vAlign w:val="bottom"/>
          </w:tcPr>
          <w:p w14:paraId="5725A8D7">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945" w:type="dxa"/>
            <w:vAlign w:val="bottom"/>
          </w:tcPr>
          <w:p w14:paraId="33328903">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810" w:type="dxa"/>
            <w:vAlign w:val="bottom"/>
          </w:tcPr>
          <w:p w14:paraId="1410DF40">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245" w:type="dxa"/>
            <w:vAlign w:val="bottom"/>
          </w:tcPr>
          <w:p w14:paraId="3475C65A">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292" w:type="dxa"/>
            <w:vAlign w:val="bottom"/>
          </w:tcPr>
          <w:p w14:paraId="1028936F">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284" w:type="dxa"/>
            <w:vAlign w:val="bottom"/>
          </w:tcPr>
          <w:p w14:paraId="5A0AA9DA">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344" w:type="dxa"/>
            <w:vAlign w:val="bottom"/>
          </w:tcPr>
          <w:p w14:paraId="65754DA2">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r>
      <w:tr w14:paraId="68AF34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3" w:type="dxa"/>
            <w:vAlign w:val="bottom"/>
          </w:tcPr>
          <w:p w14:paraId="50AAB155">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w:t>
            </w:r>
          </w:p>
        </w:tc>
        <w:tc>
          <w:tcPr>
            <w:tcW w:w="1208" w:type="dxa"/>
            <w:vAlign w:val="bottom"/>
          </w:tcPr>
          <w:p w14:paraId="18C04846">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945" w:type="dxa"/>
            <w:vAlign w:val="bottom"/>
          </w:tcPr>
          <w:p w14:paraId="7792F060">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810" w:type="dxa"/>
            <w:vAlign w:val="bottom"/>
          </w:tcPr>
          <w:p w14:paraId="4C8255F5">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245" w:type="dxa"/>
            <w:vAlign w:val="bottom"/>
          </w:tcPr>
          <w:p w14:paraId="313CFBC1">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292" w:type="dxa"/>
            <w:vAlign w:val="bottom"/>
          </w:tcPr>
          <w:p w14:paraId="636FD221">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284" w:type="dxa"/>
            <w:vAlign w:val="bottom"/>
          </w:tcPr>
          <w:p w14:paraId="788C80D6">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344" w:type="dxa"/>
            <w:vAlign w:val="bottom"/>
          </w:tcPr>
          <w:p w14:paraId="25593DAC">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r>
      <w:tr w14:paraId="1D70D3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3" w:type="dxa"/>
            <w:vAlign w:val="bottom"/>
          </w:tcPr>
          <w:p w14:paraId="1DB6BD03">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p>
        </w:tc>
        <w:tc>
          <w:tcPr>
            <w:tcW w:w="1208" w:type="dxa"/>
            <w:vAlign w:val="bottom"/>
          </w:tcPr>
          <w:p w14:paraId="5697A446">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945" w:type="dxa"/>
            <w:vAlign w:val="bottom"/>
          </w:tcPr>
          <w:p w14:paraId="33B61F6B">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810" w:type="dxa"/>
            <w:vAlign w:val="bottom"/>
          </w:tcPr>
          <w:p w14:paraId="53232E20">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245" w:type="dxa"/>
            <w:vAlign w:val="bottom"/>
          </w:tcPr>
          <w:p w14:paraId="3D27BBD9">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292" w:type="dxa"/>
            <w:vAlign w:val="bottom"/>
          </w:tcPr>
          <w:p w14:paraId="3E6EE34B">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284" w:type="dxa"/>
            <w:vAlign w:val="bottom"/>
          </w:tcPr>
          <w:p w14:paraId="14244A19">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344" w:type="dxa"/>
            <w:vAlign w:val="bottom"/>
          </w:tcPr>
          <w:p w14:paraId="454CB7D7">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r>
      <w:tr w14:paraId="73969B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3" w:type="dxa"/>
            <w:vAlign w:val="bottom"/>
          </w:tcPr>
          <w:p w14:paraId="3E44EF6D">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w:t>
            </w:r>
          </w:p>
        </w:tc>
        <w:tc>
          <w:tcPr>
            <w:tcW w:w="1208" w:type="dxa"/>
            <w:vAlign w:val="bottom"/>
          </w:tcPr>
          <w:p w14:paraId="0ED30D23">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945" w:type="dxa"/>
            <w:vAlign w:val="bottom"/>
          </w:tcPr>
          <w:p w14:paraId="1A4277B6">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810" w:type="dxa"/>
            <w:vAlign w:val="bottom"/>
          </w:tcPr>
          <w:p w14:paraId="17561745">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245" w:type="dxa"/>
            <w:vAlign w:val="bottom"/>
          </w:tcPr>
          <w:p w14:paraId="3B13033F">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292" w:type="dxa"/>
            <w:vAlign w:val="bottom"/>
          </w:tcPr>
          <w:p w14:paraId="44E7A006">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284" w:type="dxa"/>
            <w:vAlign w:val="bottom"/>
          </w:tcPr>
          <w:p w14:paraId="659FD392">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344" w:type="dxa"/>
            <w:vAlign w:val="bottom"/>
          </w:tcPr>
          <w:p w14:paraId="2689AE9E">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r>
      <w:tr w14:paraId="217E0D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3" w:type="dxa"/>
            <w:vAlign w:val="bottom"/>
          </w:tcPr>
          <w:p w14:paraId="3F3750E5">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w:t>
            </w:r>
          </w:p>
        </w:tc>
        <w:tc>
          <w:tcPr>
            <w:tcW w:w="1208" w:type="dxa"/>
            <w:vAlign w:val="bottom"/>
          </w:tcPr>
          <w:p w14:paraId="27FEF1EC">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945" w:type="dxa"/>
            <w:vAlign w:val="bottom"/>
          </w:tcPr>
          <w:p w14:paraId="184B3E9A">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810" w:type="dxa"/>
            <w:vAlign w:val="bottom"/>
          </w:tcPr>
          <w:p w14:paraId="12027DDA">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245" w:type="dxa"/>
            <w:vAlign w:val="bottom"/>
          </w:tcPr>
          <w:p w14:paraId="0E5AA861">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292" w:type="dxa"/>
            <w:vAlign w:val="bottom"/>
          </w:tcPr>
          <w:p w14:paraId="223A6A49">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284" w:type="dxa"/>
            <w:vAlign w:val="bottom"/>
          </w:tcPr>
          <w:p w14:paraId="1B7D6EFD">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344" w:type="dxa"/>
            <w:vAlign w:val="bottom"/>
          </w:tcPr>
          <w:p w14:paraId="396901FD">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r>
      <w:tr w14:paraId="3CBB93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3" w:type="dxa"/>
            <w:vAlign w:val="bottom"/>
          </w:tcPr>
          <w:p w14:paraId="589898B5">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w:t>
            </w:r>
          </w:p>
        </w:tc>
        <w:tc>
          <w:tcPr>
            <w:tcW w:w="1208" w:type="dxa"/>
            <w:vAlign w:val="bottom"/>
          </w:tcPr>
          <w:p w14:paraId="7EDABC22">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945" w:type="dxa"/>
            <w:vAlign w:val="bottom"/>
          </w:tcPr>
          <w:p w14:paraId="26DB1247">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810" w:type="dxa"/>
            <w:vAlign w:val="bottom"/>
          </w:tcPr>
          <w:p w14:paraId="4496247B">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245" w:type="dxa"/>
            <w:vAlign w:val="bottom"/>
          </w:tcPr>
          <w:p w14:paraId="08410B71">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292" w:type="dxa"/>
            <w:vAlign w:val="bottom"/>
          </w:tcPr>
          <w:p w14:paraId="48F41FC6">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284" w:type="dxa"/>
            <w:vAlign w:val="bottom"/>
          </w:tcPr>
          <w:p w14:paraId="4FD75822">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344" w:type="dxa"/>
            <w:vAlign w:val="bottom"/>
          </w:tcPr>
          <w:p w14:paraId="5EA4954E">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r>
      <w:tr w14:paraId="4536C4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7" w:type="dxa"/>
            <w:gridSpan w:val="7"/>
            <w:vAlign w:val="bottom"/>
          </w:tcPr>
          <w:p w14:paraId="5CD00714">
            <w:pPr>
              <w:shd w:val="clear"/>
              <w:adjustRightInd w:val="0"/>
              <w:snapToGrid w:val="0"/>
              <w:spacing w:line="360" w:lineRule="auto"/>
              <w:jc w:val="center"/>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合计</w:t>
            </w:r>
          </w:p>
        </w:tc>
        <w:tc>
          <w:tcPr>
            <w:tcW w:w="1344" w:type="dxa"/>
            <w:vAlign w:val="bottom"/>
          </w:tcPr>
          <w:p w14:paraId="098272CA">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r>
    </w:tbl>
    <w:p w14:paraId="69DAD11F">
      <w:pPr>
        <w:shd w:val="clear"/>
        <w:adjustRightInd w:val="0"/>
        <w:snapToGrid w:val="0"/>
        <w:spacing w:beforeLines="50"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说明：</w:t>
      </w:r>
    </w:p>
    <w:p w14:paraId="47D4B2D7">
      <w:pPr>
        <w:shd w:val="clear"/>
        <w:adjustRightInd w:val="0"/>
        <w:snapToGrid w:val="0"/>
        <w:spacing w:beforeLines="50"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1.品牌和制造商指产品的品牌和生产厂商；</w:t>
      </w:r>
    </w:p>
    <w:p w14:paraId="3B641A05">
      <w:pPr>
        <w:shd w:val="clear"/>
        <w:adjustRightInd w:val="0"/>
        <w:snapToGrid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2.投标人须按“货物（产品）</w:t>
      </w:r>
      <w:r>
        <w:rPr>
          <w:rFonts w:hint="eastAsia" w:ascii="仿宋" w:hAnsi="仿宋" w:eastAsia="仿宋" w:cs="仿宋"/>
          <w:bCs/>
          <w:color w:val="000000" w:themeColor="text1"/>
          <w:szCs w:val="21"/>
          <w:highlight w:val="none"/>
          <w14:textFill>
            <w14:solidFill>
              <w14:schemeClr w14:val="tx1"/>
            </w14:solidFill>
          </w14:textFill>
        </w:rPr>
        <w:t>分项报价表”的格式</w:t>
      </w:r>
      <w:r>
        <w:rPr>
          <w:rFonts w:hint="eastAsia" w:ascii="仿宋" w:hAnsi="仿宋" w:eastAsia="仿宋" w:cs="仿宋"/>
          <w:color w:val="000000" w:themeColor="text1"/>
          <w:szCs w:val="21"/>
          <w:highlight w:val="none"/>
          <w14:textFill>
            <w14:solidFill>
              <w14:schemeClr w14:val="tx1"/>
            </w14:solidFill>
          </w14:textFill>
        </w:rPr>
        <w:t>详细报出投标总价的各个组成部分的报价；报价精确到小数点后两位；</w:t>
      </w:r>
    </w:p>
    <w:p w14:paraId="46D8ED72">
      <w:pPr>
        <w:shd w:val="clear"/>
        <w:adjustRightInd w:val="0"/>
        <w:snapToGrid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.本</w:t>
      </w:r>
      <w:r>
        <w:rPr>
          <w:rFonts w:hint="eastAsia" w:ascii="仿宋" w:hAnsi="仿宋" w:eastAsia="仿宋" w:cs="仿宋"/>
          <w:bCs/>
          <w:color w:val="000000" w:themeColor="text1"/>
          <w:szCs w:val="21"/>
          <w:highlight w:val="none"/>
          <w14:textFill>
            <w14:solidFill>
              <w14:schemeClr w14:val="tx1"/>
            </w14:solidFill>
          </w14:textFill>
        </w:rPr>
        <w:t>表各分项报价合计应当与“开标一览表”总报价相等；</w:t>
      </w:r>
      <w:r>
        <w:rPr>
          <w:rFonts w:hint="eastAsia" w:ascii="仿宋" w:hAnsi="仿宋" w:eastAsia="仿宋" w:cs="仿宋"/>
          <w:color w:val="000000" w:themeColor="text1"/>
          <w:szCs w:val="21"/>
          <w:highlight w:val="none"/>
          <w14:textFill>
            <w14:solidFill>
              <w14:schemeClr w14:val="tx1"/>
            </w14:solidFill>
          </w14:textFill>
        </w:rPr>
        <w:t>如果按单价计算的结果与报价不一致时，以单价为准修正报价与合计报价；</w:t>
      </w:r>
    </w:p>
    <w:p w14:paraId="04F7F1DE">
      <w:pPr>
        <w:shd w:val="clear"/>
        <w:adjustRightInd w:val="0"/>
        <w:snapToGrid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.本表为多页的，每页均需由</w:t>
      </w:r>
      <w:r>
        <w:rPr>
          <w:rFonts w:hint="eastAsia" w:ascii="仿宋" w:hAnsi="仿宋" w:eastAsia="仿宋" w:cs="仿宋"/>
          <w:color w:val="000000" w:themeColor="text1"/>
          <w:szCs w:val="21"/>
          <w:highlight w:val="none"/>
          <w:lang w:eastAsia="zh-CN"/>
          <w14:textFill>
            <w14:solidFill>
              <w14:schemeClr w14:val="tx1"/>
            </w14:solidFill>
          </w14:textFill>
        </w:rPr>
        <w:t>法定代表人或授权代表</w:t>
      </w:r>
      <w:r>
        <w:rPr>
          <w:rFonts w:hint="eastAsia" w:ascii="仿宋" w:hAnsi="仿宋" w:eastAsia="仿宋" w:cs="仿宋"/>
          <w:color w:val="000000" w:themeColor="text1"/>
          <w:szCs w:val="21"/>
          <w:highlight w:val="none"/>
          <w14:textFill>
            <w14:solidFill>
              <w14:schemeClr w14:val="tx1"/>
            </w14:solidFill>
          </w14:textFill>
        </w:rPr>
        <w:t>签字并盖投标人单位章；</w:t>
      </w:r>
    </w:p>
    <w:p w14:paraId="7CEB74D2">
      <w:pPr>
        <w:pStyle w:val="57"/>
        <w:shd w:val="clear"/>
        <w:rPr>
          <w:rFonts w:hint="eastAsia" w:ascii="仿宋" w:hAnsi="仿宋" w:eastAsia="仿宋" w:cs="仿宋"/>
          <w:color w:val="000000" w:themeColor="text1"/>
          <w:highlight w:val="none"/>
          <w:lang w:eastAsia="zh-CN"/>
          <w14:textFill>
            <w14:solidFill>
              <w14:schemeClr w14:val="tx1"/>
            </w14:solidFill>
          </w14:textFill>
        </w:rPr>
      </w:pPr>
    </w:p>
    <w:p w14:paraId="52B3D2E3">
      <w:pPr>
        <w:pStyle w:val="57"/>
        <w:shd w:val="clear"/>
        <w:rPr>
          <w:rFonts w:hint="eastAsia" w:ascii="仿宋" w:hAnsi="仿宋" w:eastAsia="仿宋" w:cs="仿宋"/>
          <w:color w:val="000000" w:themeColor="text1"/>
          <w:highlight w:val="none"/>
          <w:lang w:eastAsia="zh-CN"/>
          <w14:textFill>
            <w14:solidFill>
              <w14:schemeClr w14:val="tx1"/>
            </w14:solidFill>
          </w14:textFill>
        </w:rPr>
      </w:pPr>
    </w:p>
    <w:p w14:paraId="57BED670">
      <w:pPr>
        <w:pStyle w:val="57"/>
        <w:shd w:val="clear"/>
        <w:rPr>
          <w:rFonts w:hint="eastAsia" w:ascii="仿宋" w:hAnsi="仿宋" w:eastAsia="仿宋" w:cs="仿宋"/>
          <w:color w:val="000000" w:themeColor="text1"/>
          <w:highlight w:val="none"/>
          <w:lang w:eastAsia="zh-CN"/>
          <w14:textFill>
            <w14:solidFill>
              <w14:schemeClr w14:val="tx1"/>
            </w14:solidFill>
          </w14:textFill>
        </w:rPr>
      </w:pPr>
    </w:p>
    <w:p w14:paraId="69C9ADC6">
      <w:pPr>
        <w:shd w:val="clear"/>
        <w:spacing w:line="360" w:lineRule="auto"/>
        <w:ind w:firstLine="5040" w:firstLineChars="24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投标人：（公章）</w:t>
      </w:r>
    </w:p>
    <w:p w14:paraId="77D46166">
      <w:pPr>
        <w:shd w:val="clear"/>
        <w:spacing w:line="360" w:lineRule="auto"/>
        <w:ind w:firstLine="5040" w:firstLineChars="24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法定代表人或授权代表：（签字）</w:t>
      </w:r>
    </w:p>
    <w:p w14:paraId="02F32842">
      <w:pPr>
        <w:shd w:val="clear"/>
        <w:spacing w:line="360" w:lineRule="auto"/>
        <w:ind w:firstLine="5040" w:firstLineChars="24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日期：年月日</w:t>
      </w:r>
    </w:p>
    <w:bookmarkEnd w:id="531"/>
    <w:bookmarkEnd w:id="532"/>
    <w:bookmarkEnd w:id="533"/>
    <w:bookmarkEnd w:id="534"/>
    <w:bookmarkEnd w:id="535"/>
    <w:bookmarkEnd w:id="536"/>
    <w:bookmarkEnd w:id="537"/>
    <w:p w14:paraId="537581E7">
      <w:pPr>
        <w:shd w:val="clear"/>
        <w:spacing w:afterLines="100"/>
        <w:jc w:val="both"/>
        <w:rPr>
          <w:rFonts w:hint="eastAsia" w:ascii="仿宋" w:hAnsi="仿宋" w:eastAsia="仿宋" w:cs="仿宋"/>
          <w:b/>
          <w:color w:val="000000" w:themeColor="text1"/>
          <w:sz w:val="32"/>
          <w:szCs w:val="32"/>
          <w:highlight w:val="none"/>
          <w:lang w:val="en-US" w:eastAsia="zh-CN"/>
          <w14:textFill>
            <w14:solidFill>
              <w14:schemeClr w14:val="tx1"/>
            </w14:solidFill>
          </w14:textFill>
        </w:rPr>
      </w:pPr>
      <w:bookmarkStart w:id="538" w:name="_Toc6138"/>
      <w:bookmarkStart w:id="539" w:name="_Toc30531"/>
      <w:bookmarkStart w:id="540" w:name="_Toc9966"/>
      <w:bookmarkStart w:id="541" w:name="_Toc19156"/>
      <w:bookmarkStart w:id="542" w:name="_Toc777"/>
      <w:bookmarkStart w:id="543" w:name="_Toc7687"/>
      <w:bookmarkStart w:id="544" w:name="_Toc21590"/>
    </w:p>
    <w:p w14:paraId="15283C8F">
      <w:pPr>
        <w:shd w:val="clear"/>
        <w:jc w:val="both"/>
        <w:outlineLvl w:val="0"/>
        <w:rPr>
          <w:rFonts w:hint="eastAsia" w:ascii="仿宋" w:hAnsi="仿宋" w:eastAsia="仿宋" w:cs="仿宋"/>
          <w:b/>
          <w:color w:val="000000" w:themeColor="text1"/>
          <w:sz w:val="32"/>
          <w:highlight w:val="none"/>
          <w:lang w:val="en-US" w:eastAsia="zh-CN"/>
          <w14:textFill>
            <w14:solidFill>
              <w14:schemeClr w14:val="tx1"/>
            </w14:solidFill>
          </w14:textFill>
        </w:rPr>
      </w:pPr>
      <w:bookmarkStart w:id="545" w:name="_Toc8716"/>
      <w:bookmarkStart w:id="546" w:name="_Toc20618"/>
    </w:p>
    <w:p w14:paraId="49E2EC52">
      <w:pPr>
        <w:adjustRightInd w:val="0"/>
        <w:snapToGrid w:val="0"/>
        <w:spacing w:line="360" w:lineRule="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附件</w:t>
      </w:r>
    </w:p>
    <w:p w14:paraId="5286772D">
      <w:pPr>
        <w:spacing w:line="360" w:lineRule="auto"/>
        <w:jc w:val="center"/>
        <w:outlineLvl w:val="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提供可享受政府采购优惠政策的证明材料</w:t>
      </w:r>
    </w:p>
    <w:p w14:paraId="18F20FE6">
      <w:pPr>
        <w:adjustRightInd w:val="0"/>
        <w:snapToGrid w:val="0"/>
        <w:spacing w:line="360" w:lineRule="auto"/>
        <w:ind w:firstLine="367" w:firstLineChars="175"/>
        <w:rPr>
          <w:rFonts w:hint="eastAsia" w:ascii="仿宋" w:hAnsi="仿宋" w:eastAsia="仿宋" w:cs="仿宋"/>
          <w:color w:val="000000" w:themeColor="text1"/>
          <w:kern w:val="0"/>
          <w:szCs w:val="21"/>
          <w14:textFill>
            <w14:solidFill>
              <w14:schemeClr w14:val="tx1"/>
            </w14:solidFill>
          </w14:textFill>
        </w:rPr>
      </w:pPr>
    </w:p>
    <w:p w14:paraId="32D93CF9">
      <w:pPr>
        <w:adjustRightInd w:val="0"/>
        <w:snapToGrid w:val="0"/>
        <w:spacing w:line="360" w:lineRule="auto"/>
        <w:ind w:firstLine="367" w:firstLineChars="175"/>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本项目依据《中华人民共和国政府采购法》和《中华人民共和国政府采购法实施条例》的有关规定，落实政府采购政策。 </w:t>
      </w:r>
    </w:p>
    <w:p w14:paraId="455F4BB4">
      <w:pPr>
        <w:pStyle w:val="127"/>
        <w:tabs>
          <w:tab w:val="left" w:pos="360"/>
        </w:tabs>
        <w:spacing w:line="360" w:lineRule="auto"/>
        <w:ind w:firstLine="420" w:firstLineChars="200"/>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 xml:space="preserve">1、《政府采购促进中小企业发展管理办法》(财库〔2020〕46号） </w:t>
      </w:r>
    </w:p>
    <w:p w14:paraId="4224A74B">
      <w:pPr>
        <w:pStyle w:val="127"/>
        <w:tabs>
          <w:tab w:val="left" w:pos="360"/>
        </w:tabs>
        <w:spacing w:line="360" w:lineRule="auto"/>
        <w:ind w:firstLine="420" w:firstLineChars="200"/>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 xml:space="preserve">2、财政部司法部关于政府采购支持监狱企业发展有关问题的通知--财库〔2014〕68号 </w:t>
      </w:r>
    </w:p>
    <w:p w14:paraId="3BD63F2A">
      <w:pPr>
        <w:pStyle w:val="127"/>
        <w:tabs>
          <w:tab w:val="left" w:pos="360"/>
        </w:tabs>
        <w:spacing w:line="360" w:lineRule="auto"/>
        <w:ind w:firstLine="420" w:firstLineChars="200"/>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 xml:space="preserve">3、《国务院办公厅关于建立政府强制采购节能产品制度的通知》--国办发〔２００７〕５１号 </w:t>
      </w:r>
    </w:p>
    <w:p w14:paraId="381C2FAC">
      <w:pPr>
        <w:pStyle w:val="127"/>
        <w:tabs>
          <w:tab w:val="left" w:pos="360"/>
        </w:tabs>
        <w:spacing w:line="360" w:lineRule="auto"/>
        <w:ind w:firstLine="420" w:firstLineChars="200"/>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 xml:space="preserve">4、《节能产品政府采购实施意见》--（财库[2004]185号） </w:t>
      </w:r>
    </w:p>
    <w:p w14:paraId="63FD6D58">
      <w:pPr>
        <w:pStyle w:val="127"/>
        <w:tabs>
          <w:tab w:val="left" w:pos="360"/>
        </w:tabs>
        <w:spacing w:line="360" w:lineRule="auto"/>
        <w:ind w:firstLine="420" w:firstLineChars="200"/>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 xml:space="preserve">5、《环境标志产品政府采购实施的意见》--财库[2006]90号 </w:t>
      </w:r>
    </w:p>
    <w:p w14:paraId="54D698B2">
      <w:pPr>
        <w:pStyle w:val="127"/>
        <w:tabs>
          <w:tab w:val="left" w:pos="360"/>
        </w:tabs>
        <w:spacing w:line="360" w:lineRule="auto"/>
        <w:ind w:firstLine="420" w:firstLineChars="200"/>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 xml:space="preserve">6、《财政部民政部中国残疾人联合会关于促进残疾人就业政府采购政策的通知》--（财库〔2017〕141号） </w:t>
      </w:r>
    </w:p>
    <w:p w14:paraId="3771DDCF">
      <w:pPr>
        <w:pStyle w:val="127"/>
        <w:tabs>
          <w:tab w:val="left" w:pos="360"/>
        </w:tabs>
        <w:spacing w:line="360" w:lineRule="auto"/>
        <w:ind w:firstLine="440"/>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 xml:space="preserve">7、《财政部发展改革委生态环境部市场监管总局关于调整优化节能产品、环境标志产品政府采购执行机制的通知》（财库〔2019〕9号）； </w:t>
      </w:r>
    </w:p>
    <w:p w14:paraId="15E86091">
      <w:pPr>
        <w:pStyle w:val="127"/>
        <w:tabs>
          <w:tab w:val="left" w:pos="360"/>
        </w:tabs>
        <w:spacing w:line="360" w:lineRule="auto"/>
        <w:ind w:firstLine="440"/>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8、《财政部 国务院扶贫办关于运用政府采购政策支持脱贫攻坚的通知》（财库〔2019〕27号）。</w:t>
      </w:r>
    </w:p>
    <w:p w14:paraId="1826BB69">
      <w:pPr>
        <w:pStyle w:val="127"/>
        <w:tabs>
          <w:tab w:val="left" w:pos="360"/>
        </w:tabs>
        <w:spacing w:line="360" w:lineRule="auto"/>
        <w:ind w:firstLine="420" w:firstLineChars="200"/>
        <w:rPr>
          <w:rFonts w:hint="eastAsia" w:ascii="仿宋" w:hAnsi="仿宋" w:eastAsia="仿宋" w:cs="仿宋"/>
          <w:color w:val="000000" w:themeColor="text1"/>
          <w:kern w:val="0"/>
          <w14:textFill>
            <w14:solidFill>
              <w14:schemeClr w14:val="tx1"/>
            </w14:solidFill>
          </w14:textFill>
        </w:rPr>
      </w:pPr>
    </w:p>
    <w:p w14:paraId="4868634A">
      <w:pPr>
        <w:adjustRightInd w:val="0"/>
        <w:snapToGrid w:val="0"/>
        <w:spacing w:line="360" w:lineRule="auto"/>
        <w:ind w:firstLine="367" w:firstLineChars="175"/>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注：</w:t>
      </w:r>
      <w:r>
        <w:rPr>
          <w:rFonts w:hint="eastAsia" w:ascii="仿宋" w:hAnsi="仿宋" w:eastAsia="仿宋" w:cs="仿宋"/>
          <w:color w:val="000000" w:themeColor="text1"/>
          <w:szCs w:val="21"/>
          <w14:textFill>
            <w14:solidFill>
              <w14:schemeClr w14:val="tx1"/>
            </w14:solidFill>
          </w14:textFill>
        </w:rPr>
        <w:t>请投标人按相应政策要求提供声明函，未提供或提供的声明函有瑕疵的，在评标时不享受政府采购优惠政策。经评标委员会查询投标人不属于中小型企业的，评标时不予以考虑。</w:t>
      </w:r>
    </w:p>
    <w:p w14:paraId="79628FD8">
      <w:pPr>
        <w:widowControl/>
        <w:rPr>
          <w:rFonts w:hint="eastAsia" w:ascii="仿宋" w:hAnsi="仿宋" w:eastAsia="仿宋" w:cs="仿宋"/>
          <w:b/>
          <w:bCs/>
          <w:color w:val="000000" w:themeColor="text1"/>
          <w:sz w:val="24"/>
          <w:szCs w:val="24"/>
          <w14:textFill>
            <w14:solidFill>
              <w14:schemeClr w14:val="tx1"/>
            </w14:solidFill>
          </w14:textFill>
        </w:rPr>
      </w:pPr>
    </w:p>
    <w:p w14:paraId="7E6E67A0">
      <w:pPr>
        <w:widowControl/>
        <w:jc w:val="center"/>
        <w:rPr>
          <w:rFonts w:hint="eastAsia" w:ascii="仿宋" w:hAnsi="仿宋" w:eastAsia="仿宋" w:cs="仿宋"/>
          <w:b/>
          <w:bCs/>
          <w:color w:val="000000" w:themeColor="text1"/>
          <w:sz w:val="24"/>
          <w:szCs w:val="24"/>
          <w14:textFill>
            <w14:solidFill>
              <w14:schemeClr w14:val="tx1"/>
            </w14:solidFill>
          </w14:textFill>
        </w:rPr>
      </w:pPr>
    </w:p>
    <w:p w14:paraId="0A0653E2">
      <w:pPr>
        <w:widowControl/>
        <w:jc w:val="center"/>
        <w:rPr>
          <w:rFonts w:hint="eastAsia" w:ascii="仿宋" w:hAnsi="仿宋" w:eastAsia="仿宋" w:cs="仿宋"/>
          <w:b/>
          <w:bCs/>
          <w:color w:val="000000" w:themeColor="text1"/>
          <w:sz w:val="24"/>
          <w:szCs w:val="24"/>
          <w14:textFill>
            <w14:solidFill>
              <w14:schemeClr w14:val="tx1"/>
            </w14:solidFill>
          </w14:textFill>
        </w:rPr>
      </w:pPr>
    </w:p>
    <w:p w14:paraId="4167E721">
      <w:pPr>
        <w:widowControl/>
        <w:jc w:val="center"/>
        <w:rPr>
          <w:rFonts w:hint="eastAsia" w:ascii="仿宋" w:hAnsi="仿宋" w:eastAsia="仿宋" w:cs="仿宋"/>
          <w:b/>
          <w:bCs/>
          <w:color w:val="000000" w:themeColor="text1"/>
          <w:sz w:val="24"/>
          <w:szCs w:val="24"/>
          <w14:textFill>
            <w14:solidFill>
              <w14:schemeClr w14:val="tx1"/>
            </w14:solidFill>
          </w14:textFill>
        </w:rPr>
      </w:pPr>
    </w:p>
    <w:p w14:paraId="6097FE78">
      <w:pPr>
        <w:widowControl/>
        <w:jc w:val="center"/>
        <w:rPr>
          <w:rFonts w:hint="eastAsia" w:ascii="仿宋" w:hAnsi="仿宋" w:eastAsia="仿宋" w:cs="仿宋"/>
          <w:b/>
          <w:bCs/>
          <w:color w:val="000000" w:themeColor="text1"/>
          <w:sz w:val="24"/>
          <w:szCs w:val="24"/>
          <w14:textFill>
            <w14:solidFill>
              <w14:schemeClr w14:val="tx1"/>
            </w14:solidFill>
          </w14:textFill>
        </w:rPr>
      </w:pPr>
    </w:p>
    <w:p w14:paraId="6C670226">
      <w:pPr>
        <w:widowControl/>
        <w:jc w:val="center"/>
        <w:rPr>
          <w:rFonts w:hint="eastAsia" w:ascii="仿宋" w:hAnsi="仿宋" w:eastAsia="仿宋" w:cs="仿宋"/>
          <w:b/>
          <w:bCs/>
          <w:color w:val="000000" w:themeColor="text1"/>
          <w:sz w:val="24"/>
          <w:szCs w:val="24"/>
          <w14:textFill>
            <w14:solidFill>
              <w14:schemeClr w14:val="tx1"/>
            </w14:solidFill>
          </w14:textFill>
        </w:rPr>
      </w:pPr>
    </w:p>
    <w:p w14:paraId="17C1060F">
      <w:pPr>
        <w:widowControl/>
        <w:jc w:val="center"/>
        <w:rPr>
          <w:rFonts w:hint="eastAsia" w:ascii="仿宋" w:hAnsi="仿宋" w:eastAsia="仿宋" w:cs="仿宋"/>
          <w:b/>
          <w:bCs/>
          <w:color w:val="000000" w:themeColor="text1"/>
          <w:sz w:val="24"/>
          <w:szCs w:val="24"/>
          <w14:textFill>
            <w14:solidFill>
              <w14:schemeClr w14:val="tx1"/>
            </w14:solidFill>
          </w14:textFill>
        </w:rPr>
      </w:pPr>
    </w:p>
    <w:p w14:paraId="11FE6579">
      <w:pPr>
        <w:widowControl/>
        <w:jc w:val="center"/>
        <w:rPr>
          <w:rFonts w:hint="eastAsia" w:ascii="仿宋" w:hAnsi="仿宋" w:eastAsia="仿宋" w:cs="仿宋"/>
          <w:b/>
          <w:bCs/>
          <w:color w:val="000000" w:themeColor="text1"/>
          <w:sz w:val="24"/>
          <w:szCs w:val="24"/>
          <w14:textFill>
            <w14:solidFill>
              <w14:schemeClr w14:val="tx1"/>
            </w14:solidFill>
          </w14:textFill>
        </w:rPr>
      </w:pPr>
    </w:p>
    <w:p w14:paraId="5270A7B2">
      <w:pPr>
        <w:widowControl/>
        <w:jc w:val="center"/>
        <w:rPr>
          <w:rFonts w:hint="eastAsia" w:ascii="仿宋" w:hAnsi="仿宋" w:eastAsia="仿宋" w:cs="仿宋"/>
          <w:b/>
          <w:bCs/>
          <w:color w:val="000000" w:themeColor="text1"/>
          <w:sz w:val="24"/>
          <w:szCs w:val="24"/>
          <w14:textFill>
            <w14:solidFill>
              <w14:schemeClr w14:val="tx1"/>
            </w14:solidFill>
          </w14:textFill>
        </w:rPr>
      </w:pPr>
    </w:p>
    <w:p w14:paraId="5169D3F4">
      <w:pPr>
        <w:widowControl/>
        <w:jc w:val="center"/>
        <w:rPr>
          <w:rFonts w:hint="eastAsia" w:ascii="仿宋" w:hAnsi="仿宋" w:eastAsia="仿宋" w:cs="仿宋"/>
          <w:b/>
          <w:bCs/>
          <w:color w:val="000000" w:themeColor="text1"/>
          <w:sz w:val="24"/>
          <w:szCs w:val="24"/>
          <w14:textFill>
            <w14:solidFill>
              <w14:schemeClr w14:val="tx1"/>
            </w14:solidFill>
          </w14:textFill>
        </w:rPr>
      </w:pPr>
    </w:p>
    <w:p w14:paraId="547D906A">
      <w:pPr>
        <w:widowControl/>
        <w:jc w:val="center"/>
        <w:rPr>
          <w:rFonts w:hint="eastAsia" w:ascii="仿宋" w:hAnsi="仿宋" w:eastAsia="仿宋" w:cs="仿宋"/>
          <w:b/>
          <w:bCs/>
          <w:color w:val="000000" w:themeColor="text1"/>
          <w:sz w:val="24"/>
          <w:szCs w:val="24"/>
          <w14:textFill>
            <w14:solidFill>
              <w14:schemeClr w14:val="tx1"/>
            </w14:solidFill>
          </w14:textFill>
        </w:rPr>
      </w:pPr>
    </w:p>
    <w:p w14:paraId="6C190C3F">
      <w:pPr>
        <w:widowControl/>
        <w:jc w:val="center"/>
        <w:rPr>
          <w:rFonts w:hint="eastAsia" w:ascii="仿宋" w:hAnsi="仿宋" w:eastAsia="仿宋" w:cs="仿宋"/>
          <w:b/>
          <w:bCs/>
          <w:color w:val="000000" w:themeColor="text1"/>
          <w:sz w:val="24"/>
          <w:szCs w:val="24"/>
          <w14:textFill>
            <w14:solidFill>
              <w14:schemeClr w14:val="tx1"/>
            </w14:solidFill>
          </w14:textFill>
        </w:rPr>
      </w:pPr>
    </w:p>
    <w:p w14:paraId="2B7BDBA7">
      <w:pPr>
        <w:widowControl/>
        <w:jc w:val="center"/>
        <w:rPr>
          <w:rFonts w:hint="eastAsia" w:ascii="仿宋" w:hAnsi="仿宋" w:eastAsia="仿宋" w:cs="仿宋"/>
          <w:b/>
          <w:bCs/>
          <w:color w:val="000000" w:themeColor="text1"/>
          <w:sz w:val="24"/>
          <w:szCs w:val="24"/>
          <w14:textFill>
            <w14:solidFill>
              <w14:schemeClr w14:val="tx1"/>
            </w14:solidFill>
          </w14:textFill>
        </w:rPr>
      </w:pPr>
    </w:p>
    <w:p w14:paraId="33817FB7">
      <w:pPr>
        <w:widowControl/>
        <w:jc w:val="center"/>
        <w:rPr>
          <w:rFonts w:hint="eastAsia" w:ascii="仿宋" w:hAnsi="仿宋" w:eastAsia="仿宋" w:cs="仿宋"/>
          <w:b/>
          <w:bCs/>
          <w:color w:val="000000" w:themeColor="text1"/>
          <w:sz w:val="24"/>
          <w:szCs w:val="24"/>
          <w14:textFill>
            <w14:solidFill>
              <w14:schemeClr w14:val="tx1"/>
            </w14:solidFill>
          </w14:textFill>
        </w:rPr>
      </w:pPr>
    </w:p>
    <w:p w14:paraId="729EEF47">
      <w:pPr>
        <w:widowControl/>
        <w:jc w:val="center"/>
        <w:rPr>
          <w:rFonts w:hint="eastAsia" w:ascii="仿宋" w:hAnsi="仿宋" w:eastAsia="仿宋" w:cs="仿宋"/>
          <w:b/>
          <w:bCs/>
          <w:color w:val="000000" w:themeColor="text1"/>
          <w:sz w:val="24"/>
          <w:szCs w:val="24"/>
          <w14:textFill>
            <w14:solidFill>
              <w14:schemeClr w14:val="tx1"/>
            </w14:solidFill>
          </w14:textFill>
        </w:rPr>
      </w:pPr>
    </w:p>
    <w:p w14:paraId="5B7C3B53">
      <w:pPr>
        <w:widowControl/>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格式一：中小企业声明函</w:t>
      </w:r>
    </w:p>
    <w:p w14:paraId="13A9A1B8">
      <w:pPr>
        <w:adjustRightInd w:val="0"/>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0015DA67">
      <w:pPr>
        <w:adjustRightInd w:val="0"/>
        <w:snapToGrid w:val="0"/>
        <w:spacing w:line="384"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本公司郑重声明，根据《政府采购促进中小企业发展管理办法》（财库﹝2020﹞46号）的规定，本公司参加</w:t>
      </w:r>
      <w:r>
        <w:rPr>
          <w:rFonts w:hint="eastAsia" w:ascii="仿宋" w:hAnsi="仿宋" w:eastAsia="仿宋" w:cs="仿宋"/>
          <w:color w:val="000000" w:themeColor="text1"/>
          <w:szCs w:val="21"/>
          <w:u w:val="single"/>
          <w14:textFill>
            <w14:solidFill>
              <w14:schemeClr w14:val="tx1"/>
            </w14:solidFill>
          </w14:textFill>
        </w:rPr>
        <w:t xml:space="preserve">       （单位名称）</w:t>
      </w:r>
      <w:r>
        <w:rPr>
          <w:rFonts w:hint="eastAsia" w:ascii="仿宋" w:hAnsi="仿宋" w:eastAsia="仿宋" w:cs="仿宋"/>
          <w:color w:val="000000" w:themeColor="text1"/>
          <w:szCs w:val="21"/>
          <w14:textFill>
            <w14:solidFill>
              <w14:schemeClr w14:val="tx1"/>
            </w14:solidFill>
          </w14:textFill>
        </w:rPr>
        <w:t>的</w:t>
      </w:r>
      <w:r>
        <w:rPr>
          <w:rFonts w:hint="eastAsia" w:ascii="仿宋" w:hAnsi="仿宋" w:eastAsia="仿宋" w:cs="仿宋"/>
          <w:color w:val="000000" w:themeColor="text1"/>
          <w:szCs w:val="21"/>
          <w:u w:val="single"/>
          <w14:textFill>
            <w14:solidFill>
              <w14:schemeClr w14:val="tx1"/>
            </w14:solidFill>
          </w14:textFill>
        </w:rPr>
        <w:t xml:space="preserve">    （项目名称）</w:t>
      </w:r>
      <w:r>
        <w:rPr>
          <w:rFonts w:hint="eastAsia" w:ascii="仿宋" w:hAnsi="仿宋" w:eastAsia="仿宋" w:cs="仿宋"/>
          <w:color w:val="000000" w:themeColor="text1"/>
          <w:szCs w:val="21"/>
          <w14:textFill>
            <w14:solidFill>
              <w14:schemeClr w14:val="tx1"/>
            </w14:solidFill>
          </w14:textFill>
        </w:rPr>
        <w:t>采购活动，提供的</w:t>
      </w:r>
      <w:r>
        <w:rPr>
          <w:rFonts w:hint="eastAsia" w:ascii="仿宋" w:hAnsi="仿宋" w:eastAsia="仿宋" w:cs="仿宋"/>
          <w:color w:val="000000" w:themeColor="text1"/>
          <w:szCs w:val="21"/>
          <w:lang w:eastAsia="zh-CN"/>
          <w14:textFill>
            <w14:solidFill>
              <w14:schemeClr w14:val="tx1"/>
            </w14:solidFill>
          </w14:textFill>
        </w:rPr>
        <w:t>产品</w:t>
      </w:r>
      <w:r>
        <w:rPr>
          <w:rFonts w:hint="eastAsia" w:ascii="仿宋" w:hAnsi="仿宋" w:eastAsia="仿宋" w:cs="仿宋"/>
          <w:color w:val="000000" w:themeColor="text1"/>
          <w:szCs w:val="21"/>
          <w14:textFill>
            <w14:solidFill>
              <w14:schemeClr w14:val="tx1"/>
            </w14:solidFill>
          </w14:textFill>
        </w:rPr>
        <w:t>全部由符合政策要求的中小企业制造。相关企业的具体情况如下：</w:t>
      </w:r>
    </w:p>
    <w:p w14:paraId="1EF1E726">
      <w:pPr>
        <w:adjustRightInd w:val="0"/>
        <w:snapToGrid w:val="0"/>
        <w:spacing w:line="384" w:lineRule="auto"/>
        <w:ind w:firstLine="420" w:firstLineChars="200"/>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r>
        <w:rPr>
          <w:rFonts w:hint="eastAsia" w:ascii="仿宋" w:hAnsi="仿宋" w:eastAsia="仿宋" w:cs="仿宋"/>
          <w:color w:val="000000" w:themeColor="text1"/>
          <w:szCs w:val="21"/>
          <w:u w:val="single"/>
          <w14:textFill>
            <w14:solidFill>
              <w14:schemeClr w14:val="tx1"/>
            </w14:solidFill>
          </w14:textFill>
        </w:rPr>
        <w:t>（</w:t>
      </w:r>
      <w:r>
        <w:rPr>
          <w:rFonts w:hint="eastAsia" w:ascii="仿宋" w:hAnsi="仿宋" w:eastAsia="仿宋" w:cs="仿宋"/>
          <w:color w:val="000000" w:themeColor="text1"/>
          <w:szCs w:val="21"/>
          <w:u w:val="single"/>
          <w:lang w:val="en-US" w:eastAsia="zh-CN"/>
          <w14:textFill>
            <w14:solidFill>
              <w14:schemeClr w14:val="tx1"/>
            </w14:solidFill>
          </w14:textFill>
        </w:rPr>
        <w:t xml:space="preserve">      </w:t>
      </w:r>
      <w:r>
        <w:rPr>
          <w:rFonts w:hint="eastAsia" w:ascii="仿宋" w:hAnsi="仿宋" w:eastAsia="仿宋" w:cs="仿宋"/>
          <w:color w:val="000000" w:themeColor="text1"/>
          <w:szCs w:val="21"/>
          <w:u w:val="single"/>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，属于</w:t>
      </w:r>
      <w:r>
        <w:rPr>
          <w:rFonts w:hint="eastAsia" w:ascii="仿宋" w:hAnsi="仿宋" w:eastAsia="仿宋" w:cs="仿宋"/>
          <w:color w:val="000000" w:themeColor="text1"/>
          <w:szCs w:val="21"/>
          <w:u w:val="single"/>
          <w14:textFill>
            <w14:solidFill>
              <w14:schemeClr w14:val="tx1"/>
            </w14:solidFill>
          </w14:textFill>
        </w:rPr>
        <w:t xml:space="preserve"> 工业 </w:t>
      </w:r>
      <w:r>
        <w:rPr>
          <w:rFonts w:hint="eastAsia" w:ascii="仿宋" w:hAnsi="仿宋" w:eastAsia="仿宋" w:cs="仿宋"/>
          <w:color w:val="000000" w:themeColor="text1"/>
          <w:szCs w:val="21"/>
          <w14:textFill>
            <w14:solidFill>
              <w14:schemeClr w14:val="tx1"/>
            </w14:solidFill>
          </w14:textFill>
        </w:rPr>
        <w:t>行业；制造商为</w:t>
      </w:r>
      <w:r>
        <w:rPr>
          <w:rFonts w:hint="eastAsia" w:ascii="仿宋" w:hAnsi="仿宋" w:eastAsia="仿宋" w:cs="仿宋"/>
          <w:color w:val="000000" w:themeColor="text1"/>
          <w:szCs w:val="21"/>
          <w:u w:val="single"/>
          <w14:textFill>
            <w14:solidFill>
              <w14:schemeClr w14:val="tx1"/>
            </w14:solidFill>
          </w14:textFill>
        </w:rPr>
        <w:t>（企业名称）</w:t>
      </w:r>
      <w:r>
        <w:rPr>
          <w:rFonts w:hint="eastAsia" w:ascii="仿宋" w:hAnsi="仿宋" w:eastAsia="仿宋" w:cs="仿宋"/>
          <w:color w:val="000000" w:themeColor="text1"/>
          <w:szCs w:val="21"/>
          <w14:textFill>
            <w14:solidFill>
              <w14:schemeClr w14:val="tx1"/>
            </w14:solidFill>
          </w14:textFill>
        </w:rPr>
        <w:t>，从业人员</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人，营业收入为</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万元，资产总额为</w:t>
      </w:r>
      <w:r>
        <w:rPr>
          <w:rFonts w:hint="eastAsia" w:ascii="仿宋" w:hAnsi="仿宋" w:eastAsia="仿宋" w:cs="仿宋"/>
          <w:color w:val="000000" w:themeColor="text1"/>
          <w:szCs w:val="21"/>
          <w:u w:val="single"/>
          <w14:textFill>
            <w14:solidFill>
              <w14:schemeClr w14:val="tx1"/>
            </w14:solidFill>
          </w14:textFill>
        </w:rPr>
        <w:tab/>
      </w:r>
      <w:r>
        <w:rPr>
          <w:rFonts w:hint="eastAsia" w:ascii="仿宋" w:hAnsi="仿宋" w:eastAsia="仿宋" w:cs="仿宋"/>
          <w:color w:val="000000" w:themeColor="text1"/>
          <w:szCs w:val="21"/>
          <w14:textFill>
            <w14:solidFill>
              <w14:schemeClr w14:val="tx1"/>
            </w14:solidFill>
          </w14:textFill>
        </w:rPr>
        <w:t>万元，属于</w:t>
      </w:r>
      <w:r>
        <w:rPr>
          <w:rFonts w:hint="eastAsia" w:ascii="仿宋" w:hAnsi="仿宋" w:eastAsia="仿宋" w:cs="仿宋"/>
          <w:color w:val="000000" w:themeColor="text1"/>
          <w:szCs w:val="21"/>
          <w:u w:val="single"/>
          <w14:textFill>
            <w14:solidFill>
              <w14:schemeClr w14:val="tx1"/>
            </w14:solidFill>
          </w14:textFill>
        </w:rPr>
        <w:t>（中型企业、小型企业、微型企业）</w:t>
      </w:r>
      <w:r>
        <w:rPr>
          <w:rFonts w:hint="eastAsia" w:ascii="仿宋" w:hAnsi="仿宋" w:eastAsia="仿宋" w:cs="仿宋"/>
          <w:color w:val="000000" w:themeColor="text1"/>
          <w:szCs w:val="21"/>
          <w14:textFill>
            <w14:solidFill>
              <w14:schemeClr w14:val="tx1"/>
            </w14:solidFill>
          </w14:textFill>
        </w:rPr>
        <w:t>；</w:t>
      </w:r>
    </w:p>
    <w:p w14:paraId="329D00C0">
      <w:pPr>
        <w:tabs>
          <w:tab w:val="left" w:pos="3600"/>
        </w:tabs>
        <w:adjustRightInd w:val="0"/>
        <w:snapToGrid w:val="0"/>
        <w:spacing w:line="360" w:lineRule="auto"/>
        <w:ind w:firstLine="420" w:firstLineChars="200"/>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w:t>
      </w:r>
    </w:p>
    <w:p w14:paraId="7642D26A">
      <w:pPr>
        <w:tabs>
          <w:tab w:val="left" w:pos="3600"/>
        </w:tabs>
        <w:adjustRightInd w:val="0"/>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1"/>
          <w:szCs w:val="21"/>
          <w14:textFill>
            <w14:solidFill>
              <w14:schemeClr w14:val="tx1"/>
            </w14:solidFill>
          </w14:textFill>
        </w:rPr>
        <w:t>以上企业，不属于大企业的分支机构，不存在控股股东为大企业的情形，也不存在与大企业的负责人为同一人的情形。 本企业对上述声明内容的真实性负责。如有虚假，将依法承担相应责任。</w:t>
      </w:r>
      <w:r>
        <w:rPr>
          <w:rFonts w:hint="eastAsia" w:ascii="仿宋" w:hAnsi="仿宋" w:eastAsia="仿宋" w:cs="仿宋"/>
          <w:color w:val="000000" w:themeColor="text1"/>
          <w:szCs w:val="21"/>
          <w14:textFill>
            <w14:solidFill>
              <w14:schemeClr w14:val="tx1"/>
            </w14:solidFill>
          </w14:textFill>
        </w:rPr>
        <w:t xml:space="preserve"> </w:t>
      </w:r>
    </w:p>
    <w:p w14:paraId="6175A0E3">
      <w:pPr>
        <w:tabs>
          <w:tab w:val="left" w:pos="3600"/>
        </w:tabs>
        <w:adjustRightInd w:val="0"/>
        <w:snapToGrid w:val="0"/>
        <w:spacing w:line="360" w:lineRule="auto"/>
        <w:ind w:firstLine="2940" w:firstLineChars="1400"/>
        <w:rPr>
          <w:rFonts w:hint="eastAsia" w:ascii="仿宋" w:hAnsi="仿宋" w:eastAsia="仿宋" w:cs="仿宋"/>
          <w:color w:val="000000" w:themeColor="text1"/>
          <w:szCs w:val="21"/>
          <w14:textFill>
            <w14:solidFill>
              <w14:schemeClr w14:val="tx1"/>
            </w14:solidFill>
          </w14:textFill>
        </w:rPr>
      </w:pPr>
    </w:p>
    <w:p w14:paraId="566630CD">
      <w:pPr>
        <w:pStyle w:val="57"/>
        <w:ind w:firstLine="0"/>
        <w:rPr>
          <w:rFonts w:hint="eastAsia" w:ascii="仿宋" w:hAnsi="仿宋" w:eastAsia="仿宋" w:cs="仿宋"/>
          <w:color w:val="000000" w:themeColor="text1"/>
          <w:sz w:val="21"/>
          <w:szCs w:val="21"/>
          <w14:textFill>
            <w14:solidFill>
              <w14:schemeClr w14:val="tx1"/>
            </w14:solidFill>
          </w14:textFill>
        </w:rPr>
      </w:pPr>
    </w:p>
    <w:p w14:paraId="223B993B">
      <w:pPr>
        <w:tabs>
          <w:tab w:val="left" w:pos="3600"/>
        </w:tabs>
        <w:adjustRightInd w:val="0"/>
        <w:snapToGrid w:val="0"/>
        <w:spacing w:line="360" w:lineRule="auto"/>
        <w:ind w:firstLine="4200" w:firstLineChars="20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企业名称（盖章）：</w:t>
      </w:r>
    </w:p>
    <w:p w14:paraId="02762EFE">
      <w:pPr>
        <w:tabs>
          <w:tab w:val="left" w:pos="3600"/>
        </w:tabs>
        <w:adjustRightInd w:val="0"/>
        <w:snapToGrid w:val="0"/>
        <w:spacing w:line="360" w:lineRule="auto"/>
        <w:rPr>
          <w:rFonts w:hint="eastAsia" w:ascii="仿宋" w:hAnsi="仿宋" w:eastAsia="仿宋" w:cs="仿宋"/>
          <w:color w:val="000000" w:themeColor="text1"/>
          <w:szCs w:val="21"/>
          <w14:textFill>
            <w14:solidFill>
              <w14:schemeClr w14:val="tx1"/>
            </w14:solidFill>
          </w14:textFill>
        </w:rPr>
      </w:pPr>
    </w:p>
    <w:p w14:paraId="568530FE">
      <w:pPr>
        <w:tabs>
          <w:tab w:val="left" w:pos="3600"/>
        </w:tabs>
        <w:adjustRightInd w:val="0"/>
        <w:snapToGrid w:val="0"/>
        <w:spacing w:line="360" w:lineRule="auto"/>
        <w:ind w:firstLine="4200" w:firstLineChars="20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日             期：</w:t>
      </w:r>
    </w:p>
    <w:p w14:paraId="40998D5A">
      <w:pPr>
        <w:rPr>
          <w:rFonts w:hint="eastAsia" w:ascii="仿宋" w:hAnsi="仿宋" w:eastAsia="仿宋" w:cs="仿宋"/>
          <w:color w:val="000000" w:themeColor="text1"/>
          <w14:textFill>
            <w14:solidFill>
              <w14:schemeClr w14:val="tx1"/>
            </w14:solidFill>
          </w14:textFill>
        </w:rPr>
      </w:pPr>
    </w:p>
    <w:p w14:paraId="0193E371">
      <w:pPr>
        <w:tabs>
          <w:tab w:val="left" w:pos="3600"/>
        </w:tabs>
        <w:adjustRightInd w:val="0"/>
        <w:snapToGrid w:val="0"/>
        <w:spacing w:line="36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说明：</w:t>
      </w:r>
    </w:p>
    <w:p w14:paraId="42F2C354">
      <w:pPr>
        <w:tabs>
          <w:tab w:val="left" w:pos="3600"/>
        </w:tabs>
        <w:adjustRightInd w:val="0"/>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填写前请认真阅读《工业和信息化部、国家统计局、国家发展和改革委员会、财政部关于印发中小企业划型标准规定的通知》（工信部联企业[2011]300号）和《政府采购促进中小企业发展管理办法》(财库〔2020〕46号相关规定。</w:t>
      </w:r>
    </w:p>
    <w:p w14:paraId="5B866EC7">
      <w:pPr>
        <w:tabs>
          <w:tab w:val="left" w:pos="3600"/>
        </w:tabs>
        <w:adjustRightInd w:val="0"/>
        <w:snapToGrid w:val="0"/>
        <w:spacing w:line="360" w:lineRule="auto"/>
        <w:ind w:firstLine="420" w:firstLineChars="200"/>
        <w:outlineLvl w:val="1"/>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2、若《中小企业声明函》出现明显错误，可要求投标人进行澄清修改，澄清修改后符合中小企业条件的投标人，非专门面向中小企业的，中小企业声明函不属于资格审查部分。</w:t>
      </w:r>
    </w:p>
    <w:p w14:paraId="58F0ACE8">
      <w:pPr>
        <w:widowControl/>
        <w:jc w:val="center"/>
        <w:rPr>
          <w:rFonts w:hint="eastAsia" w:ascii="仿宋" w:hAnsi="仿宋" w:eastAsia="仿宋" w:cs="仿宋"/>
          <w:b/>
          <w:bCs/>
          <w:color w:val="000000" w:themeColor="text1"/>
          <w:sz w:val="28"/>
          <w:szCs w:val="28"/>
          <w14:textFill>
            <w14:solidFill>
              <w14:schemeClr w14:val="tx1"/>
            </w14:solidFill>
          </w14:textFill>
        </w:rPr>
      </w:pPr>
    </w:p>
    <w:p w14:paraId="075D9E04">
      <w:pPr>
        <w:widowControl/>
        <w:jc w:val="center"/>
        <w:rPr>
          <w:rFonts w:hint="eastAsia" w:ascii="仿宋" w:hAnsi="仿宋" w:eastAsia="仿宋" w:cs="仿宋"/>
          <w:b/>
          <w:bCs/>
          <w:color w:val="000000" w:themeColor="text1"/>
          <w:sz w:val="24"/>
          <w:szCs w:val="24"/>
          <w14:textFill>
            <w14:solidFill>
              <w14:schemeClr w14:val="tx1"/>
            </w14:solidFill>
          </w14:textFill>
        </w:rPr>
      </w:pPr>
    </w:p>
    <w:p w14:paraId="57D99C58">
      <w:pPr>
        <w:widowControl/>
        <w:jc w:val="center"/>
        <w:rPr>
          <w:rFonts w:hint="eastAsia" w:ascii="仿宋" w:hAnsi="仿宋" w:eastAsia="仿宋" w:cs="仿宋"/>
          <w:b/>
          <w:bCs/>
          <w:color w:val="000000" w:themeColor="text1"/>
          <w:sz w:val="24"/>
          <w:szCs w:val="24"/>
          <w14:textFill>
            <w14:solidFill>
              <w14:schemeClr w14:val="tx1"/>
            </w14:solidFill>
          </w14:textFill>
        </w:rPr>
      </w:pPr>
    </w:p>
    <w:p w14:paraId="5543B416">
      <w:pPr>
        <w:widowControl/>
        <w:jc w:val="center"/>
        <w:rPr>
          <w:rFonts w:hint="eastAsia" w:ascii="仿宋" w:hAnsi="仿宋" w:eastAsia="仿宋" w:cs="仿宋"/>
          <w:b/>
          <w:bCs/>
          <w:color w:val="000000" w:themeColor="text1"/>
          <w:sz w:val="24"/>
          <w:szCs w:val="24"/>
          <w14:textFill>
            <w14:solidFill>
              <w14:schemeClr w14:val="tx1"/>
            </w14:solidFill>
          </w14:textFill>
        </w:rPr>
      </w:pPr>
    </w:p>
    <w:p w14:paraId="213359A1">
      <w:pPr>
        <w:widowControl/>
        <w:jc w:val="center"/>
        <w:rPr>
          <w:rFonts w:hint="eastAsia" w:ascii="仿宋" w:hAnsi="仿宋" w:eastAsia="仿宋" w:cs="仿宋"/>
          <w:b/>
          <w:bCs/>
          <w:color w:val="000000" w:themeColor="text1"/>
          <w:sz w:val="24"/>
          <w:szCs w:val="24"/>
          <w14:textFill>
            <w14:solidFill>
              <w14:schemeClr w14:val="tx1"/>
            </w14:solidFill>
          </w14:textFill>
        </w:rPr>
      </w:pPr>
    </w:p>
    <w:p w14:paraId="68535723">
      <w:pPr>
        <w:widowControl/>
        <w:jc w:val="center"/>
        <w:rPr>
          <w:rFonts w:hint="eastAsia" w:ascii="仿宋" w:hAnsi="仿宋" w:eastAsia="仿宋" w:cs="仿宋"/>
          <w:b/>
          <w:bCs/>
          <w:color w:val="000000" w:themeColor="text1"/>
          <w:sz w:val="24"/>
          <w:szCs w:val="24"/>
          <w14:textFill>
            <w14:solidFill>
              <w14:schemeClr w14:val="tx1"/>
            </w14:solidFill>
          </w14:textFill>
        </w:rPr>
      </w:pPr>
    </w:p>
    <w:p w14:paraId="2FA14BA8">
      <w:pPr>
        <w:widowControl/>
        <w:jc w:val="center"/>
        <w:rPr>
          <w:rFonts w:hint="eastAsia" w:ascii="仿宋" w:hAnsi="仿宋" w:eastAsia="仿宋" w:cs="仿宋"/>
          <w:b/>
          <w:bCs/>
          <w:color w:val="000000" w:themeColor="text1"/>
          <w:sz w:val="24"/>
          <w:szCs w:val="24"/>
          <w14:textFill>
            <w14:solidFill>
              <w14:schemeClr w14:val="tx1"/>
            </w14:solidFill>
          </w14:textFill>
        </w:rPr>
      </w:pPr>
    </w:p>
    <w:p w14:paraId="7B77B5B6">
      <w:pPr>
        <w:widowControl/>
        <w:jc w:val="center"/>
        <w:rPr>
          <w:rFonts w:hint="eastAsia" w:ascii="仿宋" w:hAnsi="仿宋" w:eastAsia="仿宋" w:cs="仿宋"/>
          <w:b/>
          <w:bCs/>
          <w:color w:val="000000" w:themeColor="text1"/>
          <w:sz w:val="24"/>
          <w:szCs w:val="24"/>
          <w14:textFill>
            <w14:solidFill>
              <w14:schemeClr w14:val="tx1"/>
            </w14:solidFill>
          </w14:textFill>
        </w:rPr>
      </w:pPr>
    </w:p>
    <w:p w14:paraId="7A29C710">
      <w:pPr>
        <w:widowControl/>
        <w:jc w:val="center"/>
        <w:rPr>
          <w:rFonts w:hint="eastAsia" w:ascii="仿宋" w:hAnsi="仿宋" w:eastAsia="仿宋" w:cs="仿宋"/>
          <w:b/>
          <w:bCs/>
          <w:color w:val="000000" w:themeColor="text1"/>
          <w:sz w:val="24"/>
          <w:szCs w:val="24"/>
          <w14:textFill>
            <w14:solidFill>
              <w14:schemeClr w14:val="tx1"/>
            </w14:solidFill>
          </w14:textFill>
        </w:rPr>
      </w:pPr>
    </w:p>
    <w:p w14:paraId="474823C4">
      <w:pPr>
        <w:widowControl/>
        <w:jc w:val="center"/>
        <w:rPr>
          <w:rFonts w:hint="eastAsia" w:ascii="仿宋" w:hAnsi="仿宋" w:eastAsia="仿宋" w:cs="仿宋"/>
          <w:b/>
          <w:bCs/>
          <w:color w:val="000000" w:themeColor="text1"/>
          <w:sz w:val="24"/>
          <w:szCs w:val="24"/>
          <w14:textFill>
            <w14:solidFill>
              <w14:schemeClr w14:val="tx1"/>
            </w14:solidFill>
          </w14:textFill>
        </w:rPr>
      </w:pPr>
    </w:p>
    <w:p w14:paraId="6C1DD1B9">
      <w:pPr>
        <w:widowControl/>
        <w:jc w:val="center"/>
        <w:rPr>
          <w:rFonts w:hint="eastAsia" w:ascii="仿宋" w:hAnsi="仿宋" w:eastAsia="仿宋" w:cs="仿宋"/>
          <w:b/>
          <w:bCs/>
          <w:color w:val="000000" w:themeColor="text1"/>
          <w:sz w:val="24"/>
          <w:szCs w:val="24"/>
          <w14:textFill>
            <w14:solidFill>
              <w14:schemeClr w14:val="tx1"/>
            </w14:solidFill>
          </w14:textFill>
        </w:rPr>
      </w:pPr>
    </w:p>
    <w:p w14:paraId="429DFFD3">
      <w:pPr>
        <w:widowControl/>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格式二： 残疾人福利性单位声明函</w:t>
      </w:r>
    </w:p>
    <w:p w14:paraId="630C5295">
      <w:pPr>
        <w:spacing w:line="360" w:lineRule="auto"/>
        <w:rPr>
          <w:rFonts w:hint="eastAsia" w:ascii="仿宋" w:hAnsi="仿宋" w:eastAsia="仿宋" w:cs="仿宋"/>
          <w:color w:val="000000" w:themeColor="text1"/>
          <w:spacing w:val="6"/>
          <w:szCs w:val="21"/>
          <w14:textFill>
            <w14:solidFill>
              <w14:schemeClr w14:val="tx1"/>
            </w14:solidFill>
          </w14:textFill>
        </w:rPr>
      </w:pPr>
    </w:p>
    <w:p w14:paraId="4667E7BD">
      <w:pPr>
        <w:spacing w:line="408" w:lineRule="auto"/>
        <w:ind w:firstLine="444" w:firstLineChars="200"/>
        <w:rPr>
          <w:rFonts w:hint="eastAsia" w:ascii="仿宋" w:hAnsi="仿宋" w:eastAsia="仿宋" w:cs="仿宋"/>
          <w:color w:val="000000" w:themeColor="text1"/>
          <w:spacing w:val="6"/>
          <w:szCs w:val="21"/>
          <w14:textFill>
            <w14:solidFill>
              <w14:schemeClr w14:val="tx1"/>
            </w14:solidFill>
          </w14:textFill>
        </w:rPr>
      </w:pPr>
      <w:r>
        <w:rPr>
          <w:rFonts w:hint="eastAsia" w:ascii="仿宋" w:hAnsi="仿宋" w:eastAsia="仿宋" w:cs="仿宋"/>
          <w:color w:val="000000" w:themeColor="text1"/>
          <w:spacing w:val="6"/>
          <w:szCs w:val="21"/>
          <w14:textFill>
            <w14:solidFill>
              <w14:schemeClr w14:val="tx1"/>
            </w14:solidFill>
          </w14:textFill>
        </w:rPr>
        <w:t>本单位郑重声明，根据《财政部 民政部 中国残疾人联合会关于促进残疾人就业政府采购政策的通知》（财库</w:t>
      </w:r>
      <w:r>
        <w:rPr>
          <w:rFonts w:hint="eastAsia" w:ascii="仿宋" w:hAnsi="仿宋" w:eastAsia="仿宋" w:cs="仿宋"/>
          <w:color w:val="000000" w:themeColor="text1"/>
          <w:szCs w:val="21"/>
          <w14:textFill>
            <w14:solidFill>
              <w14:schemeClr w14:val="tx1"/>
            </w14:solidFill>
          </w14:textFill>
        </w:rPr>
        <w:t>〔2017〕 141</w:t>
      </w:r>
      <w:r>
        <w:rPr>
          <w:rFonts w:hint="eastAsia" w:ascii="仿宋" w:hAnsi="仿宋" w:eastAsia="仿宋" w:cs="仿宋"/>
          <w:color w:val="000000" w:themeColor="text1"/>
          <w:spacing w:val="6"/>
          <w:szCs w:val="21"/>
          <w14:textFill>
            <w14:solidFill>
              <w14:schemeClr w14:val="tx1"/>
            </w14:solidFill>
          </w14:textFill>
        </w:rPr>
        <w:t>号）的规定，本单位为符合条件的残疾人福利性单位，且本单位参加____单位的____项目采购活动提供本单位制造的</w:t>
      </w:r>
      <w:r>
        <w:rPr>
          <w:rFonts w:hint="eastAsia" w:ascii="仿宋" w:hAnsi="仿宋" w:eastAsia="仿宋" w:cs="仿宋"/>
          <w:color w:val="000000" w:themeColor="text1"/>
          <w:spacing w:val="6"/>
          <w:szCs w:val="21"/>
          <w:lang w:eastAsia="zh-CN"/>
          <w14:textFill>
            <w14:solidFill>
              <w14:schemeClr w14:val="tx1"/>
            </w14:solidFill>
          </w14:textFill>
        </w:rPr>
        <w:t>产品</w:t>
      </w:r>
      <w:r>
        <w:rPr>
          <w:rFonts w:hint="eastAsia" w:ascii="仿宋" w:hAnsi="仿宋" w:eastAsia="仿宋" w:cs="仿宋"/>
          <w:color w:val="000000" w:themeColor="text1"/>
          <w:spacing w:val="6"/>
          <w:szCs w:val="21"/>
          <w14:textFill>
            <w14:solidFill>
              <w14:schemeClr w14:val="tx1"/>
            </w14:solidFill>
          </w14:textFill>
        </w:rPr>
        <w:t>（由本单位承担工程/提供服务），或者提供其他残疾人福利性单位制造的</w:t>
      </w:r>
      <w:r>
        <w:rPr>
          <w:rFonts w:hint="eastAsia" w:ascii="仿宋" w:hAnsi="仿宋" w:eastAsia="仿宋" w:cs="仿宋"/>
          <w:color w:val="000000" w:themeColor="text1"/>
          <w:spacing w:val="6"/>
          <w:szCs w:val="21"/>
          <w:lang w:eastAsia="zh-CN"/>
          <w14:textFill>
            <w14:solidFill>
              <w14:schemeClr w14:val="tx1"/>
            </w14:solidFill>
          </w14:textFill>
        </w:rPr>
        <w:t>产品</w:t>
      </w:r>
      <w:r>
        <w:rPr>
          <w:rFonts w:hint="eastAsia" w:ascii="仿宋" w:hAnsi="仿宋" w:eastAsia="仿宋" w:cs="仿宋"/>
          <w:color w:val="000000" w:themeColor="text1"/>
          <w:spacing w:val="6"/>
          <w:szCs w:val="21"/>
          <w14:textFill>
            <w14:solidFill>
              <w14:schemeClr w14:val="tx1"/>
            </w14:solidFill>
          </w14:textFill>
        </w:rPr>
        <w:t>（不包括使用非残疾人福利性单位注册商标的</w:t>
      </w:r>
      <w:r>
        <w:rPr>
          <w:rFonts w:hint="eastAsia" w:ascii="仿宋" w:hAnsi="仿宋" w:eastAsia="仿宋" w:cs="仿宋"/>
          <w:color w:val="000000" w:themeColor="text1"/>
          <w:spacing w:val="6"/>
          <w:szCs w:val="21"/>
          <w:lang w:eastAsia="zh-CN"/>
          <w14:textFill>
            <w14:solidFill>
              <w14:schemeClr w14:val="tx1"/>
            </w14:solidFill>
          </w14:textFill>
        </w:rPr>
        <w:t>产品</w:t>
      </w:r>
      <w:r>
        <w:rPr>
          <w:rFonts w:hint="eastAsia" w:ascii="仿宋" w:hAnsi="仿宋" w:eastAsia="仿宋" w:cs="仿宋"/>
          <w:color w:val="000000" w:themeColor="text1"/>
          <w:spacing w:val="6"/>
          <w:szCs w:val="21"/>
          <w14:textFill>
            <w14:solidFill>
              <w14:schemeClr w14:val="tx1"/>
            </w14:solidFill>
          </w14:textFill>
        </w:rPr>
        <w:t>）。</w:t>
      </w:r>
    </w:p>
    <w:p w14:paraId="6E65F11D">
      <w:pPr>
        <w:spacing w:line="408" w:lineRule="auto"/>
        <w:ind w:firstLine="444" w:firstLineChars="200"/>
        <w:rPr>
          <w:rFonts w:hint="eastAsia" w:ascii="仿宋" w:hAnsi="仿宋" w:eastAsia="仿宋" w:cs="仿宋"/>
          <w:color w:val="000000" w:themeColor="text1"/>
          <w:spacing w:val="6"/>
          <w:szCs w:val="21"/>
          <w14:textFill>
            <w14:solidFill>
              <w14:schemeClr w14:val="tx1"/>
            </w14:solidFill>
          </w14:textFill>
        </w:rPr>
      </w:pPr>
      <w:r>
        <w:rPr>
          <w:rFonts w:hint="eastAsia" w:ascii="仿宋" w:hAnsi="仿宋" w:eastAsia="仿宋" w:cs="仿宋"/>
          <w:color w:val="000000" w:themeColor="text1"/>
          <w:spacing w:val="6"/>
          <w:szCs w:val="21"/>
          <w14:textFill>
            <w14:solidFill>
              <w14:schemeClr w14:val="tx1"/>
            </w14:solidFill>
          </w14:textFill>
        </w:rPr>
        <w:t>本单位对上述声明的真实性负责。如有虚假，将依法承担相应责任。</w:t>
      </w:r>
    </w:p>
    <w:p w14:paraId="3A473298">
      <w:pPr>
        <w:spacing w:line="360" w:lineRule="auto"/>
        <w:ind w:firstLine="444" w:firstLineChars="200"/>
        <w:rPr>
          <w:rFonts w:hint="eastAsia" w:ascii="仿宋" w:hAnsi="仿宋" w:eastAsia="仿宋" w:cs="仿宋"/>
          <w:color w:val="000000" w:themeColor="text1"/>
          <w:spacing w:val="6"/>
          <w:szCs w:val="21"/>
          <w14:textFill>
            <w14:solidFill>
              <w14:schemeClr w14:val="tx1"/>
            </w14:solidFill>
          </w14:textFill>
        </w:rPr>
      </w:pPr>
    </w:p>
    <w:p w14:paraId="3E50BA5F">
      <w:pPr>
        <w:pStyle w:val="57"/>
        <w:rPr>
          <w:rFonts w:hint="eastAsia" w:ascii="仿宋" w:hAnsi="仿宋" w:eastAsia="仿宋" w:cs="仿宋"/>
          <w:color w:val="000000" w:themeColor="text1"/>
          <w:sz w:val="21"/>
          <w:szCs w:val="21"/>
          <w14:textFill>
            <w14:solidFill>
              <w14:schemeClr w14:val="tx1"/>
            </w14:solidFill>
          </w14:textFill>
        </w:rPr>
      </w:pPr>
    </w:p>
    <w:p w14:paraId="1481D86B">
      <w:pPr>
        <w:pStyle w:val="57"/>
        <w:rPr>
          <w:rFonts w:hint="eastAsia" w:ascii="仿宋" w:hAnsi="仿宋" w:eastAsia="仿宋" w:cs="仿宋"/>
          <w:color w:val="000000" w:themeColor="text1"/>
          <w:sz w:val="21"/>
          <w:szCs w:val="21"/>
          <w14:textFill>
            <w14:solidFill>
              <w14:schemeClr w14:val="tx1"/>
            </w14:solidFill>
          </w14:textFill>
        </w:rPr>
      </w:pPr>
    </w:p>
    <w:p w14:paraId="4E3EFE64">
      <w:pPr>
        <w:pStyle w:val="57"/>
        <w:rPr>
          <w:rFonts w:hint="eastAsia" w:ascii="仿宋" w:hAnsi="仿宋" w:eastAsia="仿宋" w:cs="仿宋"/>
          <w:color w:val="000000" w:themeColor="text1"/>
          <w:sz w:val="21"/>
          <w:szCs w:val="21"/>
          <w14:textFill>
            <w14:solidFill>
              <w14:schemeClr w14:val="tx1"/>
            </w14:solidFill>
          </w14:textFill>
        </w:rPr>
      </w:pPr>
    </w:p>
    <w:p w14:paraId="68CDC6EF">
      <w:pPr>
        <w:spacing w:line="360" w:lineRule="auto"/>
        <w:ind w:firstLine="444" w:firstLineChars="200"/>
        <w:rPr>
          <w:rFonts w:hint="eastAsia" w:ascii="仿宋" w:hAnsi="仿宋" w:eastAsia="仿宋" w:cs="仿宋"/>
          <w:color w:val="000000" w:themeColor="text1"/>
          <w:spacing w:val="6"/>
          <w:szCs w:val="21"/>
          <w14:textFill>
            <w14:solidFill>
              <w14:schemeClr w14:val="tx1"/>
            </w14:solidFill>
          </w14:textFill>
        </w:rPr>
      </w:pPr>
    </w:p>
    <w:p w14:paraId="6940B86D">
      <w:pPr>
        <w:pStyle w:val="57"/>
        <w:rPr>
          <w:rFonts w:hint="eastAsia" w:ascii="仿宋" w:hAnsi="仿宋" w:eastAsia="仿宋" w:cs="仿宋"/>
          <w:color w:val="000000" w:themeColor="text1"/>
          <w:sz w:val="21"/>
          <w:szCs w:val="21"/>
          <w14:textFill>
            <w14:solidFill>
              <w14:schemeClr w14:val="tx1"/>
            </w14:solidFill>
          </w14:textFill>
        </w:rPr>
      </w:pPr>
    </w:p>
    <w:p w14:paraId="3CA9E57D">
      <w:pPr>
        <w:pStyle w:val="12"/>
        <w:spacing w:line="360" w:lineRule="auto"/>
        <w:ind w:firstLine="2730" w:firstLineChars="13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声  明  人:</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(盖单位章)</w:t>
      </w:r>
    </w:p>
    <w:p w14:paraId="0D6846E3">
      <w:pPr>
        <w:pStyle w:val="12"/>
        <w:spacing w:line="360" w:lineRule="auto"/>
        <w:ind w:firstLine="2730" w:firstLineChars="13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法定代表人或其授权委托人：</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（签字）</w:t>
      </w:r>
    </w:p>
    <w:p w14:paraId="6EF9F581">
      <w:pPr>
        <w:pStyle w:val="12"/>
        <w:spacing w:line="360" w:lineRule="auto"/>
        <w:ind w:firstLine="3507" w:firstLineChars="167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日      期：</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年</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 xml:space="preserve"> 月</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日</w:t>
      </w:r>
    </w:p>
    <w:p w14:paraId="3A917BD3">
      <w:pPr>
        <w:pStyle w:val="57"/>
        <w:rPr>
          <w:rFonts w:hint="eastAsia" w:ascii="仿宋" w:hAnsi="仿宋" w:eastAsia="仿宋" w:cs="仿宋"/>
          <w:color w:val="000000" w:themeColor="text1"/>
          <w:sz w:val="21"/>
          <w:szCs w:val="21"/>
          <w14:textFill>
            <w14:solidFill>
              <w14:schemeClr w14:val="tx1"/>
            </w14:solidFill>
          </w14:textFill>
        </w:rPr>
      </w:pPr>
    </w:p>
    <w:p w14:paraId="314338AF">
      <w:pPr>
        <w:pStyle w:val="57"/>
        <w:rPr>
          <w:rFonts w:hint="eastAsia" w:ascii="仿宋" w:hAnsi="仿宋" w:eastAsia="仿宋" w:cs="仿宋"/>
          <w:color w:val="000000" w:themeColor="text1"/>
          <w:sz w:val="21"/>
          <w:szCs w:val="21"/>
          <w14:textFill>
            <w14:solidFill>
              <w14:schemeClr w14:val="tx1"/>
            </w14:solidFill>
          </w14:textFill>
        </w:rPr>
      </w:pPr>
    </w:p>
    <w:p w14:paraId="43DDD470">
      <w:pPr>
        <w:pStyle w:val="57"/>
        <w:rPr>
          <w:rFonts w:hint="eastAsia" w:ascii="仿宋" w:hAnsi="仿宋" w:eastAsia="仿宋" w:cs="仿宋"/>
          <w:color w:val="000000" w:themeColor="text1"/>
          <w:sz w:val="21"/>
          <w:szCs w:val="21"/>
          <w14:textFill>
            <w14:solidFill>
              <w14:schemeClr w14:val="tx1"/>
            </w14:solidFill>
          </w14:textFill>
        </w:rPr>
      </w:pPr>
    </w:p>
    <w:p w14:paraId="12DA6451">
      <w:pPr>
        <w:pStyle w:val="57"/>
        <w:rPr>
          <w:rFonts w:hint="eastAsia" w:ascii="仿宋" w:hAnsi="仿宋" w:eastAsia="仿宋" w:cs="仿宋"/>
          <w:color w:val="000000" w:themeColor="text1"/>
          <w:sz w:val="21"/>
          <w:szCs w:val="21"/>
          <w14:textFill>
            <w14:solidFill>
              <w14:schemeClr w14:val="tx1"/>
            </w14:solidFill>
          </w14:textFill>
        </w:rPr>
      </w:pPr>
    </w:p>
    <w:p w14:paraId="55BAC1F1">
      <w:pPr>
        <w:pStyle w:val="57"/>
        <w:rPr>
          <w:rFonts w:hint="eastAsia" w:ascii="仿宋" w:hAnsi="仿宋" w:eastAsia="仿宋" w:cs="仿宋"/>
          <w:color w:val="000000" w:themeColor="text1"/>
          <w:sz w:val="21"/>
          <w:szCs w:val="21"/>
          <w14:textFill>
            <w14:solidFill>
              <w14:schemeClr w14:val="tx1"/>
            </w14:solidFill>
          </w14:textFill>
        </w:rPr>
      </w:pPr>
    </w:p>
    <w:p w14:paraId="4459B588">
      <w:pPr>
        <w:pStyle w:val="57"/>
        <w:rPr>
          <w:rFonts w:hint="eastAsia" w:ascii="仿宋" w:hAnsi="仿宋" w:eastAsia="仿宋" w:cs="仿宋"/>
          <w:color w:val="000000" w:themeColor="text1"/>
          <w:sz w:val="21"/>
          <w:szCs w:val="21"/>
          <w14:textFill>
            <w14:solidFill>
              <w14:schemeClr w14:val="tx1"/>
            </w14:solidFill>
          </w14:textFill>
        </w:rPr>
      </w:pPr>
    </w:p>
    <w:p w14:paraId="4D7B2761">
      <w:pPr>
        <w:pStyle w:val="57"/>
        <w:rPr>
          <w:rFonts w:hint="eastAsia" w:ascii="仿宋" w:hAnsi="仿宋" w:eastAsia="仿宋" w:cs="仿宋"/>
          <w:color w:val="000000" w:themeColor="text1"/>
          <w:sz w:val="21"/>
          <w:szCs w:val="21"/>
          <w14:textFill>
            <w14:solidFill>
              <w14:schemeClr w14:val="tx1"/>
            </w14:solidFill>
          </w14:textFill>
        </w:rPr>
      </w:pPr>
    </w:p>
    <w:p w14:paraId="6E6A374C">
      <w:pPr>
        <w:adjustRightInd w:val="0"/>
        <w:snapToGrid w:val="0"/>
        <w:spacing w:line="36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说明：1、投标人不属于残疾人福利单位的，无须提供；</w:t>
      </w:r>
    </w:p>
    <w:p w14:paraId="6ED9FE8A">
      <w:pPr>
        <w:pStyle w:val="12"/>
        <w:spacing w:line="360" w:lineRule="auto"/>
        <w:ind w:firstLine="630" w:firstLineChars="3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2、若《声明函》出现明显错误，可要求投标人进行澄清修改，澄清修改后符合条件的投标人，非专门面向中小企业的，中小企业声明函不属于资格审查部分。</w:t>
      </w:r>
    </w:p>
    <w:p w14:paraId="1C08A379">
      <w:pPr>
        <w:pStyle w:val="4"/>
        <w:rPr>
          <w:rFonts w:hint="eastAsia" w:ascii="仿宋" w:hAnsi="仿宋" w:eastAsia="仿宋" w:cs="仿宋"/>
          <w:color w:val="000000" w:themeColor="text1"/>
          <w14:textFill>
            <w14:solidFill>
              <w14:schemeClr w14:val="tx1"/>
            </w14:solidFill>
          </w14:textFill>
        </w:rPr>
      </w:pPr>
    </w:p>
    <w:p w14:paraId="3BDEC7F9">
      <w:pPr>
        <w:adjustRightInd w:val="0"/>
        <w:snapToGrid w:val="0"/>
        <w:spacing w:before="50" w:line="360" w:lineRule="auto"/>
        <w:jc w:val="center"/>
        <w:outlineLvl w:val="1"/>
        <w:rPr>
          <w:rFonts w:hint="eastAsia" w:ascii="仿宋" w:hAnsi="仿宋" w:eastAsia="仿宋" w:cs="仿宋"/>
          <w:b/>
          <w:bCs/>
          <w:color w:val="000000" w:themeColor="text1"/>
          <w:sz w:val="24"/>
          <w:szCs w:val="24"/>
          <w14:textFill>
            <w14:solidFill>
              <w14:schemeClr w14:val="tx1"/>
            </w14:solidFill>
          </w14:textFill>
        </w:rPr>
      </w:pPr>
    </w:p>
    <w:p w14:paraId="16BDB6AF">
      <w:pPr>
        <w:bidi w:val="0"/>
        <w:rPr>
          <w:rFonts w:hint="eastAsia" w:ascii="仿宋" w:hAnsi="仿宋" w:eastAsia="仿宋" w:cs="仿宋"/>
          <w:color w:val="000000" w:themeColor="text1"/>
          <w14:textFill>
            <w14:solidFill>
              <w14:schemeClr w14:val="tx1"/>
            </w14:solidFill>
          </w14:textFill>
        </w:rPr>
      </w:pPr>
    </w:p>
    <w:p w14:paraId="070F9B0E">
      <w:pPr>
        <w:adjustRightInd w:val="0"/>
        <w:snapToGrid w:val="0"/>
        <w:spacing w:before="50" w:line="360" w:lineRule="auto"/>
        <w:jc w:val="center"/>
        <w:outlineLvl w:val="1"/>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格式三：监狱企业证明</w:t>
      </w:r>
    </w:p>
    <w:p w14:paraId="798BB225">
      <w:pPr>
        <w:spacing w:line="360" w:lineRule="auto"/>
        <w:ind w:firstLine="420" w:firstLineChars="200"/>
        <w:jc w:val="left"/>
        <w:rPr>
          <w:rFonts w:hint="eastAsia"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5525F2A">
      <w:pPr>
        <w:spacing w:line="360" w:lineRule="auto"/>
        <w:ind w:firstLine="420" w:firstLineChars="200"/>
        <w:jc w:val="left"/>
        <w:rPr>
          <w:rFonts w:hint="eastAsia"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监狱企业参加政府采购活动时，应当提供由省级以上监狱管理局、戒毒管理局（含新疆生产建设兵团）出具的属于监狱企业的证明文件，非监狱企业无需提供。</w:t>
      </w:r>
    </w:p>
    <w:p w14:paraId="1B618B75">
      <w:pPr>
        <w:spacing w:line="360" w:lineRule="auto"/>
        <w:jc w:val="left"/>
        <w:rPr>
          <w:rFonts w:hint="eastAsia" w:ascii="仿宋" w:hAnsi="仿宋" w:eastAsia="仿宋" w:cs="仿宋"/>
          <w:b/>
          <w:color w:val="000000" w:themeColor="text1"/>
          <w:sz w:val="28"/>
          <w:szCs w:val="21"/>
          <w14:textFill>
            <w14:solidFill>
              <w14:schemeClr w14:val="tx1"/>
            </w14:solidFill>
          </w14:textFill>
        </w:rPr>
      </w:pPr>
    </w:p>
    <w:p w14:paraId="26F2A2C5">
      <w:pPr>
        <w:spacing w:line="360" w:lineRule="auto"/>
        <w:jc w:val="left"/>
        <w:rPr>
          <w:rFonts w:hint="eastAsia" w:ascii="仿宋" w:hAnsi="仿宋" w:eastAsia="仿宋" w:cs="仿宋"/>
          <w:b/>
          <w:color w:val="000000" w:themeColor="text1"/>
          <w:sz w:val="28"/>
          <w:szCs w:val="21"/>
          <w14:textFill>
            <w14:solidFill>
              <w14:schemeClr w14:val="tx1"/>
            </w14:solidFill>
          </w14:textFill>
        </w:rPr>
      </w:pPr>
    </w:p>
    <w:p w14:paraId="51406CDB">
      <w:pPr>
        <w:spacing w:line="360" w:lineRule="auto"/>
        <w:jc w:val="left"/>
        <w:rPr>
          <w:rFonts w:hint="eastAsia" w:ascii="仿宋" w:hAnsi="仿宋" w:eastAsia="仿宋" w:cs="仿宋"/>
          <w:b/>
          <w:color w:val="000000" w:themeColor="text1"/>
          <w:sz w:val="28"/>
          <w:szCs w:val="21"/>
          <w14:textFill>
            <w14:solidFill>
              <w14:schemeClr w14:val="tx1"/>
            </w14:solidFill>
          </w14:textFill>
        </w:rPr>
      </w:pPr>
    </w:p>
    <w:p w14:paraId="119AFBFC">
      <w:pPr>
        <w:spacing w:line="360" w:lineRule="auto"/>
        <w:jc w:val="left"/>
        <w:rPr>
          <w:rFonts w:hint="eastAsia" w:ascii="仿宋" w:hAnsi="仿宋" w:eastAsia="仿宋" w:cs="仿宋"/>
          <w:b/>
          <w:color w:val="000000" w:themeColor="text1"/>
          <w:sz w:val="28"/>
          <w:szCs w:val="21"/>
          <w14:textFill>
            <w14:solidFill>
              <w14:schemeClr w14:val="tx1"/>
            </w14:solidFill>
          </w14:textFill>
        </w:rPr>
      </w:pPr>
    </w:p>
    <w:p w14:paraId="6F69BB8F">
      <w:pPr>
        <w:pStyle w:val="12"/>
        <w:rPr>
          <w:rFonts w:hint="eastAsia" w:ascii="仿宋" w:hAnsi="仿宋" w:eastAsia="仿宋" w:cs="仿宋"/>
          <w:b/>
          <w:color w:val="000000" w:themeColor="text1"/>
          <w:sz w:val="28"/>
          <w:szCs w:val="21"/>
          <w14:textFill>
            <w14:solidFill>
              <w14:schemeClr w14:val="tx1"/>
            </w14:solidFill>
          </w14:textFill>
        </w:rPr>
      </w:pPr>
    </w:p>
    <w:p w14:paraId="2337659D">
      <w:pPr>
        <w:pStyle w:val="13"/>
        <w:ind w:firstLine="562"/>
        <w:rPr>
          <w:rFonts w:hint="eastAsia" w:ascii="仿宋" w:hAnsi="仿宋" w:eastAsia="仿宋" w:cs="仿宋"/>
          <w:color w:val="000000" w:themeColor="text1"/>
          <w:sz w:val="28"/>
          <w:szCs w:val="21"/>
          <w14:textFill>
            <w14:solidFill>
              <w14:schemeClr w14:val="tx1"/>
            </w14:solidFill>
          </w14:textFill>
        </w:rPr>
      </w:pPr>
    </w:p>
    <w:p w14:paraId="7158E2AC">
      <w:pPr>
        <w:rPr>
          <w:rFonts w:hint="eastAsia" w:ascii="仿宋" w:hAnsi="仿宋" w:eastAsia="仿宋" w:cs="仿宋"/>
          <w:b/>
          <w:color w:val="000000" w:themeColor="text1"/>
          <w:sz w:val="28"/>
          <w:szCs w:val="21"/>
          <w14:textFill>
            <w14:solidFill>
              <w14:schemeClr w14:val="tx1"/>
            </w14:solidFill>
          </w14:textFill>
        </w:rPr>
      </w:pPr>
    </w:p>
    <w:p w14:paraId="70D33CA4">
      <w:pPr>
        <w:pStyle w:val="12"/>
        <w:rPr>
          <w:rFonts w:hint="eastAsia" w:ascii="仿宋" w:hAnsi="仿宋" w:eastAsia="仿宋" w:cs="仿宋"/>
          <w:b/>
          <w:color w:val="000000" w:themeColor="text1"/>
          <w:sz w:val="28"/>
          <w:szCs w:val="21"/>
          <w14:textFill>
            <w14:solidFill>
              <w14:schemeClr w14:val="tx1"/>
            </w14:solidFill>
          </w14:textFill>
        </w:rPr>
      </w:pPr>
    </w:p>
    <w:p w14:paraId="741CA21B">
      <w:pPr>
        <w:pStyle w:val="13"/>
        <w:ind w:firstLine="562"/>
        <w:rPr>
          <w:rFonts w:hint="eastAsia" w:ascii="仿宋" w:hAnsi="仿宋" w:eastAsia="仿宋" w:cs="仿宋"/>
          <w:color w:val="000000" w:themeColor="text1"/>
          <w:sz w:val="28"/>
          <w:szCs w:val="21"/>
          <w14:textFill>
            <w14:solidFill>
              <w14:schemeClr w14:val="tx1"/>
            </w14:solidFill>
          </w14:textFill>
        </w:rPr>
      </w:pPr>
    </w:p>
    <w:p w14:paraId="25385877">
      <w:pPr>
        <w:rPr>
          <w:rFonts w:hint="eastAsia" w:ascii="仿宋" w:hAnsi="仿宋" w:eastAsia="仿宋" w:cs="仿宋"/>
          <w:color w:val="000000" w:themeColor="text1"/>
          <w14:textFill>
            <w14:solidFill>
              <w14:schemeClr w14:val="tx1"/>
            </w14:solidFill>
          </w14:textFill>
        </w:rPr>
      </w:pPr>
    </w:p>
    <w:p w14:paraId="7C701C2F">
      <w:pPr>
        <w:spacing w:line="360" w:lineRule="auto"/>
        <w:rPr>
          <w:rFonts w:hint="eastAsia"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说明：</w:t>
      </w:r>
    </w:p>
    <w:p w14:paraId="256BBD8E">
      <w:pPr>
        <w:spacing w:line="360" w:lineRule="auto"/>
        <w:ind w:firstLine="420" w:firstLineChars="200"/>
        <w:rPr>
          <w:rFonts w:hint="eastAsia"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1、证明无格式要求，由出具监狱企业证明的单位自行拟定；</w:t>
      </w:r>
    </w:p>
    <w:p w14:paraId="03E17B9F">
      <w:pPr>
        <w:spacing w:line="360" w:lineRule="auto"/>
        <w:ind w:firstLine="420" w:firstLineChars="200"/>
        <w:rPr>
          <w:rFonts w:hint="eastAsia"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2、投标人不属于监狱企业的，无须提供。</w:t>
      </w:r>
    </w:p>
    <w:p w14:paraId="6D837466">
      <w:pPr>
        <w:spacing w:line="360" w:lineRule="auto"/>
        <w:ind w:firstLine="420" w:firstLineChars="200"/>
        <w:rPr>
          <w:rFonts w:hint="eastAsia"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3、若《声明函》出现明显错误，可要求投标人进行澄清修改，澄清修改后符合条件的投标人，非专门面向中小企业的，中小企业声明函不属于资格审查部分。</w:t>
      </w:r>
    </w:p>
    <w:p w14:paraId="42E982A1">
      <w:pPr>
        <w:spacing w:line="480" w:lineRule="exact"/>
        <w:ind w:firstLine="2811" w:firstLineChars="1000"/>
        <w:outlineLvl w:val="1"/>
        <w:rPr>
          <w:rFonts w:hint="eastAsia" w:ascii="仿宋" w:hAnsi="仿宋" w:eastAsia="仿宋" w:cs="仿宋"/>
          <w:b/>
          <w:color w:val="000000" w:themeColor="text1"/>
          <w:sz w:val="28"/>
          <w:szCs w:val="28"/>
          <w14:textFill>
            <w14:solidFill>
              <w14:schemeClr w14:val="tx1"/>
            </w14:solidFill>
          </w14:textFill>
        </w:rPr>
      </w:pPr>
    </w:p>
    <w:p w14:paraId="178898E5">
      <w:pPr>
        <w:shd w:val="clear"/>
        <w:ind w:firstLine="2570" w:firstLineChars="800"/>
        <w:jc w:val="both"/>
        <w:outlineLvl w:val="0"/>
        <w:rPr>
          <w:rFonts w:hint="eastAsia" w:ascii="仿宋" w:hAnsi="仿宋" w:eastAsia="仿宋" w:cs="仿宋"/>
          <w:b/>
          <w:color w:val="000000" w:themeColor="text1"/>
          <w:sz w:val="32"/>
          <w:highlight w:val="none"/>
          <w:lang w:val="en-US" w:eastAsia="zh-CN"/>
          <w14:textFill>
            <w14:solidFill>
              <w14:schemeClr w14:val="tx1"/>
            </w14:solidFill>
          </w14:textFill>
        </w:rPr>
      </w:pPr>
    </w:p>
    <w:p w14:paraId="7314F63E">
      <w:pPr>
        <w:shd w:val="clear"/>
        <w:ind w:firstLine="2570" w:firstLineChars="800"/>
        <w:jc w:val="both"/>
        <w:outlineLvl w:val="0"/>
        <w:rPr>
          <w:rFonts w:hint="eastAsia" w:ascii="仿宋" w:hAnsi="仿宋" w:eastAsia="仿宋" w:cs="仿宋"/>
          <w:b/>
          <w:color w:val="000000" w:themeColor="text1"/>
          <w:sz w:val="32"/>
          <w:highlight w:val="none"/>
          <w:lang w:val="en-US" w:eastAsia="zh-CN"/>
          <w14:textFill>
            <w14:solidFill>
              <w14:schemeClr w14:val="tx1"/>
            </w14:solidFill>
          </w14:textFill>
        </w:rPr>
      </w:pPr>
      <w:r>
        <w:rPr>
          <w:rFonts w:hint="eastAsia" w:ascii="仿宋" w:hAnsi="仿宋" w:eastAsia="仿宋" w:cs="仿宋"/>
          <w:b/>
          <w:color w:val="000000" w:themeColor="text1"/>
          <w:sz w:val="32"/>
          <w:highlight w:val="none"/>
          <w:lang w:val="en-US" w:eastAsia="zh-CN"/>
          <w14:textFill>
            <w14:solidFill>
              <w14:schemeClr w14:val="tx1"/>
            </w14:solidFill>
          </w14:textFill>
        </w:rPr>
        <w:t>第3部分 技术文件</w:t>
      </w:r>
    </w:p>
    <w:bookmarkEnd w:id="545"/>
    <w:bookmarkEnd w:id="546"/>
    <w:p w14:paraId="6A49D2E5">
      <w:pPr>
        <w:spacing w:line="360" w:lineRule="auto"/>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说明：</w:t>
      </w:r>
    </w:p>
    <w:p w14:paraId="04AF2612">
      <w:pPr>
        <w:shd w:val="clear"/>
        <w:spacing w:line="360" w:lineRule="auto"/>
        <w:ind w:firstLine="44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格式自定。</w:t>
      </w:r>
      <w:r>
        <w:rPr>
          <w:rFonts w:hint="eastAsia" w:ascii="仿宋" w:hAnsi="仿宋" w:eastAsia="仿宋" w:cs="仿宋"/>
          <w:color w:val="000000" w:themeColor="text1"/>
          <w:szCs w:val="21"/>
          <w:highlight w:val="none"/>
          <w14:textFill>
            <w14:solidFill>
              <w14:schemeClr w14:val="tx1"/>
            </w14:solidFill>
          </w14:textFill>
        </w:rPr>
        <w:t>由投标人根据第</w:t>
      </w:r>
      <w:r>
        <w:rPr>
          <w:rFonts w:hint="eastAsia" w:ascii="仿宋" w:hAnsi="仿宋" w:eastAsia="仿宋" w:cs="仿宋"/>
          <w:color w:val="000000" w:themeColor="text1"/>
          <w:szCs w:val="21"/>
          <w:highlight w:val="none"/>
          <w:lang w:val="en-US" w:eastAsia="zh-CN"/>
          <w14:textFill>
            <w14:solidFill>
              <w14:schemeClr w14:val="tx1"/>
            </w14:solidFill>
          </w14:textFill>
        </w:rPr>
        <w:t>四</w:t>
      </w:r>
      <w:r>
        <w:rPr>
          <w:rFonts w:hint="eastAsia" w:ascii="仿宋" w:hAnsi="仿宋" w:eastAsia="仿宋" w:cs="仿宋"/>
          <w:color w:val="000000" w:themeColor="text1"/>
          <w:szCs w:val="21"/>
          <w:highlight w:val="none"/>
          <w14:textFill>
            <w14:solidFill>
              <w14:schemeClr w14:val="tx1"/>
            </w14:solidFill>
          </w14:textFill>
        </w:rPr>
        <w:t>章 《评</w:t>
      </w:r>
      <w:r>
        <w:rPr>
          <w:rFonts w:hint="eastAsia" w:ascii="仿宋" w:hAnsi="仿宋" w:eastAsia="仿宋" w:cs="仿宋"/>
          <w:color w:val="000000" w:themeColor="text1"/>
          <w:szCs w:val="21"/>
          <w:highlight w:val="none"/>
          <w:lang w:val="en-US" w:eastAsia="zh-CN"/>
          <w14:textFill>
            <w14:solidFill>
              <w14:schemeClr w14:val="tx1"/>
            </w14:solidFill>
          </w14:textFill>
        </w:rPr>
        <w:t>标</w:t>
      </w:r>
      <w:r>
        <w:rPr>
          <w:rFonts w:hint="eastAsia" w:ascii="仿宋" w:hAnsi="仿宋" w:eastAsia="仿宋" w:cs="仿宋"/>
          <w:color w:val="000000" w:themeColor="text1"/>
          <w:szCs w:val="21"/>
          <w:highlight w:val="none"/>
          <w14:textFill>
            <w14:solidFill>
              <w14:schemeClr w14:val="tx1"/>
            </w14:solidFill>
          </w14:textFill>
        </w:rPr>
        <w:t>办法》内</w:t>
      </w:r>
      <w:r>
        <w:rPr>
          <w:rFonts w:hint="eastAsia" w:ascii="仿宋" w:hAnsi="仿宋" w:eastAsia="仿宋" w:cs="仿宋"/>
          <w:color w:val="000000" w:themeColor="text1"/>
          <w:kern w:val="1"/>
          <w:szCs w:val="21"/>
          <w:highlight w:val="none"/>
          <w14:textFill>
            <w14:solidFill>
              <w14:schemeClr w14:val="tx1"/>
            </w14:solidFill>
          </w14:textFill>
        </w:rPr>
        <w:t>3.2.</w:t>
      </w:r>
      <w:r>
        <w:rPr>
          <w:rFonts w:hint="eastAsia" w:ascii="仿宋" w:hAnsi="仿宋" w:eastAsia="仿宋" w:cs="仿宋"/>
          <w:color w:val="000000" w:themeColor="text1"/>
          <w:kern w:val="1"/>
          <w:szCs w:val="21"/>
          <w:highlight w:val="none"/>
          <w:lang w:val="en-US" w:eastAsia="zh-CN"/>
          <w14:textFill>
            <w14:solidFill>
              <w14:schemeClr w14:val="tx1"/>
            </w14:solidFill>
          </w14:textFill>
        </w:rPr>
        <w:t>3</w:t>
      </w:r>
      <w:r>
        <w:rPr>
          <w:rFonts w:hint="eastAsia" w:ascii="仿宋" w:hAnsi="仿宋" w:eastAsia="仿宋" w:cs="仿宋"/>
          <w:color w:val="000000" w:themeColor="text1"/>
          <w:kern w:val="1"/>
          <w:szCs w:val="21"/>
          <w:highlight w:val="none"/>
          <w14:textFill>
            <w14:solidFill>
              <w14:schemeClr w14:val="tx1"/>
            </w14:solidFill>
          </w14:textFill>
        </w:rPr>
        <w:t>、评审要素一览表</w:t>
      </w:r>
      <w:r>
        <w:rPr>
          <w:rFonts w:hint="eastAsia" w:ascii="仿宋" w:hAnsi="仿宋" w:eastAsia="仿宋" w:cs="仿宋"/>
          <w:color w:val="000000" w:themeColor="text1"/>
          <w:szCs w:val="21"/>
          <w:highlight w:val="none"/>
          <w14:textFill>
            <w14:solidFill>
              <w14:schemeClr w14:val="tx1"/>
            </w14:solidFill>
          </w14:textFill>
        </w:rPr>
        <w:t>技术部分的评审标准，结合第</w:t>
      </w:r>
      <w:r>
        <w:rPr>
          <w:rFonts w:hint="eastAsia" w:ascii="仿宋" w:hAnsi="仿宋" w:eastAsia="仿宋" w:cs="仿宋"/>
          <w:color w:val="000000" w:themeColor="text1"/>
          <w:szCs w:val="21"/>
          <w:highlight w:val="none"/>
          <w:lang w:val="en-US" w:eastAsia="zh-CN"/>
          <w14:textFill>
            <w14:solidFill>
              <w14:schemeClr w14:val="tx1"/>
            </w14:solidFill>
          </w14:textFill>
        </w:rPr>
        <w:t>三</w:t>
      </w:r>
      <w:r>
        <w:rPr>
          <w:rFonts w:hint="eastAsia" w:ascii="仿宋" w:hAnsi="仿宋" w:eastAsia="仿宋" w:cs="仿宋"/>
          <w:color w:val="000000" w:themeColor="text1"/>
          <w:szCs w:val="21"/>
          <w:highlight w:val="none"/>
          <w14:textFill>
            <w14:solidFill>
              <w14:schemeClr w14:val="tx1"/>
            </w14:solidFill>
          </w14:textFill>
        </w:rPr>
        <w:t>章《采购内容及具体要求》进行编制。</w:t>
      </w:r>
    </w:p>
    <w:p w14:paraId="2D2AAA6D">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0DA71B6F">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0105D0AD">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29FD90FB">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226EC5FB">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0EAE1F03">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53859FD3">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30ECF4F6">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7024E2E0">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47A901F6">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0C807325">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1204CF53">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0E62A93F">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744932C7">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63B06990">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671E211E">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5AD88DA6">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02FEA06C">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53F0E22C">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326E7021">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45658512">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6F09A1B8">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08731A2E">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2973526E">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229B5A51">
      <w:pPr>
        <w:shd w:val="clear"/>
        <w:rPr>
          <w:rFonts w:hint="eastAsia" w:ascii="仿宋" w:hAnsi="仿宋" w:eastAsia="仿宋" w:cs="仿宋"/>
          <w:b/>
          <w:color w:val="000000" w:themeColor="text1"/>
          <w:sz w:val="28"/>
          <w:szCs w:val="28"/>
          <w14:textFill>
            <w14:solidFill>
              <w14:schemeClr w14:val="tx1"/>
            </w14:solidFill>
          </w14:textFill>
        </w:rPr>
      </w:pPr>
    </w:p>
    <w:p w14:paraId="186EC8DC">
      <w:pPr>
        <w:shd w:val="clear"/>
        <w:rPr>
          <w:rFonts w:hint="eastAsia" w:ascii="仿宋" w:hAnsi="仿宋" w:eastAsia="仿宋" w:cs="仿宋"/>
          <w:b/>
          <w:bCs/>
          <w:color w:val="000000" w:themeColor="text1"/>
          <w:kern w:val="0"/>
          <w:sz w:val="36"/>
          <w:szCs w:val="36"/>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附表1：</w:t>
      </w:r>
    </w:p>
    <w:p w14:paraId="32CE3413">
      <w:pPr>
        <w:shd w:val="clear"/>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bCs/>
          <w:color w:val="000000" w:themeColor="text1"/>
          <w:kern w:val="0"/>
          <w:sz w:val="36"/>
          <w:szCs w:val="36"/>
          <w14:textFill>
            <w14:solidFill>
              <w14:schemeClr w14:val="tx1"/>
            </w14:solidFill>
          </w14:textFill>
        </w:rPr>
        <w:t>技术参数偏离表</w:t>
      </w:r>
    </w:p>
    <w:p w14:paraId="29B16F0F">
      <w:pPr>
        <w:shd w:val="clear"/>
        <w:spacing w:line="360" w:lineRule="auto"/>
        <w:rPr>
          <w:rFonts w:hint="eastAsia" w:ascii="仿宋" w:hAnsi="仿宋" w:eastAsia="仿宋" w:cs="仿宋"/>
          <w:color w:val="000000" w:themeColor="text1"/>
          <w:szCs w:val="21"/>
          <w:highlight w:val="none"/>
          <w:lang w:eastAsia="zh-CN"/>
          <w14:textFill>
            <w14:solidFill>
              <w14:schemeClr w14:val="tx1"/>
            </w14:solidFill>
          </w14:textFill>
        </w:rPr>
      </w:pPr>
    </w:p>
    <w:p w14:paraId="5CC66111">
      <w:pPr>
        <w:shd w:val="clea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项目名称</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eastAsia="zh-CN"/>
          <w14:textFill>
            <w14:solidFill>
              <w14:schemeClr w14:val="tx1"/>
            </w14:solidFill>
          </w14:textFill>
        </w:rPr>
        <w:t>汉中市南郑区人民医院肝胆泌尿外科等医疗设备采购项目（</w:t>
      </w:r>
      <w:r>
        <w:rPr>
          <w:rFonts w:hint="eastAsia" w:ascii="仿宋" w:hAnsi="仿宋" w:eastAsia="仿宋" w:cs="仿宋"/>
          <w:color w:val="000000" w:themeColor="text1"/>
          <w:szCs w:val="21"/>
          <w:highlight w:val="none"/>
          <w:lang w:val="en-US" w:eastAsia="zh-CN"/>
          <w14:textFill>
            <w14:solidFill>
              <w14:schemeClr w14:val="tx1"/>
            </w14:solidFill>
          </w14:textFill>
        </w:rPr>
        <w:t>合同包</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 xml:space="preserve">                                          </w:t>
      </w:r>
    </w:p>
    <w:p w14:paraId="3A6C905F">
      <w:pPr>
        <w:shd w:val="clear"/>
        <w:spacing w:line="360" w:lineRule="auto"/>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项目编号</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eastAsia="zh-CN"/>
          <w14:textFill>
            <w14:solidFill>
              <w14:schemeClr w14:val="tx1"/>
            </w14:solidFill>
          </w14:textFill>
        </w:rPr>
        <w:t>TZZB-HZ-2025109C</w:t>
      </w:r>
    </w:p>
    <w:tbl>
      <w:tblPr>
        <w:tblStyle w:val="42"/>
        <w:tblpPr w:leftFromText="180" w:rightFromText="180" w:vertAnchor="text" w:horzAnchor="margin" w:tblpXSpec="center" w:tblpY="74"/>
        <w:tblW w:w="9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2064"/>
        <w:gridCol w:w="1997"/>
        <w:gridCol w:w="1152"/>
        <w:gridCol w:w="1341"/>
        <w:gridCol w:w="2067"/>
      </w:tblGrid>
      <w:tr w14:paraId="7022C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3" w:hRule="exact"/>
        </w:trPr>
        <w:tc>
          <w:tcPr>
            <w:tcW w:w="683" w:type="dxa"/>
            <w:tcBorders>
              <w:top w:val="single" w:color="auto" w:sz="12" w:space="0"/>
              <w:left w:val="single" w:color="auto" w:sz="12" w:space="0"/>
              <w:bottom w:val="single" w:color="auto" w:sz="4" w:space="0"/>
              <w:right w:val="single" w:color="auto" w:sz="4" w:space="0"/>
            </w:tcBorders>
            <w:vAlign w:val="center"/>
          </w:tcPr>
          <w:p w14:paraId="3AD5B64C">
            <w:pPr>
              <w:shd w:val="clear"/>
              <w:snapToGrid w:val="0"/>
              <w:spacing w:line="240" w:lineRule="auto"/>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序号</w:t>
            </w:r>
          </w:p>
        </w:tc>
        <w:tc>
          <w:tcPr>
            <w:tcW w:w="2064" w:type="dxa"/>
            <w:tcBorders>
              <w:top w:val="single" w:color="auto" w:sz="12" w:space="0"/>
              <w:left w:val="single" w:color="auto" w:sz="4" w:space="0"/>
              <w:bottom w:val="single" w:color="auto" w:sz="4" w:space="0"/>
              <w:right w:val="single" w:color="auto" w:sz="4" w:space="0"/>
            </w:tcBorders>
            <w:vAlign w:val="center"/>
          </w:tcPr>
          <w:p w14:paraId="6DEB96A3">
            <w:pPr>
              <w:shd w:val="clear"/>
              <w:snapToGrid w:val="0"/>
              <w:spacing w:line="240" w:lineRule="auto"/>
              <w:jc w:val="center"/>
              <w:rPr>
                <w:rFonts w:hint="eastAsia" w:ascii="仿宋" w:hAnsi="仿宋" w:eastAsia="仿宋" w:cs="仿宋"/>
                <w:b/>
                <w:color w:val="000000" w:themeColor="text1"/>
                <w:szCs w:val="21"/>
                <w:highlight w:val="none"/>
                <w:lang w:eastAsia="zh-CN"/>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招标文件</w:t>
            </w:r>
            <w:r>
              <w:rPr>
                <w:rFonts w:hint="eastAsia" w:ascii="仿宋" w:hAnsi="仿宋" w:eastAsia="仿宋" w:cs="仿宋"/>
                <w:b/>
                <w:color w:val="000000" w:themeColor="text1"/>
                <w:szCs w:val="21"/>
                <w:highlight w:val="none"/>
                <w14:textFill>
                  <w14:solidFill>
                    <w14:schemeClr w14:val="tx1"/>
                  </w14:solidFill>
                </w14:textFill>
              </w:rPr>
              <w:t>技术参数</w:t>
            </w:r>
            <w:r>
              <w:rPr>
                <w:rFonts w:hint="eastAsia" w:ascii="仿宋" w:hAnsi="仿宋" w:eastAsia="仿宋" w:cs="仿宋"/>
                <w:b/>
                <w:color w:val="000000" w:themeColor="text1"/>
                <w:szCs w:val="21"/>
                <w:highlight w:val="none"/>
                <w:lang w:eastAsia="zh-CN"/>
                <w14:textFill>
                  <w14:solidFill>
                    <w14:schemeClr w14:val="tx1"/>
                  </w14:solidFill>
                </w14:textFill>
              </w:rPr>
              <w:t>（</w:t>
            </w:r>
            <w:r>
              <w:rPr>
                <w:rFonts w:hint="eastAsia" w:ascii="仿宋" w:hAnsi="仿宋" w:eastAsia="仿宋" w:cs="仿宋"/>
                <w:b/>
                <w:color w:val="000000" w:themeColor="text1"/>
                <w:szCs w:val="21"/>
                <w:highlight w:val="none"/>
                <w:lang w:val="en-US" w:eastAsia="zh-CN"/>
                <w14:textFill>
                  <w14:solidFill>
                    <w14:schemeClr w14:val="tx1"/>
                  </w14:solidFill>
                </w14:textFill>
              </w:rPr>
              <w:t>型号规格</w:t>
            </w:r>
            <w:r>
              <w:rPr>
                <w:rFonts w:hint="eastAsia" w:ascii="仿宋" w:hAnsi="仿宋" w:eastAsia="仿宋" w:cs="仿宋"/>
                <w:b/>
                <w:color w:val="000000" w:themeColor="text1"/>
                <w:szCs w:val="21"/>
                <w:highlight w:val="none"/>
                <w:lang w:eastAsia="zh-CN"/>
                <w14:textFill>
                  <w14:solidFill>
                    <w14:schemeClr w14:val="tx1"/>
                  </w14:solidFill>
                </w14:textFill>
              </w:rPr>
              <w:t>）</w:t>
            </w:r>
          </w:p>
        </w:tc>
        <w:tc>
          <w:tcPr>
            <w:tcW w:w="1997" w:type="dxa"/>
            <w:tcBorders>
              <w:top w:val="single" w:color="auto" w:sz="12" w:space="0"/>
              <w:left w:val="single" w:color="auto" w:sz="4" w:space="0"/>
              <w:bottom w:val="single" w:color="auto" w:sz="4" w:space="0"/>
              <w:right w:val="single" w:color="auto" w:sz="4" w:space="0"/>
            </w:tcBorders>
            <w:vAlign w:val="center"/>
          </w:tcPr>
          <w:p w14:paraId="5CB63548">
            <w:pPr>
              <w:shd w:val="clear"/>
              <w:snapToGrid w:val="0"/>
              <w:spacing w:line="240" w:lineRule="auto"/>
              <w:jc w:val="center"/>
              <w:rPr>
                <w:rFonts w:hint="eastAsia" w:ascii="仿宋" w:hAnsi="仿宋" w:eastAsia="仿宋" w:cs="仿宋"/>
                <w:b/>
                <w:color w:val="000000" w:themeColor="text1"/>
                <w:szCs w:val="21"/>
                <w:highlight w:val="none"/>
                <w:lang w:val="en-US" w:eastAsia="zh-CN"/>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投标文件技术参数</w:t>
            </w:r>
            <w:r>
              <w:rPr>
                <w:rFonts w:hint="eastAsia" w:ascii="仿宋" w:hAnsi="仿宋" w:eastAsia="仿宋" w:cs="仿宋"/>
                <w:b/>
                <w:color w:val="000000" w:themeColor="text1"/>
                <w:szCs w:val="21"/>
                <w:highlight w:val="none"/>
                <w:lang w:eastAsia="zh-CN"/>
                <w14:textFill>
                  <w14:solidFill>
                    <w14:schemeClr w14:val="tx1"/>
                  </w14:solidFill>
                </w14:textFill>
              </w:rPr>
              <w:t>（</w:t>
            </w:r>
            <w:r>
              <w:rPr>
                <w:rFonts w:hint="eastAsia" w:ascii="仿宋" w:hAnsi="仿宋" w:eastAsia="仿宋" w:cs="仿宋"/>
                <w:b/>
                <w:color w:val="000000" w:themeColor="text1"/>
                <w:szCs w:val="21"/>
                <w:highlight w:val="none"/>
                <w:lang w:val="en-US" w:eastAsia="zh-CN"/>
                <w14:textFill>
                  <w14:solidFill>
                    <w14:schemeClr w14:val="tx1"/>
                  </w14:solidFill>
                </w14:textFill>
              </w:rPr>
              <w:t>型号规格</w:t>
            </w:r>
            <w:r>
              <w:rPr>
                <w:rFonts w:hint="eastAsia" w:ascii="仿宋" w:hAnsi="仿宋" w:eastAsia="仿宋" w:cs="仿宋"/>
                <w:b/>
                <w:color w:val="000000" w:themeColor="text1"/>
                <w:szCs w:val="21"/>
                <w:highlight w:val="none"/>
                <w:lang w:eastAsia="zh-CN"/>
                <w14:textFill>
                  <w14:solidFill>
                    <w14:schemeClr w14:val="tx1"/>
                  </w14:solidFill>
                </w14:textFill>
              </w:rPr>
              <w:t>）</w:t>
            </w:r>
          </w:p>
        </w:tc>
        <w:tc>
          <w:tcPr>
            <w:tcW w:w="1152" w:type="dxa"/>
            <w:tcBorders>
              <w:top w:val="single" w:color="auto" w:sz="12" w:space="0"/>
              <w:left w:val="single" w:color="auto" w:sz="4" w:space="0"/>
              <w:bottom w:val="single" w:color="auto" w:sz="4" w:space="0"/>
              <w:right w:val="single" w:color="auto" w:sz="4" w:space="0"/>
            </w:tcBorders>
            <w:vAlign w:val="center"/>
          </w:tcPr>
          <w:p w14:paraId="79A95754">
            <w:pPr>
              <w:shd w:val="clear" w:color="auto" w:fill="auto"/>
              <w:adjustRightInd w:val="0"/>
              <w:snapToGrid w:val="0"/>
              <w:ind w:right="23" w:rightChars="0"/>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正/负</w:t>
            </w:r>
            <w:r>
              <w:rPr>
                <w:rFonts w:hint="eastAsia" w:ascii="仿宋" w:hAnsi="仿宋" w:eastAsia="仿宋" w:cs="仿宋"/>
                <w:b/>
                <w:bCs/>
                <w:color w:val="000000" w:themeColor="text1"/>
                <w:sz w:val="21"/>
                <w:szCs w:val="21"/>
                <w:highlight w:val="none"/>
                <w14:textFill>
                  <w14:solidFill>
                    <w14:schemeClr w14:val="tx1"/>
                  </w14:solidFill>
                </w14:textFill>
              </w:rPr>
              <w:t>偏离</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或相同</w:t>
            </w:r>
          </w:p>
        </w:tc>
        <w:tc>
          <w:tcPr>
            <w:tcW w:w="1341" w:type="dxa"/>
            <w:tcBorders>
              <w:top w:val="single" w:color="auto" w:sz="12" w:space="0"/>
              <w:left w:val="single" w:color="auto" w:sz="4" w:space="0"/>
              <w:bottom w:val="single" w:color="auto" w:sz="4" w:space="0"/>
              <w:right w:val="single" w:color="auto" w:sz="12" w:space="0"/>
            </w:tcBorders>
            <w:vAlign w:val="center"/>
          </w:tcPr>
          <w:p w14:paraId="0C816570">
            <w:pPr>
              <w:shd w:val="clear" w:color="auto" w:fill="auto"/>
              <w:adjustRightInd w:val="0"/>
              <w:snapToGrid w:val="0"/>
              <w:ind w:right="23"/>
              <w:jc w:val="center"/>
              <w:rPr>
                <w:rFonts w:hint="eastAsia" w:ascii="仿宋" w:hAnsi="仿宋" w:eastAsia="仿宋" w:cs="仿宋"/>
                <w:b/>
                <w:color w:val="000000" w:themeColor="text1"/>
                <w:szCs w:val="21"/>
                <w:highlight w:val="none"/>
                <w:lang w:eastAsia="zh-CN"/>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偏离</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内容及影响</w:t>
            </w:r>
          </w:p>
        </w:tc>
        <w:tc>
          <w:tcPr>
            <w:tcW w:w="2067" w:type="dxa"/>
            <w:tcBorders>
              <w:top w:val="single" w:color="auto" w:sz="12" w:space="0"/>
              <w:left w:val="single" w:color="auto" w:sz="4" w:space="0"/>
              <w:bottom w:val="single" w:color="auto" w:sz="4" w:space="0"/>
              <w:right w:val="single" w:color="auto" w:sz="12" w:space="0"/>
            </w:tcBorders>
            <w:vAlign w:val="center"/>
          </w:tcPr>
          <w:p w14:paraId="3D79D4C9">
            <w:pPr>
              <w:shd w:val="clear" w:color="auto" w:fill="auto"/>
              <w:adjustRightInd w:val="0"/>
              <w:snapToGrid w:val="0"/>
              <w:ind w:right="23" w:rightChars="0"/>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技术参数功能佐证材料的对应页码</w:t>
            </w:r>
          </w:p>
        </w:tc>
      </w:tr>
      <w:tr w14:paraId="2F244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683" w:type="dxa"/>
            <w:tcBorders>
              <w:top w:val="single" w:color="auto" w:sz="4" w:space="0"/>
              <w:left w:val="single" w:color="auto" w:sz="12" w:space="0"/>
              <w:bottom w:val="single" w:color="auto" w:sz="4" w:space="0"/>
              <w:right w:val="single" w:color="auto" w:sz="4" w:space="0"/>
            </w:tcBorders>
            <w:vAlign w:val="center"/>
          </w:tcPr>
          <w:p w14:paraId="78B8BF2E">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tcPr>
          <w:p w14:paraId="389DBEF2">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997" w:type="dxa"/>
            <w:tcBorders>
              <w:top w:val="single" w:color="auto" w:sz="4" w:space="0"/>
              <w:left w:val="single" w:color="auto" w:sz="4" w:space="0"/>
              <w:bottom w:val="single" w:color="auto" w:sz="4" w:space="0"/>
              <w:right w:val="single" w:color="auto" w:sz="4" w:space="0"/>
            </w:tcBorders>
          </w:tcPr>
          <w:p w14:paraId="132779E7">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152" w:type="dxa"/>
            <w:tcBorders>
              <w:top w:val="single" w:color="auto" w:sz="4" w:space="0"/>
              <w:left w:val="single" w:color="auto" w:sz="4" w:space="0"/>
              <w:bottom w:val="single" w:color="auto" w:sz="4" w:space="0"/>
              <w:right w:val="single" w:color="auto" w:sz="4" w:space="0"/>
            </w:tcBorders>
            <w:vAlign w:val="center"/>
          </w:tcPr>
          <w:p w14:paraId="13B771A6">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341" w:type="dxa"/>
            <w:tcBorders>
              <w:top w:val="single" w:color="auto" w:sz="4" w:space="0"/>
              <w:left w:val="single" w:color="auto" w:sz="4" w:space="0"/>
              <w:bottom w:val="single" w:color="auto" w:sz="4" w:space="0"/>
              <w:right w:val="single" w:color="auto" w:sz="12" w:space="0"/>
            </w:tcBorders>
            <w:vAlign w:val="center"/>
          </w:tcPr>
          <w:p w14:paraId="5780E14B">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2067" w:type="dxa"/>
            <w:tcBorders>
              <w:top w:val="single" w:color="auto" w:sz="4" w:space="0"/>
              <w:left w:val="single" w:color="auto" w:sz="4" w:space="0"/>
              <w:bottom w:val="single" w:color="auto" w:sz="4" w:space="0"/>
              <w:right w:val="single" w:color="auto" w:sz="12" w:space="0"/>
            </w:tcBorders>
            <w:vAlign w:val="center"/>
          </w:tcPr>
          <w:p w14:paraId="0562BF51">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r>
      <w:tr w14:paraId="236CA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683" w:type="dxa"/>
            <w:tcBorders>
              <w:top w:val="single" w:color="auto" w:sz="4" w:space="0"/>
              <w:left w:val="single" w:color="auto" w:sz="12" w:space="0"/>
              <w:bottom w:val="single" w:color="auto" w:sz="4" w:space="0"/>
              <w:right w:val="single" w:color="auto" w:sz="4" w:space="0"/>
            </w:tcBorders>
            <w:vAlign w:val="center"/>
          </w:tcPr>
          <w:p w14:paraId="7521C710">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tcPr>
          <w:p w14:paraId="0BA0E357">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997" w:type="dxa"/>
            <w:tcBorders>
              <w:top w:val="single" w:color="auto" w:sz="4" w:space="0"/>
              <w:left w:val="single" w:color="auto" w:sz="4" w:space="0"/>
              <w:bottom w:val="single" w:color="auto" w:sz="4" w:space="0"/>
              <w:right w:val="single" w:color="auto" w:sz="4" w:space="0"/>
            </w:tcBorders>
          </w:tcPr>
          <w:p w14:paraId="01719A2D">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152" w:type="dxa"/>
            <w:tcBorders>
              <w:top w:val="single" w:color="auto" w:sz="4" w:space="0"/>
              <w:left w:val="single" w:color="auto" w:sz="4" w:space="0"/>
              <w:bottom w:val="single" w:color="auto" w:sz="4" w:space="0"/>
              <w:right w:val="single" w:color="auto" w:sz="4" w:space="0"/>
            </w:tcBorders>
            <w:vAlign w:val="center"/>
          </w:tcPr>
          <w:p w14:paraId="4509BE1D">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341" w:type="dxa"/>
            <w:tcBorders>
              <w:top w:val="single" w:color="auto" w:sz="4" w:space="0"/>
              <w:left w:val="single" w:color="auto" w:sz="4" w:space="0"/>
              <w:bottom w:val="single" w:color="auto" w:sz="4" w:space="0"/>
              <w:right w:val="single" w:color="auto" w:sz="12" w:space="0"/>
            </w:tcBorders>
            <w:vAlign w:val="center"/>
          </w:tcPr>
          <w:p w14:paraId="32297B38">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2067" w:type="dxa"/>
            <w:tcBorders>
              <w:top w:val="single" w:color="auto" w:sz="4" w:space="0"/>
              <w:left w:val="single" w:color="auto" w:sz="4" w:space="0"/>
              <w:bottom w:val="single" w:color="auto" w:sz="4" w:space="0"/>
              <w:right w:val="single" w:color="auto" w:sz="12" w:space="0"/>
            </w:tcBorders>
            <w:vAlign w:val="center"/>
          </w:tcPr>
          <w:p w14:paraId="33C0FFD3">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r>
      <w:tr w14:paraId="5A241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683" w:type="dxa"/>
            <w:tcBorders>
              <w:top w:val="single" w:color="auto" w:sz="4" w:space="0"/>
              <w:left w:val="single" w:color="auto" w:sz="12" w:space="0"/>
              <w:bottom w:val="single" w:color="auto" w:sz="4" w:space="0"/>
              <w:right w:val="single" w:color="auto" w:sz="4" w:space="0"/>
            </w:tcBorders>
            <w:vAlign w:val="center"/>
          </w:tcPr>
          <w:p w14:paraId="7CC8055A">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tcPr>
          <w:p w14:paraId="11E58E1B">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997" w:type="dxa"/>
            <w:tcBorders>
              <w:top w:val="single" w:color="auto" w:sz="4" w:space="0"/>
              <w:left w:val="single" w:color="auto" w:sz="4" w:space="0"/>
              <w:bottom w:val="single" w:color="auto" w:sz="4" w:space="0"/>
              <w:right w:val="single" w:color="auto" w:sz="4" w:space="0"/>
            </w:tcBorders>
          </w:tcPr>
          <w:p w14:paraId="5DB6842D">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152" w:type="dxa"/>
            <w:tcBorders>
              <w:top w:val="single" w:color="auto" w:sz="4" w:space="0"/>
              <w:left w:val="single" w:color="auto" w:sz="4" w:space="0"/>
              <w:bottom w:val="single" w:color="auto" w:sz="4" w:space="0"/>
              <w:right w:val="single" w:color="auto" w:sz="4" w:space="0"/>
            </w:tcBorders>
            <w:vAlign w:val="center"/>
          </w:tcPr>
          <w:p w14:paraId="419CA85E">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341" w:type="dxa"/>
            <w:tcBorders>
              <w:top w:val="single" w:color="auto" w:sz="4" w:space="0"/>
              <w:left w:val="single" w:color="auto" w:sz="4" w:space="0"/>
              <w:bottom w:val="single" w:color="auto" w:sz="4" w:space="0"/>
              <w:right w:val="single" w:color="auto" w:sz="12" w:space="0"/>
            </w:tcBorders>
            <w:vAlign w:val="center"/>
          </w:tcPr>
          <w:p w14:paraId="2A2973E3">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2067" w:type="dxa"/>
            <w:tcBorders>
              <w:top w:val="single" w:color="auto" w:sz="4" w:space="0"/>
              <w:left w:val="single" w:color="auto" w:sz="4" w:space="0"/>
              <w:bottom w:val="single" w:color="auto" w:sz="4" w:space="0"/>
              <w:right w:val="single" w:color="auto" w:sz="12" w:space="0"/>
            </w:tcBorders>
            <w:vAlign w:val="center"/>
          </w:tcPr>
          <w:p w14:paraId="21E0A838">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r>
      <w:tr w14:paraId="1426B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683" w:type="dxa"/>
            <w:tcBorders>
              <w:top w:val="single" w:color="auto" w:sz="4" w:space="0"/>
              <w:left w:val="single" w:color="auto" w:sz="12" w:space="0"/>
              <w:bottom w:val="single" w:color="auto" w:sz="4" w:space="0"/>
              <w:right w:val="single" w:color="auto" w:sz="4" w:space="0"/>
            </w:tcBorders>
            <w:vAlign w:val="center"/>
          </w:tcPr>
          <w:p w14:paraId="48BE5596">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tcPr>
          <w:p w14:paraId="768ECC26">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997" w:type="dxa"/>
            <w:tcBorders>
              <w:top w:val="single" w:color="auto" w:sz="4" w:space="0"/>
              <w:left w:val="single" w:color="auto" w:sz="4" w:space="0"/>
              <w:bottom w:val="single" w:color="auto" w:sz="4" w:space="0"/>
              <w:right w:val="single" w:color="auto" w:sz="4" w:space="0"/>
            </w:tcBorders>
          </w:tcPr>
          <w:p w14:paraId="29540943">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152" w:type="dxa"/>
            <w:tcBorders>
              <w:top w:val="single" w:color="auto" w:sz="4" w:space="0"/>
              <w:left w:val="single" w:color="auto" w:sz="4" w:space="0"/>
              <w:bottom w:val="single" w:color="auto" w:sz="4" w:space="0"/>
              <w:right w:val="single" w:color="auto" w:sz="4" w:space="0"/>
            </w:tcBorders>
            <w:vAlign w:val="center"/>
          </w:tcPr>
          <w:p w14:paraId="645F31F5">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341" w:type="dxa"/>
            <w:tcBorders>
              <w:top w:val="single" w:color="auto" w:sz="4" w:space="0"/>
              <w:left w:val="single" w:color="auto" w:sz="4" w:space="0"/>
              <w:bottom w:val="single" w:color="auto" w:sz="4" w:space="0"/>
              <w:right w:val="single" w:color="auto" w:sz="12" w:space="0"/>
            </w:tcBorders>
            <w:vAlign w:val="center"/>
          </w:tcPr>
          <w:p w14:paraId="1786C68D">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2067" w:type="dxa"/>
            <w:tcBorders>
              <w:top w:val="single" w:color="auto" w:sz="4" w:space="0"/>
              <w:left w:val="single" w:color="auto" w:sz="4" w:space="0"/>
              <w:bottom w:val="single" w:color="auto" w:sz="4" w:space="0"/>
              <w:right w:val="single" w:color="auto" w:sz="12" w:space="0"/>
            </w:tcBorders>
            <w:vAlign w:val="center"/>
          </w:tcPr>
          <w:p w14:paraId="6230F504">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r>
      <w:tr w14:paraId="190C5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83" w:type="dxa"/>
            <w:tcBorders>
              <w:top w:val="single" w:color="auto" w:sz="4" w:space="0"/>
              <w:left w:val="single" w:color="auto" w:sz="12" w:space="0"/>
              <w:bottom w:val="single" w:color="auto" w:sz="4" w:space="0"/>
              <w:right w:val="single" w:color="auto" w:sz="4" w:space="0"/>
            </w:tcBorders>
            <w:vAlign w:val="center"/>
          </w:tcPr>
          <w:p w14:paraId="42AF6446">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tcPr>
          <w:p w14:paraId="0A918984">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997" w:type="dxa"/>
            <w:tcBorders>
              <w:top w:val="single" w:color="auto" w:sz="4" w:space="0"/>
              <w:left w:val="single" w:color="auto" w:sz="4" w:space="0"/>
              <w:bottom w:val="single" w:color="auto" w:sz="4" w:space="0"/>
              <w:right w:val="single" w:color="auto" w:sz="4" w:space="0"/>
            </w:tcBorders>
          </w:tcPr>
          <w:p w14:paraId="5E2B7A3B">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152" w:type="dxa"/>
            <w:tcBorders>
              <w:top w:val="single" w:color="auto" w:sz="4" w:space="0"/>
              <w:left w:val="single" w:color="auto" w:sz="4" w:space="0"/>
              <w:bottom w:val="single" w:color="auto" w:sz="4" w:space="0"/>
              <w:right w:val="single" w:color="auto" w:sz="4" w:space="0"/>
            </w:tcBorders>
            <w:vAlign w:val="center"/>
          </w:tcPr>
          <w:p w14:paraId="0330A148">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341" w:type="dxa"/>
            <w:tcBorders>
              <w:top w:val="single" w:color="auto" w:sz="4" w:space="0"/>
              <w:left w:val="single" w:color="auto" w:sz="4" w:space="0"/>
              <w:bottom w:val="single" w:color="auto" w:sz="4" w:space="0"/>
              <w:right w:val="single" w:color="auto" w:sz="12" w:space="0"/>
            </w:tcBorders>
            <w:vAlign w:val="center"/>
          </w:tcPr>
          <w:p w14:paraId="54D03CE0">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2067" w:type="dxa"/>
            <w:tcBorders>
              <w:top w:val="single" w:color="auto" w:sz="4" w:space="0"/>
              <w:left w:val="single" w:color="auto" w:sz="4" w:space="0"/>
              <w:bottom w:val="single" w:color="auto" w:sz="4" w:space="0"/>
              <w:right w:val="single" w:color="auto" w:sz="12" w:space="0"/>
            </w:tcBorders>
            <w:vAlign w:val="center"/>
          </w:tcPr>
          <w:p w14:paraId="242827D0">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r>
      <w:tr w14:paraId="4C6A2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83" w:type="dxa"/>
            <w:tcBorders>
              <w:top w:val="single" w:color="auto" w:sz="4" w:space="0"/>
              <w:left w:val="single" w:color="auto" w:sz="12" w:space="0"/>
              <w:bottom w:val="single" w:color="auto" w:sz="4" w:space="0"/>
              <w:right w:val="single" w:color="auto" w:sz="4" w:space="0"/>
            </w:tcBorders>
            <w:vAlign w:val="center"/>
          </w:tcPr>
          <w:p w14:paraId="0ED98CC1">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tcPr>
          <w:p w14:paraId="723EBD8D">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997" w:type="dxa"/>
            <w:tcBorders>
              <w:top w:val="single" w:color="auto" w:sz="4" w:space="0"/>
              <w:left w:val="single" w:color="auto" w:sz="4" w:space="0"/>
              <w:bottom w:val="single" w:color="auto" w:sz="4" w:space="0"/>
              <w:right w:val="single" w:color="auto" w:sz="4" w:space="0"/>
            </w:tcBorders>
          </w:tcPr>
          <w:p w14:paraId="664EA031">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152" w:type="dxa"/>
            <w:tcBorders>
              <w:top w:val="single" w:color="auto" w:sz="4" w:space="0"/>
              <w:left w:val="single" w:color="auto" w:sz="4" w:space="0"/>
              <w:bottom w:val="single" w:color="auto" w:sz="4" w:space="0"/>
              <w:right w:val="single" w:color="auto" w:sz="4" w:space="0"/>
            </w:tcBorders>
            <w:vAlign w:val="center"/>
          </w:tcPr>
          <w:p w14:paraId="7B37AE49">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341" w:type="dxa"/>
            <w:tcBorders>
              <w:top w:val="single" w:color="auto" w:sz="4" w:space="0"/>
              <w:left w:val="single" w:color="auto" w:sz="4" w:space="0"/>
              <w:bottom w:val="single" w:color="auto" w:sz="4" w:space="0"/>
              <w:right w:val="single" w:color="auto" w:sz="12" w:space="0"/>
            </w:tcBorders>
            <w:vAlign w:val="center"/>
          </w:tcPr>
          <w:p w14:paraId="0D437C6F">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2067" w:type="dxa"/>
            <w:tcBorders>
              <w:top w:val="single" w:color="auto" w:sz="4" w:space="0"/>
              <w:left w:val="single" w:color="auto" w:sz="4" w:space="0"/>
              <w:bottom w:val="single" w:color="auto" w:sz="4" w:space="0"/>
              <w:right w:val="single" w:color="auto" w:sz="12" w:space="0"/>
            </w:tcBorders>
            <w:vAlign w:val="center"/>
          </w:tcPr>
          <w:p w14:paraId="38E4C12A">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r>
      <w:tr w14:paraId="62B25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683" w:type="dxa"/>
            <w:tcBorders>
              <w:top w:val="single" w:color="auto" w:sz="4" w:space="0"/>
              <w:left w:val="single" w:color="auto" w:sz="12" w:space="0"/>
              <w:bottom w:val="single" w:color="auto" w:sz="4" w:space="0"/>
              <w:right w:val="single" w:color="auto" w:sz="4" w:space="0"/>
            </w:tcBorders>
            <w:vAlign w:val="center"/>
          </w:tcPr>
          <w:p w14:paraId="4F8EB33C">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tcPr>
          <w:p w14:paraId="25E0110E">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997" w:type="dxa"/>
            <w:tcBorders>
              <w:top w:val="single" w:color="auto" w:sz="4" w:space="0"/>
              <w:left w:val="single" w:color="auto" w:sz="4" w:space="0"/>
              <w:bottom w:val="single" w:color="auto" w:sz="4" w:space="0"/>
              <w:right w:val="single" w:color="auto" w:sz="4" w:space="0"/>
            </w:tcBorders>
          </w:tcPr>
          <w:p w14:paraId="4096CED9">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152" w:type="dxa"/>
            <w:tcBorders>
              <w:top w:val="single" w:color="auto" w:sz="4" w:space="0"/>
              <w:left w:val="single" w:color="auto" w:sz="4" w:space="0"/>
              <w:bottom w:val="single" w:color="auto" w:sz="4" w:space="0"/>
              <w:right w:val="single" w:color="auto" w:sz="4" w:space="0"/>
            </w:tcBorders>
            <w:vAlign w:val="center"/>
          </w:tcPr>
          <w:p w14:paraId="6BBE0BF0">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341" w:type="dxa"/>
            <w:tcBorders>
              <w:top w:val="single" w:color="auto" w:sz="4" w:space="0"/>
              <w:left w:val="single" w:color="auto" w:sz="4" w:space="0"/>
              <w:bottom w:val="single" w:color="auto" w:sz="4" w:space="0"/>
              <w:right w:val="single" w:color="auto" w:sz="12" w:space="0"/>
            </w:tcBorders>
            <w:vAlign w:val="center"/>
          </w:tcPr>
          <w:p w14:paraId="418FF856">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2067" w:type="dxa"/>
            <w:tcBorders>
              <w:top w:val="single" w:color="auto" w:sz="4" w:space="0"/>
              <w:left w:val="single" w:color="auto" w:sz="4" w:space="0"/>
              <w:bottom w:val="single" w:color="auto" w:sz="4" w:space="0"/>
              <w:right w:val="single" w:color="auto" w:sz="12" w:space="0"/>
            </w:tcBorders>
            <w:vAlign w:val="center"/>
          </w:tcPr>
          <w:p w14:paraId="18C5E766">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r>
      <w:tr w14:paraId="13724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683" w:type="dxa"/>
            <w:tcBorders>
              <w:top w:val="single" w:color="auto" w:sz="4" w:space="0"/>
              <w:left w:val="single" w:color="auto" w:sz="12" w:space="0"/>
              <w:bottom w:val="single" w:color="auto" w:sz="12" w:space="0"/>
              <w:right w:val="single" w:color="auto" w:sz="4" w:space="0"/>
            </w:tcBorders>
            <w:vAlign w:val="center"/>
          </w:tcPr>
          <w:p w14:paraId="29B502FE">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2064" w:type="dxa"/>
            <w:tcBorders>
              <w:top w:val="single" w:color="auto" w:sz="4" w:space="0"/>
              <w:left w:val="single" w:color="auto" w:sz="4" w:space="0"/>
              <w:bottom w:val="single" w:color="auto" w:sz="12" w:space="0"/>
              <w:right w:val="single" w:color="auto" w:sz="4" w:space="0"/>
            </w:tcBorders>
          </w:tcPr>
          <w:p w14:paraId="7073B499">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997" w:type="dxa"/>
            <w:tcBorders>
              <w:top w:val="single" w:color="auto" w:sz="4" w:space="0"/>
              <w:left w:val="single" w:color="auto" w:sz="4" w:space="0"/>
              <w:bottom w:val="single" w:color="auto" w:sz="12" w:space="0"/>
              <w:right w:val="single" w:color="auto" w:sz="4" w:space="0"/>
            </w:tcBorders>
          </w:tcPr>
          <w:p w14:paraId="24C03B45">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152" w:type="dxa"/>
            <w:tcBorders>
              <w:top w:val="single" w:color="auto" w:sz="4" w:space="0"/>
              <w:left w:val="single" w:color="auto" w:sz="4" w:space="0"/>
              <w:bottom w:val="single" w:color="auto" w:sz="12" w:space="0"/>
              <w:right w:val="single" w:color="auto" w:sz="4" w:space="0"/>
            </w:tcBorders>
            <w:vAlign w:val="center"/>
          </w:tcPr>
          <w:p w14:paraId="25C86B5B">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341" w:type="dxa"/>
            <w:tcBorders>
              <w:top w:val="single" w:color="auto" w:sz="4" w:space="0"/>
              <w:left w:val="single" w:color="auto" w:sz="4" w:space="0"/>
              <w:bottom w:val="single" w:color="auto" w:sz="12" w:space="0"/>
              <w:right w:val="single" w:color="auto" w:sz="12" w:space="0"/>
            </w:tcBorders>
            <w:vAlign w:val="center"/>
          </w:tcPr>
          <w:p w14:paraId="64418097">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2067" w:type="dxa"/>
            <w:tcBorders>
              <w:top w:val="single" w:color="auto" w:sz="4" w:space="0"/>
              <w:left w:val="single" w:color="auto" w:sz="4" w:space="0"/>
              <w:bottom w:val="single" w:color="auto" w:sz="12" w:space="0"/>
              <w:right w:val="single" w:color="auto" w:sz="12" w:space="0"/>
            </w:tcBorders>
            <w:vAlign w:val="center"/>
          </w:tcPr>
          <w:p w14:paraId="7B390C4A">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r>
    </w:tbl>
    <w:p w14:paraId="4F4CCA8E">
      <w:pPr>
        <w:pStyle w:val="21"/>
        <w:shd w:val="clear"/>
        <w:jc w:val="both"/>
        <w:rPr>
          <w:rFonts w:hint="eastAsia" w:ascii="仿宋" w:hAnsi="仿宋" w:eastAsia="仿宋" w:cs="仿宋"/>
          <w:color w:val="000000" w:themeColor="text1"/>
          <w:highlight w:val="none"/>
          <w14:textFill>
            <w14:solidFill>
              <w14:schemeClr w14:val="tx1"/>
            </w14:solidFill>
          </w14:textFill>
        </w:rPr>
      </w:pPr>
    </w:p>
    <w:p w14:paraId="6197604E">
      <w:pPr>
        <w:shd w:val="clear"/>
        <w:tabs>
          <w:tab w:val="left" w:pos="2040"/>
        </w:tabs>
        <w:spacing w:line="360" w:lineRule="auto"/>
        <w:outlineLvl w:val="1"/>
        <w:rPr>
          <w:rFonts w:hint="eastAsia" w:ascii="仿宋" w:hAnsi="仿宋" w:eastAsia="仿宋" w:cs="仿宋"/>
          <w:bCs/>
          <w:color w:val="000000" w:themeColor="text1"/>
          <w:szCs w:val="21"/>
          <w:highlight w:val="none"/>
          <w14:textFill>
            <w14:solidFill>
              <w14:schemeClr w14:val="tx1"/>
            </w14:solidFill>
          </w14:textFill>
        </w:rPr>
      </w:pPr>
      <w:bookmarkStart w:id="547" w:name="_Toc12379"/>
      <w:bookmarkStart w:id="548" w:name="_Toc1876"/>
      <w:r>
        <w:rPr>
          <w:rFonts w:hint="eastAsia" w:ascii="仿宋" w:hAnsi="仿宋" w:eastAsia="仿宋" w:cs="仿宋"/>
          <w:bCs/>
          <w:color w:val="000000" w:themeColor="text1"/>
          <w:szCs w:val="21"/>
          <w:highlight w:val="none"/>
          <w14:textFill>
            <w14:solidFill>
              <w14:schemeClr w14:val="tx1"/>
            </w14:solidFill>
          </w14:textFill>
        </w:rPr>
        <w:t>说明：</w:t>
      </w:r>
      <w:bookmarkEnd w:id="547"/>
      <w:bookmarkEnd w:id="548"/>
    </w:p>
    <w:p w14:paraId="43769D38">
      <w:pPr>
        <w:shd w:val="clear"/>
        <w:tabs>
          <w:tab w:val="left" w:pos="2040"/>
        </w:tabs>
        <w:spacing w:line="360" w:lineRule="auto"/>
        <w:outlineLvl w:val="1"/>
        <w:rPr>
          <w:rFonts w:hint="eastAsia" w:ascii="仿宋" w:hAnsi="仿宋" w:eastAsia="仿宋" w:cs="仿宋"/>
          <w:bCs/>
          <w:color w:val="000000" w:themeColor="text1"/>
          <w:szCs w:val="21"/>
          <w:highlight w:val="none"/>
          <w14:textFill>
            <w14:solidFill>
              <w14:schemeClr w14:val="tx1"/>
            </w14:solidFill>
          </w14:textFill>
        </w:rPr>
      </w:pPr>
      <w:bookmarkStart w:id="549" w:name="_Toc32315"/>
      <w:bookmarkStart w:id="550" w:name="_Toc30085"/>
      <w:r>
        <w:rPr>
          <w:rFonts w:hint="eastAsia" w:ascii="仿宋" w:hAnsi="仿宋" w:eastAsia="仿宋" w:cs="仿宋"/>
          <w:bCs/>
          <w:color w:val="000000" w:themeColor="text1"/>
          <w:szCs w:val="21"/>
          <w:highlight w:val="none"/>
          <w14:textFill>
            <w14:solidFill>
              <w14:schemeClr w14:val="tx1"/>
            </w14:solidFill>
          </w14:textFill>
        </w:rPr>
        <w:t>1.本表须逐项填写，不得空缺；</w:t>
      </w:r>
      <w:bookmarkEnd w:id="549"/>
      <w:bookmarkEnd w:id="550"/>
    </w:p>
    <w:p w14:paraId="28A72405">
      <w:pPr>
        <w:shd w:val="clear"/>
        <w:tabs>
          <w:tab w:val="left" w:pos="2040"/>
        </w:tabs>
        <w:spacing w:line="360" w:lineRule="auto"/>
        <w:outlineLvl w:val="1"/>
        <w:rPr>
          <w:rFonts w:hint="eastAsia" w:ascii="仿宋" w:hAnsi="仿宋" w:eastAsia="仿宋" w:cs="仿宋"/>
          <w:bCs/>
          <w:color w:val="000000" w:themeColor="text1"/>
          <w:szCs w:val="21"/>
          <w:highlight w:val="none"/>
          <w14:textFill>
            <w14:solidFill>
              <w14:schemeClr w14:val="tx1"/>
            </w14:solidFill>
          </w14:textFill>
        </w:rPr>
      </w:pPr>
      <w:bookmarkStart w:id="551" w:name="_Toc17763"/>
      <w:bookmarkStart w:id="552" w:name="_Toc16439"/>
      <w:r>
        <w:rPr>
          <w:rFonts w:hint="eastAsia" w:ascii="仿宋" w:hAnsi="仿宋" w:eastAsia="仿宋" w:cs="仿宋"/>
          <w:bCs/>
          <w:color w:val="000000" w:themeColor="text1"/>
          <w:szCs w:val="21"/>
          <w:highlight w:val="none"/>
          <w14:textFill>
            <w14:solidFill>
              <w14:schemeClr w14:val="tx1"/>
            </w14:solidFill>
          </w14:textFill>
        </w:rPr>
        <w:t>2.货物各项详细技术性能可另页描述；若货物没有注册商标和具体型号须注明。</w:t>
      </w:r>
      <w:bookmarkEnd w:id="551"/>
      <w:bookmarkEnd w:id="552"/>
    </w:p>
    <w:p w14:paraId="53D1667D">
      <w:pPr>
        <w:rPr>
          <w:rFonts w:hint="eastAsia"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w:t>
      </w:r>
      <w:r>
        <w:rPr>
          <w:rFonts w:hint="eastAsia" w:ascii="仿宋" w:hAnsi="仿宋" w:eastAsia="仿宋" w:cs="仿宋"/>
          <w:color w:val="000000" w:themeColor="text1"/>
          <w:sz w:val="22"/>
          <w:szCs w:val="22"/>
          <w:lang w:eastAsia="zh-CN"/>
          <w14:textFill>
            <w14:solidFill>
              <w14:schemeClr w14:val="tx1"/>
            </w14:solidFill>
          </w14:textFill>
        </w:rPr>
        <w:t>投标人</w:t>
      </w:r>
      <w:r>
        <w:rPr>
          <w:rFonts w:hint="eastAsia" w:ascii="仿宋" w:hAnsi="仿宋" w:eastAsia="仿宋" w:cs="仿宋"/>
          <w:color w:val="000000" w:themeColor="text1"/>
          <w:sz w:val="22"/>
          <w:szCs w:val="22"/>
          <w14:textFill>
            <w14:solidFill>
              <w14:schemeClr w14:val="tx1"/>
            </w14:solidFill>
          </w14:textFill>
        </w:rPr>
        <w:t>必须据实填写，不得虚假响应，否则将取消其</w:t>
      </w:r>
      <w:r>
        <w:rPr>
          <w:rFonts w:hint="eastAsia" w:ascii="仿宋" w:hAnsi="仿宋" w:eastAsia="仿宋" w:cs="仿宋"/>
          <w:color w:val="000000" w:themeColor="text1"/>
          <w:sz w:val="22"/>
          <w:szCs w:val="22"/>
          <w:lang w:val="en-US" w:eastAsia="zh-CN"/>
          <w14:textFill>
            <w14:solidFill>
              <w14:schemeClr w14:val="tx1"/>
            </w14:solidFill>
          </w14:textFill>
        </w:rPr>
        <w:t>投标</w:t>
      </w:r>
      <w:r>
        <w:rPr>
          <w:rFonts w:hint="eastAsia" w:ascii="仿宋" w:hAnsi="仿宋" w:eastAsia="仿宋" w:cs="仿宋"/>
          <w:color w:val="000000" w:themeColor="text1"/>
          <w:sz w:val="22"/>
          <w:szCs w:val="22"/>
          <w14:textFill>
            <w14:solidFill>
              <w14:schemeClr w14:val="tx1"/>
            </w14:solidFill>
          </w14:textFill>
        </w:rPr>
        <w:t>或</w:t>
      </w:r>
      <w:r>
        <w:rPr>
          <w:rFonts w:hint="eastAsia" w:ascii="仿宋" w:hAnsi="仿宋" w:eastAsia="仿宋" w:cs="仿宋"/>
          <w:color w:val="000000" w:themeColor="text1"/>
          <w:sz w:val="22"/>
          <w:szCs w:val="22"/>
          <w:lang w:val="en-US" w:eastAsia="zh-CN"/>
          <w14:textFill>
            <w14:solidFill>
              <w14:schemeClr w14:val="tx1"/>
            </w14:solidFill>
          </w14:textFill>
        </w:rPr>
        <w:t>中标</w:t>
      </w:r>
      <w:r>
        <w:rPr>
          <w:rFonts w:hint="eastAsia" w:ascii="仿宋" w:hAnsi="仿宋" w:eastAsia="仿宋" w:cs="仿宋"/>
          <w:color w:val="000000" w:themeColor="text1"/>
          <w:sz w:val="22"/>
          <w:szCs w:val="22"/>
          <w14:textFill>
            <w14:solidFill>
              <w14:schemeClr w14:val="tx1"/>
            </w14:solidFill>
          </w14:textFill>
        </w:rPr>
        <w:t>资格。</w:t>
      </w:r>
    </w:p>
    <w:p w14:paraId="617212F8">
      <w:pPr>
        <w:shd w:val="clear"/>
        <w:tabs>
          <w:tab w:val="left" w:pos="2040"/>
        </w:tabs>
        <w:spacing w:line="360" w:lineRule="auto"/>
        <w:outlineLvl w:val="1"/>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4.</w:t>
      </w:r>
      <w:r>
        <w:rPr>
          <w:rFonts w:hint="eastAsia" w:ascii="仿宋" w:hAnsi="仿宋" w:eastAsia="仿宋" w:cs="仿宋"/>
          <w:bCs/>
          <w:color w:val="000000" w:themeColor="text1"/>
          <w:szCs w:val="21"/>
          <w:highlight w:val="none"/>
          <w14:textFill>
            <w14:solidFill>
              <w14:schemeClr w14:val="tx1"/>
            </w14:solidFill>
          </w14:textFill>
        </w:rPr>
        <w:t>“★”技术参数</w:t>
      </w:r>
      <w:r>
        <w:rPr>
          <w:rFonts w:hint="eastAsia" w:ascii="仿宋" w:hAnsi="仿宋" w:eastAsia="仿宋" w:cs="仿宋"/>
          <w:bCs/>
          <w:color w:val="000000" w:themeColor="text1"/>
          <w:szCs w:val="21"/>
          <w:highlight w:val="none"/>
          <w:lang w:val="en-US" w:eastAsia="zh-CN"/>
          <w14:textFill>
            <w14:solidFill>
              <w14:schemeClr w14:val="tx1"/>
            </w14:solidFill>
          </w14:textFill>
        </w:rPr>
        <w:t>需附有效证明材料与之对应，证明材料应为检测报告或宣传彩页或技术白皮书或宣传彩页等，并填写对应页码。</w:t>
      </w:r>
    </w:p>
    <w:p w14:paraId="7846EEDC">
      <w:pPr>
        <w:shd w:val="clear"/>
        <w:tabs>
          <w:tab w:val="left" w:pos="2040"/>
        </w:tabs>
        <w:spacing w:line="360" w:lineRule="auto"/>
        <w:outlineLvl w:val="9"/>
        <w:rPr>
          <w:rFonts w:hint="eastAsia" w:ascii="仿宋" w:hAnsi="仿宋" w:eastAsia="仿宋" w:cs="仿宋"/>
          <w:b/>
          <w:color w:val="000000" w:themeColor="text1"/>
          <w:szCs w:val="21"/>
          <w:highlight w:val="none"/>
          <w14:textFill>
            <w14:solidFill>
              <w14:schemeClr w14:val="tx1"/>
            </w14:solidFill>
          </w14:textFill>
        </w:rPr>
      </w:pPr>
    </w:p>
    <w:p w14:paraId="36E35313">
      <w:pPr>
        <w:shd w:val="clear"/>
        <w:spacing w:line="360" w:lineRule="auto"/>
        <w:ind w:firstLine="3150" w:firstLineChars="15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投标人：（公章）</w:t>
      </w:r>
    </w:p>
    <w:p w14:paraId="2500745B">
      <w:pPr>
        <w:shd w:val="clear"/>
        <w:spacing w:line="360" w:lineRule="auto"/>
        <w:ind w:firstLine="2940" w:firstLineChars="1400"/>
        <w:rPr>
          <w:rFonts w:hint="eastAsia" w:ascii="仿宋" w:hAnsi="仿宋" w:eastAsia="仿宋" w:cs="仿宋"/>
          <w:color w:val="000000" w:themeColor="text1"/>
          <w:szCs w:val="21"/>
          <w:highlight w:val="none"/>
          <w:lang w:val="zh-CN"/>
          <w14:textFill>
            <w14:solidFill>
              <w14:schemeClr w14:val="tx1"/>
            </w14:solidFill>
          </w14:textFill>
        </w:rPr>
      </w:pPr>
    </w:p>
    <w:p w14:paraId="7C77A34F">
      <w:pPr>
        <w:shd w:val="clear"/>
        <w:spacing w:line="360" w:lineRule="auto"/>
        <w:ind w:firstLine="3150" w:firstLineChars="15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法定代表人或授权代表：（签字）</w:t>
      </w:r>
    </w:p>
    <w:p w14:paraId="34DB3705">
      <w:pPr>
        <w:shd w:val="clear"/>
        <w:spacing w:line="360" w:lineRule="auto"/>
        <w:rPr>
          <w:rFonts w:hint="eastAsia" w:ascii="仿宋" w:hAnsi="仿宋" w:eastAsia="仿宋" w:cs="仿宋"/>
          <w:color w:val="000000" w:themeColor="text1"/>
          <w:szCs w:val="21"/>
          <w:highlight w:val="none"/>
          <w:lang w:val="zh-CN"/>
          <w14:textFill>
            <w14:solidFill>
              <w14:schemeClr w14:val="tx1"/>
            </w14:solidFill>
          </w14:textFill>
        </w:rPr>
      </w:pPr>
    </w:p>
    <w:p w14:paraId="7E895A38">
      <w:pPr>
        <w:shd w:val="clear"/>
        <w:spacing w:line="420" w:lineRule="exact"/>
        <w:ind w:firstLine="3360" w:firstLineChars="16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日期：</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年</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月</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日</w:t>
      </w:r>
    </w:p>
    <w:p w14:paraId="4F7E57B3">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6DE0001D">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17987FAB">
      <w:pPr>
        <w:shd w:val="clear"/>
        <w:rPr>
          <w:rFonts w:hint="eastAsia" w:ascii="仿宋" w:hAnsi="仿宋" w:eastAsia="仿宋" w:cs="仿宋"/>
          <w:b/>
          <w:bCs/>
          <w:color w:val="000000" w:themeColor="text1"/>
          <w:kern w:val="0"/>
          <w:sz w:val="36"/>
          <w:szCs w:val="36"/>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附表</w:t>
      </w:r>
      <w:r>
        <w:rPr>
          <w:rFonts w:hint="eastAsia" w:ascii="仿宋" w:hAnsi="仿宋" w:eastAsia="仿宋" w:cs="仿宋"/>
          <w:b/>
          <w:color w:val="000000" w:themeColor="text1"/>
          <w:sz w:val="28"/>
          <w:szCs w:val="28"/>
          <w:lang w:val="en-US" w:eastAsia="zh-CN"/>
          <w14:textFill>
            <w14:solidFill>
              <w14:schemeClr w14:val="tx1"/>
            </w14:solidFill>
          </w14:textFill>
        </w:rPr>
        <w:t>2</w:t>
      </w:r>
      <w:r>
        <w:rPr>
          <w:rFonts w:hint="eastAsia" w:ascii="仿宋" w:hAnsi="仿宋" w:eastAsia="仿宋" w:cs="仿宋"/>
          <w:b/>
          <w:color w:val="000000" w:themeColor="text1"/>
          <w:sz w:val="28"/>
          <w:szCs w:val="28"/>
          <w14:textFill>
            <w14:solidFill>
              <w14:schemeClr w14:val="tx1"/>
            </w14:solidFill>
          </w14:textFill>
        </w:rPr>
        <w:t>：</w:t>
      </w:r>
    </w:p>
    <w:p w14:paraId="46F24CD9">
      <w:pPr>
        <w:pStyle w:val="57"/>
        <w:shd w:val="clear"/>
        <w:jc w:val="center"/>
        <w:rPr>
          <w:rFonts w:hint="eastAsia" w:ascii="仿宋" w:hAnsi="仿宋" w:eastAsia="仿宋" w:cs="仿宋"/>
          <w:b/>
          <w:color w:val="000000" w:themeColor="text1"/>
          <w:kern w:val="2"/>
          <w:sz w:val="32"/>
          <w:szCs w:val="32"/>
          <w14:textFill>
            <w14:solidFill>
              <w14:schemeClr w14:val="tx1"/>
            </w14:solidFill>
          </w14:textFill>
        </w:rPr>
      </w:pPr>
      <w:r>
        <w:rPr>
          <w:rFonts w:hint="eastAsia" w:ascii="仿宋" w:hAnsi="仿宋" w:eastAsia="仿宋" w:cs="仿宋"/>
          <w:b/>
          <w:color w:val="000000" w:themeColor="text1"/>
          <w:kern w:val="2"/>
          <w:sz w:val="32"/>
          <w:szCs w:val="32"/>
          <w14:textFill>
            <w14:solidFill>
              <w14:schemeClr w14:val="tx1"/>
            </w14:solidFill>
          </w14:textFill>
        </w:rPr>
        <w:t>人员组织机构配备一览表</w:t>
      </w:r>
    </w:p>
    <w:p w14:paraId="13E304D4">
      <w:pPr>
        <w:pStyle w:val="57"/>
        <w:shd w:val="clear"/>
        <w:jc w:val="center"/>
        <w:rPr>
          <w:rFonts w:hint="eastAsia" w:ascii="仿宋" w:hAnsi="仿宋" w:eastAsia="仿宋" w:cs="仿宋"/>
          <w:b/>
          <w:color w:val="000000" w:themeColor="text1"/>
          <w:kern w:val="2"/>
          <w:sz w:val="28"/>
          <w:szCs w:val="28"/>
          <w14:textFill>
            <w14:solidFill>
              <w14:schemeClr w14:val="tx1"/>
            </w14:solidFill>
          </w14:textFill>
        </w:rPr>
      </w:pPr>
    </w:p>
    <w:tbl>
      <w:tblPr>
        <w:tblStyle w:val="42"/>
        <w:tblW w:w="9060"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975"/>
        <w:gridCol w:w="795"/>
        <w:gridCol w:w="810"/>
        <w:gridCol w:w="1140"/>
        <w:gridCol w:w="1005"/>
        <w:gridCol w:w="1800"/>
        <w:gridCol w:w="1770"/>
      </w:tblGrid>
      <w:tr w14:paraId="54FCD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765" w:type="dxa"/>
            <w:vAlign w:val="center"/>
          </w:tcPr>
          <w:p w14:paraId="445C4F7F">
            <w:pPr>
              <w:shd w:val="clear"/>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序号</w:t>
            </w:r>
          </w:p>
        </w:tc>
        <w:tc>
          <w:tcPr>
            <w:tcW w:w="975" w:type="dxa"/>
            <w:vAlign w:val="center"/>
          </w:tcPr>
          <w:p w14:paraId="34EA0032">
            <w:pPr>
              <w:shd w:val="clear"/>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姓名</w:t>
            </w:r>
          </w:p>
        </w:tc>
        <w:tc>
          <w:tcPr>
            <w:tcW w:w="795" w:type="dxa"/>
            <w:vAlign w:val="center"/>
          </w:tcPr>
          <w:p w14:paraId="4613DEE3">
            <w:pPr>
              <w:shd w:val="clear"/>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性别</w:t>
            </w:r>
          </w:p>
        </w:tc>
        <w:tc>
          <w:tcPr>
            <w:tcW w:w="810" w:type="dxa"/>
            <w:vAlign w:val="center"/>
          </w:tcPr>
          <w:p w14:paraId="008CC0BA">
            <w:pPr>
              <w:shd w:val="clear"/>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年龄</w:t>
            </w:r>
          </w:p>
        </w:tc>
        <w:tc>
          <w:tcPr>
            <w:tcW w:w="1140" w:type="dxa"/>
            <w:vAlign w:val="center"/>
          </w:tcPr>
          <w:p w14:paraId="241FDD2F">
            <w:pPr>
              <w:shd w:val="clear"/>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工作</w:t>
            </w:r>
          </w:p>
          <w:p w14:paraId="7D6C854D">
            <w:pPr>
              <w:shd w:val="clear"/>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年限</w:t>
            </w:r>
          </w:p>
        </w:tc>
        <w:tc>
          <w:tcPr>
            <w:tcW w:w="1005" w:type="dxa"/>
            <w:vAlign w:val="center"/>
          </w:tcPr>
          <w:p w14:paraId="04B01527">
            <w:pPr>
              <w:shd w:val="clear"/>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学历</w:t>
            </w:r>
          </w:p>
        </w:tc>
        <w:tc>
          <w:tcPr>
            <w:tcW w:w="1800" w:type="dxa"/>
            <w:vAlign w:val="center"/>
          </w:tcPr>
          <w:p w14:paraId="6A250ACE">
            <w:pPr>
              <w:shd w:val="clear"/>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拟在本项目中担任的职务</w:t>
            </w:r>
          </w:p>
        </w:tc>
        <w:tc>
          <w:tcPr>
            <w:tcW w:w="1770" w:type="dxa"/>
            <w:vAlign w:val="center"/>
          </w:tcPr>
          <w:p w14:paraId="43922FBC">
            <w:pPr>
              <w:shd w:val="clear"/>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取得的相关</w:t>
            </w:r>
          </w:p>
          <w:p w14:paraId="6815F81B">
            <w:pPr>
              <w:shd w:val="clear"/>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证书</w:t>
            </w:r>
          </w:p>
        </w:tc>
      </w:tr>
      <w:tr w14:paraId="6A341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tcPr>
          <w:p w14:paraId="7FF6D46C">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975" w:type="dxa"/>
          </w:tcPr>
          <w:p w14:paraId="42B7D0B2">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795" w:type="dxa"/>
          </w:tcPr>
          <w:p w14:paraId="1DF9F5F9">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810" w:type="dxa"/>
          </w:tcPr>
          <w:p w14:paraId="36D7A54A">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140" w:type="dxa"/>
          </w:tcPr>
          <w:p w14:paraId="0274DFF6">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005" w:type="dxa"/>
          </w:tcPr>
          <w:p w14:paraId="3ADEE75E">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800" w:type="dxa"/>
          </w:tcPr>
          <w:p w14:paraId="06DC8A91">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770" w:type="dxa"/>
          </w:tcPr>
          <w:p w14:paraId="2464C2AA">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r>
      <w:tr w14:paraId="0F4F6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tcPr>
          <w:p w14:paraId="3D4B0812">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975" w:type="dxa"/>
          </w:tcPr>
          <w:p w14:paraId="6B99D1CC">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795" w:type="dxa"/>
          </w:tcPr>
          <w:p w14:paraId="44B1155D">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810" w:type="dxa"/>
          </w:tcPr>
          <w:p w14:paraId="4C43D024">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140" w:type="dxa"/>
          </w:tcPr>
          <w:p w14:paraId="65D23CD3">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005" w:type="dxa"/>
          </w:tcPr>
          <w:p w14:paraId="7432A4C5">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800" w:type="dxa"/>
          </w:tcPr>
          <w:p w14:paraId="0CDED599">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770" w:type="dxa"/>
          </w:tcPr>
          <w:p w14:paraId="5E058DFD">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r>
      <w:tr w14:paraId="7D6A3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tcPr>
          <w:p w14:paraId="0BA3A2CB">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975" w:type="dxa"/>
          </w:tcPr>
          <w:p w14:paraId="3F29656D">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795" w:type="dxa"/>
          </w:tcPr>
          <w:p w14:paraId="12F3229D">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810" w:type="dxa"/>
          </w:tcPr>
          <w:p w14:paraId="0B1095D9">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140" w:type="dxa"/>
          </w:tcPr>
          <w:p w14:paraId="36C7D625">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005" w:type="dxa"/>
          </w:tcPr>
          <w:p w14:paraId="03AE9A2D">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800" w:type="dxa"/>
          </w:tcPr>
          <w:p w14:paraId="60602AC5">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770" w:type="dxa"/>
          </w:tcPr>
          <w:p w14:paraId="6FE3CB03">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r>
      <w:tr w14:paraId="02CAB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tcPr>
          <w:p w14:paraId="06AFE145">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975" w:type="dxa"/>
          </w:tcPr>
          <w:p w14:paraId="3BEBB693">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795" w:type="dxa"/>
          </w:tcPr>
          <w:p w14:paraId="048CC11A">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810" w:type="dxa"/>
          </w:tcPr>
          <w:p w14:paraId="510714E9">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140" w:type="dxa"/>
          </w:tcPr>
          <w:p w14:paraId="7A4DA343">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005" w:type="dxa"/>
          </w:tcPr>
          <w:p w14:paraId="51B7FC4F">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800" w:type="dxa"/>
          </w:tcPr>
          <w:p w14:paraId="678CB780">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770" w:type="dxa"/>
          </w:tcPr>
          <w:p w14:paraId="6B1F5393">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r>
      <w:tr w14:paraId="1E627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tcPr>
          <w:p w14:paraId="433D3EFB">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975" w:type="dxa"/>
          </w:tcPr>
          <w:p w14:paraId="5E1523FC">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795" w:type="dxa"/>
          </w:tcPr>
          <w:p w14:paraId="6D9DBB52">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810" w:type="dxa"/>
          </w:tcPr>
          <w:p w14:paraId="4453B012">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140" w:type="dxa"/>
          </w:tcPr>
          <w:p w14:paraId="3CD3F4BA">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005" w:type="dxa"/>
          </w:tcPr>
          <w:p w14:paraId="1BE089C6">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800" w:type="dxa"/>
          </w:tcPr>
          <w:p w14:paraId="797C98AD">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770" w:type="dxa"/>
          </w:tcPr>
          <w:p w14:paraId="3FB35D59">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r>
      <w:tr w14:paraId="5BFFD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tcPr>
          <w:p w14:paraId="7D5D15A3">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975" w:type="dxa"/>
          </w:tcPr>
          <w:p w14:paraId="1D0B3F86">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795" w:type="dxa"/>
          </w:tcPr>
          <w:p w14:paraId="1235A1DB">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810" w:type="dxa"/>
          </w:tcPr>
          <w:p w14:paraId="2D545436">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140" w:type="dxa"/>
          </w:tcPr>
          <w:p w14:paraId="0BFCC150">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005" w:type="dxa"/>
          </w:tcPr>
          <w:p w14:paraId="387A1956">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800" w:type="dxa"/>
          </w:tcPr>
          <w:p w14:paraId="6A2FFDA5">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770" w:type="dxa"/>
          </w:tcPr>
          <w:p w14:paraId="4B04DF27">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r>
      <w:tr w14:paraId="2A1A9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tcPr>
          <w:p w14:paraId="63DE2B2D">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975" w:type="dxa"/>
          </w:tcPr>
          <w:p w14:paraId="0B68D6D1">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795" w:type="dxa"/>
          </w:tcPr>
          <w:p w14:paraId="4CD77C6C">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810" w:type="dxa"/>
          </w:tcPr>
          <w:p w14:paraId="546EE5BB">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140" w:type="dxa"/>
          </w:tcPr>
          <w:p w14:paraId="10D0E1DA">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005" w:type="dxa"/>
          </w:tcPr>
          <w:p w14:paraId="09D2C4B9">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800" w:type="dxa"/>
          </w:tcPr>
          <w:p w14:paraId="4F04A3C6">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770" w:type="dxa"/>
          </w:tcPr>
          <w:p w14:paraId="4678C68B">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r>
      <w:tr w14:paraId="0C0B4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tcPr>
          <w:p w14:paraId="2F1AF436">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975" w:type="dxa"/>
          </w:tcPr>
          <w:p w14:paraId="049492F2">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795" w:type="dxa"/>
          </w:tcPr>
          <w:p w14:paraId="32CAFAC0">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810" w:type="dxa"/>
          </w:tcPr>
          <w:p w14:paraId="4DAD907F">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140" w:type="dxa"/>
          </w:tcPr>
          <w:p w14:paraId="767BB65F">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005" w:type="dxa"/>
          </w:tcPr>
          <w:p w14:paraId="4C27D527">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800" w:type="dxa"/>
          </w:tcPr>
          <w:p w14:paraId="6B49434C">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770" w:type="dxa"/>
          </w:tcPr>
          <w:p w14:paraId="76CD8F35">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r>
      <w:tr w14:paraId="55DE0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tcPr>
          <w:p w14:paraId="150D88F1">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975" w:type="dxa"/>
          </w:tcPr>
          <w:p w14:paraId="52D57D6D">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795" w:type="dxa"/>
          </w:tcPr>
          <w:p w14:paraId="0B8CE943">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810" w:type="dxa"/>
          </w:tcPr>
          <w:p w14:paraId="07567EC0">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140" w:type="dxa"/>
          </w:tcPr>
          <w:p w14:paraId="088BE5D3">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005" w:type="dxa"/>
          </w:tcPr>
          <w:p w14:paraId="115C8D64">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800" w:type="dxa"/>
          </w:tcPr>
          <w:p w14:paraId="46E87DF3">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770" w:type="dxa"/>
          </w:tcPr>
          <w:p w14:paraId="3478890B">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r>
      <w:tr w14:paraId="71CD7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tcPr>
          <w:p w14:paraId="6B375BEB">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975" w:type="dxa"/>
          </w:tcPr>
          <w:p w14:paraId="47369C16">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795" w:type="dxa"/>
          </w:tcPr>
          <w:p w14:paraId="301B5082">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810" w:type="dxa"/>
          </w:tcPr>
          <w:p w14:paraId="412DEADD">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140" w:type="dxa"/>
          </w:tcPr>
          <w:p w14:paraId="79AB013E">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005" w:type="dxa"/>
          </w:tcPr>
          <w:p w14:paraId="51782AA9">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800" w:type="dxa"/>
          </w:tcPr>
          <w:p w14:paraId="04929DEE">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770" w:type="dxa"/>
          </w:tcPr>
          <w:p w14:paraId="031F00E0">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r>
      <w:tr w14:paraId="067F6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tcPr>
          <w:p w14:paraId="1ECEC5D5">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975" w:type="dxa"/>
          </w:tcPr>
          <w:p w14:paraId="36400E2C">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795" w:type="dxa"/>
          </w:tcPr>
          <w:p w14:paraId="7B9FCCF4">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810" w:type="dxa"/>
          </w:tcPr>
          <w:p w14:paraId="7BF70081">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140" w:type="dxa"/>
          </w:tcPr>
          <w:p w14:paraId="6CA6F0B4">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005" w:type="dxa"/>
          </w:tcPr>
          <w:p w14:paraId="7EADA552">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800" w:type="dxa"/>
          </w:tcPr>
          <w:p w14:paraId="618DB65F">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770" w:type="dxa"/>
          </w:tcPr>
          <w:p w14:paraId="7448EECC">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r>
      <w:tr w14:paraId="345F3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tcPr>
          <w:p w14:paraId="696AD7BA">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975" w:type="dxa"/>
          </w:tcPr>
          <w:p w14:paraId="457A7B8A">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795" w:type="dxa"/>
          </w:tcPr>
          <w:p w14:paraId="132DE2C6">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810" w:type="dxa"/>
          </w:tcPr>
          <w:p w14:paraId="0125159D">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140" w:type="dxa"/>
          </w:tcPr>
          <w:p w14:paraId="1A49E394">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005" w:type="dxa"/>
          </w:tcPr>
          <w:p w14:paraId="776D876C">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800" w:type="dxa"/>
          </w:tcPr>
          <w:p w14:paraId="241BA241">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770" w:type="dxa"/>
          </w:tcPr>
          <w:p w14:paraId="3CA1CC73">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r>
      <w:tr w14:paraId="095AA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tcPr>
          <w:p w14:paraId="5C972EDA">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975" w:type="dxa"/>
          </w:tcPr>
          <w:p w14:paraId="62466980">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795" w:type="dxa"/>
          </w:tcPr>
          <w:p w14:paraId="5B6DCE7A">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810" w:type="dxa"/>
          </w:tcPr>
          <w:p w14:paraId="296F6A8D">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140" w:type="dxa"/>
          </w:tcPr>
          <w:p w14:paraId="07E1FCF0">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005" w:type="dxa"/>
          </w:tcPr>
          <w:p w14:paraId="6268CCAD">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800" w:type="dxa"/>
          </w:tcPr>
          <w:p w14:paraId="1BE3AA44">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770" w:type="dxa"/>
          </w:tcPr>
          <w:p w14:paraId="7EE3972B">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r>
      <w:tr w14:paraId="6BCD2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tcPr>
          <w:p w14:paraId="22A46651">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975" w:type="dxa"/>
          </w:tcPr>
          <w:p w14:paraId="513C3C8F">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795" w:type="dxa"/>
          </w:tcPr>
          <w:p w14:paraId="68BA86E4">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810" w:type="dxa"/>
          </w:tcPr>
          <w:p w14:paraId="0019998B">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140" w:type="dxa"/>
          </w:tcPr>
          <w:p w14:paraId="3ABDE1B0">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005" w:type="dxa"/>
          </w:tcPr>
          <w:p w14:paraId="27E2B07A">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800" w:type="dxa"/>
          </w:tcPr>
          <w:p w14:paraId="6EADD6D7">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c>
          <w:tcPr>
            <w:tcW w:w="1770" w:type="dxa"/>
          </w:tcPr>
          <w:p w14:paraId="424972A6">
            <w:pPr>
              <w:shd w:val="clear"/>
              <w:spacing w:line="360" w:lineRule="auto"/>
              <w:rPr>
                <w:rFonts w:hint="eastAsia" w:ascii="仿宋" w:hAnsi="仿宋" w:eastAsia="仿宋" w:cs="仿宋"/>
                <w:color w:val="000000" w:themeColor="text1"/>
                <w:sz w:val="22"/>
                <w:szCs w:val="22"/>
                <w14:textFill>
                  <w14:solidFill>
                    <w14:schemeClr w14:val="tx1"/>
                  </w14:solidFill>
                </w14:textFill>
              </w:rPr>
            </w:pPr>
          </w:p>
        </w:tc>
      </w:tr>
    </w:tbl>
    <w:p w14:paraId="30CA5C2C">
      <w:pPr>
        <w:pStyle w:val="21"/>
        <w:rPr>
          <w:rFonts w:hint="eastAsia" w:ascii="仿宋" w:hAnsi="仿宋" w:eastAsia="仿宋" w:cs="仿宋"/>
          <w:color w:val="000000" w:themeColor="text1"/>
          <w14:textFill>
            <w14:solidFill>
              <w14:schemeClr w14:val="tx1"/>
            </w14:solidFill>
          </w14:textFill>
        </w:rPr>
      </w:pPr>
    </w:p>
    <w:p w14:paraId="4E2B52E7">
      <w:pPr>
        <w:shd w:val="clear"/>
        <w:jc w:val="center"/>
        <w:outlineLvl w:val="0"/>
        <w:rPr>
          <w:rFonts w:hint="eastAsia" w:ascii="仿宋" w:hAnsi="仿宋" w:eastAsia="仿宋" w:cs="仿宋"/>
          <w:b/>
          <w:color w:val="000000" w:themeColor="text1"/>
          <w:sz w:val="32"/>
          <w:highlight w:val="none"/>
          <w:lang w:val="en-US" w:eastAsia="zh-CN"/>
          <w14:textFill>
            <w14:solidFill>
              <w14:schemeClr w14:val="tx1"/>
            </w14:solidFill>
          </w14:textFill>
        </w:rPr>
      </w:pPr>
    </w:p>
    <w:p w14:paraId="69E5CC67">
      <w:pPr>
        <w:shd w:val="clear"/>
        <w:jc w:val="center"/>
        <w:outlineLvl w:val="0"/>
        <w:rPr>
          <w:rFonts w:hint="eastAsia" w:ascii="仿宋" w:hAnsi="仿宋" w:eastAsia="仿宋" w:cs="仿宋"/>
          <w:b/>
          <w:color w:val="000000" w:themeColor="text1"/>
          <w:sz w:val="32"/>
          <w:highlight w:val="none"/>
          <w:lang w:val="en-US" w:eastAsia="zh-CN"/>
          <w14:textFill>
            <w14:solidFill>
              <w14:schemeClr w14:val="tx1"/>
            </w14:solidFill>
          </w14:textFill>
        </w:rPr>
      </w:pPr>
    </w:p>
    <w:p w14:paraId="49074F29">
      <w:pPr>
        <w:shd w:val="clear"/>
        <w:jc w:val="center"/>
        <w:outlineLvl w:val="0"/>
        <w:rPr>
          <w:rFonts w:hint="eastAsia" w:ascii="仿宋" w:hAnsi="仿宋" w:eastAsia="仿宋" w:cs="仿宋"/>
          <w:b/>
          <w:color w:val="000000" w:themeColor="text1"/>
          <w:sz w:val="32"/>
          <w:highlight w:val="none"/>
          <w:lang w:val="en-US" w:eastAsia="zh-CN"/>
          <w14:textFill>
            <w14:solidFill>
              <w14:schemeClr w14:val="tx1"/>
            </w14:solidFill>
          </w14:textFill>
        </w:rPr>
      </w:pPr>
    </w:p>
    <w:p w14:paraId="2BD55190">
      <w:pPr>
        <w:shd w:val="clear"/>
        <w:jc w:val="center"/>
        <w:outlineLvl w:val="0"/>
        <w:rPr>
          <w:rFonts w:hint="eastAsia" w:ascii="仿宋" w:hAnsi="仿宋" w:eastAsia="仿宋" w:cs="仿宋"/>
          <w:b/>
          <w:color w:val="000000" w:themeColor="text1"/>
          <w:sz w:val="32"/>
          <w:highlight w:val="none"/>
          <w:lang w:val="en-US" w:eastAsia="zh-CN"/>
          <w14:textFill>
            <w14:solidFill>
              <w14:schemeClr w14:val="tx1"/>
            </w14:solidFill>
          </w14:textFill>
        </w:rPr>
      </w:pPr>
    </w:p>
    <w:p w14:paraId="40B09885">
      <w:pPr>
        <w:shd w:val="clear"/>
        <w:jc w:val="center"/>
        <w:outlineLvl w:val="0"/>
        <w:rPr>
          <w:rFonts w:hint="eastAsia" w:ascii="仿宋" w:hAnsi="仿宋" w:eastAsia="仿宋" w:cs="仿宋"/>
          <w:b/>
          <w:color w:val="000000" w:themeColor="text1"/>
          <w:sz w:val="32"/>
          <w:highlight w:val="none"/>
          <w:lang w:val="en-US" w:eastAsia="zh-CN"/>
          <w14:textFill>
            <w14:solidFill>
              <w14:schemeClr w14:val="tx1"/>
            </w14:solidFill>
          </w14:textFill>
        </w:rPr>
      </w:pPr>
    </w:p>
    <w:p w14:paraId="00259EC7">
      <w:pPr>
        <w:shd w:val="clear"/>
        <w:jc w:val="center"/>
        <w:outlineLvl w:val="0"/>
        <w:rPr>
          <w:rFonts w:hint="eastAsia" w:ascii="仿宋" w:hAnsi="仿宋" w:eastAsia="仿宋" w:cs="仿宋"/>
          <w:b/>
          <w:color w:val="000000" w:themeColor="text1"/>
          <w:sz w:val="32"/>
          <w:highlight w:val="none"/>
          <w:lang w:val="en-US" w:eastAsia="zh-CN"/>
          <w14:textFill>
            <w14:solidFill>
              <w14:schemeClr w14:val="tx1"/>
            </w14:solidFill>
          </w14:textFill>
        </w:rPr>
      </w:pPr>
    </w:p>
    <w:p w14:paraId="1310DF11">
      <w:pPr>
        <w:shd w:val="clear"/>
        <w:jc w:val="center"/>
        <w:outlineLvl w:val="0"/>
        <w:rPr>
          <w:rFonts w:hint="eastAsia" w:ascii="仿宋" w:hAnsi="仿宋" w:eastAsia="仿宋" w:cs="仿宋"/>
          <w:b/>
          <w:color w:val="000000" w:themeColor="text1"/>
          <w:sz w:val="32"/>
          <w:highlight w:val="none"/>
          <w:lang w:val="en-US" w:eastAsia="zh-CN"/>
          <w14:textFill>
            <w14:solidFill>
              <w14:schemeClr w14:val="tx1"/>
            </w14:solidFill>
          </w14:textFill>
        </w:rPr>
      </w:pPr>
      <w:r>
        <w:rPr>
          <w:rFonts w:hint="eastAsia" w:ascii="仿宋" w:hAnsi="仿宋" w:eastAsia="仿宋" w:cs="仿宋"/>
          <w:b/>
          <w:color w:val="000000" w:themeColor="text1"/>
          <w:sz w:val="32"/>
          <w:highlight w:val="none"/>
          <w:lang w:val="en-US" w:eastAsia="zh-CN"/>
          <w14:textFill>
            <w14:solidFill>
              <w14:schemeClr w14:val="tx1"/>
            </w14:solidFill>
          </w14:textFill>
        </w:rPr>
        <w:t>第4部分 商务文件</w:t>
      </w:r>
    </w:p>
    <w:p w14:paraId="12A3EEA0">
      <w:pPr>
        <w:spacing w:line="360" w:lineRule="auto"/>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说明：</w:t>
      </w:r>
    </w:p>
    <w:p w14:paraId="072D744E">
      <w:pPr>
        <w:shd w:val="clear"/>
        <w:spacing w:line="360" w:lineRule="auto"/>
        <w:ind w:firstLine="44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格式自定。</w:t>
      </w:r>
      <w:r>
        <w:rPr>
          <w:rFonts w:hint="eastAsia" w:ascii="仿宋" w:hAnsi="仿宋" w:eastAsia="仿宋" w:cs="仿宋"/>
          <w:color w:val="000000" w:themeColor="text1"/>
          <w:szCs w:val="21"/>
          <w:highlight w:val="none"/>
          <w14:textFill>
            <w14:solidFill>
              <w14:schemeClr w14:val="tx1"/>
            </w14:solidFill>
          </w14:textFill>
        </w:rPr>
        <w:t>由投标人根据第</w:t>
      </w:r>
      <w:r>
        <w:rPr>
          <w:rFonts w:hint="eastAsia" w:ascii="仿宋" w:hAnsi="仿宋" w:eastAsia="仿宋" w:cs="仿宋"/>
          <w:color w:val="000000" w:themeColor="text1"/>
          <w:szCs w:val="21"/>
          <w:highlight w:val="none"/>
          <w:lang w:val="en-US" w:eastAsia="zh-CN"/>
          <w14:textFill>
            <w14:solidFill>
              <w14:schemeClr w14:val="tx1"/>
            </w14:solidFill>
          </w14:textFill>
        </w:rPr>
        <w:t>四</w:t>
      </w:r>
      <w:r>
        <w:rPr>
          <w:rFonts w:hint="eastAsia" w:ascii="仿宋" w:hAnsi="仿宋" w:eastAsia="仿宋" w:cs="仿宋"/>
          <w:color w:val="000000" w:themeColor="text1"/>
          <w:szCs w:val="21"/>
          <w:highlight w:val="none"/>
          <w14:textFill>
            <w14:solidFill>
              <w14:schemeClr w14:val="tx1"/>
            </w14:solidFill>
          </w14:textFill>
        </w:rPr>
        <w:t>章《评</w:t>
      </w:r>
      <w:r>
        <w:rPr>
          <w:rFonts w:hint="eastAsia" w:ascii="仿宋" w:hAnsi="仿宋" w:eastAsia="仿宋" w:cs="仿宋"/>
          <w:color w:val="000000" w:themeColor="text1"/>
          <w:szCs w:val="21"/>
          <w:highlight w:val="none"/>
          <w:lang w:val="en-US" w:eastAsia="zh-CN"/>
          <w14:textFill>
            <w14:solidFill>
              <w14:schemeClr w14:val="tx1"/>
            </w14:solidFill>
          </w14:textFill>
        </w:rPr>
        <w:t>标</w:t>
      </w:r>
      <w:r>
        <w:rPr>
          <w:rFonts w:hint="eastAsia" w:ascii="仿宋" w:hAnsi="仿宋" w:eastAsia="仿宋" w:cs="仿宋"/>
          <w:color w:val="000000" w:themeColor="text1"/>
          <w:szCs w:val="21"/>
          <w:highlight w:val="none"/>
          <w14:textFill>
            <w14:solidFill>
              <w14:schemeClr w14:val="tx1"/>
            </w14:solidFill>
          </w14:textFill>
        </w:rPr>
        <w:t>办法》内</w:t>
      </w:r>
      <w:r>
        <w:rPr>
          <w:rFonts w:hint="eastAsia" w:ascii="仿宋" w:hAnsi="仿宋" w:eastAsia="仿宋" w:cs="仿宋"/>
          <w:color w:val="000000" w:themeColor="text1"/>
          <w:kern w:val="1"/>
          <w:szCs w:val="21"/>
          <w:highlight w:val="none"/>
          <w14:textFill>
            <w14:solidFill>
              <w14:schemeClr w14:val="tx1"/>
            </w14:solidFill>
          </w14:textFill>
        </w:rPr>
        <w:t>3.2.</w:t>
      </w:r>
      <w:r>
        <w:rPr>
          <w:rFonts w:hint="eastAsia" w:ascii="仿宋" w:hAnsi="仿宋" w:eastAsia="仿宋" w:cs="仿宋"/>
          <w:color w:val="000000" w:themeColor="text1"/>
          <w:kern w:val="1"/>
          <w:szCs w:val="21"/>
          <w:highlight w:val="none"/>
          <w:lang w:val="en-US" w:eastAsia="zh-CN"/>
          <w14:textFill>
            <w14:solidFill>
              <w14:schemeClr w14:val="tx1"/>
            </w14:solidFill>
          </w14:textFill>
        </w:rPr>
        <w:t>3</w:t>
      </w:r>
      <w:r>
        <w:rPr>
          <w:rFonts w:hint="eastAsia" w:ascii="仿宋" w:hAnsi="仿宋" w:eastAsia="仿宋" w:cs="仿宋"/>
          <w:color w:val="000000" w:themeColor="text1"/>
          <w:kern w:val="1"/>
          <w:szCs w:val="21"/>
          <w:highlight w:val="none"/>
          <w14:textFill>
            <w14:solidFill>
              <w14:schemeClr w14:val="tx1"/>
            </w14:solidFill>
          </w14:textFill>
        </w:rPr>
        <w:t>、评审要素一览表</w:t>
      </w:r>
      <w:r>
        <w:rPr>
          <w:rFonts w:hint="eastAsia" w:ascii="仿宋" w:hAnsi="仿宋" w:eastAsia="仿宋" w:cs="仿宋"/>
          <w:color w:val="000000" w:themeColor="text1"/>
          <w:szCs w:val="21"/>
          <w:highlight w:val="none"/>
          <w14:textFill>
            <w14:solidFill>
              <w14:schemeClr w14:val="tx1"/>
            </w14:solidFill>
          </w14:textFill>
        </w:rPr>
        <w:t>技术部分的评审标准，结合第</w:t>
      </w:r>
      <w:r>
        <w:rPr>
          <w:rFonts w:hint="eastAsia" w:ascii="仿宋" w:hAnsi="仿宋" w:eastAsia="仿宋" w:cs="仿宋"/>
          <w:color w:val="000000" w:themeColor="text1"/>
          <w:szCs w:val="21"/>
          <w:highlight w:val="none"/>
          <w:lang w:val="en-US" w:eastAsia="zh-CN"/>
          <w14:textFill>
            <w14:solidFill>
              <w14:schemeClr w14:val="tx1"/>
            </w14:solidFill>
          </w14:textFill>
        </w:rPr>
        <w:t>三</w:t>
      </w:r>
      <w:r>
        <w:rPr>
          <w:rFonts w:hint="eastAsia" w:ascii="仿宋" w:hAnsi="仿宋" w:eastAsia="仿宋" w:cs="仿宋"/>
          <w:color w:val="000000" w:themeColor="text1"/>
          <w:szCs w:val="21"/>
          <w:highlight w:val="none"/>
          <w14:textFill>
            <w14:solidFill>
              <w14:schemeClr w14:val="tx1"/>
            </w14:solidFill>
          </w14:textFill>
        </w:rPr>
        <w:t>章《采购内容及具体要求》进行编制。</w:t>
      </w:r>
    </w:p>
    <w:p w14:paraId="5DCAE6E3">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5F10718E">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5A2D0EEB">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324F0F79">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605AA32A">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6FFADA15">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6AA2944E">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13B1945C">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0B73C14C">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748F847B">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6D9F94CB">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43C3FB03">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6A946FDD">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45F1481D">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318DC77D">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7AC171DF">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23BF4812">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5312AAFE">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6EDE1A38">
      <w:pPr>
        <w:shd w:val="clear"/>
        <w:rPr>
          <w:rFonts w:hint="eastAsia" w:ascii="仿宋" w:hAnsi="仿宋" w:eastAsia="仿宋" w:cs="仿宋"/>
          <w:b/>
          <w:bCs/>
          <w:color w:val="000000" w:themeColor="text1"/>
          <w:kern w:val="0"/>
          <w:sz w:val="36"/>
          <w:szCs w:val="36"/>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附表1：</w:t>
      </w:r>
    </w:p>
    <w:p w14:paraId="7F9318AF">
      <w:pPr>
        <w:shd w:val="clear"/>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bCs/>
          <w:color w:val="000000" w:themeColor="text1"/>
          <w:kern w:val="0"/>
          <w:sz w:val="36"/>
          <w:szCs w:val="36"/>
          <w:lang w:val="en-US" w:eastAsia="zh-CN"/>
          <w14:textFill>
            <w14:solidFill>
              <w14:schemeClr w14:val="tx1"/>
            </w14:solidFill>
          </w14:textFill>
        </w:rPr>
        <w:t>商务条款</w:t>
      </w:r>
      <w:r>
        <w:rPr>
          <w:rFonts w:hint="eastAsia" w:ascii="仿宋" w:hAnsi="仿宋" w:eastAsia="仿宋" w:cs="仿宋"/>
          <w:b/>
          <w:bCs/>
          <w:color w:val="000000" w:themeColor="text1"/>
          <w:kern w:val="0"/>
          <w:sz w:val="36"/>
          <w:szCs w:val="36"/>
          <w14:textFill>
            <w14:solidFill>
              <w14:schemeClr w14:val="tx1"/>
            </w14:solidFill>
          </w14:textFill>
        </w:rPr>
        <w:t>偏离表</w:t>
      </w:r>
    </w:p>
    <w:p w14:paraId="7AF44F46">
      <w:pPr>
        <w:pStyle w:val="12"/>
        <w:shd w:val="clear"/>
        <w:spacing w:afterLines="50"/>
        <w:ind w:firstLine="105" w:firstLineChars="5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项目名称</w:t>
      </w:r>
      <w:r>
        <w:rPr>
          <w:rFonts w:hint="eastAsia" w:ascii="仿宋" w:hAnsi="仿宋" w:eastAsia="仿宋" w:cs="仿宋"/>
          <w:color w:val="000000" w:themeColor="text1"/>
          <w:highlight w:val="none"/>
          <w14:textFill>
            <w14:solidFill>
              <w14:schemeClr w14:val="tx1"/>
            </w14:solidFill>
          </w14:textFill>
        </w:rPr>
        <w:t xml:space="preserve">：                           </w:t>
      </w:r>
    </w:p>
    <w:p w14:paraId="73A4D567">
      <w:pPr>
        <w:pStyle w:val="12"/>
        <w:shd w:val="clear"/>
        <w:spacing w:afterLines="50"/>
        <w:ind w:firstLine="105" w:firstLineChars="5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项目编号</w:t>
      </w:r>
      <w:r>
        <w:rPr>
          <w:rFonts w:hint="eastAsia" w:ascii="仿宋" w:hAnsi="仿宋" w:eastAsia="仿宋" w:cs="仿宋"/>
          <w:color w:val="000000" w:themeColor="text1"/>
          <w:highlight w:val="none"/>
          <w14:textFill>
            <w14:solidFill>
              <w14:schemeClr w14:val="tx1"/>
            </w14:solidFill>
          </w14:textFill>
        </w:rPr>
        <w:t>：</w:t>
      </w:r>
    </w:p>
    <w:tbl>
      <w:tblPr>
        <w:tblStyle w:val="42"/>
        <w:tblW w:w="882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107"/>
        <w:gridCol w:w="2443"/>
        <w:gridCol w:w="1586"/>
        <w:gridCol w:w="1943"/>
      </w:tblGrid>
      <w:tr w14:paraId="5CF51F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41" w:type="dxa"/>
            <w:vAlign w:val="center"/>
          </w:tcPr>
          <w:p w14:paraId="14E3C17F">
            <w:pPr>
              <w:shd w:val="clear"/>
              <w:adjustRightInd w:val="0"/>
              <w:snapToGrid w:val="0"/>
              <w:ind w:right="23"/>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序号</w:t>
            </w:r>
          </w:p>
        </w:tc>
        <w:tc>
          <w:tcPr>
            <w:tcW w:w="2107" w:type="dxa"/>
            <w:vAlign w:val="center"/>
          </w:tcPr>
          <w:p w14:paraId="4DEBDC5C">
            <w:pPr>
              <w:shd w:val="clear"/>
              <w:adjustRightInd w:val="0"/>
              <w:snapToGrid w:val="0"/>
              <w:ind w:right="23"/>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lang w:val="en-US" w:eastAsia="zh-CN"/>
                <w14:textFill>
                  <w14:solidFill>
                    <w14:schemeClr w14:val="tx1"/>
                  </w14:solidFill>
                </w14:textFill>
              </w:rPr>
              <w:t>招标文件</w:t>
            </w:r>
            <w:r>
              <w:rPr>
                <w:rFonts w:hint="eastAsia" w:ascii="仿宋" w:hAnsi="仿宋" w:eastAsia="仿宋" w:cs="仿宋"/>
                <w:b/>
                <w:bCs/>
                <w:color w:val="000000" w:themeColor="text1"/>
                <w:szCs w:val="21"/>
                <w:highlight w:val="none"/>
                <w14:textFill>
                  <w14:solidFill>
                    <w14:schemeClr w14:val="tx1"/>
                  </w14:solidFill>
                </w14:textFill>
              </w:rPr>
              <w:t>商务要求</w:t>
            </w:r>
          </w:p>
        </w:tc>
        <w:tc>
          <w:tcPr>
            <w:tcW w:w="2443" w:type="dxa"/>
            <w:vAlign w:val="center"/>
          </w:tcPr>
          <w:p w14:paraId="1DAD3016">
            <w:pPr>
              <w:shd w:val="clear"/>
              <w:adjustRightInd w:val="0"/>
              <w:snapToGrid w:val="0"/>
              <w:ind w:right="23"/>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投标文件商务响应</w:t>
            </w:r>
          </w:p>
        </w:tc>
        <w:tc>
          <w:tcPr>
            <w:tcW w:w="1586" w:type="dxa"/>
            <w:vAlign w:val="center"/>
          </w:tcPr>
          <w:p w14:paraId="20D80EC0">
            <w:pPr>
              <w:shd w:val="clear"/>
              <w:adjustRightInd w:val="0"/>
              <w:snapToGrid w:val="0"/>
              <w:ind w:right="23"/>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是否响应</w:t>
            </w:r>
          </w:p>
        </w:tc>
        <w:tc>
          <w:tcPr>
            <w:tcW w:w="1943" w:type="dxa"/>
            <w:vAlign w:val="center"/>
          </w:tcPr>
          <w:p w14:paraId="2B13C3FB">
            <w:pPr>
              <w:shd w:val="clear"/>
              <w:adjustRightInd w:val="0"/>
              <w:snapToGrid w:val="0"/>
              <w:ind w:right="23"/>
              <w:jc w:val="center"/>
              <w:rPr>
                <w:rFonts w:hint="eastAsia" w:ascii="仿宋" w:hAnsi="仿宋" w:eastAsia="仿宋" w:cs="仿宋"/>
                <w:b/>
                <w:bCs/>
                <w:color w:val="000000" w:themeColor="text1"/>
                <w:szCs w:val="21"/>
                <w:highlight w:val="none"/>
                <w:lang w:eastAsia="zh-CN"/>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偏离</w:t>
            </w:r>
            <w:r>
              <w:rPr>
                <w:rFonts w:hint="eastAsia" w:ascii="仿宋" w:hAnsi="仿宋" w:eastAsia="仿宋" w:cs="仿宋"/>
                <w:b/>
                <w:bCs/>
                <w:color w:val="000000" w:themeColor="text1"/>
                <w:szCs w:val="21"/>
                <w:highlight w:val="none"/>
                <w:lang w:val="en-US" w:eastAsia="zh-CN"/>
                <w14:textFill>
                  <w14:solidFill>
                    <w14:schemeClr w14:val="tx1"/>
                  </w14:solidFill>
                </w14:textFill>
              </w:rPr>
              <w:t>说明</w:t>
            </w:r>
          </w:p>
        </w:tc>
      </w:tr>
      <w:tr w14:paraId="6FFFCA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2B6BF6AF">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107" w:type="dxa"/>
          </w:tcPr>
          <w:p w14:paraId="2FB6A737">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443" w:type="dxa"/>
          </w:tcPr>
          <w:p w14:paraId="36211EAE">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586" w:type="dxa"/>
          </w:tcPr>
          <w:p w14:paraId="20172DD5">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943" w:type="dxa"/>
          </w:tcPr>
          <w:p w14:paraId="48DAE0C1">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r>
      <w:tr w14:paraId="18AE7D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4AF16BAD">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107" w:type="dxa"/>
          </w:tcPr>
          <w:p w14:paraId="7D636DB2">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443" w:type="dxa"/>
          </w:tcPr>
          <w:p w14:paraId="58F3BF51">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586" w:type="dxa"/>
          </w:tcPr>
          <w:p w14:paraId="547504C7">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943" w:type="dxa"/>
          </w:tcPr>
          <w:p w14:paraId="36A499C9">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r>
      <w:tr w14:paraId="36FA40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69BF9EDA">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107" w:type="dxa"/>
          </w:tcPr>
          <w:p w14:paraId="725666E0">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443" w:type="dxa"/>
          </w:tcPr>
          <w:p w14:paraId="3F2F0F7B">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586" w:type="dxa"/>
          </w:tcPr>
          <w:p w14:paraId="7C3EC89D">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943" w:type="dxa"/>
          </w:tcPr>
          <w:p w14:paraId="6B4E8D21">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r>
      <w:tr w14:paraId="4763BF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358BC790">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107" w:type="dxa"/>
          </w:tcPr>
          <w:p w14:paraId="21230415">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443" w:type="dxa"/>
          </w:tcPr>
          <w:p w14:paraId="3C8F30BD">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586" w:type="dxa"/>
          </w:tcPr>
          <w:p w14:paraId="6F808810">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943" w:type="dxa"/>
          </w:tcPr>
          <w:p w14:paraId="5A445B90">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r>
      <w:tr w14:paraId="306C06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1024F6DD">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107" w:type="dxa"/>
          </w:tcPr>
          <w:p w14:paraId="4076540B">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443" w:type="dxa"/>
          </w:tcPr>
          <w:p w14:paraId="08194FB6">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586" w:type="dxa"/>
          </w:tcPr>
          <w:p w14:paraId="4A742921">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943" w:type="dxa"/>
          </w:tcPr>
          <w:p w14:paraId="093FE7A3">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r>
      <w:tr w14:paraId="0DA141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77E86F8A">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107" w:type="dxa"/>
          </w:tcPr>
          <w:p w14:paraId="6C841D9C">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443" w:type="dxa"/>
          </w:tcPr>
          <w:p w14:paraId="4C525ACA">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586" w:type="dxa"/>
          </w:tcPr>
          <w:p w14:paraId="759B7A86">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943" w:type="dxa"/>
          </w:tcPr>
          <w:p w14:paraId="0B3B3B8D">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r>
      <w:tr w14:paraId="4FE10D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32D85990">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107" w:type="dxa"/>
          </w:tcPr>
          <w:p w14:paraId="43722479">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443" w:type="dxa"/>
          </w:tcPr>
          <w:p w14:paraId="56FDBC7D">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586" w:type="dxa"/>
          </w:tcPr>
          <w:p w14:paraId="34547899">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943" w:type="dxa"/>
          </w:tcPr>
          <w:p w14:paraId="528C4136">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r>
      <w:tr w14:paraId="301F5E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64A336C5">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107" w:type="dxa"/>
          </w:tcPr>
          <w:p w14:paraId="22AE31B5">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443" w:type="dxa"/>
          </w:tcPr>
          <w:p w14:paraId="72B691FD">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586" w:type="dxa"/>
          </w:tcPr>
          <w:p w14:paraId="384AFE72">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943" w:type="dxa"/>
          </w:tcPr>
          <w:p w14:paraId="166FDE0F">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r>
      <w:tr w14:paraId="5512F8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0264EB3F">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107" w:type="dxa"/>
          </w:tcPr>
          <w:p w14:paraId="7FACCCA0">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443" w:type="dxa"/>
          </w:tcPr>
          <w:p w14:paraId="51AB9C47">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586" w:type="dxa"/>
          </w:tcPr>
          <w:p w14:paraId="19BCDF10">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943" w:type="dxa"/>
          </w:tcPr>
          <w:p w14:paraId="2C16F9A3">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r>
      <w:tr w14:paraId="0F65B1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48A15BE7">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107" w:type="dxa"/>
          </w:tcPr>
          <w:p w14:paraId="646BAE4E">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443" w:type="dxa"/>
          </w:tcPr>
          <w:p w14:paraId="535D34DD">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586" w:type="dxa"/>
          </w:tcPr>
          <w:p w14:paraId="37486AE8">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943" w:type="dxa"/>
          </w:tcPr>
          <w:p w14:paraId="26CF7292">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r>
      <w:tr w14:paraId="08156D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1CC94CD6">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107" w:type="dxa"/>
          </w:tcPr>
          <w:p w14:paraId="4906E4C4">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443" w:type="dxa"/>
          </w:tcPr>
          <w:p w14:paraId="7D096DA2">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586" w:type="dxa"/>
          </w:tcPr>
          <w:p w14:paraId="057EC030">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943" w:type="dxa"/>
          </w:tcPr>
          <w:p w14:paraId="5D934F32">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r>
      <w:tr w14:paraId="51206B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048FE73A">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107" w:type="dxa"/>
          </w:tcPr>
          <w:p w14:paraId="16AB1FDA">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443" w:type="dxa"/>
          </w:tcPr>
          <w:p w14:paraId="607D94F5">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586" w:type="dxa"/>
          </w:tcPr>
          <w:p w14:paraId="499D66A5">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943" w:type="dxa"/>
          </w:tcPr>
          <w:p w14:paraId="6426EC14">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r>
      <w:tr w14:paraId="7E95A1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77AB2C3D">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107" w:type="dxa"/>
          </w:tcPr>
          <w:p w14:paraId="44BA53BA">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443" w:type="dxa"/>
          </w:tcPr>
          <w:p w14:paraId="2FCC817A">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586" w:type="dxa"/>
          </w:tcPr>
          <w:p w14:paraId="1879D185">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943" w:type="dxa"/>
          </w:tcPr>
          <w:p w14:paraId="2FDCB8D6">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r>
      <w:tr w14:paraId="42E610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089BDA63">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107" w:type="dxa"/>
          </w:tcPr>
          <w:p w14:paraId="69A6FBF5">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443" w:type="dxa"/>
          </w:tcPr>
          <w:p w14:paraId="194AE85E">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586" w:type="dxa"/>
          </w:tcPr>
          <w:p w14:paraId="1945FC31">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943" w:type="dxa"/>
          </w:tcPr>
          <w:p w14:paraId="19438DFB">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r>
    </w:tbl>
    <w:p w14:paraId="3CC3D392">
      <w:pPr>
        <w:shd w:val="clear"/>
        <w:spacing w:beforeLines="50"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说明：</w:t>
      </w:r>
    </w:p>
    <w:p w14:paraId="166CE515">
      <w:pPr>
        <w:pStyle w:val="21"/>
        <w:shd w:val="clear"/>
        <w:spacing w:before="82" w:line="364" w:lineRule="auto"/>
        <w:ind w:left="220" w:right="285"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1、投标人对应招标文件商务要求，如响应投标人完全响应，则请在“是否响应”栏内打“√”， 对空白或打“×”视为偏离，请在“偏离说明”栏内扼要说明偏离情况。</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 xml:space="preserve">.投标人必须据实填写，不得虚假响应，否则，将取消其投标或中标资格。 </w:t>
      </w:r>
    </w:p>
    <w:p w14:paraId="566462EE">
      <w:pPr>
        <w:shd w:val="clear"/>
        <w:spacing w:line="360" w:lineRule="auto"/>
        <w:ind w:firstLine="3990" w:firstLineChars="1900"/>
        <w:rPr>
          <w:rFonts w:hint="eastAsia" w:ascii="仿宋" w:hAnsi="仿宋" w:eastAsia="仿宋" w:cs="仿宋"/>
          <w:color w:val="000000" w:themeColor="text1"/>
          <w:szCs w:val="21"/>
          <w:highlight w:val="none"/>
          <w:lang w:val="zh-CN"/>
          <w14:textFill>
            <w14:solidFill>
              <w14:schemeClr w14:val="tx1"/>
            </w14:solidFill>
          </w14:textFill>
        </w:rPr>
      </w:pPr>
    </w:p>
    <w:p w14:paraId="4BBA21F1">
      <w:pPr>
        <w:shd w:val="clear"/>
        <w:spacing w:line="360" w:lineRule="auto"/>
        <w:ind w:firstLine="3990" w:firstLineChars="19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投标人：（公章）</w:t>
      </w:r>
    </w:p>
    <w:p w14:paraId="6FE1DDD5">
      <w:pPr>
        <w:shd w:val="clear"/>
        <w:spacing w:line="360" w:lineRule="auto"/>
        <w:ind w:firstLine="3990" w:firstLineChars="19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法定代表人或授权代表：（签字）</w:t>
      </w:r>
    </w:p>
    <w:p w14:paraId="17CAF686">
      <w:pPr>
        <w:shd w:val="clear"/>
        <w:spacing w:line="420" w:lineRule="exact"/>
        <w:ind w:firstLine="3990" w:firstLineChars="19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日期：</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年</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月</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日</w:t>
      </w:r>
    </w:p>
    <w:p w14:paraId="7628921C">
      <w:pPr>
        <w:pStyle w:val="12"/>
        <w:shd w:val="clear"/>
        <w:spacing w:afterLines="50"/>
        <w:ind w:left="0" w:leftChars="0" w:firstLine="0" w:firstLineChars="0"/>
        <w:rPr>
          <w:rFonts w:hint="eastAsia" w:ascii="仿宋" w:hAnsi="仿宋" w:eastAsia="仿宋" w:cs="仿宋"/>
          <w:b/>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color w:val="000000" w:themeColor="text1"/>
          <w:kern w:val="2"/>
          <w:sz w:val="28"/>
          <w:szCs w:val="28"/>
          <w:lang w:val="en-US" w:eastAsia="zh-CN" w:bidi="ar-SA"/>
          <w14:textFill>
            <w14:solidFill>
              <w14:schemeClr w14:val="tx1"/>
            </w14:solidFill>
          </w14:textFill>
        </w:rPr>
        <w:t>附表2：</w:t>
      </w:r>
    </w:p>
    <w:p w14:paraId="6534F6AE">
      <w:pPr>
        <w:pStyle w:val="3"/>
        <w:widowControl/>
        <w:rPr>
          <w:rFonts w:hint="eastAsia" w:ascii="仿宋" w:hAnsi="仿宋" w:eastAsia="仿宋" w:cs="仿宋"/>
          <w:b/>
          <w:bCs w:val="0"/>
          <w:color w:val="000000" w:themeColor="text1"/>
          <w:kern w:val="0"/>
          <w:sz w:val="28"/>
          <w:szCs w:val="36"/>
          <w:highlight w:val="none"/>
          <w:lang w:val="en-US" w:eastAsia="zh-CN" w:bidi="ar-SA"/>
          <w14:textFill>
            <w14:solidFill>
              <w14:schemeClr w14:val="tx1"/>
            </w14:solidFill>
          </w14:textFill>
        </w:rPr>
      </w:pPr>
      <w:r>
        <w:rPr>
          <w:rFonts w:hint="eastAsia" w:ascii="仿宋" w:hAnsi="仿宋" w:eastAsia="仿宋" w:cs="仿宋"/>
          <w:b/>
          <w:bCs w:val="0"/>
          <w:color w:val="000000" w:themeColor="text1"/>
          <w:kern w:val="0"/>
          <w:sz w:val="28"/>
          <w:szCs w:val="36"/>
          <w:highlight w:val="none"/>
          <w:lang w:val="en-US" w:eastAsia="zh-CN" w:bidi="ar-SA"/>
          <w14:textFill>
            <w14:solidFill>
              <w14:schemeClr w14:val="tx1"/>
            </w14:solidFill>
          </w14:textFill>
        </w:rPr>
        <w:t>类似项目业绩</w:t>
      </w:r>
    </w:p>
    <w:tbl>
      <w:tblPr>
        <w:tblStyle w:val="42"/>
        <w:tblW w:w="929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49"/>
        <w:gridCol w:w="1097"/>
        <w:gridCol w:w="2179"/>
        <w:gridCol w:w="1243"/>
        <w:gridCol w:w="1196"/>
        <w:gridCol w:w="1953"/>
        <w:gridCol w:w="1078"/>
      </w:tblGrid>
      <w:tr w14:paraId="2CCF5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417" w:hRule="atLeast"/>
          <w:jc w:val="center"/>
        </w:trPr>
        <w:tc>
          <w:tcPr>
            <w:tcW w:w="549" w:type="dxa"/>
            <w:vAlign w:val="center"/>
          </w:tcPr>
          <w:p w14:paraId="6857F617">
            <w:pPr>
              <w:spacing w:line="360"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序号</w:t>
            </w:r>
          </w:p>
        </w:tc>
        <w:tc>
          <w:tcPr>
            <w:tcW w:w="1097" w:type="dxa"/>
            <w:vAlign w:val="center"/>
          </w:tcPr>
          <w:p w14:paraId="3A88A596">
            <w:pPr>
              <w:spacing w:line="360"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项目名称</w:t>
            </w:r>
          </w:p>
        </w:tc>
        <w:tc>
          <w:tcPr>
            <w:tcW w:w="2179" w:type="dxa"/>
            <w:vAlign w:val="center"/>
          </w:tcPr>
          <w:p w14:paraId="0D3928AC">
            <w:pPr>
              <w:spacing w:line="360"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项目内容</w:t>
            </w:r>
          </w:p>
        </w:tc>
        <w:tc>
          <w:tcPr>
            <w:tcW w:w="1243" w:type="dxa"/>
            <w:tcBorders>
              <w:left w:val="single" w:color="auto" w:sz="4" w:space="0"/>
              <w:right w:val="single" w:color="auto" w:sz="4" w:space="0"/>
            </w:tcBorders>
            <w:vAlign w:val="center"/>
          </w:tcPr>
          <w:p w14:paraId="162FB622">
            <w:pPr>
              <w:spacing w:line="360"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合同金额</w:t>
            </w:r>
          </w:p>
        </w:tc>
        <w:tc>
          <w:tcPr>
            <w:tcW w:w="1196" w:type="dxa"/>
            <w:tcBorders>
              <w:left w:val="single" w:color="auto" w:sz="4" w:space="0"/>
              <w:right w:val="single" w:color="auto" w:sz="4" w:space="0"/>
            </w:tcBorders>
            <w:vAlign w:val="center"/>
          </w:tcPr>
          <w:p w14:paraId="2547C713">
            <w:pPr>
              <w:spacing w:line="360"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客户</w:t>
            </w:r>
          </w:p>
        </w:tc>
        <w:tc>
          <w:tcPr>
            <w:tcW w:w="1953" w:type="dxa"/>
            <w:tcBorders>
              <w:left w:val="single" w:color="auto" w:sz="4" w:space="0"/>
              <w:right w:val="single" w:color="auto" w:sz="4" w:space="0"/>
            </w:tcBorders>
            <w:vAlign w:val="center"/>
          </w:tcPr>
          <w:p w14:paraId="0534F9AD">
            <w:pPr>
              <w:spacing w:line="360"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实施日期</w:t>
            </w:r>
          </w:p>
        </w:tc>
        <w:tc>
          <w:tcPr>
            <w:tcW w:w="1078" w:type="dxa"/>
            <w:vAlign w:val="center"/>
          </w:tcPr>
          <w:p w14:paraId="5E7169B6">
            <w:pPr>
              <w:spacing w:line="360"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备注</w:t>
            </w:r>
          </w:p>
        </w:tc>
      </w:tr>
      <w:tr w14:paraId="6F88A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417" w:hRule="atLeast"/>
          <w:jc w:val="center"/>
        </w:trPr>
        <w:tc>
          <w:tcPr>
            <w:tcW w:w="549" w:type="dxa"/>
            <w:vAlign w:val="center"/>
          </w:tcPr>
          <w:p w14:paraId="304E784D">
            <w:pPr>
              <w:spacing w:line="360"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1097" w:type="dxa"/>
            <w:vAlign w:val="center"/>
          </w:tcPr>
          <w:p w14:paraId="39C6F837">
            <w:pPr>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179" w:type="dxa"/>
            <w:vAlign w:val="center"/>
          </w:tcPr>
          <w:p w14:paraId="13F47D27">
            <w:pPr>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243" w:type="dxa"/>
            <w:tcBorders>
              <w:left w:val="single" w:color="auto" w:sz="4" w:space="0"/>
              <w:right w:val="single" w:color="auto" w:sz="4" w:space="0"/>
            </w:tcBorders>
            <w:vAlign w:val="center"/>
          </w:tcPr>
          <w:p w14:paraId="1CFC4B3E">
            <w:pPr>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196" w:type="dxa"/>
            <w:tcBorders>
              <w:left w:val="single" w:color="auto" w:sz="4" w:space="0"/>
              <w:right w:val="single" w:color="auto" w:sz="4" w:space="0"/>
            </w:tcBorders>
            <w:vAlign w:val="center"/>
          </w:tcPr>
          <w:p w14:paraId="4E18203F">
            <w:pPr>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953" w:type="dxa"/>
            <w:tcBorders>
              <w:left w:val="single" w:color="auto" w:sz="4" w:space="0"/>
              <w:right w:val="single" w:color="auto" w:sz="4" w:space="0"/>
            </w:tcBorders>
            <w:vAlign w:val="center"/>
          </w:tcPr>
          <w:p w14:paraId="344C67FE">
            <w:pPr>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078" w:type="dxa"/>
          </w:tcPr>
          <w:p w14:paraId="36D627FB">
            <w:pPr>
              <w:spacing w:line="360" w:lineRule="auto"/>
              <w:jc w:val="center"/>
              <w:rPr>
                <w:rFonts w:hint="eastAsia" w:ascii="仿宋" w:hAnsi="仿宋" w:eastAsia="仿宋" w:cs="仿宋"/>
                <w:color w:val="000000" w:themeColor="text1"/>
                <w:szCs w:val="21"/>
                <w14:textFill>
                  <w14:solidFill>
                    <w14:schemeClr w14:val="tx1"/>
                  </w14:solidFill>
                </w14:textFill>
              </w:rPr>
            </w:pPr>
          </w:p>
        </w:tc>
      </w:tr>
      <w:tr w14:paraId="750C4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417" w:hRule="atLeast"/>
          <w:jc w:val="center"/>
        </w:trPr>
        <w:tc>
          <w:tcPr>
            <w:tcW w:w="549" w:type="dxa"/>
            <w:vAlign w:val="center"/>
          </w:tcPr>
          <w:p w14:paraId="78BA5003">
            <w:pPr>
              <w:spacing w:line="360"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w:t>
            </w:r>
          </w:p>
        </w:tc>
        <w:tc>
          <w:tcPr>
            <w:tcW w:w="1097" w:type="dxa"/>
            <w:vAlign w:val="center"/>
          </w:tcPr>
          <w:p w14:paraId="3D1DF4ED">
            <w:pPr>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179" w:type="dxa"/>
            <w:vAlign w:val="center"/>
          </w:tcPr>
          <w:p w14:paraId="703DB143">
            <w:pPr>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243" w:type="dxa"/>
            <w:tcBorders>
              <w:left w:val="single" w:color="auto" w:sz="4" w:space="0"/>
              <w:right w:val="single" w:color="auto" w:sz="4" w:space="0"/>
            </w:tcBorders>
            <w:vAlign w:val="center"/>
          </w:tcPr>
          <w:p w14:paraId="757DF934">
            <w:pPr>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196" w:type="dxa"/>
            <w:tcBorders>
              <w:left w:val="single" w:color="auto" w:sz="4" w:space="0"/>
              <w:right w:val="single" w:color="auto" w:sz="4" w:space="0"/>
            </w:tcBorders>
            <w:vAlign w:val="center"/>
          </w:tcPr>
          <w:p w14:paraId="046729E3">
            <w:pPr>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953" w:type="dxa"/>
            <w:tcBorders>
              <w:left w:val="single" w:color="auto" w:sz="4" w:space="0"/>
              <w:right w:val="single" w:color="auto" w:sz="4" w:space="0"/>
            </w:tcBorders>
            <w:vAlign w:val="center"/>
          </w:tcPr>
          <w:p w14:paraId="4595FECA">
            <w:pPr>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078" w:type="dxa"/>
          </w:tcPr>
          <w:p w14:paraId="533CBF45">
            <w:pPr>
              <w:spacing w:line="360" w:lineRule="auto"/>
              <w:jc w:val="center"/>
              <w:rPr>
                <w:rFonts w:hint="eastAsia" w:ascii="仿宋" w:hAnsi="仿宋" w:eastAsia="仿宋" w:cs="仿宋"/>
                <w:color w:val="000000" w:themeColor="text1"/>
                <w:szCs w:val="21"/>
                <w14:textFill>
                  <w14:solidFill>
                    <w14:schemeClr w14:val="tx1"/>
                  </w14:solidFill>
                </w14:textFill>
              </w:rPr>
            </w:pPr>
          </w:p>
        </w:tc>
      </w:tr>
      <w:tr w14:paraId="24ACA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417" w:hRule="atLeast"/>
          <w:jc w:val="center"/>
        </w:trPr>
        <w:tc>
          <w:tcPr>
            <w:tcW w:w="549" w:type="dxa"/>
            <w:vAlign w:val="center"/>
          </w:tcPr>
          <w:p w14:paraId="2DFC0755">
            <w:pPr>
              <w:spacing w:line="360" w:lineRule="auto"/>
              <w:ind w:left="120"/>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p>
        </w:tc>
        <w:tc>
          <w:tcPr>
            <w:tcW w:w="1097" w:type="dxa"/>
            <w:vAlign w:val="center"/>
          </w:tcPr>
          <w:p w14:paraId="3C005D0B">
            <w:pPr>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179" w:type="dxa"/>
            <w:vAlign w:val="center"/>
          </w:tcPr>
          <w:p w14:paraId="187F6D2A">
            <w:pPr>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243" w:type="dxa"/>
            <w:tcBorders>
              <w:left w:val="single" w:color="auto" w:sz="4" w:space="0"/>
              <w:right w:val="single" w:color="auto" w:sz="4" w:space="0"/>
            </w:tcBorders>
            <w:vAlign w:val="center"/>
          </w:tcPr>
          <w:p w14:paraId="2430E2E2">
            <w:pPr>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196" w:type="dxa"/>
            <w:tcBorders>
              <w:left w:val="single" w:color="auto" w:sz="4" w:space="0"/>
              <w:right w:val="single" w:color="auto" w:sz="4" w:space="0"/>
            </w:tcBorders>
            <w:vAlign w:val="center"/>
          </w:tcPr>
          <w:p w14:paraId="1B0286A1">
            <w:pPr>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953" w:type="dxa"/>
            <w:tcBorders>
              <w:left w:val="single" w:color="auto" w:sz="4" w:space="0"/>
              <w:right w:val="single" w:color="auto" w:sz="4" w:space="0"/>
            </w:tcBorders>
            <w:vAlign w:val="center"/>
          </w:tcPr>
          <w:p w14:paraId="42F4129E">
            <w:pPr>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078" w:type="dxa"/>
            <w:vAlign w:val="center"/>
          </w:tcPr>
          <w:p w14:paraId="094794F2">
            <w:pPr>
              <w:spacing w:line="360" w:lineRule="auto"/>
              <w:jc w:val="center"/>
              <w:rPr>
                <w:rFonts w:hint="eastAsia" w:ascii="仿宋" w:hAnsi="仿宋" w:eastAsia="仿宋" w:cs="仿宋"/>
                <w:color w:val="000000" w:themeColor="text1"/>
                <w:szCs w:val="21"/>
                <w14:textFill>
                  <w14:solidFill>
                    <w14:schemeClr w14:val="tx1"/>
                  </w14:solidFill>
                </w14:textFill>
              </w:rPr>
            </w:pPr>
          </w:p>
        </w:tc>
      </w:tr>
    </w:tbl>
    <w:p w14:paraId="62D61F5A">
      <w:pPr>
        <w:rPr>
          <w:rFonts w:hint="eastAsia" w:ascii="仿宋" w:hAnsi="仿宋" w:eastAsia="仿宋" w:cs="仿宋"/>
          <w:b/>
          <w:bCs/>
          <w:color w:val="000000" w:themeColor="text1"/>
          <w:sz w:val="22"/>
          <w:szCs w:val="21"/>
          <w14:textFill>
            <w14:solidFill>
              <w14:schemeClr w14:val="tx1"/>
            </w14:solidFill>
          </w14:textFill>
        </w:rPr>
      </w:pPr>
      <w:r>
        <w:rPr>
          <w:rFonts w:hint="eastAsia" w:ascii="仿宋" w:hAnsi="仿宋" w:eastAsia="仿宋" w:cs="仿宋"/>
          <w:b/>
          <w:bCs/>
          <w:color w:val="000000" w:themeColor="text1"/>
          <w:sz w:val="22"/>
          <w:szCs w:val="21"/>
          <w14:textFill>
            <w14:solidFill>
              <w14:schemeClr w14:val="tx1"/>
            </w14:solidFill>
          </w14:textFill>
        </w:rPr>
        <w:t>注：表后按填报的业绩顺序附</w:t>
      </w:r>
      <w:r>
        <w:rPr>
          <w:rFonts w:hint="eastAsia" w:ascii="仿宋" w:hAnsi="仿宋" w:eastAsia="仿宋" w:cs="仿宋"/>
          <w:b/>
          <w:bCs/>
          <w:color w:val="000000" w:themeColor="text1"/>
          <w:sz w:val="22"/>
          <w:szCs w:val="21"/>
          <w:lang w:val="en-US" w:eastAsia="zh-CN"/>
          <w14:textFill>
            <w14:solidFill>
              <w14:schemeClr w14:val="tx1"/>
            </w14:solidFill>
          </w14:textFill>
        </w:rPr>
        <w:t>成交</w:t>
      </w:r>
      <w:r>
        <w:rPr>
          <w:rFonts w:hint="eastAsia" w:ascii="仿宋" w:hAnsi="仿宋" w:eastAsia="仿宋" w:cs="仿宋"/>
          <w:b/>
          <w:bCs/>
          <w:color w:val="000000" w:themeColor="text1"/>
          <w:sz w:val="22"/>
          <w:szCs w:val="21"/>
          <w14:textFill>
            <w14:solidFill>
              <w14:schemeClr w14:val="tx1"/>
            </w14:solidFill>
          </w14:textFill>
        </w:rPr>
        <w:t>/中标通知书或合同加盖公章，材料应清晰可辨认。</w:t>
      </w:r>
    </w:p>
    <w:p w14:paraId="252D0CAF">
      <w:pPr>
        <w:shd w:val="clear"/>
        <w:tabs>
          <w:tab w:val="left" w:pos="2040"/>
        </w:tabs>
        <w:spacing w:line="360" w:lineRule="auto"/>
        <w:outlineLvl w:val="0"/>
        <w:rPr>
          <w:rFonts w:hint="eastAsia" w:ascii="仿宋" w:hAnsi="仿宋" w:eastAsia="仿宋" w:cs="仿宋"/>
          <w:b/>
          <w:color w:val="000000" w:themeColor="text1"/>
          <w:szCs w:val="21"/>
          <w:highlight w:val="none"/>
          <w14:textFill>
            <w14:solidFill>
              <w14:schemeClr w14:val="tx1"/>
            </w14:solidFill>
          </w14:textFill>
        </w:rPr>
      </w:pPr>
    </w:p>
    <w:p w14:paraId="18933648">
      <w:pPr>
        <w:shd w:val="clear"/>
        <w:spacing w:line="360" w:lineRule="auto"/>
        <w:ind w:firstLine="3990" w:firstLineChars="1900"/>
        <w:rPr>
          <w:rFonts w:hint="eastAsia" w:ascii="仿宋" w:hAnsi="仿宋" w:eastAsia="仿宋" w:cs="仿宋"/>
          <w:color w:val="000000" w:themeColor="text1"/>
          <w:szCs w:val="21"/>
          <w:highlight w:val="none"/>
          <w:lang w:val="zh-CN"/>
          <w14:textFill>
            <w14:solidFill>
              <w14:schemeClr w14:val="tx1"/>
            </w14:solidFill>
          </w14:textFill>
        </w:rPr>
      </w:pPr>
    </w:p>
    <w:p w14:paraId="22799871">
      <w:pPr>
        <w:shd w:val="clear"/>
        <w:spacing w:line="360" w:lineRule="auto"/>
        <w:rPr>
          <w:rFonts w:hint="eastAsia" w:ascii="仿宋" w:hAnsi="仿宋" w:eastAsia="仿宋" w:cs="仿宋"/>
          <w:color w:val="000000" w:themeColor="text1"/>
          <w:szCs w:val="21"/>
          <w:highlight w:val="none"/>
          <w:lang w:val="zh-CN"/>
          <w14:textFill>
            <w14:solidFill>
              <w14:schemeClr w14:val="tx1"/>
            </w14:solidFill>
          </w14:textFill>
        </w:rPr>
      </w:pPr>
    </w:p>
    <w:p w14:paraId="1D499882">
      <w:pPr>
        <w:shd w:val="clear"/>
        <w:spacing w:line="360" w:lineRule="auto"/>
        <w:ind w:firstLine="3990" w:firstLineChars="19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投标人：（公章）</w:t>
      </w:r>
    </w:p>
    <w:p w14:paraId="6F9A0055">
      <w:pPr>
        <w:shd w:val="clear"/>
        <w:spacing w:line="360" w:lineRule="auto"/>
        <w:ind w:firstLine="3990" w:firstLineChars="19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法定代表人或授权代表：（签字）</w:t>
      </w:r>
    </w:p>
    <w:p w14:paraId="1CA0EECB">
      <w:pPr>
        <w:shd w:val="clear"/>
        <w:spacing w:line="420" w:lineRule="exact"/>
        <w:ind w:firstLine="3990" w:firstLineChars="19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日期：</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年</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月</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日</w:t>
      </w:r>
    </w:p>
    <w:p w14:paraId="1B228A2B">
      <w:pPr>
        <w:shd w:val="clear"/>
        <w:tabs>
          <w:tab w:val="left" w:pos="2040"/>
        </w:tabs>
        <w:spacing w:line="360" w:lineRule="auto"/>
        <w:outlineLvl w:val="0"/>
        <w:rPr>
          <w:rFonts w:hint="eastAsia" w:ascii="仿宋" w:hAnsi="仿宋" w:eastAsia="仿宋" w:cs="仿宋"/>
          <w:b/>
          <w:color w:val="000000" w:themeColor="text1"/>
          <w:szCs w:val="21"/>
          <w:highlight w:val="none"/>
          <w14:textFill>
            <w14:solidFill>
              <w14:schemeClr w14:val="tx1"/>
            </w14:solidFill>
          </w14:textFill>
        </w:rPr>
      </w:pPr>
    </w:p>
    <w:p w14:paraId="228A8084">
      <w:pPr>
        <w:shd w:val="clear"/>
        <w:tabs>
          <w:tab w:val="left" w:pos="2040"/>
        </w:tabs>
        <w:spacing w:line="360" w:lineRule="auto"/>
        <w:outlineLvl w:val="0"/>
        <w:rPr>
          <w:rFonts w:hint="eastAsia" w:ascii="仿宋" w:hAnsi="仿宋" w:eastAsia="仿宋" w:cs="仿宋"/>
          <w:b/>
          <w:color w:val="000000" w:themeColor="text1"/>
          <w:szCs w:val="21"/>
          <w:highlight w:val="none"/>
          <w14:textFill>
            <w14:solidFill>
              <w14:schemeClr w14:val="tx1"/>
            </w14:solidFill>
          </w14:textFill>
        </w:rPr>
      </w:pPr>
    </w:p>
    <w:p w14:paraId="75764609">
      <w:pPr>
        <w:shd w:val="clear"/>
        <w:tabs>
          <w:tab w:val="left" w:pos="2040"/>
        </w:tabs>
        <w:spacing w:line="360" w:lineRule="auto"/>
        <w:outlineLvl w:val="0"/>
        <w:rPr>
          <w:rFonts w:hint="eastAsia" w:ascii="仿宋" w:hAnsi="仿宋" w:eastAsia="仿宋" w:cs="仿宋"/>
          <w:b/>
          <w:color w:val="000000" w:themeColor="text1"/>
          <w:szCs w:val="21"/>
          <w:highlight w:val="none"/>
          <w14:textFill>
            <w14:solidFill>
              <w14:schemeClr w14:val="tx1"/>
            </w14:solidFill>
          </w14:textFill>
        </w:rPr>
      </w:pPr>
    </w:p>
    <w:p w14:paraId="3D87098F">
      <w:pPr>
        <w:shd w:val="clear"/>
        <w:tabs>
          <w:tab w:val="left" w:pos="2040"/>
        </w:tabs>
        <w:spacing w:line="360" w:lineRule="auto"/>
        <w:outlineLvl w:val="0"/>
        <w:rPr>
          <w:rFonts w:hint="eastAsia" w:ascii="仿宋" w:hAnsi="仿宋" w:eastAsia="仿宋" w:cs="仿宋"/>
          <w:b/>
          <w:color w:val="000000" w:themeColor="text1"/>
          <w:szCs w:val="21"/>
          <w:highlight w:val="none"/>
          <w14:textFill>
            <w14:solidFill>
              <w14:schemeClr w14:val="tx1"/>
            </w14:solidFill>
          </w14:textFill>
        </w:rPr>
      </w:pPr>
    </w:p>
    <w:p w14:paraId="03046E3C">
      <w:pPr>
        <w:shd w:val="clear"/>
        <w:tabs>
          <w:tab w:val="left" w:pos="2040"/>
        </w:tabs>
        <w:spacing w:line="360" w:lineRule="auto"/>
        <w:outlineLvl w:val="0"/>
        <w:rPr>
          <w:rFonts w:hint="eastAsia" w:ascii="仿宋" w:hAnsi="仿宋" w:eastAsia="仿宋" w:cs="仿宋"/>
          <w:b/>
          <w:color w:val="000000" w:themeColor="text1"/>
          <w:szCs w:val="21"/>
          <w:highlight w:val="none"/>
          <w14:textFill>
            <w14:solidFill>
              <w14:schemeClr w14:val="tx1"/>
            </w14:solidFill>
          </w14:textFill>
        </w:rPr>
      </w:pPr>
    </w:p>
    <w:p w14:paraId="7FFE6D15">
      <w:pPr>
        <w:shd w:val="clear"/>
        <w:tabs>
          <w:tab w:val="left" w:pos="2040"/>
        </w:tabs>
        <w:spacing w:line="360" w:lineRule="auto"/>
        <w:outlineLvl w:val="0"/>
        <w:rPr>
          <w:rFonts w:hint="eastAsia" w:ascii="仿宋" w:hAnsi="仿宋" w:eastAsia="仿宋" w:cs="仿宋"/>
          <w:b/>
          <w:color w:val="000000" w:themeColor="text1"/>
          <w:szCs w:val="21"/>
          <w:highlight w:val="none"/>
          <w14:textFill>
            <w14:solidFill>
              <w14:schemeClr w14:val="tx1"/>
            </w14:solidFill>
          </w14:textFill>
        </w:rPr>
      </w:pPr>
    </w:p>
    <w:p w14:paraId="2505864B">
      <w:pPr>
        <w:shd w:val="clear"/>
        <w:tabs>
          <w:tab w:val="left" w:pos="2040"/>
        </w:tabs>
        <w:spacing w:line="360" w:lineRule="auto"/>
        <w:outlineLvl w:val="0"/>
        <w:rPr>
          <w:rFonts w:hint="eastAsia" w:ascii="仿宋" w:hAnsi="仿宋" w:eastAsia="仿宋" w:cs="仿宋"/>
          <w:b/>
          <w:color w:val="000000" w:themeColor="text1"/>
          <w:szCs w:val="21"/>
          <w:highlight w:val="none"/>
          <w14:textFill>
            <w14:solidFill>
              <w14:schemeClr w14:val="tx1"/>
            </w14:solidFill>
          </w14:textFill>
        </w:rPr>
      </w:pPr>
    </w:p>
    <w:p w14:paraId="0652EE99">
      <w:pPr>
        <w:shd w:val="clear"/>
        <w:adjustRightInd w:val="0"/>
        <w:spacing w:line="400" w:lineRule="exact"/>
        <w:jc w:val="center"/>
        <w:rPr>
          <w:rFonts w:hint="eastAsia" w:ascii="仿宋" w:hAnsi="仿宋" w:eastAsia="仿宋" w:cs="仿宋"/>
          <w:b/>
          <w:color w:val="000000" w:themeColor="text1"/>
          <w:kern w:val="2"/>
          <w:sz w:val="32"/>
          <w:highlight w:val="none"/>
          <w:lang w:val="en-US" w:eastAsia="zh-CN" w:bidi="ar-SA"/>
          <w14:textFill>
            <w14:solidFill>
              <w14:schemeClr w14:val="tx1"/>
            </w14:solidFill>
          </w14:textFill>
        </w:rPr>
      </w:pPr>
    </w:p>
    <w:p w14:paraId="7F009912">
      <w:pPr>
        <w:shd w:val="clear"/>
        <w:jc w:val="center"/>
        <w:outlineLvl w:val="0"/>
        <w:rPr>
          <w:rFonts w:hint="eastAsia" w:ascii="仿宋" w:hAnsi="仿宋" w:eastAsia="仿宋" w:cs="仿宋"/>
          <w:b/>
          <w:color w:val="000000" w:themeColor="text1"/>
          <w:sz w:val="32"/>
          <w:highlight w:val="none"/>
          <w:lang w:val="en-US" w:eastAsia="zh-CN"/>
          <w14:textFill>
            <w14:solidFill>
              <w14:schemeClr w14:val="tx1"/>
            </w14:solidFill>
          </w14:textFill>
        </w:rPr>
      </w:pPr>
      <w:r>
        <w:rPr>
          <w:rFonts w:hint="eastAsia" w:ascii="仿宋" w:hAnsi="仿宋" w:eastAsia="仿宋" w:cs="仿宋"/>
          <w:b/>
          <w:color w:val="000000" w:themeColor="text1"/>
          <w:sz w:val="32"/>
          <w:highlight w:val="none"/>
          <w:lang w:val="en-US" w:eastAsia="zh-CN"/>
          <w14:textFill>
            <w14:solidFill>
              <w14:schemeClr w14:val="tx1"/>
            </w14:solidFill>
          </w14:textFill>
        </w:rPr>
        <w:t>第5部分  投标人认为有必要补充说明的事项</w:t>
      </w:r>
    </w:p>
    <w:p w14:paraId="28252C6B">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59995200">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说明：投标人自定，格式内容自拟</w:t>
      </w:r>
    </w:p>
    <w:p w14:paraId="7E5B04E0">
      <w:pPr>
        <w:shd w:val="clear"/>
        <w:adjustRightInd w:val="0"/>
        <w:snapToGrid w:val="0"/>
        <w:spacing w:line="360" w:lineRule="auto"/>
        <w:ind w:firstLine="525" w:firstLineChars="250"/>
        <w:rPr>
          <w:rFonts w:hint="eastAsia" w:ascii="仿宋" w:hAnsi="仿宋" w:eastAsia="仿宋" w:cs="仿宋"/>
          <w:bCs/>
          <w:color w:val="000000" w:themeColor="text1"/>
          <w:szCs w:val="21"/>
          <w:highlight w:val="none"/>
          <w14:textFill>
            <w14:solidFill>
              <w14:schemeClr w14:val="tx1"/>
            </w14:solidFill>
          </w14:textFill>
        </w:rPr>
      </w:pPr>
    </w:p>
    <w:p w14:paraId="5D3E1CBA">
      <w:pPr>
        <w:shd w:val="clear"/>
        <w:adjustRightInd w:val="0"/>
        <w:snapToGrid w:val="0"/>
        <w:spacing w:line="360" w:lineRule="auto"/>
        <w:ind w:firstLine="525" w:firstLineChars="250"/>
        <w:rPr>
          <w:rFonts w:hint="eastAsia" w:ascii="仿宋" w:hAnsi="仿宋" w:eastAsia="仿宋" w:cs="仿宋"/>
          <w:bCs/>
          <w:color w:val="000000" w:themeColor="text1"/>
          <w:szCs w:val="21"/>
          <w:highlight w:val="none"/>
          <w14:textFill>
            <w14:solidFill>
              <w14:schemeClr w14:val="tx1"/>
            </w14:solidFill>
          </w14:textFill>
        </w:rPr>
      </w:pPr>
    </w:p>
    <w:p w14:paraId="68B148CB">
      <w:pPr>
        <w:shd w:val="clear"/>
        <w:adjustRightInd w:val="0"/>
        <w:snapToGrid w:val="0"/>
        <w:spacing w:afterLines="50" w:line="360" w:lineRule="auto"/>
        <w:jc w:val="left"/>
        <w:rPr>
          <w:rFonts w:hint="eastAsia" w:ascii="仿宋" w:hAnsi="仿宋" w:eastAsia="仿宋" w:cs="仿宋"/>
          <w:bCs/>
          <w:color w:val="000000" w:themeColor="text1"/>
          <w:sz w:val="36"/>
          <w:szCs w:val="36"/>
          <w:highlight w:val="none"/>
          <w14:textFill>
            <w14:solidFill>
              <w14:schemeClr w14:val="tx1"/>
            </w14:solidFill>
          </w14:textFill>
        </w:rPr>
      </w:pPr>
    </w:p>
    <w:p w14:paraId="6AB3EB2E">
      <w:pPr>
        <w:shd w:val="clear"/>
        <w:adjustRightInd w:val="0"/>
        <w:snapToGrid w:val="0"/>
        <w:spacing w:afterLines="50" w:line="360" w:lineRule="auto"/>
        <w:jc w:val="left"/>
        <w:rPr>
          <w:rFonts w:hint="eastAsia" w:ascii="仿宋" w:hAnsi="仿宋" w:eastAsia="仿宋" w:cs="仿宋"/>
          <w:bCs/>
          <w:color w:val="000000" w:themeColor="text1"/>
          <w:sz w:val="36"/>
          <w:szCs w:val="36"/>
          <w:highlight w:val="none"/>
          <w14:textFill>
            <w14:solidFill>
              <w14:schemeClr w14:val="tx1"/>
            </w14:solidFill>
          </w14:textFill>
        </w:rPr>
      </w:pPr>
    </w:p>
    <w:p w14:paraId="75EBC7BC">
      <w:pPr>
        <w:shd w:val="clear"/>
        <w:adjustRightInd w:val="0"/>
        <w:snapToGrid w:val="0"/>
        <w:spacing w:afterLines="50" w:line="360" w:lineRule="auto"/>
        <w:jc w:val="left"/>
        <w:rPr>
          <w:rFonts w:hint="eastAsia" w:ascii="仿宋" w:hAnsi="仿宋" w:eastAsia="仿宋" w:cs="仿宋"/>
          <w:bCs/>
          <w:color w:val="000000" w:themeColor="text1"/>
          <w:sz w:val="36"/>
          <w:szCs w:val="36"/>
          <w:highlight w:val="none"/>
          <w14:textFill>
            <w14:solidFill>
              <w14:schemeClr w14:val="tx1"/>
            </w14:solidFill>
          </w14:textFill>
        </w:rPr>
      </w:pPr>
    </w:p>
    <w:p w14:paraId="0DB09D88">
      <w:pPr>
        <w:shd w:val="clear"/>
        <w:adjustRightInd w:val="0"/>
        <w:snapToGrid w:val="0"/>
        <w:spacing w:afterLines="50" w:line="360" w:lineRule="auto"/>
        <w:jc w:val="left"/>
        <w:rPr>
          <w:rFonts w:hint="eastAsia" w:ascii="仿宋" w:hAnsi="仿宋" w:eastAsia="仿宋" w:cs="仿宋"/>
          <w:bCs/>
          <w:color w:val="000000" w:themeColor="text1"/>
          <w:sz w:val="36"/>
          <w:szCs w:val="36"/>
          <w:highlight w:val="none"/>
          <w14:textFill>
            <w14:solidFill>
              <w14:schemeClr w14:val="tx1"/>
            </w14:solidFill>
          </w14:textFill>
        </w:rPr>
      </w:pPr>
    </w:p>
    <w:p w14:paraId="4B8140DB">
      <w:pPr>
        <w:shd w:val="clear"/>
        <w:adjustRightInd w:val="0"/>
        <w:snapToGrid w:val="0"/>
        <w:spacing w:afterLines="50" w:line="360" w:lineRule="auto"/>
        <w:jc w:val="left"/>
        <w:rPr>
          <w:rFonts w:hint="eastAsia" w:ascii="仿宋" w:hAnsi="仿宋" w:eastAsia="仿宋" w:cs="仿宋"/>
          <w:bCs/>
          <w:color w:val="000000" w:themeColor="text1"/>
          <w:sz w:val="36"/>
          <w:szCs w:val="36"/>
          <w:highlight w:val="none"/>
          <w14:textFill>
            <w14:solidFill>
              <w14:schemeClr w14:val="tx1"/>
            </w14:solidFill>
          </w14:textFill>
        </w:rPr>
      </w:pPr>
    </w:p>
    <w:p w14:paraId="509C4952">
      <w:pPr>
        <w:shd w:val="clear"/>
        <w:adjustRightInd w:val="0"/>
        <w:snapToGrid w:val="0"/>
        <w:spacing w:afterLines="50" w:line="360" w:lineRule="auto"/>
        <w:jc w:val="left"/>
        <w:rPr>
          <w:rFonts w:hint="eastAsia" w:ascii="仿宋" w:hAnsi="仿宋" w:eastAsia="仿宋" w:cs="仿宋"/>
          <w:bCs/>
          <w:color w:val="000000" w:themeColor="text1"/>
          <w:sz w:val="36"/>
          <w:szCs w:val="36"/>
          <w:highlight w:val="none"/>
          <w14:textFill>
            <w14:solidFill>
              <w14:schemeClr w14:val="tx1"/>
            </w14:solidFill>
          </w14:textFill>
        </w:rPr>
      </w:pPr>
    </w:p>
    <w:p w14:paraId="56967C90">
      <w:pPr>
        <w:shd w:val="clear"/>
        <w:adjustRightInd w:val="0"/>
        <w:snapToGrid w:val="0"/>
        <w:spacing w:afterLines="50" w:line="360" w:lineRule="auto"/>
        <w:jc w:val="left"/>
        <w:rPr>
          <w:rFonts w:hint="eastAsia" w:ascii="仿宋" w:hAnsi="仿宋" w:eastAsia="仿宋" w:cs="仿宋"/>
          <w:bCs/>
          <w:color w:val="000000" w:themeColor="text1"/>
          <w:sz w:val="36"/>
          <w:szCs w:val="36"/>
          <w:highlight w:val="none"/>
          <w14:textFill>
            <w14:solidFill>
              <w14:schemeClr w14:val="tx1"/>
            </w14:solidFill>
          </w14:textFill>
        </w:rPr>
      </w:pPr>
    </w:p>
    <w:p w14:paraId="1AB4789A">
      <w:pPr>
        <w:shd w:val="clear"/>
        <w:adjustRightInd w:val="0"/>
        <w:snapToGrid w:val="0"/>
        <w:spacing w:afterLines="50" w:line="360" w:lineRule="auto"/>
        <w:jc w:val="left"/>
        <w:rPr>
          <w:rFonts w:hint="eastAsia" w:ascii="仿宋" w:hAnsi="仿宋" w:eastAsia="仿宋" w:cs="仿宋"/>
          <w:bCs/>
          <w:color w:val="000000" w:themeColor="text1"/>
          <w:sz w:val="36"/>
          <w:szCs w:val="36"/>
          <w:highlight w:val="none"/>
          <w14:textFill>
            <w14:solidFill>
              <w14:schemeClr w14:val="tx1"/>
            </w14:solidFill>
          </w14:textFill>
        </w:rPr>
      </w:pPr>
    </w:p>
    <w:p w14:paraId="1ADCB2BF">
      <w:pPr>
        <w:shd w:val="clear"/>
        <w:adjustRightInd w:val="0"/>
        <w:snapToGrid w:val="0"/>
        <w:spacing w:afterLines="50" w:line="360" w:lineRule="auto"/>
        <w:jc w:val="left"/>
        <w:rPr>
          <w:rFonts w:hint="eastAsia" w:ascii="仿宋" w:hAnsi="仿宋" w:eastAsia="仿宋" w:cs="仿宋"/>
          <w:bCs/>
          <w:color w:val="000000" w:themeColor="text1"/>
          <w:sz w:val="36"/>
          <w:szCs w:val="36"/>
          <w:highlight w:val="none"/>
          <w14:textFill>
            <w14:solidFill>
              <w14:schemeClr w14:val="tx1"/>
            </w14:solidFill>
          </w14:textFill>
        </w:rPr>
      </w:pPr>
    </w:p>
    <w:p w14:paraId="46032CA4">
      <w:pPr>
        <w:shd w:val="clear"/>
        <w:adjustRightInd w:val="0"/>
        <w:snapToGrid w:val="0"/>
        <w:spacing w:afterLines="50" w:line="360" w:lineRule="auto"/>
        <w:jc w:val="left"/>
        <w:rPr>
          <w:rFonts w:hint="eastAsia" w:ascii="仿宋" w:hAnsi="仿宋" w:eastAsia="仿宋" w:cs="仿宋"/>
          <w:bCs/>
          <w:color w:val="000000" w:themeColor="text1"/>
          <w:sz w:val="36"/>
          <w:szCs w:val="36"/>
          <w:highlight w:val="none"/>
          <w14:textFill>
            <w14:solidFill>
              <w14:schemeClr w14:val="tx1"/>
            </w14:solidFill>
          </w14:textFill>
        </w:rPr>
      </w:pPr>
    </w:p>
    <w:p w14:paraId="00DBC7B8">
      <w:pPr>
        <w:shd w:val="clear"/>
        <w:adjustRightInd w:val="0"/>
        <w:snapToGrid w:val="0"/>
        <w:spacing w:afterLines="50" w:line="360" w:lineRule="auto"/>
        <w:jc w:val="left"/>
        <w:rPr>
          <w:rFonts w:hint="eastAsia" w:ascii="仿宋" w:hAnsi="仿宋" w:eastAsia="仿宋" w:cs="仿宋"/>
          <w:bCs/>
          <w:color w:val="000000" w:themeColor="text1"/>
          <w:sz w:val="36"/>
          <w:szCs w:val="36"/>
          <w:highlight w:val="none"/>
          <w14:textFill>
            <w14:solidFill>
              <w14:schemeClr w14:val="tx1"/>
            </w14:solidFill>
          </w14:textFill>
        </w:rPr>
      </w:pPr>
    </w:p>
    <w:p w14:paraId="18FDD646">
      <w:pPr>
        <w:pStyle w:val="57"/>
        <w:shd w:val="clear"/>
        <w:rPr>
          <w:rFonts w:hint="eastAsia" w:ascii="仿宋" w:hAnsi="仿宋" w:eastAsia="仿宋" w:cs="仿宋"/>
          <w:bCs/>
          <w:color w:val="000000" w:themeColor="text1"/>
          <w:sz w:val="36"/>
          <w:szCs w:val="36"/>
          <w:highlight w:val="none"/>
          <w14:textFill>
            <w14:solidFill>
              <w14:schemeClr w14:val="tx1"/>
            </w14:solidFill>
          </w14:textFill>
        </w:rPr>
      </w:pPr>
    </w:p>
    <w:p w14:paraId="331EEB1E">
      <w:pPr>
        <w:pStyle w:val="57"/>
        <w:shd w:val="clear"/>
        <w:rPr>
          <w:rFonts w:hint="eastAsia" w:ascii="仿宋" w:hAnsi="仿宋" w:eastAsia="仿宋" w:cs="仿宋"/>
          <w:bCs/>
          <w:color w:val="000000" w:themeColor="text1"/>
          <w:sz w:val="36"/>
          <w:szCs w:val="36"/>
          <w:highlight w:val="none"/>
          <w14:textFill>
            <w14:solidFill>
              <w14:schemeClr w14:val="tx1"/>
            </w14:solidFill>
          </w14:textFill>
        </w:rPr>
      </w:pPr>
    </w:p>
    <w:p w14:paraId="58C366E7">
      <w:pPr>
        <w:pStyle w:val="57"/>
        <w:shd w:val="clear"/>
        <w:rPr>
          <w:rFonts w:hint="eastAsia" w:ascii="仿宋" w:hAnsi="仿宋" w:eastAsia="仿宋" w:cs="仿宋"/>
          <w:bCs/>
          <w:color w:val="000000" w:themeColor="text1"/>
          <w:sz w:val="36"/>
          <w:szCs w:val="36"/>
          <w:highlight w:val="none"/>
          <w14:textFill>
            <w14:solidFill>
              <w14:schemeClr w14:val="tx1"/>
            </w14:solidFill>
          </w14:textFill>
        </w:rPr>
      </w:pPr>
    </w:p>
    <w:p w14:paraId="7D3EEA18">
      <w:pPr>
        <w:pStyle w:val="57"/>
        <w:shd w:val="clear"/>
        <w:rPr>
          <w:rFonts w:hint="eastAsia" w:ascii="仿宋" w:hAnsi="仿宋" w:eastAsia="仿宋" w:cs="仿宋"/>
          <w:bCs/>
          <w:color w:val="000000" w:themeColor="text1"/>
          <w:sz w:val="36"/>
          <w:szCs w:val="36"/>
          <w:highlight w:val="none"/>
          <w14:textFill>
            <w14:solidFill>
              <w14:schemeClr w14:val="tx1"/>
            </w14:solidFill>
          </w14:textFill>
        </w:rPr>
      </w:pPr>
    </w:p>
    <w:p w14:paraId="1474AECC">
      <w:pPr>
        <w:pStyle w:val="21"/>
        <w:shd w:val="clear"/>
        <w:ind w:firstLine="1606" w:firstLineChars="500"/>
        <w:jc w:val="both"/>
        <w:outlineLvl w:val="0"/>
        <w:rPr>
          <w:rFonts w:hint="eastAsia" w:ascii="仿宋" w:hAnsi="仿宋" w:eastAsia="仿宋" w:cs="仿宋"/>
          <w:b/>
          <w:bCs w:val="0"/>
          <w:color w:val="000000" w:themeColor="text1"/>
          <w:kern w:val="2"/>
          <w:sz w:val="32"/>
          <w:szCs w:val="20"/>
          <w:highlight w:val="none"/>
          <w:lang w:val="en-US" w:eastAsia="zh-CN" w:bidi="ar-SA"/>
          <w14:textFill>
            <w14:solidFill>
              <w14:schemeClr w14:val="tx1"/>
            </w14:solidFill>
          </w14:textFill>
        </w:rPr>
      </w:pPr>
      <w:bookmarkStart w:id="553" w:name="_Toc19458"/>
      <w:bookmarkStart w:id="554" w:name="_Toc27263"/>
      <w:r>
        <w:rPr>
          <w:rFonts w:hint="eastAsia" w:ascii="仿宋" w:hAnsi="仿宋" w:eastAsia="仿宋" w:cs="仿宋"/>
          <w:b/>
          <w:bCs w:val="0"/>
          <w:color w:val="000000" w:themeColor="text1"/>
          <w:kern w:val="2"/>
          <w:sz w:val="32"/>
          <w:szCs w:val="20"/>
          <w:highlight w:val="none"/>
          <w:lang w:val="en-US" w:eastAsia="zh-CN" w:bidi="ar-SA"/>
          <w14:textFill>
            <w14:solidFill>
              <w14:schemeClr w14:val="tx1"/>
            </w14:solidFill>
          </w14:textFill>
        </w:rPr>
        <w:t>第6部分  投标人资格证明文件</w:t>
      </w:r>
      <w:bookmarkEnd w:id="553"/>
      <w:bookmarkEnd w:id="554"/>
    </w:p>
    <w:p w14:paraId="3F770E8E">
      <w:pPr>
        <w:shd w:val="clear"/>
        <w:rPr>
          <w:rFonts w:hint="eastAsia" w:ascii="仿宋" w:hAnsi="仿宋" w:eastAsia="仿宋" w:cs="仿宋"/>
          <w:color w:val="000000" w:themeColor="text1"/>
          <w:highlight w:val="none"/>
          <w14:textFill>
            <w14:solidFill>
              <w14:schemeClr w14:val="tx1"/>
            </w14:solidFill>
          </w14:textFill>
        </w:rPr>
      </w:pPr>
    </w:p>
    <w:p w14:paraId="3BF57D8C">
      <w:pPr>
        <w:pStyle w:val="21"/>
        <w:shd w:val="clear"/>
        <w:jc w:val="center"/>
        <w:outlineLvl w:val="1"/>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bookmarkStart w:id="555" w:name="_Toc6291"/>
      <w:bookmarkStart w:id="556" w:name="_Toc26424"/>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1.投标人基本情况表</w:t>
      </w:r>
      <w:bookmarkEnd w:id="555"/>
      <w:bookmarkEnd w:id="556"/>
    </w:p>
    <w:tbl>
      <w:tblPr>
        <w:tblStyle w:val="42"/>
        <w:tblW w:w="900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84"/>
        <w:gridCol w:w="1416"/>
        <w:gridCol w:w="208"/>
        <w:gridCol w:w="1068"/>
        <w:gridCol w:w="143"/>
        <w:gridCol w:w="1418"/>
        <w:gridCol w:w="140"/>
        <w:gridCol w:w="427"/>
        <w:gridCol w:w="814"/>
        <w:gridCol w:w="1382"/>
      </w:tblGrid>
      <w:tr w14:paraId="65EF65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1984" w:type="dxa"/>
            <w:vAlign w:val="center"/>
          </w:tcPr>
          <w:p w14:paraId="5EB51F84">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投标人名称</w:t>
            </w:r>
          </w:p>
        </w:tc>
        <w:tc>
          <w:tcPr>
            <w:tcW w:w="7016" w:type="dxa"/>
            <w:gridSpan w:val="9"/>
            <w:vAlign w:val="center"/>
          </w:tcPr>
          <w:p w14:paraId="5DF1CA5F">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r>
      <w:tr w14:paraId="7469D7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trPr>
        <w:tc>
          <w:tcPr>
            <w:tcW w:w="1984" w:type="dxa"/>
            <w:vAlign w:val="center"/>
          </w:tcPr>
          <w:p w14:paraId="3026C31A">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统一社会信用代码</w:t>
            </w:r>
          </w:p>
        </w:tc>
        <w:tc>
          <w:tcPr>
            <w:tcW w:w="1416" w:type="dxa"/>
            <w:vAlign w:val="center"/>
          </w:tcPr>
          <w:p w14:paraId="34146B4D">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1419" w:type="dxa"/>
            <w:gridSpan w:val="3"/>
            <w:vAlign w:val="center"/>
          </w:tcPr>
          <w:p w14:paraId="2EF6F792">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注册资金</w:t>
            </w:r>
          </w:p>
        </w:tc>
        <w:tc>
          <w:tcPr>
            <w:tcW w:w="1418" w:type="dxa"/>
            <w:vAlign w:val="center"/>
          </w:tcPr>
          <w:p w14:paraId="730BE46C">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381" w:type="dxa"/>
            <w:gridSpan w:val="3"/>
            <w:vAlign w:val="center"/>
          </w:tcPr>
          <w:p w14:paraId="5B44CB04">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成立时间</w:t>
            </w:r>
          </w:p>
        </w:tc>
        <w:tc>
          <w:tcPr>
            <w:tcW w:w="1382" w:type="dxa"/>
            <w:vAlign w:val="center"/>
          </w:tcPr>
          <w:p w14:paraId="2DC112D8">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r>
      <w:tr w14:paraId="5707AD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984" w:type="dxa"/>
            <w:vAlign w:val="center"/>
          </w:tcPr>
          <w:p w14:paraId="2CD91297">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注册地址</w:t>
            </w:r>
          </w:p>
        </w:tc>
        <w:tc>
          <w:tcPr>
            <w:tcW w:w="4253" w:type="dxa"/>
            <w:gridSpan w:val="5"/>
            <w:vAlign w:val="center"/>
          </w:tcPr>
          <w:p w14:paraId="28E596AD">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1381" w:type="dxa"/>
            <w:gridSpan w:val="3"/>
            <w:vAlign w:val="center"/>
          </w:tcPr>
          <w:p w14:paraId="0C1D29E6">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资产总额</w:t>
            </w:r>
          </w:p>
        </w:tc>
        <w:tc>
          <w:tcPr>
            <w:tcW w:w="1382" w:type="dxa"/>
            <w:vAlign w:val="center"/>
          </w:tcPr>
          <w:p w14:paraId="3E2463FF">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r>
      <w:tr w14:paraId="74ADB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Align w:val="center"/>
          </w:tcPr>
          <w:p w14:paraId="538519C0">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上年营业额</w:t>
            </w:r>
          </w:p>
        </w:tc>
        <w:tc>
          <w:tcPr>
            <w:tcW w:w="1416" w:type="dxa"/>
            <w:vAlign w:val="center"/>
          </w:tcPr>
          <w:p w14:paraId="2CE43696">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419" w:type="dxa"/>
            <w:gridSpan w:val="3"/>
            <w:vAlign w:val="center"/>
          </w:tcPr>
          <w:p w14:paraId="28B7FB2A">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员工总人数</w:t>
            </w:r>
          </w:p>
        </w:tc>
        <w:tc>
          <w:tcPr>
            <w:tcW w:w="1418" w:type="dxa"/>
            <w:vAlign w:val="center"/>
          </w:tcPr>
          <w:p w14:paraId="763FE1A1">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381" w:type="dxa"/>
            <w:gridSpan w:val="3"/>
            <w:vAlign w:val="center"/>
          </w:tcPr>
          <w:p w14:paraId="317FDC78">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企业类型</w:t>
            </w:r>
          </w:p>
        </w:tc>
        <w:tc>
          <w:tcPr>
            <w:tcW w:w="1382" w:type="dxa"/>
            <w:vAlign w:val="center"/>
          </w:tcPr>
          <w:p w14:paraId="185D555B">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r>
      <w:tr w14:paraId="303628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restart"/>
            <w:vAlign w:val="center"/>
          </w:tcPr>
          <w:p w14:paraId="3EDC51AB">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法定代表人</w:t>
            </w:r>
          </w:p>
          <w:p w14:paraId="28B93CD9">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（单位负责人）</w:t>
            </w:r>
          </w:p>
        </w:tc>
        <w:tc>
          <w:tcPr>
            <w:tcW w:w="1416" w:type="dxa"/>
            <w:vMerge w:val="restart"/>
            <w:vAlign w:val="center"/>
          </w:tcPr>
          <w:p w14:paraId="6B4C2534">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姓名</w:t>
            </w:r>
          </w:p>
        </w:tc>
        <w:tc>
          <w:tcPr>
            <w:tcW w:w="1419" w:type="dxa"/>
            <w:gridSpan w:val="3"/>
            <w:vMerge w:val="restart"/>
            <w:vAlign w:val="center"/>
          </w:tcPr>
          <w:p w14:paraId="2F894448">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418" w:type="dxa"/>
            <w:vMerge w:val="restart"/>
            <w:vAlign w:val="center"/>
          </w:tcPr>
          <w:p w14:paraId="1CF33F61">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电话</w:t>
            </w:r>
          </w:p>
        </w:tc>
        <w:tc>
          <w:tcPr>
            <w:tcW w:w="1381" w:type="dxa"/>
            <w:gridSpan w:val="3"/>
            <w:vAlign w:val="center"/>
          </w:tcPr>
          <w:p w14:paraId="0CCAABCC">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手机</w:t>
            </w:r>
          </w:p>
        </w:tc>
        <w:tc>
          <w:tcPr>
            <w:tcW w:w="1382" w:type="dxa"/>
            <w:vAlign w:val="center"/>
          </w:tcPr>
          <w:p w14:paraId="6800F3EA">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r>
      <w:tr w14:paraId="30CD82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continue"/>
            <w:vAlign w:val="center"/>
          </w:tcPr>
          <w:p w14:paraId="2362C342">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416" w:type="dxa"/>
            <w:vMerge w:val="continue"/>
            <w:vAlign w:val="center"/>
          </w:tcPr>
          <w:p w14:paraId="11720DAC">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419" w:type="dxa"/>
            <w:gridSpan w:val="3"/>
            <w:vMerge w:val="continue"/>
            <w:vAlign w:val="center"/>
          </w:tcPr>
          <w:p w14:paraId="0E1A914E">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418" w:type="dxa"/>
            <w:vMerge w:val="continue"/>
            <w:vAlign w:val="center"/>
          </w:tcPr>
          <w:p w14:paraId="147C8EED">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381" w:type="dxa"/>
            <w:gridSpan w:val="3"/>
            <w:vAlign w:val="center"/>
          </w:tcPr>
          <w:p w14:paraId="4EF3B729">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办公</w:t>
            </w:r>
          </w:p>
        </w:tc>
        <w:tc>
          <w:tcPr>
            <w:tcW w:w="1382" w:type="dxa"/>
            <w:vAlign w:val="center"/>
          </w:tcPr>
          <w:p w14:paraId="0AA62309">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r>
      <w:tr w14:paraId="3EF4B2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restart"/>
            <w:vAlign w:val="center"/>
          </w:tcPr>
          <w:p w14:paraId="7B598EB7">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联系方式</w:t>
            </w:r>
          </w:p>
        </w:tc>
        <w:tc>
          <w:tcPr>
            <w:tcW w:w="1416" w:type="dxa"/>
            <w:vMerge w:val="restart"/>
            <w:vAlign w:val="center"/>
          </w:tcPr>
          <w:p w14:paraId="3537C1AC">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联系人</w:t>
            </w:r>
          </w:p>
        </w:tc>
        <w:tc>
          <w:tcPr>
            <w:tcW w:w="1419" w:type="dxa"/>
            <w:gridSpan w:val="3"/>
            <w:vMerge w:val="restart"/>
            <w:vAlign w:val="center"/>
          </w:tcPr>
          <w:p w14:paraId="337B2449">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418" w:type="dxa"/>
            <w:vAlign w:val="center"/>
          </w:tcPr>
          <w:p w14:paraId="79EC30A2">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电话</w:t>
            </w:r>
          </w:p>
        </w:tc>
        <w:tc>
          <w:tcPr>
            <w:tcW w:w="2763" w:type="dxa"/>
            <w:gridSpan w:val="4"/>
            <w:vAlign w:val="center"/>
          </w:tcPr>
          <w:p w14:paraId="439B5ED0">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r>
      <w:tr w14:paraId="08EEC7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continue"/>
            <w:vAlign w:val="center"/>
          </w:tcPr>
          <w:p w14:paraId="35685C7D">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416" w:type="dxa"/>
            <w:vMerge w:val="continue"/>
            <w:vAlign w:val="center"/>
          </w:tcPr>
          <w:p w14:paraId="367C926F">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419" w:type="dxa"/>
            <w:gridSpan w:val="3"/>
            <w:vMerge w:val="continue"/>
            <w:vAlign w:val="center"/>
          </w:tcPr>
          <w:p w14:paraId="62696E35">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418" w:type="dxa"/>
            <w:vAlign w:val="center"/>
          </w:tcPr>
          <w:p w14:paraId="68A82B4C">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邮箱</w:t>
            </w:r>
          </w:p>
        </w:tc>
        <w:tc>
          <w:tcPr>
            <w:tcW w:w="2763" w:type="dxa"/>
            <w:gridSpan w:val="4"/>
            <w:vAlign w:val="center"/>
          </w:tcPr>
          <w:p w14:paraId="016C8A24">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r>
      <w:tr w14:paraId="245AC3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Align w:val="center"/>
          </w:tcPr>
          <w:p w14:paraId="74F26E05">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基本账户开户银行</w:t>
            </w:r>
          </w:p>
        </w:tc>
        <w:tc>
          <w:tcPr>
            <w:tcW w:w="2835" w:type="dxa"/>
            <w:gridSpan w:val="4"/>
            <w:vAlign w:val="center"/>
          </w:tcPr>
          <w:p w14:paraId="538FEB65">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1985" w:type="dxa"/>
            <w:gridSpan w:val="3"/>
            <w:vAlign w:val="center"/>
          </w:tcPr>
          <w:p w14:paraId="1AF5D213">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基本账户银行账号</w:t>
            </w:r>
          </w:p>
        </w:tc>
        <w:tc>
          <w:tcPr>
            <w:tcW w:w="2196" w:type="dxa"/>
            <w:gridSpan w:val="2"/>
            <w:vAlign w:val="center"/>
          </w:tcPr>
          <w:p w14:paraId="6613E3C7">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r>
      <w:tr w14:paraId="76498C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88" w:hRule="atLeast"/>
        </w:trPr>
        <w:tc>
          <w:tcPr>
            <w:tcW w:w="1984" w:type="dxa"/>
            <w:vAlign w:val="center"/>
          </w:tcPr>
          <w:p w14:paraId="03ACC360">
            <w:pPr>
              <w:shd w:val="clear"/>
              <w:topLinePunct/>
              <w:spacing w:line="36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投标人关联企业情况（包括但不限于与投标人法定代表人为同一人或者存在控股、管理关系的不同单位）</w:t>
            </w:r>
          </w:p>
        </w:tc>
        <w:tc>
          <w:tcPr>
            <w:tcW w:w="7016" w:type="dxa"/>
            <w:gridSpan w:val="9"/>
            <w:vAlign w:val="center"/>
          </w:tcPr>
          <w:p w14:paraId="274209C5">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r>
      <w:tr w14:paraId="61EB4D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9" w:hRule="atLeast"/>
        </w:trPr>
        <w:tc>
          <w:tcPr>
            <w:tcW w:w="3608" w:type="dxa"/>
            <w:gridSpan w:val="3"/>
            <w:vAlign w:val="center"/>
          </w:tcPr>
          <w:p w14:paraId="0861B1B9">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投标人应具备的资质证书</w:t>
            </w:r>
          </w:p>
        </w:tc>
        <w:tc>
          <w:tcPr>
            <w:tcW w:w="1068" w:type="dxa"/>
            <w:vAlign w:val="center"/>
          </w:tcPr>
          <w:p w14:paraId="04A425AD">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等级</w:t>
            </w:r>
          </w:p>
        </w:tc>
        <w:tc>
          <w:tcPr>
            <w:tcW w:w="1701" w:type="dxa"/>
            <w:gridSpan w:val="3"/>
            <w:vAlign w:val="center"/>
          </w:tcPr>
          <w:p w14:paraId="0EB4F4C6">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类型</w:t>
            </w:r>
          </w:p>
        </w:tc>
        <w:tc>
          <w:tcPr>
            <w:tcW w:w="2623" w:type="dxa"/>
            <w:gridSpan w:val="3"/>
            <w:vAlign w:val="center"/>
          </w:tcPr>
          <w:p w14:paraId="7B7BDCA7">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证书号</w:t>
            </w:r>
          </w:p>
        </w:tc>
      </w:tr>
      <w:tr w14:paraId="2B36C6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4" w:hRule="atLeast"/>
        </w:trPr>
        <w:tc>
          <w:tcPr>
            <w:tcW w:w="3608" w:type="dxa"/>
            <w:gridSpan w:val="3"/>
            <w:vAlign w:val="center"/>
          </w:tcPr>
          <w:p w14:paraId="611227B2">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068" w:type="dxa"/>
            <w:vAlign w:val="center"/>
          </w:tcPr>
          <w:p w14:paraId="3DEE1662">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701" w:type="dxa"/>
            <w:gridSpan w:val="3"/>
            <w:vAlign w:val="center"/>
          </w:tcPr>
          <w:p w14:paraId="1589EEFE">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2623" w:type="dxa"/>
            <w:gridSpan w:val="3"/>
            <w:vAlign w:val="center"/>
          </w:tcPr>
          <w:p w14:paraId="458CB53F">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r>
      <w:tr w14:paraId="3B0AF2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4" w:hRule="atLeast"/>
        </w:trPr>
        <w:tc>
          <w:tcPr>
            <w:tcW w:w="3608" w:type="dxa"/>
            <w:gridSpan w:val="3"/>
            <w:vAlign w:val="center"/>
          </w:tcPr>
          <w:p w14:paraId="4C6A8DB5">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068" w:type="dxa"/>
            <w:vAlign w:val="center"/>
          </w:tcPr>
          <w:p w14:paraId="78E48335">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701" w:type="dxa"/>
            <w:gridSpan w:val="3"/>
            <w:vAlign w:val="center"/>
          </w:tcPr>
          <w:p w14:paraId="58958800">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2623" w:type="dxa"/>
            <w:gridSpan w:val="3"/>
            <w:vAlign w:val="center"/>
          </w:tcPr>
          <w:p w14:paraId="46C5C9A1">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r>
      <w:tr w14:paraId="44F570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8" w:hRule="atLeast"/>
        </w:trPr>
        <w:tc>
          <w:tcPr>
            <w:tcW w:w="3608" w:type="dxa"/>
            <w:gridSpan w:val="3"/>
            <w:vAlign w:val="center"/>
          </w:tcPr>
          <w:p w14:paraId="63916527">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068" w:type="dxa"/>
            <w:vAlign w:val="center"/>
          </w:tcPr>
          <w:p w14:paraId="712EA037">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701" w:type="dxa"/>
            <w:gridSpan w:val="3"/>
            <w:vAlign w:val="center"/>
          </w:tcPr>
          <w:p w14:paraId="70D7CB45">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2623" w:type="dxa"/>
            <w:gridSpan w:val="3"/>
            <w:vAlign w:val="center"/>
          </w:tcPr>
          <w:p w14:paraId="293099A6">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r>
      <w:tr w14:paraId="668F4B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6" w:hRule="atLeast"/>
        </w:trPr>
        <w:tc>
          <w:tcPr>
            <w:tcW w:w="3608" w:type="dxa"/>
            <w:gridSpan w:val="3"/>
            <w:vAlign w:val="center"/>
          </w:tcPr>
          <w:p w14:paraId="7334B770">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投标产品制造商名称</w:t>
            </w:r>
          </w:p>
        </w:tc>
        <w:tc>
          <w:tcPr>
            <w:tcW w:w="5392" w:type="dxa"/>
            <w:gridSpan w:val="7"/>
            <w:vAlign w:val="center"/>
          </w:tcPr>
          <w:p w14:paraId="77B4167F">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r>
      <w:tr w14:paraId="71A75F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2" w:hRule="atLeast"/>
        </w:trPr>
        <w:tc>
          <w:tcPr>
            <w:tcW w:w="3608" w:type="dxa"/>
            <w:gridSpan w:val="3"/>
            <w:vAlign w:val="center"/>
          </w:tcPr>
          <w:p w14:paraId="08AD699C">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投标产品制造商应具备的资质证书</w:t>
            </w:r>
          </w:p>
        </w:tc>
        <w:tc>
          <w:tcPr>
            <w:tcW w:w="1068" w:type="dxa"/>
            <w:vAlign w:val="center"/>
          </w:tcPr>
          <w:p w14:paraId="20BE1A17">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等级</w:t>
            </w:r>
          </w:p>
        </w:tc>
        <w:tc>
          <w:tcPr>
            <w:tcW w:w="1701" w:type="dxa"/>
            <w:gridSpan w:val="3"/>
            <w:vAlign w:val="center"/>
          </w:tcPr>
          <w:p w14:paraId="01518391">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类型</w:t>
            </w:r>
          </w:p>
        </w:tc>
        <w:tc>
          <w:tcPr>
            <w:tcW w:w="2623" w:type="dxa"/>
            <w:gridSpan w:val="3"/>
            <w:vAlign w:val="center"/>
          </w:tcPr>
          <w:p w14:paraId="56470D63">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证书号</w:t>
            </w:r>
          </w:p>
        </w:tc>
      </w:tr>
      <w:tr w14:paraId="0D1E35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2" w:hRule="atLeast"/>
        </w:trPr>
        <w:tc>
          <w:tcPr>
            <w:tcW w:w="3608" w:type="dxa"/>
            <w:gridSpan w:val="3"/>
            <w:vAlign w:val="center"/>
          </w:tcPr>
          <w:p w14:paraId="0678BE0F">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068" w:type="dxa"/>
            <w:vAlign w:val="center"/>
          </w:tcPr>
          <w:p w14:paraId="54BCCE0B">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701" w:type="dxa"/>
            <w:gridSpan w:val="3"/>
            <w:vAlign w:val="center"/>
          </w:tcPr>
          <w:p w14:paraId="27425D23">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2623" w:type="dxa"/>
            <w:gridSpan w:val="3"/>
            <w:vAlign w:val="center"/>
          </w:tcPr>
          <w:p w14:paraId="4A71924D">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r>
      <w:tr w14:paraId="45528B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3608" w:type="dxa"/>
            <w:gridSpan w:val="3"/>
            <w:vAlign w:val="center"/>
          </w:tcPr>
          <w:p w14:paraId="167DA8D7">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068" w:type="dxa"/>
            <w:vAlign w:val="center"/>
          </w:tcPr>
          <w:p w14:paraId="1F9EF5E8">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701" w:type="dxa"/>
            <w:gridSpan w:val="3"/>
            <w:vAlign w:val="center"/>
          </w:tcPr>
          <w:p w14:paraId="7E4F13E8">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2623" w:type="dxa"/>
            <w:gridSpan w:val="3"/>
            <w:vAlign w:val="center"/>
          </w:tcPr>
          <w:p w14:paraId="25D15AB4">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r>
      <w:tr w14:paraId="6EAF95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4" w:hRule="atLeast"/>
        </w:trPr>
        <w:tc>
          <w:tcPr>
            <w:tcW w:w="3608" w:type="dxa"/>
            <w:gridSpan w:val="3"/>
            <w:vAlign w:val="center"/>
          </w:tcPr>
          <w:p w14:paraId="086E5BDB">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068" w:type="dxa"/>
            <w:vAlign w:val="center"/>
          </w:tcPr>
          <w:p w14:paraId="27014AA3">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701" w:type="dxa"/>
            <w:gridSpan w:val="3"/>
            <w:vAlign w:val="center"/>
          </w:tcPr>
          <w:p w14:paraId="0F45B2BB">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2623" w:type="dxa"/>
            <w:gridSpan w:val="3"/>
            <w:vAlign w:val="center"/>
          </w:tcPr>
          <w:p w14:paraId="3B730D26">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r>
    </w:tbl>
    <w:p w14:paraId="2453F46F">
      <w:pPr>
        <w:shd w:val="clear"/>
        <w:adjustRightInd w:val="0"/>
        <w:snapToGrid w:val="0"/>
        <w:spacing w:beforeLines="50"/>
        <w:ind w:left="630" w:hanging="630" w:hangingChars="3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说明：企业类型指大型、中型、小型、微型；上年营业收入、资产总额应与财务报表中的数据一致， 金额单位为万元。</w:t>
      </w:r>
    </w:p>
    <w:p w14:paraId="2F4C805C">
      <w:pPr>
        <w:pStyle w:val="21"/>
        <w:shd w:val="clear"/>
        <w:spacing w:line="360" w:lineRule="auto"/>
        <w:jc w:val="left"/>
        <w:rPr>
          <w:rFonts w:hint="eastAsia" w:ascii="仿宋" w:hAnsi="仿宋" w:eastAsia="仿宋" w:cs="仿宋"/>
          <w:b/>
          <w:color w:val="000000" w:themeColor="text1"/>
          <w:szCs w:val="21"/>
          <w:highlight w:val="none"/>
          <w14:textFill>
            <w14:solidFill>
              <w14:schemeClr w14:val="tx1"/>
            </w14:solidFill>
          </w14:textFill>
        </w:rPr>
      </w:pPr>
    </w:p>
    <w:p w14:paraId="48838AFE">
      <w:pPr>
        <w:pStyle w:val="21"/>
        <w:shd w:val="clear"/>
        <w:spacing w:line="360" w:lineRule="auto"/>
        <w:jc w:val="left"/>
        <w:rPr>
          <w:rFonts w:hint="eastAsia" w:ascii="仿宋" w:hAnsi="仿宋" w:eastAsia="仿宋" w:cs="仿宋"/>
          <w:b/>
          <w:color w:val="000000" w:themeColor="text1"/>
          <w:szCs w:val="21"/>
          <w:highlight w:val="none"/>
          <w14:textFill>
            <w14:solidFill>
              <w14:schemeClr w14:val="tx1"/>
            </w14:solidFill>
          </w14:textFill>
        </w:rPr>
      </w:pPr>
    </w:p>
    <w:p w14:paraId="759851F0">
      <w:pPr>
        <w:shd w:val="clear"/>
        <w:adjustRightInd w:val="0"/>
        <w:snapToGrid w:val="0"/>
        <w:spacing w:line="360" w:lineRule="auto"/>
        <w:ind w:firstLine="1687" w:firstLineChars="700"/>
        <w:jc w:val="both"/>
        <w:outlineLvl w:val="1"/>
        <w:rPr>
          <w:rFonts w:hint="eastAsia" w:ascii="仿宋" w:hAnsi="仿宋" w:eastAsia="仿宋" w:cs="仿宋"/>
          <w:b/>
          <w:bCs/>
          <w:color w:val="000000" w:themeColor="text1"/>
          <w:sz w:val="24"/>
          <w:szCs w:val="24"/>
          <w:highlight w:val="none"/>
          <w14:textFill>
            <w14:solidFill>
              <w14:schemeClr w14:val="tx1"/>
            </w14:solidFill>
          </w14:textFill>
        </w:rPr>
      </w:pPr>
      <w:bookmarkStart w:id="557" w:name="_Toc23020"/>
    </w:p>
    <w:p w14:paraId="09472FC3">
      <w:pPr>
        <w:shd w:val="clear"/>
        <w:adjustRightInd w:val="0"/>
        <w:snapToGrid w:val="0"/>
        <w:spacing w:line="360" w:lineRule="auto"/>
        <w:ind w:firstLine="1687" w:firstLineChars="700"/>
        <w:jc w:val="both"/>
        <w:outlineLvl w:val="1"/>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2.法定代表人（单位负责人）身份证明</w:t>
      </w:r>
      <w:bookmarkEnd w:id="557"/>
    </w:p>
    <w:p w14:paraId="06CAC2E8">
      <w:pPr>
        <w:shd w:val="clear"/>
        <w:snapToGrid w:val="0"/>
        <w:spacing w:line="480" w:lineRule="auto"/>
        <w:rPr>
          <w:rFonts w:hint="eastAsia" w:ascii="仿宋" w:hAnsi="仿宋" w:eastAsia="仿宋" w:cs="仿宋"/>
          <w:color w:val="000000" w:themeColor="text1"/>
          <w:szCs w:val="21"/>
          <w:highlight w:val="none"/>
          <w14:textFill>
            <w14:solidFill>
              <w14:schemeClr w14:val="tx1"/>
            </w14:solidFill>
          </w14:textFill>
        </w:rPr>
      </w:pPr>
    </w:p>
    <w:p w14:paraId="6DE74EB8">
      <w:pPr>
        <w:shd w:val="clear"/>
        <w:autoSpaceDE w:val="0"/>
        <w:autoSpaceDN w:val="0"/>
        <w:adjustRightInd w:val="0"/>
        <w:snapToGrid w:val="0"/>
        <w:spacing w:beforeLines="50" w:line="360" w:lineRule="auto"/>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投标人</w:t>
      </w:r>
      <w:r>
        <w:rPr>
          <w:rFonts w:hint="eastAsia" w:ascii="仿宋" w:hAnsi="仿宋" w:eastAsia="仿宋" w:cs="仿宋"/>
          <w:color w:val="000000" w:themeColor="text1"/>
          <w:kern w:val="0"/>
          <w:szCs w:val="21"/>
          <w:highlight w:val="none"/>
          <w14:textFill>
            <w14:solidFill>
              <w14:schemeClr w14:val="tx1"/>
            </w14:solidFill>
          </w14:textFill>
        </w:rPr>
        <w:t>名称：</w:t>
      </w:r>
      <w:r>
        <w:rPr>
          <w:rFonts w:hint="eastAsia" w:ascii="仿宋" w:hAnsi="仿宋" w:eastAsia="仿宋" w:cs="仿宋"/>
          <w:color w:val="000000" w:themeColor="text1"/>
          <w:kern w:val="0"/>
          <w:szCs w:val="21"/>
          <w:highlight w:val="none"/>
          <w:u w:val="single"/>
          <w14:textFill>
            <w14:solidFill>
              <w14:schemeClr w14:val="tx1"/>
            </w14:solidFill>
          </w14:textFill>
        </w:rPr>
        <w:t xml:space="preserve"> </w:t>
      </w:r>
      <w:r>
        <w:rPr>
          <w:rFonts w:hint="eastAsia" w:ascii="仿宋" w:hAnsi="仿宋" w:eastAsia="仿宋" w:cs="仿宋"/>
          <w:color w:val="000000" w:themeColor="text1"/>
          <w:kern w:val="0"/>
          <w:szCs w:val="21"/>
          <w:highlight w:val="none"/>
          <w:u w:val="single"/>
          <w:lang w:val="en-US" w:eastAsia="zh-CN"/>
          <w14:textFill>
            <w14:solidFill>
              <w14:schemeClr w14:val="tx1"/>
            </w14:solidFill>
          </w14:textFill>
        </w:rPr>
        <w:t xml:space="preserve">                          </w:t>
      </w:r>
    </w:p>
    <w:p w14:paraId="2E6DD459">
      <w:pPr>
        <w:shd w:val="clear"/>
        <w:autoSpaceDE w:val="0"/>
        <w:autoSpaceDN w:val="0"/>
        <w:adjustRightInd w:val="0"/>
        <w:snapToGrid w:val="0"/>
        <w:spacing w:beforeLines="50" w:line="360" w:lineRule="auto"/>
        <w:jc w:val="left"/>
        <w:rPr>
          <w:rFonts w:hint="eastAsia" w:ascii="仿宋" w:hAnsi="仿宋" w:eastAsia="仿宋" w:cs="仿宋"/>
          <w:color w:val="000000" w:themeColor="text1"/>
          <w:kern w:val="0"/>
          <w:szCs w:val="21"/>
          <w:highlight w:val="none"/>
          <w:lang w:val="en-US"/>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统一社会信用代码：</w:t>
      </w:r>
      <w:r>
        <w:rPr>
          <w:rFonts w:hint="eastAsia" w:ascii="仿宋" w:hAnsi="仿宋" w:eastAsia="仿宋" w:cs="仿宋"/>
          <w:color w:val="000000" w:themeColor="text1"/>
          <w:kern w:val="0"/>
          <w:szCs w:val="21"/>
          <w:highlight w:val="none"/>
          <w:u w:val="single"/>
          <w14:textFill>
            <w14:solidFill>
              <w14:schemeClr w14:val="tx1"/>
            </w14:solidFill>
          </w14:textFill>
        </w:rPr>
        <w:t xml:space="preserve"> </w:t>
      </w:r>
      <w:r>
        <w:rPr>
          <w:rFonts w:hint="eastAsia" w:ascii="仿宋" w:hAnsi="仿宋" w:eastAsia="仿宋" w:cs="仿宋"/>
          <w:color w:val="000000" w:themeColor="text1"/>
          <w:kern w:val="0"/>
          <w:szCs w:val="21"/>
          <w:highlight w:val="none"/>
          <w:u w:val="single"/>
          <w:lang w:val="en-US" w:eastAsia="zh-CN"/>
          <w14:textFill>
            <w14:solidFill>
              <w14:schemeClr w14:val="tx1"/>
            </w14:solidFill>
          </w14:textFill>
        </w:rPr>
        <w:t xml:space="preserve">                    </w:t>
      </w:r>
    </w:p>
    <w:p w14:paraId="05610A0B">
      <w:pPr>
        <w:shd w:val="clear"/>
        <w:autoSpaceDE w:val="0"/>
        <w:autoSpaceDN w:val="0"/>
        <w:adjustRightInd w:val="0"/>
        <w:snapToGrid w:val="0"/>
        <w:spacing w:beforeLines="50" w:line="360" w:lineRule="auto"/>
        <w:jc w:val="left"/>
        <w:rPr>
          <w:rFonts w:hint="eastAsia" w:ascii="仿宋" w:hAnsi="仿宋" w:eastAsia="仿宋" w:cs="仿宋"/>
          <w:color w:val="000000" w:themeColor="text1"/>
          <w:kern w:val="0"/>
          <w:szCs w:val="21"/>
          <w:highlight w:val="none"/>
          <w:lang w:val="en-US"/>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姓名：</w:t>
      </w:r>
      <w:r>
        <w:rPr>
          <w:rFonts w:hint="eastAsia" w:ascii="仿宋" w:hAnsi="仿宋" w:eastAsia="仿宋" w:cs="仿宋"/>
          <w:color w:val="000000" w:themeColor="text1"/>
          <w:kern w:val="0"/>
          <w:szCs w:val="21"/>
          <w:highlight w:val="none"/>
          <w:u w:val="single"/>
          <w14:textFill>
            <w14:solidFill>
              <w14:schemeClr w14:val="tx1"/>
            </w14:solidFill>
          </w14:textFill>
        </w:rPr>
        <w:t xml:space="preserve"> </w:t>
      </w:r>
      <w:r>
        <w:rPr>
          <w:rFonts w:hint="eastAsia" w:ascii="仿宋" w:hAnsi="仿宋" w:eastAsia="仿宋" w:cs="仿宋"/>
          <w:color w:val="000000" w:themeColor="text1"/>
          <w:kern w:val="0"/>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性别：</w:t>
      </w:r>
      <w:r>
        <w:rPr>
          <w:rFonts w:hint="eastAsia" w:ascii="仿宋" w:hAnsi="仿宋" w:eastAsia="仿宋" w:cs="仿宋"/>
          <w:color w:val="000000" w:themeColor="text1"/>
          <w:kern w:val="0"/>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年龄：</w:t>
      </w:r>
      <w:r>
        <w:rPr>
          <w:rFonts w:hint="eastAsia" w:ascii="仿宋" w:hAnsi="仿宋" w:eastAsia="仿宋" w:cs="仿宋"/>
          <w:color w:val="000000" w:themeColor="text1"/>
          <w:kern w:val="0"/>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 xml:space="preserve"> 职务：</w:t>
      </w:r>
      <w:r>
        <w:rPr>
          <w:rFonts w:hint="eastAsia" w:ascii="仿宋" w:hAnsi="仿宋" w:eastAsia="仿宋" w:cs="仿宋"/>
          <w:color w:val="000000" w:themeColor="text1"/>
          <w:kern w:val="0"/>
          <w:szCs w:val="21"/>
          <w:highlight w:val="none"/>
          <w:u w:val="single"/>
          <w:lang w:val="en-US" w:eastAsia="zh-CN"/>
          <w14:textFill>
            <w14:solidFill>
              <w14:schemeClr w14:val="tx1"/>
            </w14:solidFill>
          </w14:textFill>
        </w:rPr>
        <w:t xml:space="preserve">        </w:t>
      </w:r>
    </w:p>
    <w:p w14:paraId="64BD2860">
      <w:pPr>
        <w:shd w:val="clear"/>
        <w:autoSpaceDE w:val="0"/>
        <w:autoSpaceDN w:val="0"/>
        <w:adjustRightInd w:val="0"/>
        <w:snapToGrid w:val="0"/>
        <w:spacing w:beforeLines="50" w:line="360" w:lineRule="auto"/>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系（投标</w:t>
      </w:r>
      <w:r>
        <w:rPr>
          <w:rFonts w:hint="eastAsia" w:ascii="仿宋" w:hAnsi="仿宋" w:eastAsia="仿宋" w:cs="仿宋"/>
          <w:color w:val="000000" w:themeColor="text1"/>
          <w:szCs w:val="21"/>
          <w:highlight w:val="none"/>
          <w14:textFill>
            <w14:solidFill>
              <w14:schemeClr w14:val="tx1"/>
            </w14:solidFill>
          </w14:textFill>
        </w:rPr>
        <w:t>人</w:t>
      </w:r>
      <w:r>
        <w:rPr>
          <w:rFonts w:hint="eastAsia" w:ascii="仿宋" w:hAnsi="仿宋" w:eastAsia="仿宋" w:cs="仿宋"/>
          <w:color w:val="000000" w:themeColor="text1"/>
          <w:kern w:val="0"/>
          <w:szCs w:val="21"/>
          <w:highlight w:val="none"/>
          <w14:textFill>
            <w14:solidFill>
              <w14:schemeClr w14:val="tx1"/>
            </w14:solidFill>
          </w14:textFill>
        </w:rPr>
        <w:t>名称）的法定代表人（单位负责人）。</w:t>
      </w:r>
    </w:p>
    <w:p w14:paraId="67F039D8">
      <w:pPr>
        <w:shd w:val="clear"/>
        <w:autoSpaceDE w:val="0"/>
        <w:autoSpaceDN w:val="0"/>
        <w:adjustRightInd w:val="0"/>
        <w:snapToGrid w:val="0"/>
        <w:spacing w:beforeLines="50" w:line="360" w:lineRule="auto"/>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特此证明。</w:t>
      </w:r>
    </w:p>
    <w:p w14:paraId="422A5470">
      <w:pPr>
        <w:shd w:val="clear"/>
        <w:autoSpaceDE w:val="0"/>
        <w:autoSpaceDN w:val="0"/>
        <w:adjustRightInd w:val="0"/>
        <w:snapToGrid w:val="0"/>
        <w:spacing w:beforeLines="50" w:line="360" w:lineRule="auto"/>
        <w:jc w:val="left"/>
        <w:rPr>
          <w:rFonts w:hint="eastAsia" w:ascii="仿宋" w:hAnsi="仿宋" w:eastAsia="仿宋" w:cs="仿宋"/>
          <w:color w:val="000000" w:themeColor="text1"/>
          <w:szCs w:val="21"/>
          <w:highlight w:val="none"/>
          <w14:textFill>
            <w14:solidFill>
              <w14:schemeClr w14:val="tx1"/>
            </w14:solidFill>
          </w14:textFill>
        </w:rPr>
      </w:pPr>
    </w:p>
    <w:p w14:paraId="503B8EDB">
      <w:pPr>
        <w:shd w:val="clear"/>
        <w:autoSpaceDE w:val="0"/>
        <w:autoSpaceDN w:val="0"/>
        <w:adjustRightInd w:val="0"/>
        <w:snapToGrid w:val="0"/>
        <w:spacing w:beforeLines="50" w:line="360" w:lineRule="auto"/>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附：法定代表人（单位负责人）身份证复印件</w:t>
      </w:r>
    </w:p>
    <w:tbl>
      <w:tblPr>
        <w:tblStyle w:val="42"/>
        <w:tblpPr w:leftFromText="180" w:rightFromText="180" w:vertAnchor="text" w:horzAnchor="margin" w:tblpXSpec="center" w:tblpY="104"/>
        <w:tblW w:w="5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41074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vAlign w:val="center"/>
          </w:tcPr>
          <w:p w14:paraId="5050FC35">
            <w:pPr>
              <w:shd w:val="clear"/>
              <w:snapToGrid w:val="0"/>
              <w:spacing w:line="480" w:lineRule="auto"/>
              <w:jc w:val="center"/>
              <w:rPr>
                <w:rFonts w:hint="eastAsia" w:ascii="仿宋" w:hAnsi="仿宋" w:eastAsia="仿宋" w:cs="仿宋"/>
                <w:color w:val="000000" w:themeColor="text1"/>
                <w:szCs w:val="21"/>
                <w:highlight w:val="none"/>
                <w14:textFill>
                  <w14:solidFill>
                    <w14:schemeClr w14:val="tx1"/>
                  </w14:solidFill>
                </w14:textFill>
              </w:rPr>
            </w:pPr>
          </w:p>
          <w:p w14:paraId="06B75AA6">
            <w:pPr>
              <w:shd w:val="clear"/>
              <w:snapToGrid w:val="0"/>
              <w:spacing w:line="480" w:lineRule="auto"/>
              <w:jc w:val="center"/>
              <w:rPr>
                <w:rFonts w:hint="eastAsia" w:ascii="仿宋" w:hAnsi="仿宋" w:eastAsia="仿宋" w:cs="仿宋"/>
                <w:color w:val="000000" w:themeColor="text1"/>
                <w:szCs w:val="21"/>
                <w:highlight w:val="none"/>
                <w14:textFill>
                  <w14:solidFill>
                    <w14:schemeClr w14:val="tx1"/>
                  </w14:solidFill>
                </w14:textFill>
              </w:rPr>
            </w:pPr>
          </w:p>
          <w:p w14:paraId="1B26FD35">
            <w:pPr>
              <w:shd w:val="clear"/>
              <w:autoSpaceDE w:val="0"/>
              <w:autoSpaceDN w:val="0"/>
              <w:adjustRightInd w:val="0"/>
              <w:snapToGrid w:val="0"/>
              <w:spacing w:beforeLines="50" w:line="360" w:lineRule="auto"/>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法定代表人（单位负责人）身份证复印件粘贴处</w:t>
            </w:r>
          </w:p>
          <w:p w14:paraId="5C2C07EB">
            <w:pPr>
              <w:shd w:val="clear"/>
              <w:snapToGrid w:val="0"/>
              <w:spacing w:line="480" w:lineRule="auto"/>
              <w:jc w:val="center"/>
              <w:rPr>
                <w:rFonts w:hint="eastAsia" w:ascii="仿宋" w:hAnsi="仿宋" w:eastAsia="仿宋" w:cs="仿宋"/>
                <w:color w:val="000000" w:themeColor="text1"/>
                <w:szCs w:val="21"/>
                <w:highlight w:val="none"/>
                <w14:textFill>
                  <w14:solidFill>
                    <w14:schemeClr w14:val="tx1"/>
                  </w14:solidFill>
                </w14:textFill>
              </w:rPr>
            </w:pPr>
          </w:p>
          <w:p w14:paraId="3AF78B57">
            <w:pPr>
              <w:shd w:val="clear"/>
              <w:snapToGrid w:val="0"/>
              <w:spacing w:line="480" w:lineRule="auto"/>
              <w:jc w:val="center"/>
              <w:rPr>
                <w:rFonts w:hint="eastAsia" w:ascii="仿宋" w:hAnsi="仿宋" w:eastAsia="仿宋" w:cs="仿宋"/>
                <w:color w:val="000000" w:themeColor="text1"/>
                <w:szCs w:val="21"/>
                <w:highlight w:val="none"/>
                <w14:textFill>
                  <w14:solidFill>
                    <w14:schemeClr w14:val="tx1"/>
                  </w14:solidFill>
                </w14:textFill>
              </w:rPr>
            </w:pPr>
          </w:p>
        </w:tc>
      </w:tr>
    </w:tbl>
    <w:p w14:paraId="165E256C">
      <w:pPr>
        <w:shd w:val="clear"/>
        <w:snapToGrid w:val="0"/>
        <w:spacing w:line="480" w:lineRule="auto"/>
        <w:rPr>
          <w:rFonts w:hint="eastAsia" w:ascii="仿宋" w:hAnsi="仿宋" w:eastAsia="仿宋" w:cs="仿宋"/>
          <w:color w:val="000000" w:themeColor="text1"/>
          <w:szCs w:val="21"/>
          <w:highlight w:val="none"/>
          <w14:textFill>
            <w14:solidFill>
              <w14:schemeClr w14:val="tx1"/>
            </w14:solidFill>
          </w14:textFill>
        </w:rPr>
      </w:pPr>
    </w:p>
    <w:p w14:paraId="4F40F0D8">
      <w:pPr>
        <w:shd w:val="clear"/>
        <w:snapToGrid w:val="0"/>
        <w:rPr>
          <w:rFonts w:hint="eastAsia" w:ascii="仿宋" w:hAnsi="仿宋" w:eastAsia="仿宋" w:cs="仿宋"/>
          <w:color w:val="000000" w:themeColor="text1"/>
          <w:szCs w:val="21"/>
          <w:highlight w:val="none"/>
          <w14:textFill>
            <w14:solidFill>
              <w14:schemeClr w14:val="tx1"/>
            </w14:solidFill>
          </w14:textFill>
        </w:rPr>
      </w:pPr>
    </w:p>
    <w:p w14:paraId="5189D1B0">
      <w:pPr>
        <w:shd w:val="clear"/>
        <w:snapToGrid w:val="0"/>
        <w:rPr>
          <w:rFonts w:hint="eastAsia" w:ascii="仿宋" w:hAnsi="仿宋" w:eastAsia="仿宋" w:cs="仿宋"/>
          <w:color w:val="000000" w:themeColor="text1"/>
          <w:szCs w:val="21"/>
          <w:highlight w:val="none"/>
          <w14:textFill>
            <w14:solidFill>
              <w14:schemeClr w14:val="tx1"/>
            </w14:solidFill>
          </w14:textFill>
        </w:rPr>
      </w:pPr>
    </w:p>
    <w:p w14:paraId="01B6AB07">
      <w:pPr>
        <w:shd w:val="clear"/>
        <w:snapToGrid w:val="0"/>
        <w:rPr>
          <w:rFonts w:hint="eastAsia" w:ascii="仿宋" w:hAnsi="仿宋" w:eastAsia="仿宋" w:cs="仿宋"/>
          <w:color w:val="000000" w:themeColor="text1"/>
          <w:szCs w:val="21"/>
          <w:highlight w:val="none"/>
          <w14:textFill>
            <w14:solidFill>
              <w14:schemeClr w14:val="tx1"/>
            </w14:solidFill>
          </w14:textFill>
        </w:rPr>
      </w:pPr>
    </w:p>
    <w:p w14:paraId="0A2DDEF0">
      <w:pPr>
        <w:shd w:val="clear"/>
        <w:snapToGrid w:val="0"/>
        <w:rPr>
          <w:rFonts w:hint="eastAsia" w:ascii="仿宋" w:hAnsi="仿宋" w:eastAsia="仿宋" w:cs="仿宋"/>
          <w:color w:val="000000" w:themeColor="text1"/>
          <w:szCs w:val="21"/>
          <w:highlight w:val="none"/>
          <w14:textFill>
            <w14:solidFill>
              <w14:schemeClr w14:val="tx1"/>
            </w14:solidFill>
          </w14:textFill>
        </w:rPr>
      </w:pPr>
    </w:p>
    <w:p w14:paraId="07312582">
      <w:pPr>
        <w:shd w:val="clear"/>
        <w:adjustRightInd w:val="0"/>
        <w:snapToGrid w:val="0"/>
        <w:spacing w:line="360" w:lineRule="auto"/>
        <w:rPr>
          <w:rFonts w:hint="eastAsia" w:ascii="仿宋" w:hAnsi="仿宋" w:eastAsia="仿宋" w:cs="仿宋"/>
          <w:color w:val="000000" w:themeColor="text1"/>
          <w:szCs w:val="21"/>
          <w:highlight w:val="none"/>
          <w14:textFill>
            <w14:solidFill>
              <w14:schemeClr w14:val="tx1"/>
            </w14:solidFill>
          </w14:textFill>
        </w:rPr>
      </w:pPr>
    </w:p>
    <w:p w14:paraId="3866B742">
      <w:pPr>
        <w:shd w:val="clear"/>
        <w:adjustRightInd w:val="0"/>
        <w:snapToGrid w:val="0"/>
        <w:spacing w:line="360" w:lineRule="auto"/>
        <w:ind w:right="420"/>
        <w:rPr>
          <w:rFonts w:hint="eastAsia" w:ascii="仿宋" w:hAnsi="仿宋" w:eastAsia="仿宋" w:cs="仿宋"/>
          <w:color w:val="000000" w:themeColor="text1"/>
          <w:szCs w:val="21"/>
          <w:highlight w:val="none"/>
          <w14:textFill>
            <w14:solidFill>
              <w14:schemeClr w14:val="tx1"/>
            </w14:solidFill>
          </w14:textFill>
        </w:rPr>
      </w:pPr>
    </w:p>
    <w:p w14:paraId="1BECEF53">
      <w:pPr>
        <w:shd w:val="clear"/>
        <w:adjustRightInd w:val="0"/>
        <w:snapToGrid w:val="0"/>
        <w:spacing w:line="360" w:lineRule="auto"/>
        <w:ind w:right="420"/>
        <w:rPr>
          <w:rFonts w:hint="eastAsia" w:ascii="仿宋" w:hAnsi="仿宋" w:eastAsia="仿宋" w:cs="仿宋"/>
          <w:color w:val="000000" w:themeColor="text1"/>
          <w:szCs w:val="21"/>
          <w:highlight w:val="none"/>
          <w14:textFill>
            <w14:solidFill>
              <w14:schemeClr w14:val="tx1"/>
            </w14:solidFill>
          </w14:textFill>
        </w:rPr>
      </w:pPr>
    </w:p>
    <w:p w14:paraId="5F235FC9">
      <w:pPr>
        <w:shd w:val="clear"/>
        <w:adjustRightInd w:val="0"/>
        <w:snapToGrid w:val="0"/>
        <w:spacing w:line="360" w:lineRule="auto"/>
        <w:ind w:right="420"/>
        <w:rPr>
          <w:rFonts w:hint="eastAsia" w:ascii="仿宋" w:hAnsi="仿宋" w:eastAsia="仿宋" w:cs="仿宋"/>
          <w:color w:val="000000" w:themeColor="text1"/>
          <w:szCs w:val="21"/>
          <w:highlight w:val="none"/>
          <w14:textFill>
            <w14:solidFill>
              <w14:schemeClr w14:val="tx1"/>
            </w14:solidFill>
          </w14:textFill>
        </w:rPr>
      </w:pPr>
    </w:p>
    <w:p w14:paraId="0156264E">
      <w:pPr>
        <w:shd w:val="clear"/>
        <w:adjustRightInd w:val="0"/>
        <w:snapToGrid w:val="0"/>
        <w:spacing w:line="360" w:lineRule="auto"/>
        <w:ind w:right="420"/>
        <w:rPr>
          <w:rFonts w:hint="eastAsia" w:ascii="仿宋" w:hAnsi="仿宋" w:eastAsia="仿宋" w:cs="仿宋"/>
          <w:color w:val="000000" w:themeColor="text1"/>
          <w:szCs w:val="21"/>
          <w:highlight w:val="none"/>
          <w14:textFill>
            <w14:solidFill>
              <w14:schemeClr w14:val="tx1"/>
            </w14:solidFill>
          </w14:textFill>
        </w:rPr>
      </w:pPr>
    </w:p>
    <w:p w14:paraId="1851352E">
      <w:pPr>
        <w:shd w:val="clear"/>
        <w:adjustRightInd w:val="0"/>
        <w:snapToGrid w:val="0"/>
        <w:spacing w:line="360" w:lineRule="auto"/>
        <w:ind w:right="420" w:firstLine="210" w:firstLineChars="100"/>
        <w:rPr>
          <w:rFonts w:hint="eastAsia" w:ascii="仿宋" w:hAnsi="仿宋" w:eastAsia="仿宋" w:cs="仿宋"/>
          <w:color w:val="000000" w:themeColor="text1"/>
          <w:szCs w:val="21"/>
          <w:highlight w:val="none"/>
          <w14:textFill>
            <w14:solidFill>
              <w14:schemeClr w14:val="tx1"/>
            </w14:solidFill>
          </w14:textFill>
        </w:rPr>
      </w:pPr>
    </w:p>
    <w:p w14:paraId="7404423E">
      <w:pPr>
        <w:shd w:val="clear"/>
        <w:adjustRightInd w:val="0"/>
        <w:snapToGrid w:val="0"/>
        <w:spacing w:line="360" w:lineRule="auto"/>
        <w:ind w:right="420" w:firstLine="3255" w:firstLineChars="1550"/>
        <w:rPr>
          <w:rFonts w:hint="eastAsia" w:ascii="仿宋" w:hAnsi="仿宋" w:eastAsia="仿宋" w:cs="仿宋"/>
          <w:color w:val="000000" w:themeColor="text1"/>
          <w:szCs w:val="21"/>
          <w:highlight w:val="none"/>
          <w14:textFill>
            <w14:solidFill>
              <w14:schemeClr w14:val="tx1"/>
            </w14:solidFill>
          </w14:textFill>
        </w:rPr>
      </w:pPr>
    </w:p>
    <w:p w14:paraId="5047D84F">
      <w:pPr>
        <w:shd w:val="clear"/>
        <w:adjustRightInd w:val="0"/>
        <w:snapToGrid w:val="0"/>
        <w:spacing w:line="360" w:lineRule="auto"/>
        <w:ind w:right="420" w:firstLine="3255" w:firstLineChars="155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投标人名称：</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u w:val="single"/>
          <w14:textFill>
            <w14:solidFill>
              <w14:schemeClr w14:val="tx1"/>
            </w14:solidFill>
          </w14:textFill>
        </w:rPr>
        <w:t>（盖单位章）</w:t>
      </w:r>
    </w:p>
    <w:p w14:paraId="266972EB">
      <w:pPr>
        <w:shd w:val="clear"/>
        <w:adjustRightInd w:val="0"/>
        <w:snapToGrid w:val="0"/>
        <w:spacing w:line="360" w:lineRule="auto"/>
        <w:ind w:right="420" w:firstLine="4830" w:firstLineChars="2300"/>
        <w:rPr>
          <w:rFonts w:hint="eastAsia" w:ascii="仿宋" w:hAnsi="仿宋" w:eastAsia="仿宋" w:cs="仿宋"/>
          <w:color w:val="000000" w:themeColor="text1"/>
          <w:szCs w:val="21"/>
          <w:highlight w:val="none"/>
          <w14:textFill>
            <w14:solidFill>
              <w14:schemeClr w14:val="tx1"/>
            </w14:solidFill>
          </w14:textFill>
        </w:rPr>
      </w:pPr>
    </w:p>
    <w:p w14:paraId="27F81EE8">
      <w:pPr>
        <w:shd w:val="clear"/>
        <w:adjustRightInd w:val="0"/>
        <w:snapToGrid w:val="0"/>
        <w:spacing w:line="360" w:lineRule="auto"/>
        <w:ind w:right="420" w:firstLine="4252" w:firstLineChars="202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日期：20  年  月  日</w:t>
      </w:r>
    </w:p>
    <w:p w14:paraId="56E616C5">
      <w:pPr>
        <w:shd w:val="clear"/>
        <w:adjustRightInd w:val="0"/>
        <w:snapToGrid w:val="0"/>
        <w:spacing w:line="360" w:lineRule="auto"/>
        <w:ind w:right="420" w:firstLine="210" w:firstLineChars="100"/>
        <w:rPr>
          <w:rFonts w:hint="eastAsia" w:ascii="仿宋" w:hAnsi="仿宋" w:eastAsia="仿宋" w:cs="仿宋"/>
          <w:color w:val="000000" w:themeColor="text1"/>
          <w:szCs w:val="21"/>
          <w:highlight w:val="none"/>
          <w14:textFill>
            <w14:solidFill>
              <w14:schemeClr w14:val="tx1"/>
            </w14:solidFill>
          </w14:textFill>
        </w:rPr>
      </w:pPr>
    </w:p>
    <w:p w14:paraId="54278C93">
      <w:pPr>
        <w:shd w:val="clear"/>
        <w:adjustRightInd w:val="0"/>
        <w:snapToGrid w:val="0"/>
        <w:spacing w:line="360" w:lineRule="auto"/>
        <w:ind w:right="420" w:firstLine="210" w:firstLineChars="100"/>
        <w:rPr>
          <w:rFonts w:hint="eastAsia" w:ascii="仿宋" w:hAnsi="仿宋" w:eastAsia="仿宋" w:cs="仿宋"/>
          <w:color w:val="000000" w:themeColor="text1"/>
          <w:szCs w:val="21"/>
          <w:highlight w:val="none"/>
          <w14:textFill>
            <w14:solidFill>
              <w14:schemeClr w14:val="tx1"/>
            </w14:solidFill>
          </w14:textFill>
        </w:rPr>
      </w:pPr>
    </w:p>
    <w:p w14:paraId="2F7CDD65">
      <w:pPr>
        <w:shd w:val="clear"/>
        <w:adjustRightInd w:val="0"/>
        <w:snapToGrid w:val="0"/>
        <w:spacing w:line="360" w:lineRule="auto"/>
        <w:ind w:right="420" w:firstLine="210" w:firstLineChars="100"/>
        <w:rPr>
          <w:rFonts w:hint="eastAsia" w:ascii="仿宋" w:hAnsi="仿宋" w:eastAsia="仿宋" w:cs="仿宋"/>
          <w:color w:val="000000" w:themeColor="text1"/>
          <w:szCs w:val="21"/>
          <w:highlight w:val="none"/>
          <w14:textFill>
            <w14:solidFill>
              <w14:schemeClr w14:val="tx1"/>
            </w14:solidFill>
          </w14:textFill>
        </w:rPr>
      </w:pPr>
    </w:p>
    <w:p w14:paraId="50DBF075">
      <w:pPr>
        <w:shd w:val="clear"/>
        <w:adjustRightInd w:val="0"/>
        <w:snapToGrid w:val="0"/>
        <w:spacing w:line="360" w:lineRule="auto"/>
        <w:ind w:right="420"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说明：仅限法定代表人（单位负责人）参加投标时提供</w:t>
      </w:r>
    </w:p>
    <w:p w14:paraId="19CD2004">
      <w:pPr>
        <w:shd w:val="clear"/>
        <w:adjustRightInd w:val="0"/>
        <w:snapToGrid w:val="0"/>
        <w:spacing w:line="360" w:lineRule="auto"/>
        <w:ind w:right="420" w:firstLine="2168" w:firstLineChars="900"/>
        <w:rPr>
          <w:rFonts w:hint="eastAsia" w:ascii="仿宋" w:hAnsi="仿宋" w:eastAsia="仿宋" w:cs="仿宋"/>
          <w:b/>
          <w:bCs/>
          <w:color w:val="000000" w:themeColor="text1"/>
          <w:sz w:val="24"/>
          <w:szCs w:val="24"/>
          <w:highlight w:val="none"/>
          <w14:textFill>
            <w14:solidFill>
              <w14:schemeClr w14:val="tx1"/>
            </w14:solidFill>
          </w14:textFill>
        </w:rPr>
      </w:pPr>
    </w:p>
    <w:p w14:paraId="3C5CC68F">
      <w:pPr>
        <w:shd w:val="clear"/>
        <w:adjustRightInd w:val="0"/>
        <w:snapToGrid w:val="0"/>
        <w:spacing w:line="360" w:lineRule="auto"/>
        <w:ind w:right="420" w:firstLine="2168" w:firstLineChars="900"/>
        <w:rPr>
          <w:rFonts w:hint="eastAsia" w:ascii="仿宋" w:hAnsi="仿宋" w:eastAsia="仿宋" w:cs="仿宋"/>
          <w:b/>
          <w:bCs/>
          <w:color w:val="000000" w:themeColor="text1"/>
          <w:sz w:val="24"/>
          <w:szCs w:val="24"/>
          <w:highlight w:val="none"/>
          <w14:textFill>
            <w14:solidFill>
              <w14:schemeClr w14:val="tx1"/>
            </w14:solidFill>
          </w14:textFill>
        </w:rPr>
      </w:pPr>
    </w:p>
    <w:p w14:paraId="5F356F30">
      <w:pPr>
        <w:shd w:val="clear"/>
        <w:adjustRightInd w:val="0"/>
        <w:snapToGrid w:val="0"/>
        <w:spacing w:line="360" w:lineRule="auto"/>
        <w:ind w:right="420" w:firstLine="2891" w:firstLineChars="1200"/>
        <w:outlineLvl w:val="1"/>
        <w:rPr>
          <w:rFonts w:hint="eastAsia" w:ascii="仿宋" w:hAnsi="仿宋" w:eastAsia="仿宋" w:cs="仿宋"/>
          <w:b/>
          <w:bCs/>
          <w:color w:val="000000" w:themeColor="text1"/>
          <w:sz w:val="24"/>
          <w:szCs w:val="24"/>
          <w:highlight w:val="none"/>
          <w14:textFill>
            <w14:solidFill>
              <w14:schemeClr w14:val="tx1"/>
            </w14:solidFill>
          </w14:textFill>
        </w:rPr>
      </w:pPr>
      <w:bookmarkStart w:id="558" w:name="_Toc24227"/>
    </w:p>
    <w:p w14:paraId="54F8A134">
      <w:pPr>
        <w:shd w:val="clear"/>
        <w:adjustRightInd w:val="0"/>
        <w:snapToGrid w:val="0"/>
        <w:spacing w:line="360" w:lineRule="auto"/>
        <w:ind w:right="420" w:firstLine="2891" w:firstLineChars="1200"/>
        <w:outlineLvl w:val="1"/>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3.法定代表人授权委托书</w:t>
      </w:r>
      <w:bookmarkEnd w:id="558"/>
    </w:p>
    <w:p w14:paraId="19830CC6">
      <w:pPr>
        <w:shd w:val="clear"/>
        <w:spacing w:line="4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14:paraId="3E5BD276">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本人</w:t>
      </w:r>
      <w:r>
        <w:rPr>
          <w:rFonts w:hint="eastAsia" w:ascii="仿宋" w:hAnsi="仿宋" w:eastAsia="仿宋" w:cs="仿宋"/>
          <w:color w:val="000000" w:themeColor="text1"/>
          <w:szCs w:val="21"/>
          <w:highlight w:val="none"/>
          <w:u w:val="single"/>
          <w:lang w:val="zh-CN"/>
          <w14:textFill>
            <w14:solidFill>
              <w14:schemeClr w14:val="tx1"/>
            </w14:solidFill>
          </w14:textFill>
        </w:rPr>
        <w:t>（姓名）</w:t>
      </w:r>
      <w:r>
        <w:rPr>
          <w:rFonts w:hint="eastAsia" w:ascii="仿宋" w:hAnsi="仿宋" w:eastAsia="仿宋" w:cs="仿宋"/>
          <w:color w:val="000000" w:themeColor="text1"/>
          <w:szCs w:val="21"/>
          <w:highlight w:val="none"/>
          <w:lang w:val="zh-CN"/>
          <w14:textFill>
            <w14:solidFill>
              <w14:schemeClr w14:val="tx1"/>
            </w14:solidFill>
          </w14:textFill>
        </w:rPr>
        <w:t>系</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u w:val="single"/>
          <w:lang w:val="zh-CN"/>
          <w14:textFill>
            <w14:solidFill>
              <w14:schemeClr w14:val="tx1"/>
            </w14:solidFill>
          </w14:textFill>
        </w:rPr>
        <w:t>（投标人名称）</w:t>
      </w:r>
      <w:r>
        <w:rPr>
          <w:rFonts w:hint="eastAsia" w:ascii="仿宋" w:hAnsi="仿宋" w:eastAsia="仿宋" w:cs="仿宋"/>
          <w:color w:val="000000" w:themeColor="text1"/>
          <w:szCs w:val="21"/>
          <w:highlight w:val="none"/>
          <w:lang w:val="zh-CN"/>
          <w14:textFill>
            <w14:solidFill>
              <w14:schemeClr w14:val="tx1"/>
            </w14:solidFill>
          </w14:textFill>
        </w:rPr>
        <w:t>的法定代表人（单位负责人），现委托</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u w:val="single"/>
          <w:lang w:val="zh-CN"/>
          <w14:textFill>
            <w14:solidFill>
              <w14:schemeClr w14:val="tx1"/>
            </w14:solidFill>
          </w14:textFill>
        </w:rPr>
        <w:t>（姓名）</w:t>
      </w:r>
      <w:r>
        <w:rPr>
          <w:rFonts w:hint="eastAsia" w:ascii="仿宋" w:hAnsi="仿宋" w:eastAsia="仿宋" w:cs="仿宋"/>
          <w:color w:val="000000" w:themeColor="text1"/>
          <w:szCs w:val="21"/>
          <w:highlight w:val="none"/>
          <w:lang w:val="zh-CN"/>
          <w14:textFill>
            <w14:solidFill>
              <w14:schemeClr w14:val="tx1"/>
            </w14:solidFill>
          </w14:textFill>
        </w:rPr>
        <w:t>为我方代理人。代理人根据授权，以我方的名义签署、澄清确认、递交、撤回、修改</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u w:val="single"/>
          <w:lang w:val="zh-CN"/>
          <w14:textFill>
            <w14:solidFill>
              <w14:schemeClr w14:val="tx1"/>
            </w14:solidFill>
          </w14:textFill>
        </w:rPr>
        <w:t>（采购项目</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合同包  </w:t>
      </w:r>
      <w:r>
        <w:rPr>
          <w:rFonts w:hint="eastAsia" w:ascii="仿宋" w:hAnsi="仿宋" w:eastAsia="仿宋" w:cs="仿宋"/>
          <w:color w:val="000000" w:themeColor="text1"/>
          <w:szCs w:val="21"/>
          <w:highlight w:val="none"/>
          <w:u w:val="single"/>
          <w:lang w:val="zh-CN"/>
          <w14:textFill>
            <w14:solidFill>
              <w14:schemeClr w14:val="tx1"/>
            </w14:solidFill>
          </w14:textFill>
        </w:rPr>
        <w:t>）</w:t>
      </w:r>
      <w:r>
        <w:rPr>
          <w:rFonts w:hint="eastAsia" w:ascii="仿宋" w:hAnsi="仿宋" w:eastAsia="仿宋" w:cs="仿宋"/>
          <w:color w:val="000000" w:themeColor="text1"/>
          <w:szCs w:val="21"/>
          <w:highlight w:val="none"/>
          <w:lang w:val="zh-CN"/>
          <w14:textFill>
            <w14:solidFill>
              <w14:schemeClr w14:val="tx1"/>
            </w14:solidFill>
          </w14:textFill>
        </w:rPr>
        <w:t>投标文件、签订合同和全权处理一切与之有关的事宜，</w:t>
      </w:r>
      <w:r>
        <w:rPr>
          <w:rFonts w:hint="eastAsia" w:ascii="仿宋" w:hAnsi="仿宋" w:eastAsia="仿宋" w:cs="仿宋"/>
          <w:color w:val="000000" w:themeColor="text1"/>
          <w:kern w:val="0"/>
          <w:szCs w:val="21"/>
          <w:highlight w:val="none"/>
          <w14:textFill>
            <w14:solidFill>
              <w14:schemeClr w14:val="tx1"/>
            </w14:solidFill>
          </w14:textFill>
        </w:rPr>
        <w:t>其法律后果由我方承担。</w:t>
      </w:r>
    </w:p>
    <w:p w14:paraId="26059487">
      <w:pPr>
        <w:shd w:val="clear"/>
        <w:spacing w:line="48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委托期限</w:t>
      </w: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年</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月</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日至</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年</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月</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日。</w:t>
      </w:r>
    </w:p>
    <w:p w14:paraId="40764E81">
      <w:pPr>
        <w:shd w:val="clear"/>
        <w:spacing w:line="480" w:lineRule="auto"/>
        <w:ind w:firstLine="420" w:firstLineChars="2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代理人无转委托权。</w:t>
      </w:r>
    </w:p>
    <w:p w14:paraId="1D9F7DA2">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0A60D2D7">
      <w:pPr>
        <w:shd w:val="clear"/>
        <w:spacing w:line="360" w:lineRule="auto"/>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附：法定代表人（单位负责人）身份证复印件</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zh-CN"/>
          <w14:textFill>
            <w14:solidFill>
              <w14:schemeClr w14:val="tx1"/>
            </w14:solidFill>
          </w14:textFill>
        </w:rPr>
        <w:t>委托代理人身份证复印件</w:t>
      </w:r>
    </w:p>
    <w:tbl>
      <w:tblPr>
        <w:tblStyle w:val="42"/>
        <w:tblW w:w="7996" w:type="dxa"/>
        <w:tblInd w:w="540" w:type="dxa"/>
        <w:tblLayout w:type="fixed"/>
        <w:tblCellMar>
          <w:top w:w="0" w:type="dxa"/>
          <w:left w:w="108" w:type="dxa"/>
          <w:bottom w:w="0" w:type="dxa"/>
          <w:right w:w="108" w:type="dxa"/>
        </w:tblCellMar>
      </w:tblPr>
      <w:tblGrid>
        <w:gridCol w:w="4081"/>
        <w:gridCol w:w="3915"/>
      </w:tblGrid>
      <w:tr w14:paraId="2837E236">
        <w:tblPrEx>
          <w:tblCellMar>
            <w:top w:w="0" w:type="dxa"/>
            <w:left w:w="108" w:type="dxa"/>
            <w:bottom w:w="0" w:type="dxa"/>
            <w:right w:w="108" w:type="dxa"/>
          </w:tblCellMar>
        </w:tblPrEx>
        <w:trPr>
          <w:trHeight w:val="3117" w:hRule="atLeast"/>
        </w:trPr>
        <w:tc>
          <w:tcPr>
            <w:tcW w:w="4081" w:type="dxa"/>
            <w:tcBorders>
              <w:top w:val="single" w:color="auto" w:sz="6" w:space="0"/>
              <w:left w:val="single" w:color="auto" w:sz="6" w:space="0"/>
              <w:bottom w:val="single" w:color="auto" w:sz="6" w:space="0"/>
              <w:right w:val="single" w:color="auto" w:sz="6" w:space="0"/>
            </w:tcBorders>
            <w:vAlign w:val="center"/>
          </w:tcPr>
          <w:p w14:paraId="74C664E4">
            <w:pPr>
              <w:shd w:val="clear"/>
              <w:spacing w:line="360" w:lineRule="auto"/>
              <w:jc w:val="center"/>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法定代表人（单位负责人）身份证复印件</w:t>
            </w:r>
          </w:p>
        </w:tc>
        <w:tc>
          <w:tcPr>
            <w:tcW w:w="3915" w:type="dxa"/>
            <w:tcBorders>
              <w:top w:val="single" w:color="auto" w:sz="6" w:space="0"/>
              <w:left w:val="single" w:color="auto" w:sz="6" w:space="0"/>
              <w:bottom w:val="single" w:color="auto" w:sz="6" w:space="0"/>
              <w:right w:val="single" w:color="auto" w:sz="6" w:space="0"/>
            </w:tcBorders>
            <w:vAlign w:val="center"/>
          </w:tcPr>
          <w:p w14:paraId="3C4222F6">
            <w:pPr>
              <w:shd w:val="clear"/>
              <w:spacing w:line="360" w:lineRule="auto"/>
              <w:jc w:val="center"/>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委托代理人身份证复印件</w:t>
            </w:r>
          </w:p>
        </w:tc>
      </w:tr>
    </w:tbl>
    <w:p w14:paraId="7D662D87">
      <w:pPr>
        <w:shd w:val="clear"/>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67AD60F0">
      <w:pPr>
        <w:shd w:val="clear"/>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0FCB2FC5">
      <w:pPr>
        <w:shd w:val="clear"/>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1548A9B6">
      <w:pPr>
        <w:shd w:val="clear"/>
        <w:ind w:firstLine="2835" w:firstLineChars="13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 标 人：</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u w:val="single"/>
          <w14:textFill>
            <w14:solidFill>
              <w14:schemeClr w14:val="tx1"/>
            </w14:solidFill>
          </w14:textFill>
        </w:rPr>
        <w:t xml:space="preserve">（盖单位章） </w:t>
      </w:r>
    </w:p>
    <w:p w14:paraId="4A0CBC27">
      <w:pPr>
        <w:shd w:val="clear"/>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5B7E243E">
      <w:pPr>
        <w:shd w:val="clear"/>
        <w:ind w:firstLine="2835" w:firstLineChars="135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法定代表人（单位负责人）:</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u w:val="single"/>
          <w14:textFill>
            <w14:solidFill>
              <w14:schemeClr w14:val="tx1"/>
            </w14:solidFill>
          </w14:textFill>
        </w:rPr>
        <w:t>（签字）</w:t>
      </w:r>
    </w:p>
    <w:p w14:paraId="3DFAC2BA">
      <w:pPr>
        <w:shd w:val="clear"/>
        <w:ind w:firstLine="3465" w:firstLineChars="1650"/>
        <w:rPr>
          <w:rFonts w:hint="eastAsia" w:ascii="仿宋" w:hAnsi="仿宋" w:eastAsia="仿宋" w:cs="仿宋"/>
          <w:color w:val="000000" w:themeColor="text1"/>
          <w:szCs w:val="21"/>
          <w:highlight w:val="none"/>
          <w14:textFill>
            <w14:solidFill>
              <w14:schemeClr w14:val="tx1"/>
            </w14:solidFill>
          </w14:textFill>
        </w:rPr>
      </w:pPr>
    </w:p>
    <w:p w14:paraId="6D8F3CE5">
      <w:pPr>
        <w:shd w:val="clear"/>
        <w:ind w:firstLine="2835" w:firstLineChars="1350"/>
        <w:jc w:val="left"/>
        <w:rPr>
          <w:rFonts w:hint="eastAsia" w:ascii="仿宋" w:hAnsi="仿宋" w:eastAsia="仿宋" w:cs="仿宋"/>
          <w:color w:val="000000" w:themeColor="text1"/>
          <w:szCs w:val="21"/>
          <w:highlight w:val="none"/>
          <w:u w:val="single"/>
          <w:lang w:val="en-US"/>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身份证号：</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                     </w:t>
      </w:r>
    </w:p>
    <w:p w14:paraId="5BA55DED">
      <w:pPr>
        <w:shd w:val="clear"/>
        <w:ind w:firstLine="3465" w:firstLineChars="1650"/>
        <w:rPr>
          <w:rFonts w:hint="eastAsia" w:ascii="仿宋" w:hAnsi="仿宋" w:eastAsia="仿宋" w:cs="仿宋"/>
          <w:color w:val="000000" w:themeColor="text1"/>
          <w:szCs w:val="21"/>
          <w:highlight w:val="none"/>
          <w14:textFill>
            <w14:solidFill>
              <w14:schemeClr w14:val="tx1"/>
            </w14:solidFill>
          </w14:textFill>
        </w:rPr>
      </w:pPr>
    </w:p>
    <w:p w14:paraId="251D4452">
      <w:pPr>
        <w:shd w:val="clear"/>
        <w:ind w:firstLine="2835" w:firstLineChars="13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委托代理人：</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u w:val="single"/>
          <w14:textFill>
            <w14:solidFill>
              <w14:schemeClr w14:val="tx1"/>
            </w14:solidFill>
          </w14:textFill>
        </w:rPr>
        <w:t xml:space="preserve">（签字）  </w:t>
      </w:r>
      <w:r>
        <w:rPr>
          <w:rFonts w:hint="eastAsia" w:ascii="仿宋" w:hAnsi="仿宋" w:eastAsia="仿宋" w:cs="仿宋"/>
          <w:color w:val="000000" w:themeColor="text1"/>
          <w:szCs w:val="21"/>
          <w:highlight w:val="none"/>
          <w14:textFill>
            <w14:solidFill>
              <w14:schemeClr w14:val="tx1"/>
            </w14:solidFill>
          </w14:textFill>
        </w:rPr>
        <w:t xml:space="preserve">   </w:t>
      </w:r>
    </w:p>
    <w:p w14:paraId="3502B31F">
      <w:pPr>
        <w:shd w:val="clear"/>
        <w:ind w:firstLine="2835" w:firstLineChars="1350"/>
        <w:jc w:val="left"/>
        <w:rPr>
          <w:rFonts w:hint="eastAsia" w:ascii="仿宋" w:hAnsi="仿宋" w:eastAsia="仿宋" w:cs="仿宋"/>
          <w:color w:val="000000" w:themeColor="text1"/>
          <w:szCs w:val="21"/>
          <w:highlight w:val="none"/>
          <w14:textFill>
            <w14:solidFill>
              <w14:schemeClr w14:val="tx1"/>
            </w14:solidFill>
          </w14:textFill>
        </w:rPr>
      </w:pPr>
    </w:p>
    <w:p w14:paraId="6C01BD99">
      <w:pPr>
        <w:shd w:val="clear"/>
        <w:ind w:firstLine="2835" w:firstLineChars="1350"/>
        <w:jc w:val="left"/>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身 份 证 号：</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                   </w:t>
      </w:r>
    </w:p>
    <w:p w14:paraId="78D0DE35">
      <w:pPr>
        <w:shd w:val="clear"/>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56007C26">
      <w:pPr>
        <w:shd w:val="clear"/>
        <w:ind w:firstLine="2730" w:firstLineChars="1300"/>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授权委托日期：20 年 月 日</w:t>
      </w:r>
    </w:p>
    <w:p w14:paraId="5403AEBC">
      <w:pPr>
        <w:shd w:val="clear"/>
        <w:ind w:firstLine="420" w:firstLineChars="200"/>
        <w:rPr>
          <w:rFonts w:hint="eastAsia" w:ascii="仿宋" w:hAnsi="仿宋" w:eastAsia="仿宋" w:cs="仿宋"/>
          <w:color w:val="000000" w:themeColor="text1"/>
          <w:highlight w:val="none"/>
          <w:lang w:val="zh-CN"/>
          <w14:textFill>
            <w14:solidFill>
              <w14:schemeClr w14:val="tx1"/>
            </w14:solidFill>
          </w14:textFill>
        </w:rPr>
      </w:pPr>
    </w:p>
    <w:p w14:paraId="7E5AB9C3">
      <w:pPr>
        <w:shd w:val="clea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说明：本授权委托书有效期自开标之日起不得少于</w:t>
      </w:r>
      <w:r>
        <w:rPr>
          <w:rFonts w:hint="eastAsia" w:ascii="仿宋" w:hAnsi="仿宋" w:eastAsia="仿宋" w:cs="仿宋"/>
          <w:color w:val="000000" w:themeColor="text1"/>
          <w:highlight w:val="none"/>
          <w14:textFill>
            <w14:solidFill>
              <w14:schemeClr w14:val="tx1"/>
            </w14:solidFill>
          </w14:textFill>
        </w:rPr>
        <w:t>90</w:t>
      </w:r>
      <w:r>
        <w:rPr>
          <w:rFonts w:hint="eastAsia" w:ascii="仿宋" w:hAnsi="仿宋" w:eastAsia="仿宋" w:cs="仿宋"/>
          <w:color w:val="000000" w:themeColor="text1"/>
          <w:highlight w:val="none"/>
          <w:lang w:val="zh-CN"/>
          <w14:textFill>
            <w14:solidFill>
              <w14:schemeClr w14:val="tx1"/>
            </w14:solidFill>
          </w14:textFill>
        </w:rPr>
        <w:t>天，仅限委托代理人参加投标时提供。</w:t>
      </w:r>
    </w:p>
    <w:p w14:paraId="3F0A61F8">
      <w:pPr>
        <w:shd w:val="clear"/>
        <w:snapToGrid w:val="0"/>
        <w:spacing w:line="360" w:lineRule="auto"/>
        <w:ind w:firstLine="241" w:firstLineChars="100"/>
        <w:rPr>
          <w:rFonts w:hint="eastAsia" w:ascii="仿宋" w:hAnsi="仿宋" w:eastAsia="仿宋" w:cs="仿宋"/>
          <w:b/>
          <w:bCs/>
          <w:color w:val="000000" w:themeColor="text1"/>
          <w:sz w:val="24"/>
          <w:szCs w:val="24"/>
          <w:highlight w:val="none"/>
          <w14:textFill>
            <w14:solidFill>
              <w14:schemeClr w14:val="tx1"/>
            </w14:solidFill>
          </w14:textFill>
        </w:rPr>
      </w:pPr>
    </w:p>
    <w:p w14:paraId="4918909A">
      <w:pPr>
        <w:shd w:val="clear"/>
        <w:snapToGrid w:val="0"/>
        <w:spacing w:line="360" w:lineRule="auto"/>
        <w:ind w:firstLine="241" w:firstLineChars="100"/>
        <w:rPr>
          <w:rFonts w:hint="eastAsia" w:ascii="仿宋" w:hAnsi="仿宋" w:eastAsia="仿宋" w:cs="仿宋"/>
          <w:b/>
          <w:bCs/>
          <w:color w:val="000000" w:themeColor="text1"/>
          <w:sz w:val="24"/>
          <w:szCs w:val="24"/>
          <w:highlight w:val="none"/>
          <w14:textFill>
            <w14:solidFill>
              <w14:schemeClr w14:val="tx1"/>
            </w14:solidFill>
          </w14:textFill>
        </w:rPr>
      </w:pPr>
    </w:p>
    <w:p w14:paraId="3787D262">
      <w:pPr>
        <w:shd w:val="clear"/>
        <w:snapToGrid w:val="0"/>
        <w:spacing w:line="360" w:lineRule="auto"/>
        <w:rPr>
          <w:rFonts w:hint="eastAsia" w:ascii="仿宋" w:hAnsi="仿宋" w:eastAsia="仿宋" w:cs="仿宋"/>
          <w:b/>
          <w:bCs/>
          <w:color w:val="000000" w:themeColor="text1"/>
          <w:szCs w:val="21"/>
          <w:highlight w:val="none"/>
          <w14:textFill>
            <w14:solidFill>
              <w14:schemeClr w14:val="tx1"/>
            </w14:solidFill>
          </w14:textFill>
        </w:rPr>
      </w:pPr>
    </w:p>
    <w:bookmarkEnd w:id="379"/>
    <w:bookmarkEnd w:id="380"/>
    <w:bookmarkEnd w:id="381"/>
    <w:bookmarkEnd w:id="538"/>
    <w:bookmarkEnd w:id="539"/>
    <w:bookmarkEnd w:id="540"/>
    <w:bookmarkEnd w:id="541"/>
    <w:bookmarkEnd w:id="542"/>
    <w:bookmarkEnd w:id="543"/>
    <w:bookmarkEnd w:id="544"/>
    <w:p w14:paraId="5A87EF04">
      <w:pPr>
        <w:keepNext w:val="0"/>
        <w:keepLines w:val="0"/>
        <w:pageBreakBefore w:val="0"/>
        <w:shd w:val="clear"/>
        <w:kinsoku/>
        <w:overflowPunct/>
        <w:topLinePunct w:val="0"/>
        <w:autoSpaceDE/>
        <w:autoSpaceDN/>
        <w:bidi w:val="0"/>
        <w:adjustRightInd w:val="0"/>
        <w:snapToGrid w:val="0"/>
        <w:spacing w:line="336" w:lineRule="auto"/>
        <w:ind w:firstLine="291" w:firstLineChars="139"/>
        <w:textAlignment w:val="auto"/>
        <w:rPr>
          <w:rFonts w:hint="eastAsia" w:ascii="仿宋" w:hAnsi="仿宋" w:eastAsia="仿宋" w:cs="仿宋"/>
          <w:b/>
          <w:bCs/>
          <w:color w:val="000000" w:themeColor="text1"/>
          <w:sz w:val="21"/>
          <w:szCs w:val="21"/>
          <w:highlight w:val="none"/>
          <w:u w:val="double"/>
          <w14:textFill>
            <w14:solidFill>
              <w14:schemeClr w14:val="tx1"/>
            </w14:solidFill>
          </w14:textFill>
        </w:rPr>
      </w:pPr>
      <w:r>
        <w:rPr>
          <w:rFonts w:hint="eastAsia" w:ascii="仿宋" w:hAnsi="仿宋" w:eastAsia="仿宋" w:cs="仿宋"/>
          <w:b w:val="0"/>
          <w:bCs w:val="0"/>
          <w:color w:val="000000" w:themeColor="text1"/>
          <w:sz w:val="21"/>
          <w:szCs w:val="21"/>
          <w:highlight w:val="none"/>
          <w14:textFill>
            <w14:solidFill>
              <w14:schemeClr w14:val="tx1"/>
            </w14:solidFill>
          </w14:textFill>
        </w:rPr>
        <w:t>4</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w:t>
      </w:r>
      <w:r>
        <w:rPr>
          <w:rFonts w:hint="eastAsia" w:ascii="仿宋" w:hAnsi="仿宋" w:eastAsia="仿宋" w:cs="仿宋"/>
          <w:color w:val="000000" w:themeColor="text1"/>
          <w:sz w:val="22"/>
          <w:szCs w:val="22"/>
          <w:lang w:val="en-US" w:eastAsia="zh-CN"/>
          <w14:textFill>
            <w14:solidFill>
              <w14:schemeClr w14:val="tx1"/>
            </w14:solidFill>
          </w14:textFill>
        </w:rPr>
        <w:t>投标人须为具有独立承担民事责任能力的法人、其他组织或自然人;出具合法有效的营业执照或事业单位法人证书等国家规定的相关证明，自然人参与的提供其身份证明；</w:t>
      </w:r>
      <w:r>
        <w:rPr>
          <w:rFonts w:hint="eastAsia" w:ascii="仿宋" w:hAnsi="仿宋" w:eastAsia="仿宋" w:cs="仿宋"/>
          <w:b/>
          <w:color w:val="000000" w:themeColor="text1"/>
          <w:sz w:val="21"/>
          <w:szCs w:val="21"/>
          <w:u w:val="double"/>
          <w14:textFill>
            <w14:solidFill>
              <w14:schemeClr w14:val="tx1"/>
            </w14:solidFill>
          </w14:textFill>
        </w:rPr>
        <w:t>（材料应清晰可辨，加盖公章）</w:t>
      </w:r>
    </w:p>
    <w:p w14:paraId="27CD1E1F">
      <w:pPr>
        <w:pStyle w:val="150"/>
        <w:keepNext w:val="0"/>
        <w:keepLines w:val="0"/>
        <w:pageBreakBefore w:val="0"/>
        <w:shd w:val="clear"/>
        <w:kinsoku/>
        <w:overflowPunct/>
        <w:topLinePunct w:val="0"/>
        <w:autoSpaceDE/>
        <w:autoSpaceDN/>
        <w:bidi w:val="0"/>
        <w:adjustRightInd w:val="0"/>
        <w:snapToGrid w:val="0"/>
        <w:spacing w:line="336" w:lineRule="auto"/>
        <w:ind w:firstLine="291" w:firstLineChars="139"/>
        <w:textAlignment w:val="auto"/>
        <w:rPr>
          <w:rFonts w:hint="eastAsia" w:ascii="仿宋" w:hAnsi="仿宋" w:eastAsia="仿宋" w:cs="仿宋"/>
          <w:color w:val="000000" w:themeColor="text1"/>
          <w:sz w:val="21"/>
          <w:szCs w:val="21"/>
          <w:highlight w:val="none"/>
          <w14:textFill>
            <w14:solidFill>
              <w14:schemeClr w14:val="tx1"/>
            </w14:solidFill>
          </w14:textFill>
        </w:rPr>
      </w:pPr>
    </w:p>
    <w:p w14:paraId="2EA30790">
      <w:pPr>
        <w:pStyle w:val="150"/>
        <w:keepNext w:val="0"/>
        <w:keepLines w:val="0"/>
        <w:pageBreakBefore w:val="0"/>
        <w:shd w:val="clear"/>
        <w:kinsoku/>
        <w:overflowPunct/>
        <w:topLinePunct w:val="0"/>
        <w:autoSpaceDE/>
        <w:autoSpaceDN/>
        <w:bidi w:val="0"/>
        <w:adjustRightInd w:val="0"/>
        <w:snapToGrid w:val="0"/>
        <w:spacing w:line="336" w:lineRule="auto"/>
        <w:ind w:firstLine="291" w:firstLineChars="139"/>
        <w:textAlignment w:val="auto"/>
        <w:rPr>
          <w:rFonts w:hint="eastAsia" w:ascii="仿宋" w:hAnsi="仿宋" w:eastAsia="仿宋" w:cs="仿宋"/>
          <w:color w:val="000000" w:themeColor="text1"/>
          <w:sz w:val="21"/>
          <w:szCs w:val="21"/>
          <w:highlight w:val="none"/>
          <w14:textFill>
            <w14:solidFill>
              <w14:schemeClr w14:val="tx1"/>
            </w14:solidFill>
          </w14:textFill>
        </w:rPr>
      </w:pPr>
    </w:p>
    <w:p w14:paraId="2705321C">
      <w:pPr>
        <w:keepNext w:val="0"/>
        <w:keepLines w:val="0"/>
        <w:pageBreakBefore w:val="0"/>
        <w:shd w:val="clear"/>
        <w:kinsoku/>
        <w:overflowPunct/>
        <w:topLinePunct w:val="0"/>
        <w:autoSpaceDE/>
        <w:autoSpaceDN/>
        <w:bidi w:val="0"/>
        <w:adjustRightInd w:val="0"/>
        <w:snapToGrid w:val="0"/>
        <w:spacing w:line="336" w:lineRule="auto"/>
        <w:ind w:firstLine="291" w:firstLineChars="139"/>
        <w:textAlignment w:val="auto"/>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14:textFill>
            <w14:solidFill>
              <w14:schemeClr w14:val="tx1"/>
            </w14:solidFill>
          </w14:textFill>
        </w:rPr>
        <w:t>5</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w:t>
      </w:r>
      <w:r>
        <w:rPr>
          <w:rFonts w:hint="eastAsia" w:ascii="仿宋" w:hAnsi="仿宋" w:eastAsia="仿宋" w:cs="仿宋"/>
          <w:color w:val="000000" w:themeColor="text1"/>
          <w:sz w:val="22"/>
          <w:szCs w:val="22"/>
          <w:highlight w:val="none"/>
          <w:shd w:val="clear" w:color="auto" w:fill="FFFFFF"/>
          <w:lang w:eastAsia="zh-CN"/>
          <w14:textFill>
            <w14:solidFill>
              <w14:schemeClr w14:val="tx1"/>
            </w14:solidFill>
          </w14:textFill>
        </w:rPr>
        <w:t>投标人须提供《汉中市政府采购供应商资格承诺函》。</w:t>
      </w:r>
      <w:r>
        <w:rPr>
          <w:rFonts w:hint="eastAsia" w:ascii="仿宋" w:hAnsi="仿宋" w:eastAsia="仿宋" w:cs="仿宋"/>
          <w:b/>
          <w:color w:val="000000" w:themeColor="text1"/>
          <w:sz w:val="21"/>
          <w:szCs w:val="21"/>
          <w:u w:val="double"/>
          <w:lang w:val="en-US" w:eastAsia="zh-CN"/>
          <w14:textFill>
            <w14:solidFill>
              <w14:schemeClr w14:val="tx1"/>
            </w14:solidFill>
          </w14:textFill>
        </w:rPr>
        <w:t>（原件）</w:t>
      </w:r>
    </w:p>
    <w:p w14:paraId="314065B2">
      <w:pPr>
        <w:pStyle w:val="150"/>
        <w:keepNext w:val="0"/>
        <w:keepLines w:val="0"/>
        <w:pageBreakBefore w:val="0"/>
        <w:shd w:val="clear"/>
        <w:kinsoku/>
        <w:overflowPunct/>
        <w:topLinePunct w:val="0"/>
        <w:autoSpaceDE/>
        <w:autoSpaceDN/>
        <w:bidi w:val="0"/>
        <w:adjustRightInd w:val="0"/>
        <w:snapToGrid w:val="0"/>
        <w:spacing w:line="336" w:lineRule="auto"/>
        <w:ind w:firstLine="291" w:firstLineChars="139"/>
        <w:textAlignment w:val="auto"/>
        <w:rPr>
          <w:rFonts w:hint="eastAsia" w:ascii="仿宋" w:hAnsi="仿宋" w:eastAsia="仿宋" w:cs="仿宋"/>
          <w:color w:val="000000" w:themeColor="text1"/>
          <w:sz w:val="21"/>
          <w:szCs w:val="21"/>
          <w:highlight w:val="none"/>
          <w14:textFill>
            <w14:solidFill>
              <w14:schemeClr w14:val="tx1"/>
            </w14:solidFill>
          </w14:textFill>
        </w:rPr>
      </w:pPr>
    </w:p>
    <w:p w14:paraId="362EC870">
      <w:pPr>
        <w:pStyle w:val="150"/>
        <w:keepNext w:val="0"/>
        <w:keepLines w:val="0"/>
        <w:pageBreakBefore w:val="0"/>
        <w:shd w:val="clear"/>
        <w:kinsoku/>
        <w:overflowPunct/>
        <w:topLinePunct w:val="0"/>
        <w:autoSpaceDE/>
        <w:autoSpaceDN/>
        <w:bidi w:val="0"/>
        <w:adjustRightInd w:val="0"/>
        <w:snapToGrid w:val="0"/>
        <w:spacing w:line="336" w:lineRule="auto"/>
        <w:ind w:firstLine="291" w:firstLineChars="139"/>
        <w:textAlignment w:val="auto"/>
        <w:rPr>
          <w:rFonts w:hint="eastAsia" w:ascii="仿宋" w:hAnsi="仿宋" w:eastAsia="仿宋" w:cs="仿宋"/>
          <w:color w:val="000000" w:themeColor="text1"/>
          <w:sz w:val="21"/>
          <w:szCs w:val="21"/>
          <w:highlight w:val="none"/>
          <w14:textFill>
            <w14:solidFill>
              <w14:schemeClr w14:val="tx1"/>
            </w14:solidFill>
          </w14:textFill>
        </w:rPr>
      </w:pPr>
    </w:p>
    <w:p w14:paraId="2226E431">
      <w:pPr>
        <w:keepNext w:val="0"/>
        <w:keepLines w:val="0"/>
        <w:pageBreakBefore w:val="0"/>
        <w:shd w:val="clear"/>
        <w:kinsoku/>
        <w:overflowPunct/>
        <w:topLinePunct w:val="0"/>
        <w:autoSpaceDE/>
        <w:autoSpaceDN/>
        <w:bidi w:val="0"/>
        <w:adjustRightInd w:val="0"/>
        <w:snapToGrid w:val="0"/>
        <w:spacing w:line="336" w:lineRule="auto"/>
        <w:ind w:firstLine="291" w:firstLineChars="139"/>
        <w:textAlignment w:val="auto"/>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14:textFill>
            <w14:solidFill>
              <w14:schemeClr w14:val="tx1"/>
            </w14:solidFill>
          </w14:textFill>
        </w:rPr>
        <w:t>6</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w:t>
      </w:r>
      <w:r>
        <w:rPr>
          <w:rFonts w:hint="eastAsia" w:ascii="仿宋" w:hAnsi="仿宋" w:eastAsia="仿宋" w:cs="仿宋"/>
          <w:color w:val="000000" w:themeColor="text1"/>
          <w:sz w:val="22"/>
          <w:szCs w:val="22"/>
          <w:lang w:val="en-US" w:eastAsia="zh-CN"/>
          <w14:textFill>
            <w14:solidFill>
              <w14:schemeClr w14:val="tx1"/>
            </w14:solidFill>
          </w14:textFill>
        </w:rPr>
        <w:t>法定代表人直接参加投标的，须出具法人身份证；法定代表人授权代表参加投标的，须出具法定代表人授权书及授权代表身份证；</w:t>
      </w:r>
      <w:r>
        <w:rPr>
          <w:rFonts w:hint="eastAsia" w:ascii="仿宋" w:hAnsi="仿宋" w:eastAsia="仿宋" w:cs="仿宋"/>
          <w:b/>
          <w:color w:val="000000" w:themeColor="text1"/>
          <w:sz w:val="21"/>
          <w:szCs w:val="21"/>
          <w:u w:val="double"/>
          <w:lang w:val="en-US" w:eastAsia="zh-CN"/>
          <w14:textFill>
            <w14:solidFill>
              <w14:schemeClr w14:val="tx1"/>
            </w14:solidFill>
          </w14:textFill>
        </w:rPr>
        <w:t>（原件）</w:t>
      </w:r>
    </w:p>
    <w:p w14:paraId="543A132D">
      <w:pPr>
        <w:keepNext w:val="0"/>
        <w:keepLines w:val="0"/>
        <w:pageBreakBefore w:val="0"/>
        <w:shd w:val="clear"/>
        <w:kinsoku/>
        <w:overflowPunct/>
        <w:topLinePunct w:val="0"/>
        <w:autoSpaceDE/>
        <w:autoSpaceDN/>
        <w:bidi w:val="0"/>
        <w:adjustRightInd w:val="0"/>
        <w:snapToGrid w:val="0"/>
        <w:spacing w:line="336" w:lineRule="auto"/>
        <w:ind w:firstLine="293" w:firstLineChars="139"/>
        <w:textAlignment w:val="auto"/>
        <w:rPr>
          <w:rFonts w:hint="eastAsia" w:ascii="仿宋" w:hAnsi="仿宋" w:eastAsia="仿宋" w:cs="仿宋"/>
          <w:b/>
          <w:bCs/>
          <w:color w:val="000000" w:themeColor="text1"/>
          <w:sz w:val="21"/>
          <w:szCs w:val="21"/>
          <w:highlight w:val="none"/>
          <w14:textFill>
            <w14:solidFill>
              <w14:schemeClr w14:val="tx1"/>
            </w14:solidFill>
          </w14:textFill>
        </w:rPr>
      </w:pPr>
    </w:p>
    <w:p w14:paraId="16DB5897">
      <w:pPr>
        <w:keepNext w:val="0"/>
        <w:keepLines w:val="0"/>
        <w:pageBreakBefore w:val="0"/>
        <w:shd w:val="clear"/>
        <w:kinsoku/>
        <w:overflowPunct/>
        <w:topLinePunct w:val="0"/>
        <w:autoSpaceDE/>
        <w:autoSpaceDN/>
        <w:bidi w:val="0"/>
        <w:adjustRightInd w:val="0"/>
        <w:snapToGrid w:val="0"/>
        <w:spacing w:line="336" w:lineRule="auto"/>
        <w:ind w:firstLine="293" w:firstLineChars="139"/>
        <w:textAlignment w:val="auto"/>
        <w:rPr>
          <w:rFonts w:hint="eastAsia" w:ascii="仿宋" w:hAnsi="仿宋" w:eastAsia="仿宋" w:cs="仿宋"/>
          <w:b/>
          <w:bCs/>
          <w:color w:val="000000" w:themeColor="text1"/>
          <w:sz w:val="21"/>
          <w:szCs w:val="21"/>
          <w:highlight w:val="none"/>
          <w14:textFill>
            <w14:solidFill>
              <w14:schemeClr w14:val="tx1"/>
            </w14:solidFill>
          </w14:textFill>
        </w:rPr>
      </w:pPr>
    </w:p>
    <w:p w14:paraId="74A550B5">
      <w:pPr>
        <w:pStyle w:val="3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36" w:lineRule="auto"/>
        <w:ind w:right="0" w:rightChars="0"/>
        <w:jc w:val="both"/>
        <w:textAlignment w:val="auto"/>
        <w:rPr>
          <w:rFonts w:hint="default" w:ascii="仿宋" w:hAnsi="仿宋" w:eastAsia="仿宋" w:cs="仿宋"/>
          <w:color w:val="000000" w:themeColor="text1"/>
          <w:kern w:val="2"/>
          <w:sz w:val="22"/>
          <w:szCs w:val="22"/>
          <w:lang w:val="en-US" w:eastAsia="zh-CN" w:bidi="ar-SA"/>
          <w14:textFill>
            <w14:solidFill>
              <w14:schemeClr w14:val="tx1"/>
            </w14:solidFill>
          </w14:textFill>
        </w:rPr>
      </w:pPr>
      <w:r>
        <w:rPr>
          <w:rFonts w:hint="eastAsia" w:ascii="仿宋" w:hAnsi="仿宋" w:eastAsia="仿宋" w:cs="仿宋"/>
          <w:color w:val="000000" w:themeColor="text1"/>
          <w:kern w:val="2"/>
          <w:sz w:val="22"/>
          <w:szCs w:val="22"/>
          <w:lang w:val="en-US" w:eastAsia="zh-CN" w:bidi="ar-SA"/>
          <w14:textFill>
            <w14:solidFill>
              <w14:schemeClr w14:val="tx1"/>
            </w14:solidFill>
          </w14:textFill>
        </w:rPr>
        <w:t>7.投标人为经销商的应提供《医疗器械经营许可证》和《医疗器械经营备案凭证》（投标产品须在其经营范围内）和生产厂家的《医疗器械生产许可证》或《医疗器械生产备案凭证》（投标产品须在其生产范围内）；投标人为生产厂家的应提供《医疗器械经营许可证》或《医疗器械经营备案凭证》（投标产品须在其经营范围内）和《医疗器械生产许可证》（投标产品须在其生产范围内），投标产品属于医疗器械管理的提供《医疗器械注册证》。</w:t>
      </w:r>
      <w:r>
        <w:rPr>
          <w:rFonts w:hint="eastAsia" w:ascii="仿宋" w:hAnsi="仿宋" w:eastAsia="仿宋" w:cs="仿宋"/>
          <w:b/>
          <w:color w:val="000000" w:themeColor="text1"/>
          <w:sz w:val="21"/>
          <w:szCs w:val="21"/>
          <w:u w:val="double"/>
          <w14:textFill>
            <w14:solidFill>
              <w14:schemeClr w14:val="tx1"/>
            </w14:solidFill>
          </w14:textFill>
        </w:rPr>
        <w:t>（材料应清晰可辨，加盖公章）</w:t>
      </w:r>
    </w:p>
    <w:p w14:paraId="7FB22468">
      <w:pPr>
        <w:pStyle w:val="3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36" w:lineRule="auto"/>
        <w:ind w:right="0" w:rightChars="0"/>
        <w:jc w:val="both"/>
        <w:textAlignment w:val="auto"/>
        <w:rPr>
          <w:rFonts w:hint="eastAsia" w:ascii="仿宋" w:hAnsi="仿宋" w:eastAsia="仿宋" w:cs="仿宋"/>
          <w:b/>
          <w:color w:val="000000" w:themeColor="text1"/>
          <w:sz w:val="21"/>
          <w:szCs w:val="21"/>
          <w:u w:val="double"/>
          <w:lang w:val="en-US" w:eastAsia="zh-CN"/>
          <w14:textFill>
            <w14:solidFill>
              <w14:schemeClr w14:val="tx1"/>
            </w14:solidFill>
          </w14:textFill>
        </w:rPr>
      </w:pPr>
    </w:p>
    <w:p w14:paraId="2360330A">
      <w:pPr>
        <w:pStyle w:val="3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36" w:lineRule="auto"/>
        <w:ind w:right="0" w:rightChars="0"/>
        <w:jc w:val="both"/>
        <w:textAlignment w:val="auto"/>
        <w:rPr>
          <w:rFonts w:hint="eastAsia" w:ascii="仿宋" w:hAnsi="仿宋" w:eastAsia="仿宋" w:cs="仿宋"/>
          <w:b/>
          <w:color w:val="000000" w:themeColor="text1"/>
          <w:sz w:val="21"/>
          <w:szCs w:val="21"/>
          <w:u w:val="double"/>
          <w:lang w:val="en-US" w:eastAsia="zh-CN"/>
          <w14:textFill>
            <w14:solidFill>
              <w14:schemeClr w14:val="tx1"/>
            </w14:solidFill>
          </w14:textFill>
        </w:rPr>
      </w:pPr>
    </w:p>
    <w:p w14:paraId="4AC98FF7">
      <w:pPr>
        <w:pStyle w:val="3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36" w:lineRule="auto"/>
        <w:ind w:right="0" w:rightChars="0"/>
        <w:jc w:val="both"/>
        <w:textAlignment w:val="auto"/>
        <w:rPr>
          <w:rFonts w:hint="eastAsia" w:ascii="仿宋" w:hAnsi="仿宋" w:eastAsia="仿宋" w:cs="仿宋"/>
          <w:b/>
          <w:color w:val="000000" w:themeColor="text1"/>
          <w:sz w:val="21"/>
          <w:szCs w:val="21"/>
          <w:u w:val="double"/>
          <w:lang w:val="en-US" w:eastAsia="zh-CN"/>
          <w14:textFill>
            <w14:solidFill>
              <w14:schemeClr w14:val="tx1"/>
            </w14:solidFill>
          </w14:textFill>
        </w:rPr>
      </w:pPr>
    </w:p>
    <w:p w14:paraId="06A4BCD8">
      <w:pPr>
        <w:pStyle w:val="3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36" w:lineRule="auto"/>
        <w:ind w:right="0" w:rightChars="0"/>
        <w:jc w:val="both"/>
        <w:textAlignment w:val="auto"/>
        <w:rPr>
          <w:rFonts w:hint="eastAsia" w:ascii="仿宋" w:hAnsi="仿宋" w:eastAsia="仿宋" w:cs="仿宋"/>
          <w:b/>
          <w:color w:val="000000" w:themeColor="text1"/>
          <w:sz w:val="21"/>
          <w:szCs w:val="21"/>
          <w:u w:val="double"/>
          <w:lang w:val="en-US" w:eastAsia="zh-CN"/>
          <w14:textFill>
            <w14:solidFill>
              <w14:schemeClr w14:val="tx1"/>
            </w14:solidFill>
          </w14:textFill>
        </w:rPr>
      </w:pPr>
    </w:p>
    <w:p w14:paraId="2F1CF313">
      <w:pPr>
        <w:pStyle w:val="3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36" w:lineRule="auto"/>
        <w:ind w:right="0" w:rightChars="0"/>
        <w:jc w:val="both"/>
        <w:textAlignment w:val="auto"/>
        <w:rPr>
          <w:rFonts w:hint="eastAsia" w:ascii="仿宋" w:hAnsi="仿宋" w:eastAsia="仿宋" w:cs="仿宋"/>
          <w:b/>
          <w:color w:val="000000" w:themeColor="text1"/>
          <w:sz w:val="21"/>
          <w:szCs w:val="21"/>
          <w:u w:val="double"/>
          <w:lang w:val="en-US" w:eastAsia="zh-CN"/>
          <w14:textFill>
            <w14:solidFill>
              <w14:schemeClr w14:val="tx1"/>
            </w14:solidFill>
          </w14:textFill>
        </w:rPr>
      </w:pPr>
    </w:p>
    <w:p w14:paraId="286EBAF1">
      <w:pPr>
        <w:pStyle w:val="3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36" w:lineRule="auto"/>
        <w:ind w:right="0" w:rightChars="0"/>
        <w:jc w:val="both"/>
        <w:textAlignment w:val="auto"/>
        <w:rPr>
          <w:rFonts w:hint="eastAsia" w:ascii="仿宋" w:hAnsi="仿宋" w:eastAsia="仿宋" w:cs="仿宋"/>
          <w:b/>
          <w:color w:val="000000" w:themeColor="text1"/>
          <w:sz w:val="21"/>
          <w:szCs w:val="21"/>
          <w:u w:val="double"/>
          <w:lang w:val="en-US" w:eastAsia="zh-CN"/>
          <w14:textFill>
            <w14:solidFill>
              <w14:schemeClr w14:val="tx1"/>
            </w14:solidFill>
          </w14:textFill>
        </w:rPr>
      </w:pPr>
    </w:p>
    <w:p w14:paraId="2F06A6A2">
      <w:pPr>
        <w:pStyle w:val="3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36" w:lineRule="auto"/>
        <w:ind w:right="0" w:rightChars="0"/>
        <w:jc w:val="both"/>
        <w:textAlignment w:val="auto"/>
        <w:rPr>
          <w:rFonts w:hint="eastAsia" w:ascii="仿宋" w:hAnsi="仿宋" w:eastAsia="仿宋" w:cs="仿宋"/>
          <w:b/>
          <w:color w:val="000000" w:themeColor="text1"/>
          <w:sz w:val="21"/>
          <w:szCs w:val="21"/>
          <w:u w:val="double"/>
          <w:lang w:val="en-US" w:eastAsia="zh-CN"/>
          <w14:textFill>
            <w14:solidFill>
              <w14:schemeClr w14:val="tx1"/>
            </w14:solidFill>
          </w14:textFill>
        </w:rPr>
      </w:pPr>
    </w:p>
    <w:p w14:paraId="00EFD4E8">
      <w:pPr>
        <w:bidi w:val="0"/>
        <w:spacing w:line="360" w:lineRule="auto"/>
        <w:ind w:firstLine="482" w:firstLineChars="200"/>
        <w:outlineLvl w:val="9"/>
        <w:rPr>
          <w:rFonts w:hint="eastAsia" w:ascii="仿宋" w:hAnsi="仿宋" w:eastAsia="仿宋" w:cs="仿宋"/>
          <w:b/>
          <w:bCs/>
          <w:color w:val="000000" w:themeColor="text1"/>
          <w:sz w:val="24"/>
          <w:szCs w:val="24"/>
          <w:lang w:val="en-US" w:eastAsia="zh-CN"/>
          <w14:textFill>
            <w14:solidFill>
              <w14:schemeClr w14:val="tx1"/>
            </w14:solidFill>
          </w14:textFill>
        </w:rPr>
      </w:pPr>
    </w:p>
    <w:p w14:paraId="68925AF2">
      <w:pPr>
        <w:bidi w:val="0"/>
        <w:spacing w:line="360" w:lineRule="auto"/>
        <w:ind w:firstLine="482" w:firstLineChars="200"/>
        <w:outlineLvl w:val="9"/>
        <w:rPr>
          <w:rFonts w:hint="eastAsia" w:ascii="仿宋" w:hAnsi="仿宋" w:eastAsia="仿宋" w:cs="仿宋"/>
          <w:b/>
          <w:bCs/>
          <w:color w:val="000000" w:themeColor="text1"/>
          <w:sz w:val="24"/>
          <w:szCs w:val="24"/>
          <w:lang w:val="en-US" w:eastAsia="zh-CN"/>
          <w14:textFill>
            <w14:solidFill>
              <w14:schemeClr w14:val="tx1"/>
            </w14:solidFill>
          </w14:textFill>
        </w:rPr>
      </w:pPr>
    </w:p>
    <w:p w14:paraId="6AC14A3D">
      <w:pPr>
        <w:bidi w:val="0"/>
        <w:spacing w:line="360" w:lineRule="auto"/>
        <w:outlineLvl w:val="9"/>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注：投标人</w:t>
      </w:r>
      <w:r>
        <w:rPr>
          <w:rFonts w:hint="eastAsia" w:ascii="仿宋" w:hAnsi="仿宋" w:eastAsia="仿宋" w:cs="仿宋"/>
          <w:b/>
          <w:bCs/>
          <w:color w:val="000000" w:themeColor="text1"/>
          <w:sz w:val="24"/>
          <w:szCs w:val="24"/>
          <w14:textFill>
            <w14:solidFill>
              <w14:schemeClr w14:val="tx1"/>
            </w14:solidFill>
          </w14:textFill>
        </w:rPr>
        <w:t>未提供</w:t>
      </w:r>
      <w:r>
        <w:rPr>
          <w:rFonts w:hint="eastAsia" w:ascii="仿宋" w:hAnsi="仿宋" w:eastAsia="仿宋" w:cs="仿宋"/>
          <w:b/>
          <w:bCs/>
          <w:color w:val="000000" w:themeColor="text1"/>
          <w:sz w:val="24"/>
          <w:szCs w:val="24"/>
          <w:lang w:eastAsia="zh-CN"/>
          <w14:textFill>
            <w14:solidFill>
              <w14:schemeClr w14:val="tx1"/>
            </w14:solidFill>
          </w14:textFill>
        </w:rPr>
        <w:t>“汉中市政府采购供应商资格承诺函”</w:t>
      </w:r>
      <w:r>
        <w:rPr>
          <w:rFonts w:hint="eastAsia" w:ascii="仿宋" w:hAnsi="仿宋" w:eastAsia="仿宋" w:cs="仿宋"/>
          <w:b/>
          <w:bCs/>
          <w:color w:val="000000" w:themeColor="text1"/>
          <w:sz w:val="24"/>
          <w:szCs w:val="24"/>
          <w14:textFill>
            <w14:solidFill>
              <w14:schemeClr w14:val="tx1"/>
            </w14:solidFill>
          </w14:textFill>
        </w:rPr>
        <w:t>的，应当按照《中华人民共和国政府采购法》及其实施条例等相关法律法规规定提供相应的证明材料。相应证明材料</w:t>
      </w:r>
      <w:r>
        <w:rPr>
          <w:rFonts w:hint="eastAsia" w:ascii="仿宋" w:hAnsi="仿宋" w:eastAsia="仿宋" w:cs="仿宋"/>
          <w:b/>
          <w:bCs/>
          <w:color w:val="000000" w:themeColor="text1"/>
          <w:sz w:val="24"/>
          <w:szCs w:val="24"/>
          <w:lang w:val="en-US" w:eastAsia="zh-CN"/>
          <w14:textFill>
            <w14:solidFill>
              <w14:schemeClr w14:val="tx1"/>
            </w14:solidFill>
          </w14:textFill>
        </w:rPr>
        <w:t>详见《第四章 评标办法》2.1、投标文件资格审查。若已提供</w:t>
      </w:r>
      <w:r>
        <w:rPr>
          <w:rFonts w:hint="eastAsia" w:ascii="仿宋" w:hAnsi="仿宋" w:eastAsia="仿宋" w:cs="仿宋"/>
          <w:b/>
          <w:bCs/>
          <w:color w:val="000000" w:themeColor="text1"/>
          <w:sz w:val="24"/>
          <w:szCs w:val="24"/>
          <w:lang w:eastAsia="zh-CN"/>
          <w14:textFill>
            <w14:solidFill>
              <w14:schemeClr w14:val="tx1"/>
            </w14:solidFill>
          </w14:textFill>
        </w:rPr>
        <w:t>“汉中市政府采购供应商资格承诺函”</w:t>
      </w:r>
      <w:r>
        <w:rPr>
          <w:rFonts w:hint="eastAsia" w:ascii="仿宋" w:hAnsi="仿宋" w:eastAsia="仿宋" w:cs="仿宋"/>
          <w:b/>
          <w:bCs/>
          <w:color w:val="000000" w:themeColor="text1"/>
          <w:sz w:val="24"/>
          <w:szCs w:val="24"/>
          <w14:textFill>
            <w14:solidFill>
              <w14:schemeClr w14:val="tx1"/>
            </w14:solidFill>
          </w14:textFill>
        </w:rPr>
        <w:t>的，</w:t>
      </w:r>
      <w:r>
        <w:rPr>
          <w:rFonts w:hint="eastAsia" w:ascii="仿宋" w:hAnsi="仿宋" w:eastAsia="仿宋" w:cs="仿宋"/>
          <w:b/>
          <w:bCs/>
          <w:color w:val="000000" w:themeColor="text1"/>
          <w:sz w:val="24"/>
          <w:szCs w:val="24"/>
          <w:lang w:val="en-US" w:eastAsia="zh-CN"/>
          <w14:textFill>
            <w14:solidFill>
              <w14:schemeClr w14:val="tx1"/>
            </w14:solidFill>
          </w14:textFill>
        </w:rPr>
        <w:t>无须再</w:t>
      </w:r>
      <w:r>
        <w:rPr>
          <w:rFonts w:hint="eastAsia" w:ascii="仿宋" w:hAnsi="仿宋" w:eastAsia="仿宋" w:cs="仿宋"/>
          <w:b/>
          <w:bCs/>
          <w:color w:val="000000" w:themeColor="text1"/>
          <w:sz w:val="24"/>
          <w:szCs w:val="24"/>
          <w14:textFill>
            <w14:solidFill>
              <w14:schemeClr w14:val="tx1"/>
            </w14:solidFill>
          </w14:textFill>
        </w:rPr>
        <w:t>提供相应证明材料。</w:t>
      </w:r>
    </w:p>
    <w:p w14:paraId="7E4B6011">
      <w:pPr>
        <w:bidi w:val="0"/>
        <w:outlineLvl w:val="9"/>
        <w:rPr>
          <w:rFonts w:hint="eastAsia" w:ascii="仿宋" w:hAnsi="仿宋" w:eastAsia="仿宋" w:cs="仿宋"/>
          <w:b/>
          <w:bCs/>
          <w:color w:val="000000" w:themeColor="text1"/>
          <w:sz w:val="32"/>
          <w:szCs w:val="32"/>
          <w:lang w:val="en-US" w:eastAsia="zh-CN"/>
          <w14:textFill>
            <w14:solidFill>
              <w14:schemeClr w14:val="tx1"/>
            </w14:solidFill>
          </w14:textFill>
        </w:rPr>
      </w:pPr>
    </w:p>
    <w:p w14:paraId="00874253">
      <w:pPr>
        <w:bidi w:val="0"/>
        <w:outlineLvl w:val="9"/>
        <w:rPr>
          <w:rFonts w:hint="eastAsia" w:ascii="仿宋" w:hAnsi="仿宋" w:eastAsia="仿宋" w:cs="仿宋"/>
          <w:b/>
          <w:bCs/>
          <w:color w:val="000000" w:themeColor="text1"/>
          <w:sz w:val="32"/>
          <w:szCs w:val="32"/>
          <w:lang w:val="en-US" w:eastAsia="zh-CN"/>
          <w14:textFill>
            <w14:solidFill>
              <w14:schemeClr w14:val="tx1"/>
            </w14:solidFill>
          </w14:textFill>
        </w:rPr>
      </w:pPr>
    </w:p>
    <w:p w14:paraId="3D57C4E3">
      <w:pPr>
        <w:bidi w:val="0"/>
        <w:outlineLvl w:val="9"/>
        <w:rPr>
          <w:rFonts w:hint="eastAsia" w:ascii="仿宋" w:hAnsi="仿宋" w:eastAsia="仿宋" w:cs="仿宋"/>
          <w:b/>
          <w:bCs/>
          <w:color w:val="000000" w:themeColor="text1"/>
          <w:sz w:val="32"/>
          <w:szCs w:val="32"/>
          <w:lang w:val="en-US" w:eastAsia="zh-CN"/>
          <w14:textFill>
            <w14:solidFill>
              <w14:schemeClr w14:val="tx1"/>
            </w14:solidFill>
          </w14:textFill>
        </w:rPr>
      </w:pPr>
    </w:p>
    <w:p w14:paraId="60F46648">
      <w:pPr>
        <w:bidi w:val="0"/>
        <w:outlineLvl w:val="9"/>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附件1：</w:t>
      </w:r>
    </w:p>
    <w:p w14:paraId="383F9D98">
      <w:pPr>
        <w:bidi w:val="0"/>
        <w:jc w:val="center"/>
        <w:outlineLvl w:val="1"/>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汉中市政府采购供应商资格承诺函</w:t>
      </w:r>
    </w:p>
    <w:p w14:paraId="449E06FA">
      <w:pPr>
        <w:bidi w:val="0"/>
        <w:spacing w:line="360" w:lineRule="auto"/>
        <w:outlineLvl w:val="9"/>
        <w:rPr>
          <w:rFonts w:hint="eastAsia" w:ascii="仿宋" w:hAnsi="仿宋" w:eastAsia="仿宋" w:cs="仿宋"/>
          <w:color w:val="000000" w:themeColor="text1"/>
          <w:sz w:val="22"/>
          <w:szCs w:val="22"/>
          <w:lang w:val="en-US" w:eastAsia="zh-CN"/>
          <w14:textFill>
            <w14:solidFill>
              <w14:schemeClr w14:val="tx1"/>
            </w14:solidFill>
          </w14:textFill>
        </w:rPr>
      </w:pPr>
    </w:p>
    <w:p w14:paraId="63F69043">
      <w:pPr>
        <w:bidi w:val="0"/>
        <w:spacing w:line="360" w:lineRule="auto"/>
        <w:outlineLvl w:val="9"/>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致:</w:t>
      </w:r>
      <w:r>
        <w:rPr>
          <w:rFonts w:hint="eastAsia" w:ascii="仿宋" w:hAnsi="仿宋" w:eastAsia="仿宋" w:cs="仿宋"/>
          <w:color w:val="000000" w:themeColor="text1"/>
          <w:sz w:val="22"/>
          <w:szCs w:val="22"/>
          <w:u w:val="single"/>
          <w:lang w:val="en-US" w:eastAsia="zh-CN"/>
          <w14:textFill>
            <w14:solidFill>
              <w14:schemeClr w14:val="tx1"/>
            </w14:solidFill>
          </w14:textFill>
        </w:rPr>
        <w:t xml:space="preserve">          （采购人名称）、            （采购代理机构名称）</w:t>
      </w:r>
    </w:p>
    <w:p w14:paraId="5AB749D1">
      <w:pPr>
        <w:bidi w:val="0"/>
        <w:spacing w:line="360" w:lineRule="auto"/>
        <w:ind w:firstLine="440" w:firstLineChars="200"/>
        <w:outlineLvl w:val="9"/>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u w:val="single"/>
          <w:lang w:val="en-US" w:eastAsia="zh-CN"/>
          <w14:textFill>
            <w14:solidFill>
              <w14:schemeClr w14:val="tx1"/>
            </w14:solidFill>
          </w14:textFill>
        </w:rPr>
        <w:t xml:space="preserve">         （投标人名称)</w:t>
      </w:r>
      <w:r>
        <w:rPr>
          <w:rFonts w:hint="eastAsia" w:ascii="仿宋" w:hAnsi="仿宋" w:eastAsia="仿宋" w:cs="仿宋"/>
          <w:color w:val="000000" w:themeColor="text1"/>
          <w:sz w:val="22"/>
          <w:szCs w:val="22"/>
          <w:lang w:val="en-US" w:eastAsia="zh-CN"/>
          <w14:textFill>
            <w14:solidFill>
              <w14:schemeClr w14:val="tx1"/>
            </w14:solidFill>
          </w14:textFill>
        </w:rPr>
        <w:t>郑重承诺:</w:t>
      </w:r>
    </w:p>
    <w:p w14:paraId="2E764146">
      <w:pPr>
        <w:bidi w:val="0"/>
        <w:spacing w:line="360" w:lineRule="auto"/>
        <w:ind w:firstLine="440" w:firstLineChars="200"/>
        <w:outlineLvl w:val="9"/>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1.我方具有良好的商业信誉和健全的财务会计制度，具有履行合同所必需的设备和专业技术能力，具有依法缴纳税收和社会保障金的良好记录，参加本项目采购活动前三年内无重大违法活动记录。</w:t>
      </w:r>
    </w:p>
    <w:p w14:paraId="0340669C">
      <w:pPr>
        <w:bidi w:val="0"/>
        <w:spacing w:line="360" w:lineRule="auto"/>
        <w:ind w:firstLine="440" w:firstLineChars="200"/>
        <w:outlineLvl w:val="9"/>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2.我方未列入在信用中国网站“失信被执行人”、“重大税收违法案件当事人名单”中</w:t>
      </w:r>
      <w:r>
        <w:rPr>
          <w:rFonts w:hint="eastAsia" w:ascii="仿宋" w:hAnsi="仿宋" w:eastAsia="仿宋" w:cs="仿宋"/>
          <w:color w:val="000000" w:themeColor="text1"/>
          <w:sz w:val="22"/>
          <w:szCs w:val="22"/>
          <w:u w:val="single"/>
          <w:lang w:val="en-US" w:eastAsia="zh-CN"/>
          <w14:textFill>
            <w14:solidFill>
              <w14:schemeClr w14:val="tx1"/>
            </w14:solidFill>
          </w14:textFill>
        </w:rPr>
        <w:t>(www.</w:t>
      </w:r>
      <w:r>
        <w:rPr>
          <w:rFonts w:hint="eastAsia" w:ascii="仿宋" w:hAnsi="仿宋" w:eastAsia="仿宋" w:cs="仿宋"/>
          <w:b w:val="0"/>
          <w:bCs w:val="0"/>
          <w:color w:val="000000" w:themeColor="text1"/>
          <w:sz w:val="22"/>
          <w:szCs w:val="22"/>
          <w:u w:val="single"/>
          <w:lang w:val="en-US" w:eastAsia="zh-CN"/>
          <w14:textFill>
            <w14:solidFill>
              <w14:schemeClr w14:val="tx1"/>
            </w14:solidFill>
          </w14:textFill>
        </w:rPr>
        <w:t>creditchina</w:t>
      </w:r>
      <w:r>
        <w:rPr>
          <w:rFonts w:hint="eastAsia" w:ascii="仿宋" w:hAnsi="仿宋" w:eastAsia="仿宋" w:cs="仿宋"/>
          <w:color w:val="000000" w:themeColor="text1"/>
          <w:sz w:val="22"/>
          <w:szCs w:val="22"/>
          <w:u w:val="single"/>
          <w:lang w:val="en-US" w:eastAsia="zh-CN"/>
          <w14:textFill>
            <w14:solidFill>
              <w14:schemeClr w14:val="tx1"/>
            </w14:solidFill>
          </w14:textFill>
        </w:rPr>
        <w:t>.gov.cn)</w:t>
      </w:r>
      <w:r>
        <w:rPr>
          <w:rFonts w:hint="eastAsia" w:ascii="仿宋" w:hAnsi="仿宋" w:eastAsia="仿宋" w:cs="仿宋"/>
          <w:color w:val="000000" w:themeColor="text1"/>
          <w:sz w:val="22"/>
          <w:szCs w:val="22"/>
          <w:lang w:val="en-US" w:eastAsia="zh-CN"/>
          <w14:textFill>
            <w14:solidFill>
              <w14:schemeClr w14:val="tx1"/>
            </w14:solidFill>
          </w14:textFill>
        </w:rPr>
        <w:t>，也未列入中国政府采购网“政府采购严重违法失信行为记录名单”中</w:t>
      </w:r>
      <w:r>
        <w:rPr>
          <w:rFonts w:hint="eastAsia" w:ascii="仿宋" w:hAnsi="仿宋" w:eastAsia="仿宋" w:cs="仿宋"/>
          <w:color w:val="000000" w:themeColor="text1"/>
          <w:sz w:val="22"/>
          <w:szCs w:val="22"/>
          <w:u w:val="single"/>
          <w:lang w:val="en-US" w:eastAsia="zh-CN"/>
          <w14:textFill>
            <w14:solidFill>
              <w14:schemeClr w14:val="tx1"/>
            </w14:solidFill>
          </w14:textFill>
        </w:rPr>
        <w:t>(www.ccgp.gov.cn)</w:t>
      </w:r>
      <w:r>
        <w:rPr>
          <w:rFonts w:hint="eastAsia" w:ascii="仿宋" w:hAnsi="仿宋" w:eastAsia="仿宋" w:cs="仿宋"/>
          <w:color w:val="000000" w:themeColor="text1"/>
          <w:sz w:val="22"/>
          <w:szCs w:val="22"/>
          <w:u w:val="none"/>
          <w:lang w:val="en-US" w:eastAsia="zh-CN"/>
          <w14:textFill>
            <w14:solidFill>
              <w14:schemeClr w14:val="tx1"/>
            </w14:solidFill>
          </w14:textFill>
        </w:rPr>
        <w:t>。</w:t>
      </w:r>
    </w:p>
    <w:p w14:paraId="4AE2FB63">
      <w:pPr>
        <w:bidi w:val="0"/>
        <w:spacing w:line="360" w:lineRule="auto"/>
        <w:ind w:firstLine="440" w:firstLineChars="200"/>
        <w:outlineLvl w:val="9"/>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3.我方在采购项目评标环节结束后，随时接受采购人，采购代理机构的检查验证，配合提供相关证明材料，证明符合《中华人民共和国政府采购法》规定的投标人基本资格条件。</w:t>
      </w:r>
    </w:p>
    <w:p w14:paraId="5F13AB00">
      <w:pPr>
        <w:bidi w:val="0"/>
        <w:spacing w:line="360" w:lineRule="auto"/>
        <w:ind w:firstLine="440" w:firstLineChars="200"/>
        <w:outlineLvl w:val="9"/>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我方对以上承诺负全部法律责任。</w:t>
      </w:r>
    </w:p>
    <w:p w14:paraId="2BBB3FB0">
      <w:pPr>
        <w:bidi w:val="0"/>
        <w:spacing w:line="360" w:lineRule="auto"/>
        <w:ind w:firstLine="440" w:firstLineChars="200"/>
        <w:outlineLvl w:val="9"/>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特此承诺。</w:t>
      </w:r>
    </w:p>
    <w:p w14:paraId="7BCC2783">
      <w:pPr>
        <w:bidi w:val="0"/>
        <w:spacing w:line="360" w:lineRule="auto"/>
        <w:ind w:firstLine="440" w:firstLineChars="200"/>
        <w:outlineLvl w:val="9"/>
        <w:rPr>
          <w:rFonts w:hint="eastAsia" w:ascii="仿宋" w:hAnsi="仿宋" w:eastAsia="仿宋" w:cs="仿宋"/>
          <w:color w:val="000000" w:themeColor="text1"/>
          <w:sz w:val="22"/>
          <w:szCs w:val="22"/>
          <w:lang w:val="en-US" w:eastAsia="zh-CN"/>
          <w14:textFill>
            <w14:solidFill>
              <w14:schemeClr w14:val="tx1"/>
            </w14:solidFill>
          </w14:textFill>
        </w:rPr>
      </w:pPr>
    </w:p>
    <w:p w14:paraId="405483B7">
      <w:pPr>
        <w:bidi w:val="0"/>
        <w:spacing w:line="360" w:lineRule="auto"/>
        <w:ind w:firstLine="440" w:firstLineChars="200"/>
        <w:outlineLvl w:val="9"/>
        <w:rPr>
          <w:rFonts w:hint="eastAsia" w:ascii="仿宋" w:hAnsi="仿宋" w:eastAsia="仿宋" w:cs="仿宋"/>
          <w:color w:val="000000" w:themeColor="text1"/>
          <w:sz w:val="22"/>
          <w:szCs w:val="22"/>
          <w:lang w:val="en-US" w:eastAsia="zh-CN"/>
          <w14:textFill>
            <w14:solidFill>
              <w14:schemeClr w14:val="tx1"/>
            </w14:solidFill>
          </w14:textFill>
        </w:rPr>
      </w:pPr>
    </w:p>
    <w:p w14:paraId="1DBD2A5A">
      <w:pPr>
        <w:bidi w:val="0"/>
        <w:spacing w:line="360" w:lineRule="auto"/>
        <w:ind w:firstLine="440" w:firstLineChars="200"/>
        <w:outlineLvl w:val="9"/>
        <w:rPr>
          <w:rFonts w:hint="eastAsia" w:ascii="仿宋" w:hAnsi="仿宋" w:eastAsia="仿宋" w:cs="仿宋"/>
          <w:color w:val="000000" w:themeColor="text1"/>
          <w:sz w:val="22"/>
          <w:szCs w:val="22"/>
          <w:lang w:val="en-US" w:eastAsia="zh-CN"/>
          <w14:textFill>
            <w14:solidFill>
              <w14:schemeClr w14:val="tx1"/>
            </w14:solidFill>
          </w14:textFill>
        </w:rPr>
      </w:pPr>
    </w:p>
    <w:p w14:paraId="3749A8C6">
      <w:pPr>
        <w:bidi w:val="0"/>
        <w:spacing w:line="360" w:lineRule="auto"/>
        <w:ind w:firstLine="440" w:firstLineChars="200"/>
        <w:outlineLvl w:val="9"/>
        <w:rPr>
          <w:rFonts w:hint="eastAsia" w:ascii="仿宋" w:hAnsi="仿宋" w:eastAsia="仿宋" w:cs="仿宋"/>
          <w:color w:val="000000" w:themeColor="text1"/>
          <w:sz w:val="22"/>
          <w:szCs w:val="22"/>
          <w:lang w:val="en-US" w:eastAsia="zh-CN"/>
          <w14:textFill>
            <w14:solidFill>
              <w14:schemeClr w14:val="tx1"/>
            </w14:solidFill>
          </w14:textFill>
        </w:rPr>
      </w:pPr>
    </w:p>
    <w:p w14:paraId="4A9EB7BC">
      <w:pPr>
        <w:bidi w:val="0"/>
        <w:spacing w:line="360" w:lineRule="auto"/>
        <w:ind w:firstLine="440" w:firstLineChars="200"/>
        <w:outlineLvl w:val="9"/>
        <w:rPr>
          <w:rFonts w:hint="eastAsia" w:ascii="仿宋" w:hAnsi="仿宋" w:eastAsia="仿宋" w:cs="仿宋"/>
          <w:color w:val="000000" w:themeColor="text1"/>
          <w:sz w:val="22"/>
          <w:szCs w:val="22"/>
          <w:lang w:val="en-US" w:eastAsia="zh-CN"/>
          <w14:textFill>
            <w14:solidFill>
              <w14:schemeClr w14:val="tx1"/>
            </w14:solidFill>
          </w14:textFill>
        </w:rPr>
      </w:pPr>
    </w:p>
    <w:p w14:paraId="31A432E9">
      <w:pPr>
        <w:bidi w:val="0"/>
        <w:spacing w:line="360" w:lineRule="auto"/>
        <w:ind w:firstLine="2640" w:firstLineChars="1200"/>
        <w:outlineLvl w:val="9"/>
        <w:rPr>
          <w:rFonts w:hint="eastAsia" w:ascii="仿宋" w:hAnsi="仿宋" w:eastAsia="仿宋" w:cs="仿宋"/>
          <w:color w:val="000000" w:themeColor="text1"/>
          <w:sz w:val="22"/>
          <w:szCs w:val="22"/>
          <w:u w:val="single"/>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投标人名称：</w:t>
      </w:r>
      <w:r>
        <w:rPr>
          <w:rFonts w:hint="eastAsia" w:ascii="仿宋" w:hAnsi="仿宋" w:eastAsia="仿宋" w:cs="仿宋"/>
          <w:color w:val="000000" w:themeColor="text1"/>
          <w:sz w:val="22"/>
          <w:szCs w:val="22"/>
          <w:u w:val="single"/>
          <w:lang w:val="en-US" w:eastAsia="zh-CN"/>
          <w14:textFill>
            <w14:solidFill>
              <w14:schemeClr w14:val="tx1"/>
            </w14:solidFill>
          </w14:textFill>
        </w:rPr>
        <w:t>填写全称并加盖公章</w:t>
      </w:r>
    </w:p>
    <w:p w14:paraId="01F92AE9">
      <w:pPr>
        <w:pStyle w:val="21"/>
        <w:shd w:val="clear"/>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 w:val="22"/>
          <w:szCs w:val="22"/>
          <w:u w:val="none"/>
          <w:lang w:val="en-US" w:eastAsia="zh-CN"/>
          <w14:textFill>
            <w14:solidFill>
              <w14:schemeClr w14:val="tx1"/>
            </w14:solidFill>
          </w14:textFill>
        </w:rPr>
        <w:t>日期：    年   月   日</w:t>
      </w:r>
    </w:p>
    <w:p w14:paraId="4C0203E5">
      <w:pPr>
        <w:pStyle w:val="38"/>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right="0"/>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p>
    <w:p w14:paraId="38004947">
      <w:pPr>
        <w:pStyle w:val="38"/>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right="0"/>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p>
    <w:p w14:paraId="345BBDFF">
      <w:pPr>
        <w:pStyle w:val="38"/>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right="0"/>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p>
    <w:p w14:paraId="54786200">
      <w:pPr>
        <w:shd w:val="clear"/>
        <w:snapToGrid w:val="0"/>
        <w:spacing w:line="360" w:lineRule="auto"/>
        <w:ind w:firstLine="211" w:firstLineChars="100"/>
        <w:rPr>
          <w:rFonts w:hint="eastAsia" w:ascii="仿宋" w:hAnsi="仿宋" w:eastAsia="仿宋" w:cs="仿宋"/>
          <w:b/>
          <w:bCs/>
          <w:color w:val="000000" w:themeColor="text1"/>
          <w:szCs w:val="21"/>
          <w:highlight w:val="none"/>
          <w14:textFill>
            <w14:solidFill>
              <w14:schemeClr w14:val="tx1"/>
            </w14:solidFill>
          </w14:textFill>
        </w:rPr>
      </w:pPr>
    </w:p>
    <w:p w14:paraId="50EDD907">
      <w:pPr>
        <w:pStyle w:val="21"/>
        <w:rPr>
          <w:rFonts w:hint="eastAsia" w:ascii="仿宋" w:hAnsi="仿宋" w:eastAsia="仿宋" w:cs="仿宋"/>
          <w:b/>
          <w:bCs/>
          <w:color w:val="000000" w:themeColor="text1"/>
          <w:szCs w:val="21"/>
          <w:highlight w:val="none"/>
          <w14:textFill>
            <w14:solidFill>
              <w14:schemeClr w14:val="tx1"/>
            </w14:solidFill>
          </w14:textFill>
        </w:rPr>
      </w:pPr>
    </w:p>
    <w:p w14:paraId="35C6205F">
      <w:pPr>
        <w:pStyle w:val="2"/>
        <w:shd w:val="clear"/>
        <w:ind w:firstLine="1800" w:firstLineChars="500"/>
        <w:jc w:val="both"/>
        <w:rPr>
          <w:rFonts w:hint="eastAsia" w:ascii="仿宋" w:hAnsi="仿宋" w:eastAsia="仿宋" w:cs="仿宋"/>
          <w:color w:val="000000" w:themeColor="text1"/>
          <w:szCs w:val="36"/>
          <w:highlight w:val="none"/>
          <w14:textFill>
            <w14:solidFill>
              <w14:schemeClr w14:val="tx1"/>
            </w14:solidFill>
          </w14:textFill>
        </w:rPr>
      </w:pPr>
      <w:r>
        <w:rPr>
          <w:rFonts w:hint="eastAsia" w:ascii="仿宋" w:hAnsi="仿宋" w:eastAsia="仿宋" w:cs="仿宋"/>
          <w:bCs/>
          <w:color w:val="000000" w:themeColor="text1"/>
          <w:szCs w:val="36"/>
          <w:highlight w:val="none"/>
          <w14:textFill>
            <w14:solidFill>
              <w14:schemeClr w14:val="tx1"/>
            </w14:solidFill>
          </w14:textFill>
        </w:rPr>
        <w:t>第</w:t>
      </w:r>
      <w:r>
        <w:rPr>
          <w:rFonts w:hint="eastAsia" w:ascii="仿宋" w:hAnsi="仿宋" w:eastAsia="仿宋" w:cs="仿宋"/>
          <w:bCs/>
          <w:color w:val="000000" w:themeColor="text1"/>
          <w:szCs w:val="36"/>
          <w:highlight w:val="none"/>
          <w:lang w:val="en-US" w:eastAsia="zh-CN"/>
          <w14:textFill>
            <w14:solidFill>
              <w14:schemeClr w14:val="tx1"/>
            </w14:solidFill>
          </w14:textFill>
        </w:rPr>
        <w:t>六</w:t>
      </w:r>
      <w:r>
        <w:rPr>
          <w:rFonts w:hint="eastAsia" w:ascii="仿宋" w:hAnsi="仿宋" w:eastAsia="仿宋" w:cs="仿宋"/>
          <w:bCs/>
          <w:color w:val="000000" w:themeColor="text1"/>
          <w:szCs w:val="36"/>
          <w:highlight w:val="none"/>
          <w14:textFill>
            <w14:solidFill>
              <w14:schemeClr w14:val="tx1"/>
            </w14:solidFill>
          </w14:textFill>
        </w:rPr>
        <w:t>章</w:t>
      </w:r>
      <w:r>
        <w:rPr>
          <w:rFonts w:hint="eastAsia" w:ascii="仿宋" w:hAnsi="仿宋" w:eastAsia="仿宋" w:cs="仿宋"/>
          <w:bCs/>
          <w:color w:val="000000" w:themeColor="text1"/>
          <w:szCs w:val="36"/>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36"/>
          <w:highlight w:val="none"/>
          <w14:textFill>
            <w14:solidFill>
              <w14:schemeClr w14:val="tx1"/>
            </w14:solidFill>
          </w14:textFill>
        </w:rPr>
        <w:t>拟签订的合同文本</w:t>
      </w:r>
    </w:p>
    <w:p w14:paraId="49AD947E">
      <w:pPr>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jc w:val="left"/>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注：本合同作为合同的基本格式，甲方有权在签订合同时对合同的相关条款及内容作进一步细化和修改）</w:t>
      </w:r>
    </w:p>
    <w:p w14:paraId="307643F4">
      <w:pPr>
        <w:pStyle w:val="57"/>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合同编号： </w:t>
      </w:r>
    </w:p>
    <w:p w14:paraId="28A091E2">
      <w:pPr>
        <w:pStyle w:val="57"/>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签订地点： </w:t>
      </w:r>
    </w:p>
    <w:p w14:paraId="0D139749">
      <w:pPr>
        <w:pStyle w:val="57"/>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签订时间:</w:t>
      </w:r>
    </w:p>
    <w:p w14:paraId="1B259608">
      <w:pPr>
        <w:pStyle w:val="57"/>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采购人（甲方）：</w:t>
      </w:r>
    </w:p>
    <w:p w14:paraId="5F3126F2">
      <w:pPr>
        <w:pStyle w:val="57"/>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中标人（乙方）：</w:t>
      </w:r>
    </w:p>
    <w:p w14:paraId="35AB5FD9">
      <w:pPr>
        <w:pStyle w:val="57"/>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根据《中华人民共和国政府采购法》及实施条例、《中华人民共和国民法典》和</w:t>
      </w:r>
      <w:r>
        <w:rPr>
          <w:rFonts w:hint="eastAsia" w:ascii="仿宋" w:hAnsi="仿宋" w:eastAsia="仿宋" w:cs="仿宋"/>
          <w:color w:val="000000" w:themeColor="text1"/>
          <w:sz w:val="21"/>
          <w:szCs w:val="21"/>
          <w:highlight w:val="none"/>
          <w:lang w:val="en-US" w:eastAsia="zh-CN"/>
          <w14:textFill>
            <w14:solidFill>
              <w14:schemeClr w14:val="tx1"/>
            </w14:solidFill>
          </w14:textFill>
        </w:rPr>
        <w:t>招标文件</w:t>
      </w:r>
      <w:r>
        <w:rPr>
          <w:rFonts w:hint="eastAsia" w:ascii="仿宋" w:hAnsi="仿宋" w:eastAsia="仿宋" w:cs="仿宋"/>
          <w:color w:val="000000" w:themeColor="text1"/>
          <w:sz w:val="21"/>
          <w:szCs w:val="21"/>
          <w:highlight w:val="none"/>
          <w14:textFill>
            <w14:solidFill>
              <w14:schemeClr w14:val="tx1"/>
            </w14:solidFill>
          </w14:textFill>
        </w:rPr>
        <w:t>文件、投标文件等有关规定，为确保甲方采购项目的顺利实施，甲、乙双方在平等自愿原则下签订本合同，并共同遵守如下条款：</w:t>
      </w:r>
    </w:p>
    <w:p w14:paraId="494FBEDB">
      <w:pPr>
        <w:pStyle w:val="57"/>
        <w:keepNext w:val="0"/>
        <w:keepLines w:val="0"/>
        <w:pageBreakBefore w:val="0"/>
        <w:widowControl w:val="0"/>
        <w:shd w:val="clear"/>
        <w:kinsoku/>
        <w:wordWrap/>
        <w:overflowPunct/>
        <w:topLinePunct w:val="0"/>
        <w:autoSpaceDE/>
        <w:autoSpaceDN/>
        <w:bidi w:val="0"/>
        <w:adjustRightInd w:val="0"/>
        <w:snapToGrid w:val="0"/>
        <w:spacing w:line="360" w:lineRule="auto"/>
        <w:ind w:firstLine="241" w:firstLineChars="100"/>
        <w:textAlignment w:val="auto"/>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559" w:name="_Toc16582"/>
      <w:r>
        <w:rPr>
          <w:rFonts w:hint="eastAsia" w:ascii="仿宋" w:hAnsi="仿宋" w:eastAsia="仿宋" w:cs="仿宋"/>
          <w:b/>
          <w:color w:val="000000" w:themeColor="text1"/>
          <w:sz w:val="24"/>
          <w:szCs w:val="24"/>
          <w:highlight w:val="none"/>
          <w14:textFill>
            <w14:solidFill>
              <w14:schemeClr w14:val="tx1"/>
            </w14:solidFill>
          </w14:textFill>
        </w:rPr>
        <w:t>第一条 合同标的及数量</w:t>
      </w:r>
      <w:bookmarkEnd w:id="559"/>
    </w:p>
    <w:p w14:paraId="6F2EEDAB">
      <w:pPr>
        <w:pStyle w:val="57"/>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乙方向甲方提供下列货物（产品）：</w:t>
      </w:r>
    </w:p>
    <w:p w14:paraId="0AC4B86E">
      <w:pPr>
        <w:pStyle w:val="12"/>
        <w:shd w:val="clear"/>
        <w:spacing w:line="360" w:lineRule="auto"/>
        <w:ind w:firstLine="0"/>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报价一览表</w:t>
      </w:r>
    </w:p>
    <w:tbl>
      <w:tblPr>
        <w:tblStyle w:val="42"/>
        <w:tblpPr w:leftFromText="180" w:rightFromText="180" w:vertAnchor="text" w:horzAnchor="margin" w:tblpX="-555" w:tblpY="309"/>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748"/>
        <w:gridCol w:w="593"/>
        <w:gridCol w:w="861"/>
        <w:gridCol w:w="1087"/>
        <w:gridCol w:w="1299"/>
        <w:gridCol w:w="1228"/>
        <w:gridCol w:w="1568"/>
        <w:gridCol w:w="1383"/>
      </w:tblGrid>
      <w:tr w14:paraId="41165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48" w:type="dxa"/>
            <w:vAlign w:val="center"/>
          </w:tcPr>
          <w:p w14:paraId="28354FD9">
            <w:pPr>
              <w:pStyle w:val="3"/>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bookmarkStart w:id="560" w:name="_Toc26243"/>
            <w:r>
              <w:rPr>
                <w:rFonts w:hint="eastAsia" w:ascii="仿宋" w:hAnsi="仿宋" w:eastAsia="仿宋" w:cs="仿宋"/>
                <w:color w:val="000000" w:themeColor="text1"/>
                <w:sz w:val="21"/>
                <w:szCs w:val="21"/>
                <w:highlight w:val="none"/>
                <w14:textFill>
                  <w14:solidFill>
                    <w14:schemeClr w14:val="tx1"/>
                  </w14:solidFill>
                </w14:textFill>
              </w:rPr>
              <w:t>序号</w:t>
            </w:r>
            <w:bookmarkEnd w:id="560"/>
          </w:p>
        </w:tc>
        <w:tc>
          <w:tcPr>
            <w:tcW w:w="748" w:type="dxa"/>
            <w:vAlign w:val="center"/>
          </w:tcPr>
          <w:p w14:paraId="354C0CE2">
            <w:pPr>
              <w:pStyle w:val="3"/>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bookmarkStart w:id="561" w:name="_Toc6556"/>
            <w:r>
              <w:rPr>
                <w:rFonts w:hint="eastAsia" w:ascii="仿宋" w:hAnsi="仿宋" w:eastAsia="仿宋" w:cs="仿宋"/>
                <w:color w:val="000000" w:themeColor="text1"/>
                <w:sz w:val="21"/>
                <w:szCs w:val="21"/>
                <w:highlight w:val="none"/>
                <w14:textFill>
                  <w14:solidFill>
                    <w14:schemeClr w14:val="tx1"/>
                  </w14:solidFill>
                </w14:textFill>
              </w:rPr>
              <w:t>名称</w:t>
            </w:r>
            <w:bookmarkEnd w:id="561"/>
          </w:p>
        </w:tc>
        <w:tc>
          <w:tcPr>
            <w:tcW w:w="593" w:type="dxa"/>
            <w:vAlign w:val="center"/>
          </w:tcPr>
          <w:p w14:paraId="53DAAB47">
            <w:pPr>
              <w:pStyle w:val="3"/>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bookmarkStart w:id="562" w:name="_Toc23319"/>
            <w:r>
              <w:rPr>
                <w:rFonts w:hint="eastAsia" w:ascii="仿宋" w:hAnsi="仿宋" w:eastAsia="仿宋" w:cs="仿宋"/>
                <w:color w:val="000000" w:themeColor="text1"/>
                <w:sz w:val="21"/>
                <w:szCs w:val="21"/>
                <w:highlight w:val="none"/>
                <w14:textFill>
                  <w14:solidFill>
                    <w14:schemeClr w14:val="tx1"/>
                  </w14:solidFill>
                </w14:textFill>
              </w:rPr>
              <w:t>规格</w:t>
            </w:r>
            <w:bookmarkEnd w:id="562"/>
          </w:p>
        </w:tc>
        <w:tc>
          <w:tcPr>
            <w:tcW w:w="861" w:type="dxa"/>
            <w:vAlign w:val="center"/>
          </w:tcPr>
          <w:p w14:paraId="4B560D95">
            <w:pPr>
              <w:pStyle w:val="3"/>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bookmarkStart w:id="563" w:name="_Toc28484"/>
            <w:r>
              <w:rPr>
                <w:rFonts w:hint="eastAsia" w:ascii="仿宋" w:hAnsi="仿宋" w:eastAsia="仿宋" w:cs="仿宋"/>
                <w:color w:val="000000" w:themeColor="text1"/>
                <w:sz w:val="21"/>
                <w:szCs w:val="21"/>
                <w:highlight w:val="none"/>
                <w:lang w:val="en-US" w:eastAsia="zh-CN"/>
                <w14:textFill>
                  <w14:solidFill>
                    <w14:schemeClr w14:val="tx1"/>
                  </w14:solidFill>
                </w14:textFill>
              </w:rPr>
              <w:t>品牌</w:t>
            </w:r>
          </w:p>
        </w:tc>
        <w:tc>
          <w:tcPr>
            <w:tcW w:w="1087" w:type="dxa"/>
            <w:vAlign w:val="center"/>
          </w:tcPr>
          <w:p w14:paraId="056E736A">
            <w:pPr>
              <w:pStyle w:val="3"/>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制造商</w:t>
            </w:r>
          </w:p>
        </w:tc>
        <w:tc>
          <w:tcPr>
            <w:tcW w:w="1299" w:type="dxa"/>
            <w:vAlign w:val="center"/>
          </w:tcPr>
          <w:p w14:paraId="7DE3889D">
            <w:pPr>
              <w:pStyle w:val="3"/>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计量单位</w:t>
            </w:r>
            <w:bookmarkEnd w:id="563"/>
          </w:p>
        </w:tc>
        <w:tc>
          <w:tcPr>
            <w:tcW w:w="1228" w:type="dxa"/>
            <w:vAlign w:val="center"/>
          </w:tcPr>
          <w:p w14:paraId="4EE48A84">
            <w:pPr>
              <w:pStyle w:val="3"/>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bookmarkStart w:id="564" w:name="_Toc11791"/>
            <w:r>
              <w:rPr>
                <w:rFonts w:hint="eastAsia" w:ascii="仿宋" w:hAnsi="仿宋" w:eastAsia="仿宋" w:cs="仿宋"/>
                <w:color w:val="000000" w:themeColor="text1"/>
                <w:sz w:val="21"/>
                <w:szCs w:val="21"/>
                <w:highlight w:val="none"/>
                <w14:textFill>
                  <w14:solidFill>
                    <w14:schemeClr w14:val="tx1"/>
                  </w14:solidFill>
                </w14:textFill>
              </w:rPr>
              <w:t>数量</w:t>
            </w:r>
            <w:bookmarkEnd w:id="564"/>
          </w:p>
        </w:tc>
        <w:tc>
          <w:tcPr>
            <w:tcW w:w="1568" w:type="dxa"/>
            <w:vAlign w:val="center"/>
          </w:tcPr>
          <w:p w14:paraId="231BA743">
            <w:pPr>
              <w:pStyle w:val="3"/>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bookmarkStart w:id="565" w:name="_Toc12328"/>
            <w:r>
              <w:rPr>
                <w:rFonts w:hint="eastAsia" w:ascii="仿宋" w:hAnsi="仿宋" w:eastAsia="仿宋" w:cs="仿宋"/>
                <w:color w:val="000000" w:themeColor="text1"/>
                <w:sz w:val="21"/>
                <w:szCs w:val="21"/>
                <w:highlight w:val="none"/>
                <w14:textFill>
                  <w14:solidFill>
                    <w14:schemeClr w14:val="tx1"/>
                  </w14:solidFill>
                </w14:textFill>
              </w:rPr>
              <w:t>单价（元）</w:t>
            </w:r>
            <w:bookmarkEnd w:id="565"/>
          </w:p>
        </w:tc>
        <w:tc>
          <w:tcPr>
            <w:tcW w:w="1383" w:type="dxa"/>
            <w:vAlign w:val="center"/>
          </w:tcPr>
          <w:p w14:paraId="0E29BC61">
            <w:pPr>
              <w:pStyle w:val="3"/>
              <w:keepNext w:val="0"/>
              <w:keepLines w:val="0"/>
              <w:pageBreakBefore w:val="0"/>
              <w:widowControl w:val="0"/>
              <w:shd w:val="clear"/>
              <w:kinsoku/>
              <w:wordWrap/>
              <w:overflowPunct/>
              <w:topLinePunct w:val="0"/>
              <w:autoSpaceDE/>
              <w:autoSpaceDN/>
              <w:bidi w:val="0"/>
              <w:adjustRightInd w:val="0"/>
              <w:snapToGrid w:val="0"/>
              <w:spacing w:line="240" w:lineRule="auto"/>
              <w:ind w:left="0" w:firstLine="211" w:firstLineChars="100"/>
              <w:textAlignment w:val="auto"/>
              <w:rPr>
                <w:rFonts w:hint="eastAsia" w:ascii="仿宋" w:hAnsi="仿宋" w:eastAsia="仿宋" w:cs="仿宋"/>
                <w:color w:val="000000" w:themeColor="text1"/>
                <w:sz w:val="21"/>
                <w:szCs w:val="21"/>
                <w:highlight w:val="none"/>
                <w14:textFill>
                  <w14:solidFill>
                    <w14:schemeClr w14:val="tx1"/>
                  </w14:solidFill>
                </w14:textFill>
              </w:rPr>
            </w:pPr>
            <w:bookmarkStart w:id="566" w:name="_Toc7450"/>
            <w:r>
              <w:rPr>
                <w:rFonts w:hint="eastAsia" w:ascii="仿宋" w:hAnsi="仿宋" w:eastAsia="仿宋" w:cs="仿宋"/>
                <w:color w:val="000000" w:themeColor="text1"/>
                <w:sz w:val="21"/>
                <w:szCs w:val="21"/>
                <w:highlight w:val="none"/>
                <w14:textFill>
                  <w14:solidFill>
                    <w14:schemeClr w14:val="tx1"/>
                  </w14:solidFill>
                </w14:textFill>
              </w:rPr>
              <w:t>金额 (元)</w:t>
            </w:r>
            <w:bookmarkEnd w:id="566"/>
          </w:p>
        </w:tc>
      </w:tr>
      <w:tr w14:paraId="70793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48" w:type="dxa"/>
          </w:tcPr>
          <w:p w14:paraId="4E760ADF">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748" w:type="dxa"/>
          </w:tcPr>
          <w:p w14:paraId="2B84C14A">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593" w:type="dxa"/>
          </w:tcPr>
          <w:p w14:paraId="36A56F9B">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861" w:type="dxa"/>
          </w:tcPr>
          <w:p w14:paraId="3D826779">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1087" w:type="dxa"/>
          </w:tcPr>
          <w:p w14:paraId="22B7ABC2">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1299" w:type="dxa"/>
          </w:tcPr>
          <w:p w14:paraId="77A2A14E">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1228" w:type="dxa"/>
          </w:tcPr>
          <w:p w14:paraId="1F9A51E3">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1568" w:type="dxa"/>
          </w:tcPr>
          <w:p w14:paraId="55813A89">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1383" w:type="dxa"/>
          </w:tcPr>
          <w:p w14:paraId="0655EA31">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r>
      <w:tr w14:paraId="5E79F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48" w:type="dxa"/>
          </w:tcPr>
          <w:p w14:paraId="3904826B">
            <w:pPr>
              <w:pStyle w:val="12"/>
              <w:shd w:val="clear"/>
              <w:spacing w:line="360" w:lineRule="auto"/>
              <w:rPr>
                <w:rFonts w:hint="eastAsia" w:ascii="仿宋" w:hAnsi="仿宋" w:eastAsia="仿宋" w:cs="仿宋"/>
                <w:color w:val="000000" w:themeColor="text1"/>
                <w:highlight w:val="none"/>
                <w14:textFill>
                  <w14:solidFill>
                    <w14:schemeClr w14:val="tx1"/>
                  </w14:solidFill>
                </w14:textFill>
              </w:rPr>
            </w:pPr>
          </w:p>
        </w:tc>
        <w:tc>
          <w:tcPr>
            <w:tcW w:w="748" w:type="dxa"/>
          </w:tcPr>
          <w:p w14:paraId="2A6D22E8">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593" w:type="dxa"/>
          </w:tcPr>
          <w:p w14:paraId="0AA0ECD2">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861" w:type="dxa"/>
          </w:tcPr>
          <w:p w14:paraId="23A760CA">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1087" w:type="dxa"/>
          </w:tcPr>
          <w:p w14:paraId="4CEA85F6">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1299" w:type="dxa"/>
          </w:tcPr>
          <w:p w14:paraId="7A865AD9">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1228" w:type="dxa"/>
          </w:tcPr>
          <w:p w14:paraId="661DE69F">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1568" w:type="dxa"/>
          </w:tcPr>
          <w:p w14:paraId="143F43E6">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1383" w:type="dxa"/>
          </w:tcPr>
          <w:p w14:paraId="4E2FBD98">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r>
      <w:tr w14:paraId="3BBBF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48" w:type="dxa"/>
          </w:tcPr>
          <w:p w14:paraId="2EE2C18E">
            <w:pPr>
              <w:pStyle w:val="12"/>
              <w:shd w:val="clear"/>
              <w:spacing w:line="360" w:lineRule="auto"/>
              <w:rPr>
                <w:rFonts w:hint="eastAsia" w:ascii="仿宋" w:hAnsi="仿宋" w:eastAsia="仿宋" w:cs="仿宋"/>
                <w:color w:val="000000" w:themeColor="text1"/>
                <w:highlight w:val="none"/>
                <w14:textFill>
                  <w14:solidFill>
                    <w14:schemeClr w14:val="tx1"/>
                  </w14:solidFill>
                </w14:textFill>
              </w:rPr>
            </w:pPr>
          </w:p>
        </w:tc>
        <w:tc>
          <w:tcPr>
            <w:tcW w:w="748" w:type="dxa"/>
          </w:tcPr>
          <w:p w14:paraId="1289B866">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593" w:type="dxa"/>
          </w:tcPr>
          <w:p w14:paraId="6B07938D">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861" w:type="dxa"/>
          </w:tcPr>
          <w:p w14:paraId="52D3C6B9">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1087" w:type="dxa"/>
          </w:tcPr>
          <w:p w14:paraId="0B119DC3">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1299" w:type="dxa"/>
          </w:tcPr>
          <w:p w14:paraId="60A2E5AF">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1228" w:type="dxa"/>
          </w:tcPr>
          <w:p w14:paraId="2C47AF8A">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1568" w:type="dxa"/>
          </w:tcPr>
          <w:p w14:paraId="036714C1">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1383" w:type="dxa"/>
          </w:tcPr>
          <w:p w14:paraId="37B7D179">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r>
      <w:tr w14:paraId="79C57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48" w:type="dxa"/>
          </w:tcPr>
          <w:p w14:paraId="55C5BCB3">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748" w:type="dxa"/>
          </w:tcPr>
          <w:p w14:paraId="6F120763">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593" w:type="dxa"/>
          </w:tcPr>
          <w:p w14:paraId="213FC11A">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861" w:type="dxa"/>
          </w:tcPr>
          <w:p w14:paraId="128288F9">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1087" w:type="dxa"/>
          </w:tcPr>
          <w:p w14:paraId="78A01841">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1299" w:type="dxa"/>
          </w:tcPr>
          <w:p w14:paraId="4E44681B">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1228" w:type="dxa"/>
          </w:tcPr>
          <w:p w14:paraId="7188414A">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1568" w:type="dxa"/>
          </w:tcPr>
          <w:p w14:paraId="159A26E1">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1383" w:type="dxa"/>
          </w:tcPr>
          <w:p w14:paraId="4FE2F527">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r>
      <w:tr w14:paraId="031DC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48" w:type="dxa"/>
          </w:tcPr>
          <w:p w14:paraId="38D72858">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748" w:type="dxa"/>
          </w:tcPr>
          <w:p w14:paraId="3A170230">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593" w:type="dxa"/>
          </w:tcPr>
          <w:p w14:paraId="17699B97">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861" w:type="dxa"/>
          </w:tcPr>
          <w:p w14:paraId="250F09BA">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1087" w:type="dxa"/>
          </w:tcPr>
          <w:p w14:paraId="6DEF677C">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1299" w:type="dxa"/>
          </w:tcPr>
          <w:p w14:paraId="08928453">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1228" w:type="dxa"/>
          </w:tcPr>
          <w:p w14:paraId="228A4081">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1568" w:type="dxa"/>
          </w:tcPr>
          <w:p w14:paraId="577EB900">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1383" w:type="dxa"/>
          </w:tcPr>
          <w:p w14:paraId="509C98BF">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r>
      <w:tr w14:paraId="30A05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48" w:type="dxa"/>
          </w:tcPr>
          <w:p w14:paraId="5999593E">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748" w:type="dxa"/>
          </w:tcPr>
          <w:p w14:paraId="753782C9">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593" w:type="dxa"/>
          </w:tcPr>
          <w:p w14:paraId="6FBFE6F5">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861" w:type="dxa"/>
          </w:tcPr>
          <w:p w14:paraId="71245ED0">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1087" w:type="dxa"/>
          </w:tcPr>
          <w:p w14:paraId="347296E5">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1299" w:type="dxa"/>
          </w:tcPr>
          <w:p w14:paraId="00D78763">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1228" w:type="dxa"/>
          </w:tcPr>
          <w:p w14:paraId="4E6F493C">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1568" w:type="dxa"/>
          </w:tcPr>
          <w:p w14:paraId="7986734E">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1383" w:type="dxa"/>
          </w:tcPr>
          <w:p w14:paraId="4B9C311D">
            <w:pPr>
              <w:pStyle w:val="3"/>
              <w:shd w:val="clear"/>
              <w:outlineLvl w:val="9"/>
              <w:rPr>
                <w:rFonts w:hint="eastAsia" w:ascii="仿宋" w:hAnsi="仿宋" w:eastAsia="仿宋" w:cs="仿宋"/>
                <w:color w:val="000000" w:themeColor="text1"/>
                <w:sz w:val="24"/>
                <w:szCs w:val="24"/>
                <w:highlight w:val="none"/>
                <w14:textFill>
                  <w14:solidFill>
                    <w14:schemeClr w14:val="tx1"/>
                  </w14:solidFill>
                </w14:textFill>
              </w:rPr>
            </w:pPr>
          </w:p>
        </w:tc>
      </w:tr>
      <w:tr w14:paraId="4629E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89" w:type="dxa"/>
            <w:gridSpan w:val="3"/>
          </w:tcPr>
          <w:p w14:paraId="15660B05">
            <w:pPr>
              <w:pStyle w:val="3"/>
              <w:shd w:val="clear"/>
              <w:ind w:firstLine="310" w:firstLineChars="147"/>
              <w:rPr>
                <w:rFonts w:hint="eastAsia" w:ascii="仿宋" w:hAnsi="仿宋" w:eastAsia="仿宋" w:cs="仿宋"/>
                <w:color w:val="000000" w:themeColor="text1"/>
                <w:sz w:val="21"/>
                <w:szCs w:val="21"/>
                <w:highlight w:val="none"/>
                <w14:textFill>
                  <w14:solidFill>
                    <w14:schemeClr w14:val="tx1"/>
                  </w14:solidFill>
                </w14:textFill>
              </w:rPr>
            </w:pPr>
            <w:bookmarkStart w:id="567" w:name="_Toc12416"/>
            <w:r>
              <w:rPr>
                <w:rFonts w:hint="eastAsia" w:ascii="仿宋" w:hAnsi="仿宋" w:eastAsia="仿宋" w:cs="仿宋"/>
                <w:color w:val="000000" w:themeColor="text1"/>
                <w:sz w:val="21"/>
                <w:szCs w:val="21"/>
                <w:highlight w:val="none"/>
                <w14:textFill>
                  <w14:solidFill>
                    <w14:schemeClr w14:val="tx1"/>
                  </w14:solidFill>
                </w14:textFill>
              </w:rPr>
              <w:t>合计</w:t>
            </w:r>
            <w:bookmarkEnd w:id="567"/>
          </w:p>
        </w:tc>
        <w:tc>
          <w:tcPr>
            <w:tcW w:w="861" w:type="dxa"/>
            <w:vAlign w:val="center"/>
          </w:tcPr>
          <w:p w14:paraId="242EAB7E">
            <w:pPr>
              <w:pStyle w:val="3"/>
              <w:shd w:val="clear"/>
              <w:rPr>
                <w:rFonts w:hint="eastAsia" w:ascii="仿宋" w:hAnsi="仿宋" w:eastAsia="仿宋" w:cs="仿宋"/>
                <w:color w:val="000000" w:themeColor="text1"/>
                <w:sz w:val="21"/>
                <w:szCs w:val="21"/>
                <w:highlight w:val="none"/>
                <w14:textFill>
                  <w14:solidFill>
                    <w14:schemeClr w14:val="tx1"/>
                  </w14:solidFill>
                </w14:textFill>
              </w:rPr>
            </w:pPr>
            <w:bookmarkStart w:id="568" w:name="_Toc3021"/>
          </w:p>
        </w:tc>
        <w:tc>
          <w:tcPr>
            <w:tcW w:w="1087" w:type="dxa"/>
            <w:vAlign w:val="center"/>
          </w:tcPr>
          <w:p w14:paraId="7E126D42">
            <w:pPr>
              <w:pStyle w:val="3"/>
              <w:shd w:val="clear"/>
              <w:rPr>
                <w:rFonts w:hint="eastAsia" w:ascii="仿宋" w:hAnsi="仿宋" w:eastAsia="仿宋" w:cs="仿宋"/>
                <w:color w:val="000000" w:themeColor="text1"/>
                <w:sz w:val="21"/>
                <w:szCs w:val="21"/>
                <w:highlight w:val="none"/>
                <w14:textFill>
                  <w14:solidFill>
                    <w14:schemeClr w14:val="tx1"/>
                  </w14:solidFill>
                </w14:textFill>
              </w:rPr>
            </w:pPr>
          </w:p>
        </w:tc>
        <w:tc>
          <w:tcPr>
            <w:tcW w:w="2527" w:type="dxa"/>
            <w:gridSpan w:val="2"/>
            <w:vAlign w:val="center"/>
          </w:tcPr>
          <w:p w14:paraId="5372D82B">
            <w:pPr>
              <w:pStyle w:val="3"/>
              <w:shd w:val="clea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大写</w:t>
            </w:r>
            <w:bookmarkEnd w:id="568"/>
          </w:p>
        </w:tc>
        <w:tc>
          <w:tcPr>
            <w:tcW w:w="2951" w:type="dxa"/>
            <w:gridSpan w:val="2"/>
            <w:vAlign w:val="center"/>
          </w:tcPr>
          <w:p w14:paraId="2AD1757E">
            <w:pPr>
              <w:pStyle w:val="3"/>
              <w:shd w:val="clear"/>
              <w:rPr>
                <w:rFonts w:hint="eastAsia" w:ascii="仿宋" w:hAnsi="仿宋" w:eastAsia="仿宋" w:cs="仿宋"/>
                <w:color w:val="000000" w:themeColor="text1"/>
                <w:sz w:val="21"/>
                <w:szCs w:val="21"/>
                <w:highlight w:val="none"/>
                <w14:textFill>
                  <w14:solidFill>
                    <w14:schemeClr w14:val="tx1"/>
                  </w14:solidFill>
                </w14:textFill>
              </w:rPr>
            </w:pPr>
            <w:bookmarkStart w:id="569" w:name="_Toc3291"/>
            <w:r>
              <w:rPr>
                <w:rFonts w:hint="eastAsia" w:ascii="仿宋" w:hAnsi="仿宋" w:eastAsia="仿宋" w:cs="仿宋"/>
                <w:color w:val="000000" w:themeColor="text1"/>
                <w:sz w:val="21"/>
                <w:szCs w:val="21"/>
                <w:highlight w:val="none"/>
                <w14:textFill>
                  <w14:solidFill>
                    <w14:schemeClr w14:val="tx1"/>
                  </w14:solidFill>
                </w14:textFill>
              </w:rPr>
              <w:t>¥</w:t>
            </w:r>
            <w:bookmarkEnd w:id="569"/>
          </w:p>
        </w:tc>
      </w:tr>
    </w:tbl>
    <w:p w14:paraId="168F70B3">
      <w:pPr>
        <w:pStyle w:val="57"/>
        <w:keepNext w:val="0"/>
        <w:keepLines w:val="0"/>
        <w:pageBreakBefore w:val="0"/>
        <w:widowControl w:val="0"/>
        <w:shd w:val="clear"/>
        <w:kinsoku/>
        <w:wordWrap/>
        <w:overflowPunct/>
        <w:topLinePunct w:val="0"/>
        <w:autoSpaceDE/>
        <w:autoSpaceDN/>
        <w:bidi w:val="0"/>
        <w:adjustRightInd w:val="0"/>
        <w:snapToGrid w:val="0"/>
        <w:spacing w:line="360" w:lineRule="auto"/>
        <w:ind w:firstLine="241" w:firstLineChars="100"/>
        <w:textAlignment w:val="auto"/>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570" w:name="_Toc5759"/>
      <w:r>
        <w:rPr>
          <w:rFonts w:hint="eastAsia" w:ascii="仿宋" w:hAnsi="仿宋" w:eastAsia="仿宋" w:cs="仿宋"/>
          <w:b/>
          <w:color w:val="000000" w:themeColor="text1"/>
          <w:sz w:val="24"/>
          <w:szCs w:val="24"/>
          <w:highlight w:val="none"/>
          <w14:textFill>
            <w14:solidFill>
              <w14:schemeClr w14:val="tx1"/>
            </w14:solidFill>
          </w14:textFill>
        </w:rPr>
        <w:t>第二条 合同价款</w:t>
      </w:r>
      <w:bookmarkEnd w:id="570"/>
    </w:p>
    <w:p w14:paraId="114D7E3E">
      <w:pPr>
        <w:pStyle w:val="3"/>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jc w:val="left"/>
        <w:rPr>
          <w:rFonts w:hint="eastAsia" w:ascii="仿宋" w:hAnsi="仿宋" w:eastAsia="仿宋" w:cs="仿宋"/>
          <w:b w:val="0"/>
          <w:color w:val="000000" w:themeColor="text1"/>
          <w:sz w:val="21"/>
          <w:szCs w:val="21"/>
          <w:highlight w:val="none"/>
          <w14:textFill>
            <w14:solidFill>
              <w14:schemeClr w14:val="tx1"/>
            </w14:solidFill>
          </w14:textFill>
        </w:rPr>
      </w:pPr>
      <w:bookmarkStart w:id="571" w:name="_Toc16920"/>
      <w:r>
        <w:rPr>
          <w:rFonts w:hint="eastAsia" w:ascii="仿宋" w:hAnsi="仿宋" w:eastAsia="仿宋" w:cs="仿宋"/>
          <w:b w:val="0"/>
          <w:color w:val="000000" w:themeColor="text1"/>
          <w:sz w:val="21"/>
          <w:szCs w:val="21"/>
          <w:highlight w:val="none"/>
          <w14:textFill>
            <w14:solidFill>
              <w14:schemeClr w14:val="tx1"/>
            </w14:solidFill>
          </w14:textFill>
        </w:rPr>
        <w:t>1、合同总价为人民币大写：</w:t>
      </w:r>
      <w:r>
        <w:rPr>
          <w:rFonts w:hint="eastAsia" w:ascii="仿宋" w:hAnsi="仿宋" w:eastAsia="仿宋" w:cs="仿宋"/>
          <w:b w:val="0"/>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b w:val="0"/>
          <w:color w:val="000000" w:themeColor="text1"/>
          <w:sz w:val="21"/>
          <w:szCs w:val="21"/>
          <w:highlight w:val="none"/>
          <w:u w:val="single"/>
          <w14:textFill>
            <w14:solidFill>
              <w14:schemeClr w14:val="tx1"/>
            </w14:solidFill>
          </w14:textFill>
        </w:rPr>
        <w:t>元，RMB¥</w:t>
      </w:r>
      <w:r>
        <w:rPr>
          <w:rFonts w:hint="eastAsia" w:ascii="仿宋" w:hAnsi="仿宋" w:eastAsia="仿宋" w:cs="仿宋"/>
          <w:b w:val="0"/>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b w:val="0"/>
          <w:color w:val="000000" w:themeColor="text1"/>
          <w:sz w:val="21"/>
          <w:szCs w:val="21"/>
          <w:highlight w:val="none"/>
          <w14:textFill>
            <w14:solidFill>
              <w14:schemeClr w14:val="tx1"/>
            </w14:solidFill>
          </w14:textFill>
        </w:rPr>
        <w:t>。</w:t>
      </w:r>
      <w:bookmarkEnd w:id="571"/>
    </w:p>
    <w:p w14:paraId="47F77A1A">
      <w:pPr>
        <w:pStyle w:val="3"/>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jc w:val="left"/>
        <w:rPr>
          <w:rFonts w:hint="eastAsia" w:ascii="仿宋" w:hAnsi="仿宋" w:eastAsia="仿宋" w:cs="仿宋"/>
          <w:b w:val="0"/>
          <w:color w:val="000000" w:themeColor="text1"/>
          <w:sz w:val="21"/>
          <w:szCs w:val="21"/>
          <w:highlight w:val="none"/>
          <w14:textFill>
            <w14:solidFill>
              <w14:schemeClr w14:val="tx1"/>
            </w14:solidFill>
          </w14:textFill>
        </w:rPr>
      </w:pPr>
      <w:bookmarkStart w:id="572" w:name="_Toc22771"/>
      <w:r>
        <w:rPr>
          <w:rFonts w:hint="eastAsia" w:ascii="仿宋" w:hAnsi="仿宋" w:eastAsia="仿宋" w:cs="仿宋"/>
          <w:b w:val="0"/>
          <w:color w:val="000000" w:themeColor="text1"/>
          <w:sz w:val="21"/>
          <w:szCs w:val="21"/>
          <w:highlight w:val="none"/>
          <w14:textFill>
            <w14:solidFill>
              <w14:schemeClr w14:val="tx1"/>
            </w14:solidFill>
          </w14:textFill>
        </w:rPr>
        <w:t>2、本合同总价是货物（产品）包装、运输等其他有关各项的含税费用。</w:t>
      </w:r>
      <w:bookmarkEnd w:id="572"/>
    </w:p>
    <w:p w14:paraId="4DE2CE3F">
      <w:pPr>
        <w:pStyle w:val="3"/>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jc w:val="left"/>
        <w:rPr>
          <w:rFonts w:hint="eastAsia" w:ascii="仿宋" w:hAnsi="仿宋" w:eastAsia="仿宋" w:cs="仿宋"/>
          <w:b w:val="0"/>
          <w:color w:val="000000" w:themeColor="text1"/>
          <w:sz w:val="21"/>
          <w:szCs w:val="21"/>
          <w:highlight w:val="none"/>
          <w14:textFill>
            <w14:solidFill>
              <w14:schemeClr w14:val="tx1"/>
            </w14:solidFill>
          </w14:textFill>
        </w:rPr>
      </w:pPr>
      <w:bookmarkStart w:id="573" w:name="_Toc11740"/>
      <w:r>
        <w:rPr>
          <w:rFonts w:hint="eastAsia" w:ascii="仿宋" w:hAnsi="仿宋" w:eastAsia="仿宋" w:cs="仿宋"/>
          <w:b w:val="0"/>
          <w:color w:val="000000" w:themeColor="text1"/>
          <w:sz w:val="21"/>
          <w:szCs w:val="21"/>
          <w:highlight w:val="none"/>
          <w14:textFill>
            <w14:solidFill>
              <w14:schemeClr w14:val="tx1"/>
            </w14:solidFill>
          </w14:textFill>
        </w:rPr>
        <w:t>3、本合同总价还包含乙方应当提供的伴随服务和售后服务费用。</w:t>
      </w:r>
      <w:bookmarkEnd w:id="573"/>
    </w:p>
    <w:p w14:paraId="3A59AB83">
      <w:pPr>
        <w:pStyle w:val="3"/>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jc w:val="left"/>
        <w:rPr>
          <w:rFonts w:hint="eastAsia" w:ascii="仿宋" w:hAnsi="仿宋" w:eastAsia="仿宋" w:cs="仿宋"/>
          <w:b w:val="0"/>
          <w:color w:val="000000" w:themeColor="text1"/>
          <w:sz w:val="21"/>
          <w:szCs w:val="21"/>
          <w:highlight w:val="none"/>
          <w14:textFill>
            <w14:solidFill>
              <w14:schemeClr w14:val="tx1"/>
            </w14:solidFill>
          </w14:textFill>
        </w:rPr>
      </w:pPr>
      <w:bookmarkStart w:id="574" w:name="_Toc28511"/>
      <w:r>
        <w:rPr>
          <w:rFonts w:hint="eastAsia" w:ascii="仿宋" w:hAnsi="仿宋" w:eastAsia="仿宋" w:cs="仿宋"/>
          <w:b w:val="0"/>
          <w:color w:val="000000" w:themeColor="text1"/>
          <w:sz w:val="21"/>
          <w:szCs w:val="21"/>
          <w:highlight w:val="none"/>
          <w14:textFill>
            <w14:solidFill>
              <w14:schemeClr w14:val="tx1"/>
            </w14:solidFill>
          </w14:textFill>
        </w:rPr>
        <w:t>4、本合同执行期间合同总价不变，甲方无须另向乙方支付本合同规定之外的其他任何费用。</w:t>
      </w:r>
      <w:bookmarkEnd w:id="574"/>
    </w:p>
    <w:p w14:paraId="21CB38E3">
      <w:pPr>
        <w:pStyle w:val="3"/>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jc w:val="left"/>
        <w:rPr>
          <w:rFonts w:hint="eastAsia" w:ascii="仿宋" w:hAnsi="仿宋" w:eastAsia="仿宋" w:cs="仿宋"/>
          <w:b w:val="0"/>
          <w:color w:val="000000" w:themeColor="text1"/>
          <w:sz w:val="21"/>
          <w:szCs w:val="21"/>
          <w:highlight w:val="none"/>
          <w14:textFill>
            <w14:solidFill>
              <w14:schemeClr w14:val="tx1"/>
            </w14:solidFill>
          </w14:textFill>
        </w:rPr>
      </w:pPr>
      <w:bookmarkStart w:id="575" w:name="_Toc1038"/>
      <w:r>
        <w:rPr>
          <w:rFonts w:hint="eastAsia" w:ascii="仿宋" w:hAnsi="仿宋" w:eastAsia="仿宋" w:cs="仿宋"/>
          <w:b w:val="0"/>
          <w:color w:val="000000" w:themeColor="text1"/>
          <w:sz w:val="21"/>
          <w:szCs w:val="21"/>
          <w:highlight w:val="none"/>
          <w14:textFill>
            <w14:solidFill>
              <w14:schemeClr w14:val="tx1"/>
            </w14:solidFill>
          </w14:textFill>
        </w:rPr>
        <w:t>5、本合同总价需包含完成本项目所必须的全部费用。（产品如涉及专利等方面问题，应按 国家相关规定取得授权并确保不发生纠纷，投标（中标）企业须承担相关费用，如产生纠纷 由投标（中标）企业承担全部责任。）</w:t>
      </w:r>
      <w:bookmarkEnd w:id="575"/>
    </w:p>
    <w:p w14:paraId="70177380">
      <w:pPr>
        <w:pStyle w:val="3"/>
        <w:keepNext w:val="0"/>
        <w:keepLines w:val="0"/>
        <w:pageBreakBefore w:val="0"/>
        <w:shd w:val="clear"/>
        <w:kinsoku/>
        <w:wordWrap/>
        <w:overflowPunct/>
        <w:topLinePunct w:val="0"/>
        <w:autoSpaceDE/>
        <w:autoSpaceDN/>
        <w:bidi w:val="0"/>
        <w:adjustRightInd w:val="0"/>
        <w:snapToGrid w:val="0"/>
        <w:spacing w:line="360" w:lineRule="auto"/>
        <w:ind w:left="0" w:leftChars="0" w:firstLine="241" w:firstLineChars="100"/>
        <w:jc w:val="both"/>
        <w:rPr>
          <w:rFonts w:hint="eastAsia" w:ascii="仿宋" w:hAnsi="仿宋" w:eastAsia="仿宋" w:cs="仿宋"/>
          <w:color w:val="000000" w:themeColor="text1"/>
          <w:sz w:val="24"/>
          <w:szCs w:val="24"/>
          <w:highlight w:val="none"/>
          <w14:textFill>
            <w14:solidFill>
              <w14:schemeClr w14:val="tx1"/>
            </w14:solidFill>
          </w14:textFill>
        </w:rPr>
      </w:pPr>
      <w:bookmarkStart w:id="576" w:name="_Toc11403"/>
      <w:r>
        <w:rPr>
          <w:rFonts w:hint="eastAsia" w:ascii="仿宋" w:hAnsi="仿宋" w:eastAsia="仿宋" w:cs="仿宋"/>
          <w:color w:val="000000" w:themeColor="text1"/>
          <w:sz w:val="24"/>
          <w:szCs w:val="24"/>
          <w:highlight w:val="none"/>
          <w14:textFill>
            <w14:solidFill>
              <w14:schemeClr w14:val="tx1"/>
            </w14:solidFill>
          </w14:textFill>
        </w:rPr>
        <w:t>第三条 货款支付</w:t>
      </w:r>
      <w:bookmarkEnd w:id="576"/>
    </w:p>
    <w:p w14:paraId="021EB309">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outlineLvl w:val="1"/>
        <w:rPr>
          <w:rFonts w:hint="eastAsia" w:ascii="仿宋" w:hAnsi="仿宋" w:eastAsia="仿宋" w:cs="仿宋"/>
          <w:color w:val="000000" w:themeColor="text1"/>
          <w:sz w:val="21"/>
          <w:szCs w:val="21"/>
          <w:highlight w:val="none"/>
          <w:lang w:val="en-US" w:eastAsia="zh-CN"/>
          <w14:textFill>
            <w14:solidFill>
              <w14:schemeClr w14:val="tx1"/>
            </w14:solidFill>
          </w14:textFill>
        </w:rPr>
      </w:pPr>
      <w:bookmarkStart w:id="577" w:name="_Toc26850"/>
      <w:r>
        <w:rPr>
          <w:rFonts w:hint="eastAsia" w:ascii="仿宋" w:hAnsi="仿宋" w:eastAsia="仿宋" w:cs="仿宋"/>
          <w:color w:val="000000" w:themeColor="text1"/>
          <w:sz w:val="21"/>
          <w:szCs w:val="21"/>
          <w:highlight w:val="none"/>
          <w:lang w:val="en-US" w:eastAsia="zh-CN"/>
          <w14:textFill>
            <w14:solidFill>
              <w14:schemeClr w14:val="tx1"/>
            </w14:solidFill>
          </w14:textFill>
        </w:rPr>
        <w:t>执行招标文件内要求</w:t>
      </w:r>
    </w:p>
    <w:p w14:paraId="3C8B999D">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41" w:firstLineChars="100"/>
        <w:outlineLvl w:val="1"/>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 xml:space="preserve">第四条 </w:t>
      </w:r>
      <w:r>
        <w:rPr>
          <w:rFonts w:hint="eastAsia" w:ascii="仿宋" w:hAnsi="仿宋" w:eastAsia="仿宋" w:cs="仿宋"/>
          <w:b/>
          <w:bCs/>
          <w:color w:val="000000" w:themeColor="text1"/>
          <w:kern w:val="0"/>
          <w:sz w:val="24"/>
          <w:szCs w:val="24"/>
          <w:highlight w:val="none"/>
          <w:lang w:eastAsia="zh-CN"/>
          <w14:textFill>
            <w14:solidFill>
              <w14:schemeClr w14:val="tx1"/>
            </w14:solidFill>
          </w14:textFill>
        </w:rPr>
        <w:t>交付期</w:t>
      </w:r>
      <w:r>
        <w:rPr>
          <w:rFonts w:hint="eastAsia" w:ascii="仿宋" w:hAnsi="仿宋" w:eastAsia="仿宋" w:cs="仿宋"/>
          <w:b/>
          <w:bCs/>
          <w:color w:val="000000" w:themeColor="text1"/>
          <w:kern w:val="0"/>
          <w:sz w:val="24"/>
          <w:szCs w:val="24"/>
          <w:highlight w:val="none"/>
          <w14:textFill>
            <w14:solidFill>
              <w14:schemeClr w14:val="tx1"/>
            </w14:solidFill>
          </w14:textFill>
        </w:rPr>
        <w:t>与地点</w:t>
      </w:r>
      <w:bookmarkEnd w:id="577"/>
    </w:p>
    <w:p w14:paraId="0A453B57">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交付期</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执行招标文件内要求</w:t>
      </w:r>
    </w:p>
    <w:p w14:paraId="5FFFAFC9">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1.1.1中标人未征得采购人同意和谅解而单方面延迟履行合同期限，将按违约终止合同。</w:t>
      </w:r>
    </w:p>
    <w:p w14:paraId="6BFEE982">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1.1.2采购人遇到可能妨碍按时完工的情况，应当及时以书面形式通知采购人，说明原由、拖延的期限等；采购人在收到通知后，尽快进行情况评估并确定是否通过修改合同，酌情延长服务时间或者通过协商加收误期赔偿金。</w:t>
      </w:r>
    </w:p>
    <w:p w14:paraId="58865E8A">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1.1.3如在供货过程中出现不可抗力得原因影响供货时间的，</w:t>
      </w:r>
      <w:r>
        <w:rPr>
          <w:rFonts w:hint="eastAsia" w:ascii="仿宋" w:hAnsi="仿宋" w:eastAsia="仿宋" w:cs="仿宋"/>
          <w:color w:val="000000" w:themeColor="text1"/>
          <w:sz w:val="21"/>
          <w:szCs w:val="21"/>
          <w:highlight w:val="none"/>
          <w:lang w:eastAsia="zh-CN"/>
          <w14:textFill>
            <w14:solidFill>
              <w14:schemeClr w14:val="tx1"/>
            </w14:solidFill>
          </w14:textFill>
        </w:rPr>
        <w:t>交付期</w:t>
      </w:r>
      <w:r>
        <w:rPr>
          <w:rFonts w:hint="eastAsia" w:ascii="仿宋" w:hAnsi="仿宋" w:eastAsia="仿宋" w:cs="仿宋"/>
          <w:color w:val="000000" w:themeColor="text1"/>
          <w:sz w:val="21"/>
          <w:szCs w:val="21"/>
          <w:highlight w:val="none"/>
          <w14:textFill>
            <w14:solidFill>
              <w14:schemeClr w14:val="tx1"/>
            </w14:solidFill>
          </w14:textFill>
        </w:rPr>
        <w:t>相应顺延。</w:t>
      </w:r>
    </w:p>
    <w:p w14:paraId="19256193">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地点：</w:t>
      </w:r>
      <w:r>
        <w:rPr>
          <w:rFonts w:hint="eastAsia" w:ascii="仿宋" w:hAnsi="仿宋" w:eastAsia="仿宋" w:cs="仿宋"/>
          <w:color w:val="000000" w:themeColor="text1"/>
          <w:kern w:val="2"/>
          <w:sz w:val="21"/>
          <w:szCs w:val="21"/>
          <w:highlight w:val="none"/>
          <w:lang w:val="en-US" w:eastAsia="zh-CN"/>
          <w14:textFill>
            <w14:solidFill>
              <w14:schemeClr w14:val="tx1"/>
            </w14:solidFill>
          </w14:textFill>
        </w:rPr>
        <w:t>采购人指定地点。</w:t>
      </w:r>
    </w:p>
    <w:p w14:paraId="5C57B603">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41" w:firstLineChars="100"/>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578" w:name="_Toc5671"/>
      <w:r>
        <w:rPr>
          <w:rFonts w:hint="eastAsia" w:ascii="仿宋" w:hAnsi="仿宋" w:eastAsia="仿宋" w:cs="仿宋"/>
          <w:b/>
          <w:color w:val="000000" w:themeColor="text1"/>
          <w:sz w:val="24"/>
          <w:szCs w:val="24"/>
          <w:highlight w:val="none"/>
          <w14:textFill>
            <w14:solidFill>
              <w14:schemeClr w14:val="tx1"/>
            </w14:solidFill>
          </w14:textFill>
        </w:rPr>
        <w:t>第五条 质量保证</w:t>
      </w:r>
      <w:bookmarkEnd w:id="578"/>
    </w:p>
    <w:p w14:paraId="0F3BEC81">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1、乙方须提供全新的、未使用过的合格正品货物，完全符合合同规定的质量、规格的要求。</w:t>
      </w:r>
    </w:p>
    <w:p w14:paraId="2B275D62">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2、乙方提供的节能和环保产品必须是列入政府采购清单的产品。</w:t>
      </w:r>
    </w:p>
    <w:p w14:paraId="322638DB">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3、质量标准按照最新颁布的国家标准、行业标准或制造商企业标准确定，上述标准不一致的，以严格标准为准。</w:t>
      </w:r>
    </w:p>
    <w:p w14:paraId="4257287A">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4、乙方所提供货物还应符合国家和陕西省有关安全、环保、节能之规定，“3C”认证的货物（产品）应加贴“3C”认证标志。</w:t>
      </w:r>
    </w:p>
    <w:p w14:paraId="5D2501E4">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5、货物制造质量出现问题，乙方应负责三包（包修、包换、包退），费用由乙方负担，甲方有权到乙方生产场地检查货物质量和生产进度。</w:t>
      </w:r>
    </w:p>
    <w:p w14:paraId="77F699CE">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41" w:firstLineChars="100"/>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579" w:name="_Toc7279"/>
      <w:r>
        <w:rPr>
          <w:rFonts w:hint="eastAsia" w:ascii="仿宋" w:hAnsi="仿宋" w:eastAsia="仿宋" w:cs="仿宋"/>
          <w:b/>
          <w:color w:val="000000" w:themeColor="text1"/>
          <w:sz w:val="24"/>
          <w:szCs w:val="24"/>
          <w:highlight w:val="none"/>
          <w14:textFill>
            <w14:solidFill>
              <w14:schemeClr w14:val="tx1"/>
            </w14:solidFill>
          </w14:textFill>
        </w:rPr>
        <w:t>第六条 权利保证</w:t>
      </w:r>
      <w:bookmarkEnd w:id="579"/>
    </w:p>
    <w:p w14:paraId="4F2EC3BC">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1、乙方保证对其出售的货物享有合法的权利。</w:t>
      </w:r>
    </w:p>
    <w:p w14:paraId="5DE752ED">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2、乙方保证对其出售的货物上不存在任何未曾向甲方透露的担保物权，如抵押权、质押权、留置权。</w:t>
      </w:r>
    </w:p>
    <w:p w14:paraId="35F7AF36">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3、乙方保证对其出售的货物或其任何一部分没有侵犯第三方的专利权、版权、商标权或其他权利。</w:t>
      </w:r>
    </w:p>
    <w:p w14:paraId="01D26A6A">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4、如甲方在使用该货物构成上述侵权的，则由乙方承担全部责任。</w:t>
      </w:r>
    </w:p>
    <w:p w14:paraId="24B8E0E5">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41" w:firstLineChars="100"/>
        <w:outlineLvl w:val="1"/>
        <w:rPr>
          <w:rFonts w:hint="eastAsia" w:ascii="仿宋" w:hAnsi="仿宋" w:eastAsia="仿宋" w:cs="仿宋"/>
          <w:color w:val="000000" w:themeColor="text1"/>
          <w:sz w:val="30"/>
          <w:szCs w:val="30"/>
          <w:highlight w:val="none"/>
          <w14:textFill>
            <w14:solidFill>
              <w14:schemeClr w14:val="tx1"/>
            </w14:solidFill>
          </w14:textFill>
        </w:rPr>
      </w:pPr>
      <w:bookmarkStart w:id="580" w:name="_Toc129"/>
      <w:r>
        <w:rPr>
          <w:rFonts w:hint="eastAsia" w:ascii="仿宋" w:hAnsi="仿宋" w:eastAsia="仿宋" w:cs="仿宋"/>
          <w:b/>
          <w:color w:val="000000" w:themeColor="text1"/>
          <w:sz w:val="24"/>
          <w:szCs w:val="24"/>
          <w:highlight w:val="none"/>
          <w14:textFill>
            <w14:solidFill>
              <w14:schemeClr w14:val="tx1"/>
            </w14:solidFill>
          </w14:textFill>
        </w:rPr>
        <w:t>第七条 包装要求与运输方式</w:t>
      </w:r>
      <w:bookmarkEnd w:id="580"/>
      <w:r>
        <w:rPr>
          <w:rFonts w:hint="eastAsia" w:ascii="仿宋" w:hAnsi="仿宋" w:eastAsia="仿宋" w:cs="仿宋"/>
          <w:b/>
          <w:color w:val="000000" w:themeColor="text1"/>
          <w:sz w:val="24"/>
          <w:szCs w:val="24"/>
          <w:highlight w:val="none"/>
          <w14:textFill>
            <w14:solidFill>
              <w14:schemeClr w14:val="tx1"/>
            </w14:solidFill>
          </w14:textFill>
        </w:rPr>
        <w:t xml:space="preserve"> </w:t>
      </w:r>
      <w:r>
        <w:rPr>
          <w:rFonts w:hint="eastAsia" w:ascii="仿宋" w:hAnsi="仿宋" w:eastAsia="仿宋" w:cs="仿宋"/>
          <w:b/>
          <w:color w:val="000000" w:themeColor="text1"/>
          <w:sz w:val="30"/>
          <w:szCs w:val="30"/>
          <w:highlight w:val="none"/>
          <w14:textFill>
            <w14:solidFill>
              <w14:schemeClr w14:val="tx1"/>
            </w14:solidFill>
          </w14:textFill>
        </w:rPr>
        <w:t xml:space="preserve"> </w:t>
      </w:r>
    </w:p>
    <w:p w14:paraId="434E31DF">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1、除合同另有规定外，乙方提供的全部货物均应按标准保护措施进行包装，该包装应适应于远距离运输、防潮、防震、防锈和防野蛮装卸，以确保货物安全运抵指定地点。</w:t>
      </w:r>
    </w:p>
    <w:p w14:paraId="64C37433">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2、每一包装单元应附详细的装箱单和质量合格证。</w:t>
      </w:r>
    </w:p>
    <w:p w14:paraId="57EC0F23">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3、货物（产品）运输方式：</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w:t>
      </w:r>
    </w:p>
    <w:p w14:paraId="7BEE20A9">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4、乙方负责货物（产品）运输，货物运输的合理损耗及计算方法。</w:t>
      </w:r>
    </w:p>
    <w:p w14:paraId="12235D9B">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41" w:firstLineChars="100"/>
        <w:outlineLvl w:val="1"/>
        <w:rPr>
          <w:rFonts w:hint="eastAsia" w:ascii="仿宋" w:hAnsi="仿宋" w:eastAsia="仿宋" w:cs="仿宋"/>
          <w:color w:val="000000" w:themeColor="text1"/>
          <w:sz w:val="24"/>
          <w:szCs w:val="24"/>
          <w:highlight w:val="none"/>
          <w14:textFill>
            <w14:solidFill>
              <w14:schemeClr w14:val="tx1"/>
            </w14:solidFill>
          </w14:textFill>
        </w:rPr>
      </w:pPr>
      <w:bookmarkStart w:id="581" w:name="_Toc11592"/>
      <w:r>
        <w:rPr>
          <w:rFonts w:hint="eastAsia" w:ascii="仿宋" w:hAnsi="仿宋" w:eastAsia="仿宋" w:cs="仿宋"/>
          <w:b/>
          <w:color w:val="000000" w:themeColor="text1"/>
          <w:sz w:val="24"/>
          <w:szCs w:val="24"/>
          <w:highlight w:val="none"/>
          <w14:textFill>
            <w14:solidFill>
              <w14:schemeClr w14:val="tx1"/>
            </w14:solidFill>
          </w14:textFill>
        </w:rPr>
        <w:t>第八条 验收</w:t>
      </w:r>
      <w:bookmarkEnd w:id="581"/>
    </w:p>
    <w:p w14:paraId="65D573BA">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1、货物验收由甲方组织，乙方配合，并按下列程序进行：</w:t>
      </w:r>
    </w:p>
    <w:p w14:paraId="58DC7FCE">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交货验收时，乙方须提供质检部门产品抽样检查合格的检测报告（或生产厂家自检报告）及所提供货物（产品）的合格证、装箱清单、配件、随机工具、用户使用手册（产品使用说明书）、保修卡等资料交付给甲方；</w:t>
      </w:r>
    </w:p>
    <w:p w14:paraId="3F395E4F">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（2）到货验收 ：货物到达后，按合同第一条款的货物清单和装箱单经行逐一核对，同时检查货物外观，是否有划痕或破损的，并做好相应记录；</w:t>
      </w:r>
    </w:p>
    <w:p w14:paraId="273C0898">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货物初验：乙方应在货物到货之日起，日内全部完成安装调试完毕；乙方安装调试完毕后日内完成初步验收；初步验收合格后，进入试用期，由甲乙双方另行商定；试用期间发生重大质量问题，修复后试用期相应顺延；</w:t>
      </w:r>
    </w:p>
    <w:p w14:paraId="0D03A9DC">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（4）货物终验：试用期结束后日内完成最终验收；</w:t>
      </w:r>
    </w:p>
    <w:p w14:paraId="6229BCE6">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（5）货物和相关配套质量验收合格，双方签署质量验收报告。</w:t>
      </w:r>
    </w:p>
    <w:p w14:paraId="583B7D3D">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2、货物验收依据：</w:t>
      </w:r>
    </w:p>
    <w:p w14:paraId="1CC73C22">
      <w:pPr>
        <w:pStyle w:val="12"/>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（1）采购文件；</w:t>
      </w:r>
    </w:p>
    <w:p w14:paraId="44A0AD6A">
      <w:pPr>
        <w:pStyle w:val="12"/>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（2）投标文件；</w:t>
      </w:r>
    </w:p>
    <w:p w14:paraId="59A8AEF3">
      <w:pPr>
        <w:pStyle w:val="12"/>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（3）采购合同及补充协议；</w:t>
      </w:r>
    </w:p>
    <w:p w14:paraId="15E5E523">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（4）质检部门抽样检查货物（产品）合格的检测报告。</w:t>
      </w:r>
    </w:p>
    <w:p w14:paraId="10C2572D">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3、货物验收时发现问题的处理办法：</w:t>
      </w:r>
    </w:p>
    <w:p w14:paraId="78EACD61">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（1）乙方提供不符合采购文件和本合同规定的货物（产品），甲方有权拒绝接受；</w:t>
      </w:r>
    </w:p>
    <w:p w14:paraId="19F83B80">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如发现所交付的货物有短装、次品、损坏或其它不符合标准及本合同规定之情形者，甲方有权要求更换货物（产品），同时做出详尽的现场记录，或由甲乙双方签署备忘录，此现场记录或备忘录可用作补充、缺失和更换损坏部件或更换整个货物（产品）有效证据，由此产生的时间延误与有关费用由乙方承担，验收期限相应顺延；</w:t>
      </w:r>
    </w:p>
    <w:p w14:paraId="43258152">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（3）如货物经乙方</w:t>
      </w:r>
      <w:r>
        <w:rPr>
          <w:rFonts w:hint="eastAsia" w:ascii="仿宋" w:hAnsi="仿宋" w:eastAsia="仿宋" w:cs="仿宋"/>
          <w:color w:val="000000" w:themeColor="text1"/>
          <w:sz w:val="21"/>
          <w:szCs w:val="21"/>
          <w:highlight w:val="none"/>
          <w:u w:val="single"/>
          <w14:textFill>
            <w14:solidFill>
              <w14:schemeClr w14:val="tx1"/>
            </w14:solidFill>
          </w14:textFill>
        </w:rPr>
        <w:t xml:space="preserve"> 2  </w:t>
      </w:r>
      <w:r>
        <w:rPr>
          <w:rFonts w:hint="eastAsia" w:ascii="仿宋" w:hAnsi="仿宋" w:eastAsia="仿宋" w:cs="仿宋"/>
          <w:color w:val="000000" w:themeColor="text1"/>
          <w:sz w:val="21"/>
          <w:szCs w:val="21"/>
          <w:highlight w:val="none"/>
          <w14:textFill>
            <w14:solidFill>
              <w14:schemeClr w14:val="tx1"/>
            </w14:solidFill>
          </w14:textFill>
        </w:rPr>
        <w:t>次维修仍不能达到合同约定的质量标准，甲方有权退货，并视作乙方不能交付货物而须支付违约赔偿金给甲方，甲方还可依法追究乙方的违约责任； </w:t>
      </w:r>
    </w:p>
    <w:p w14:paraId="057B9572">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1" w:firstLineChars="1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4）货物安装完成15日后，且具备验收条件，乙方提出验收，而甲方无故不进行验收工作并已使用货物的，视同为已安装调试完成并验收合格。</w:t>
      </w:r>
    </w:p>
    <w:p w14:paraId="696C1B87">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（5）乙方不能完整交付货物及本条第一款规定的单证和工具的，必须负责补齐，否则视为未按合同约定交货；</w:t>
      </w:r>
    </w:p>
    <w:p w14:paraId="301249B2">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（6）超出合理磅差的处理方法：。</w:t>
      </w:r>
    </w:p>
    <w:p w14:paraId="1F0EB9A5">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41" w:firstLineChars="100"/>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582" w:name="_Toc32307"/>
      <w:r>
        <w:rPr>
          <w:rFonts w:hint="eastAsia" w:ascii="仿宋" w:hAnsi="仿宋" w:eastAsia="仿宋" w:cs="仿宋"/>
          <w:b/>
          <w:color w:val="000000" w:themeColor="text1"/>
          <w:sz w:val="24"/>
          <w:szCs w:val="24"/>
          <w:highlight w:val="none"/>
          <w14:textFill>
            <w14:solidFill>
              <w14:schemeClr w14:val="tx1"/>
            </w14:solidFill>
          </w14:textFill>
        </w:rPr>
        <w:t>第九条 售后服务</w:t>
      </w:r>
      <w:bookmarkEnd w:id="582"/>
    </w:p>
    <w:p w14:paraId="2B1E7DDE">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乙方应按照国家有关法律法规和“三包”规定以及采购文件要求和投标文件的“服务承诺”提供服务，并提供不少于1年原厂硬软件免费售后和维护服务及</w:t>
      </w:r>
      <w:r>
        <w:rPr>
          <w:rFonts w:hint="eastAsia" w:ascii="仿宋" w:hAnsi="仿宋" w:eastAsia="仿宋" w:cs="仿宋"/>
          <w:color w:val="000000" w:themeColor="text1"/>
          <w:sz w:val="21"/>
          <w:szCs w:val="21"/>
          <w:highlight w:val="none"/>
          <w14:textFill>
            <w14:solidFill>
              <w14:schemeClr w14:val="tx1"/>
            </w14:solidFill>
          </w14:textFill>
        </w:rPr>
        <w:t>软件终身免费升级</w:t>
      </w:r>
      <w:r>
        <w:rPr>
          <w:rFonts w:hint="eastAsia" w:ascii="仿宋" w:hAnsi="仿宋" w:eastAsia="仿宋" w:cs="仿宋"/>
          <w:color w:val="000000" w:themeColor="text1"/>
          <w:kern w:val="0"/>
          <w:sz w:val="21"/>
          <w:szCs w:val="21"/>
          <w:highlight w:val="none"/>
          <w14:textFill>
            <w14:solidFill>
              <w14:schemeClr w14:val="tx1"/>
            </w14:solidFill>
          </w14:textFill>
        </w:rPr>
        <w:t>。</w:t>
      </w:r>
    </w:p>
    <w:p w14:paraId="2A979EAB">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41" w:firstLineChars="100"/>
        <w:outlineLvl w:val="1"/>
        <w:rPr>
          <w:rFonts w:hint="eastAsia" w:ascii="仿宋" w:hAnsi="仿宋" w:eastAsia="仿宋" w:cs="仿宋"/>
          <w:color w:val="000000" w:themeColor="text1"/>
          <w:sz w:val="24"/>
          <w:szCs w:val="24"/>
          <w:highlight w:val="none"/>
          <w14:textFill>
            <w14:solidFill>
              <w14:schemeClr w14:val="tx1"/>
            </w14:solidFill>
          </w14:textFill>
        </w:rPr>
      </w:pPr>
      <w:bookmarkStart w:id="583" w:name="_Toc11515"/>
      <w:r>
        <w:rPr>
          <w:rFonts w:hint="eastAsia" w:ascii="仿宋" w:hAnsi="仿宋" w:eastAsia="仿宋" w:cs="仿宋"/>
          <w:b/>
          <w:color w:val="000000" w:themeColor="text1"/>
          <w:sz w:val="24"/>
          <w:szCs w:val="24"/>
          <w:highlight w:val="none"/>
          <w14:textFill>
            <w14:solidFill>
              <w14:schemeClr w14:val="tx1"/>
            </w14:solidFill>
          </w14:textFill>
        </w:rPr>
        <w:t>第十条 违约责任</w:t>
      </w:r>
      <w:bookmarkEnd w:id="583"/>
    </w:p>
    <w:p w14:paraId="32DAEA80">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1、甲方违约责任</w:t>
      </w:r>
    </w:p>
    <w:p w14:paraId="5BFC7795">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（1）甲方无正当理由拒收货物的，甲方应偿付合同总价%的违约金；</w:t>
      </w:r>
    </w:p>
    <w:p w14:paraId="7905F3ED">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（2）甲方逾期支付货款的，除应及时付足货款外，应向乙方每天支付欠款总额</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‰的滞纳金；但累计滞纳金总额不超过欠款总额的</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w:t>
      </w:r>
    </w:p>
    <w:p w14:paraId="779D289D">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2、乙方违约责任</w:t>
      </w:r>
    </w:p>
    <w:p w14:paraId="43EACE08">
      <w:pPr>
        <w:keepNext w:val="0"/>
        <w:keepLines w:val="0"/>
        <w:pageBreakBefore w:val="0"/>
        <w:widowControl/>
        <w:shd w:val="clear"/>
        <w:kinsoku/>
        <w:wordWrap/>
        <w:overflowPunct/>
        <w:topLinePunct w:val="0"/>
        <w:autoSpaceDE/>
        <w:autoSpaceDN/>
        <w:bidi w:val="0"/>
        <w:adjustRightInd w:val="0"/>
        <w:snapToGrid w:val="0"/>
        <w:spacing w:line="360" w:lineRule="auto"/>
        <w:ind w:left="0" w:leftChars="0" w:firstLine="210" w:firstLineChars="100"/>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（1）如乙方不能交付货物，甲方有权扣留全部履约保证金；同时乙方应向甲方支付合同总价</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％的违约金；</w:t>
      </w:r>
    </w:p>
    <w:p w14:paraId="44E040B7">
      <w:pPr>
        <w:keepNext w:val="0"/>
        <w:keepLines w:val="0"/>
        <w:pageBreakBefore w:val="0"/>
        <w:widowControl/>
        <w:shd w:val="clear"/>
        <w:kinsoku/>
        <w:wordWrap/>
        <w:overflowPunct/>
        <w:topLinePunct w:val="0"/>
        <w:autoSpaceDE/>
        <w:autoSpaceDN/>
        <w:bidi w:val="0"/>
        <w:adjustRightInd w:val="0"/>
        <w:snapToGrid w:val="0"/>
        <w:spacing w:line="360" w:lineRule="auto"/>
        <w:ind w:left="0" w:leftChars="0" w:firstLine="210" w:firstLineChars="100"/>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（2）乙方逾期交付货物的，每逾期1天，乙方向甲方偿付逾期交货部分货款总额的‰的滞纳金。如乙方逾期交货达</w:t>
      </w:r>
      <w:r>
        <w:rPr>
          <w:rFonts w:hint="eastAsia" w:ascii="仿宋" w:hAnsi="仿宋" w:eastAsia="仿宋" w:cs="仿宋"/>
          <w:color w:val="000000" w:themeColor="text1"/>
          <w:kern w:val="0"/>
          <w:szCs w:val="21"/>
          <w:highlight w:val="none"/>
          <w:u w:val="single"/>
          <w14:textFill>
            <w14:solidFill>
              <w14:schemeClr w14:val="tx1"/>
            </w14:solidFill>
          </w14:textFill>
        </w:rPr>
        <w:t>_7__</w:t>
      </w:r>
      <w:r>
        <w:rPr>
          <w:rFonts w:hint="eastAsia" w:ascii="仿宋" w:hAnsi="仿宋" w:eastAsia="仿宋" w:cs="仿宋"/>
          <w:color w:val="000000" w:themeColor="text1"/>
          <w:kern w:val="0"/>
          <w:szCs w:val="21"/>
          <w:highlight w:val="none"/>
          <w14:textFill>
            <w14:solidFill>
              <w14:schemeClr w14:val="tx1"/>
            </w14:solidFill>
          </w14:textFill>
        </w:rPr>
        <w:t>天，甲方有权解除合同，解除合同的通知自到达乙方时生效；</w:t>
      </w:r>
    </w:p>
    <w:p w14:paraId="14FA8944">
      <w:pPr>
        <w:keepNext w:val="0"/>
        <w:keepLines w:val="0"/>
        <w:pageBreakBefore w:val="0"/>
        <w:widowControl/>
        <w:shd w:val="clear"/>
        <w:kinsoku/>
        <w:wordWrap/>
        <w:overflowPunct/>
        <w:topLinePunct w:val="0"/>
        <w:autoSpaceDE/>
        <w:autoSpaceDN/>
        <w:bidi w:val="0"/>
        <w:adjustRightInd w:val="0"/>
        <w:snapToGrid w:val="0"/>
        <w:spacing w:line="360" w:lineRule="auto"/>
        <w:ind w:left="0" w:leftChars="0" w:firstLine="210" w:firstLineChars="100"/>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（3）乙方所交付的货物品种、型号、规格不符合合同规定的，甲方有权拒收。甲方拒收的，乙方应向甲方支付货款总额</w:t>
      </w:r>
      <w:r>
        <w:rPr>
          <w:rFonts w:hint="eastAsia" w:ascii="仿宋" w:hAnsi="仿宋" w:eastAsia="仿宋" w:cs="仿宋"/>
          <w:color w:val="000000" w:themeColor="text1"/>
          <w:kern w:val="0"/>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Cs w:val="21"/>
          <w:highlight w:val="none"/>
          <w:u w:val="single"/>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的违约金；</w:t>
      </w:r>
    </w:p>
    <w:p w14:paraId="7593C4A8">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（4）乙方货物经甲方送交具有法定资格条件的质量技术监督机构检测后，如检测结果认定货物质量不符合本合同规定标准的，则视为乙方没有按时交货而违约，乙方须在</w:t>
      </w:r>
      <w:r>
        <w:rPr>
          <w:rFonts w:hint="eastAsia" w:ascii="仿宋" w:hAnsi="仿宋" w:eastAsia="仿宋" w:cs="仿宋"/>
          <w:color w:val="000000" w:themeColor="text1"/>
          <w:sz w:val="21"/>
          <w:szCs w:val="21"/>
          <w:highlight w:val="none"/>
          <w:u w:val="single"/>
          <w14:textFill>
            <w14:solidFill>
              <w14:schemeClr w14:val="tx1"/>
            </w14:solidFill>
          </w14:textFill>
        </w:rPr>
        <w:t xml:space="preserve"> 3  </w:t>
      </w:r>
      <w:r>
        <w:rPr>
          <w:rFonts w:hint="eastAsia" w:ascii="仿宋" w:hAnsi="仿宋" w:eastAsia="仿宋" w:cs="仿宋"/>
          <w:color w:val="000000" w:themeColor="text1"/>
          <w:sz w:val="21"/>
          <w:szCs w:val="21"/>
          <w:highlight w:val="none"/>
          <w14:textFill>
            <w14:solidFill>
              <w14:schemeClr w14:val="tx1"/>
            </w14:solidFill>
          </w14:textFill>
        </w:rPr>
        <w:t>天内无条件更换合格的货物，如逾期不能更换合格的货物，甲方有权终止本合同，乙方应另向甲方支付货款总额的%的违约金；</w:t>
      </w:r>
    </w:p>
    <w:p w14:paraId="6796A262">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5）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14:paraId="226CC400">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（6）乙方未按本合同第十条的规定向甲方交付履约保证金的，应按应交付履约保证金的</w:t>
      </w:r>
      <w:r>
        <w:rPr>
          <w:rFonts w:hint="eastAsia" w:ascii="仿宋" w:hAnsi="仿宋" w:eastAsia="仿宋" w:cs="仿宋"/>
          <w:color w:val="000000" w:themeColor="text1"/>
          <w:kern w:val="0"/>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1"/>
          <w:szCs w:val="21"/>
          <w:highlight w:val="none"/>
          <w14:textFill>
            <w14:solidFill>
              <w14:schemeClr w14:val="tx1"/>
            </w14:solidFill>
          </w14:textFill>
        </w:rPr>
        <w:t>%向甲方支付违约金，该违约金的支付不影响乙方应承担的其他违约责任；</w:t>
      </w:r>
    </w:p>
    <w:p w14:paraId="7B71A8B9">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（7）乙方未按本合同的规定和“服务承诺”提供伴随服务/售后服务的，应按合同总价款的</w:t>
      </w:r>
      <w:r>
        <w:rPr>
          <w:rFonts w:hint="eastAsia" w:ascii="仿宋" w:hAnsi="仿宋" w:eastAsia="仿宋" w:cs="仿宋"/>
          <w:color w:val="000000" w:themeColor="text1"/>
          <w:kern w:val="0"/>
          <w:sz w:val="21"/>
          <w:szCs w:val="21"/>
          <w:highlight w:val="none"/>
          <w:u w:val="single"/>
          <w14:textFill>
            <w14:solidFill>
              <w14:schemeClr w14:val="tx1"/>
            </w14:solidFill>
          </w14:textFill>
        </w:rPr>
        <w:t xml:space="preserve"> 5 </w:t>
      </w:r>
      <w:r>
        <w:rPr>
          <w:rFonts w:hint="eastAsia" w:ascii="仿宋" w:hAnsi="仿宋" w:eastAsia="仿宋" w:cs="仿宋"/>
          <w:color w:val="000000" w:themeColor="text1"/>
          <w:kern w:val="0"/>
          <w:sz w:val="21"/>
          <w:szCs w:val="21"/>
          <w:highlight w:val="none"/>
          <w14:textFill>
            <w14:solidFill>
              <w14:schemeClr w14:val="tx1"/>
            </w14:solidFill>
          </w14:textFill>
        </w:rPr>
        <w:t>%向甲方承担违约责任；</w:t>
      </w:r>
    </w:p>
    <w:p w14:paraId="1590E97E">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（8）乙方在承担上述1-7款一项或多项违约责任后，仍应继续履行合同规定的义务（甲方解除合同的除外）。甲方未能及时追究乙方的任何一项违约责任并不表明甲方放弃追究乙方该项或其他违约责任；</w:t>
      </w:r>
    </w:p>
    <w:p w14:paraId="3DC4DF6E">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（9）乙方偿付的违约金不足以弥补甲方损失的，还应按甲方损失尚未弥补的部分，支付赔偿金给甲方。</w:t>
      </w:r>
    </w:p>
    <w:p w14:paraId="194E4333">
      <w:pPr>
        <w:keepNext w:val="0"/>
        <w:keepLines w:val="0"/>
        <w:pageBreakBefore w:val="0"/>
        <w:widowControl/>
        <w:shd w:val="clear"/>
        <w:kinsoku/>
        <w:wordWrap/>
        <w:overflowPunct/>
        <w:topLinePunct w:val="0"/>
        <w:autoSpaceDE/>
        <w:autoSpaceDN/>
        <w:bidi w:val="0"/>
        <w:adjustRightInd w:val="0"/>
        <w:snapToGrid w:val="0"/>
        <w:spacing w:line="360" w:lineRule="auto"/>
        <w:ind w:left="0" w:leftChars="0" w:firstLine="241" w:firstLineChars="100"/>
        <w:jc w:val="left"/>
        <w:outlineLvl w:val="1"/>
        <w:rPr>
          <w:rFonts w:hint="eastAsia" w:ascii="仿宋" w:hAnsi="仿宋" w:eastAsia="仿宋" w:cs="仿宋"/>
          <w:color w:val="000000" w:themeColor="text1"/>
          <w:kern w:val="0"/>
          <w:sz w:val="24"/>
          <w:szCs w:val="24"/>
          <w:highlight w:val="none"/>
          <w14:textFill>
            <w14:solidFill>
              <w14:schemeClr w14:val="tx1"/>
            </w14:solidFill>
          </w14:textFill>
        </w:rPr>
      </w:pPr>
      <w:bookmarkStart w:id="584" w:name="_Toc31609"/>
      <w:r>
        <w:rPr>
          <w:rFonts w:hint="eastAsia" w:ascii="仿宋" w:hAnsi="仿宋" w:eastAsia="仿宋" w:cs="仿宋"/>
          <w:b/>
          <w:color w:val="000000" w:themeColor="text1"/>
          <w:sz w:val="24"/>
          <w:szCs w:val="24"/>
          <w:highlight w:val="none"/>
          <w14:textFill>
            <w14:solidFill>
              <w14:schemeClr w14:val="tx1"/>
            </w14:solidFill>
          </w14:textFill>
        </w:rPr>
        <w:t>第十</w:t>
      </w:r>
      <w:r>
        <w:rPr>
          <w:rFonts w:hint="eastAsia" w:ascii="仿宋" w:hAnsi="仿宋" w:eastAsia="仿宋" w:cs="仿宋"/>
          <w:b/>
          <w:color w:val="000000" w:themeColor="text1"/>
          <w:sz w:val="24"/>
          <w:szCs w:val="24"/>
          <w:highlight w:val="none"/>
          <w:lang w:val="en-US" w:eastAsia="zh-CN"/>
          <w14:textFill>
            <w14:solidFill>
              <w14:schemeClr w14:val="tx1"/>
            </w14:solidFill>
          </w14:textFill>
        </w:rPr>
        <w:t>一</w:t>
      </w:r>
      <w:r>
        <w:rPr>
          <w:rFonts w:hint="eastAsia" w:ascii="仿宋" w:hAnsi="仿宋" w:eastAsia="仿宋" w:cs="仿宋"/>
          <w:b/>
          <w:color w:val="000000" w:themeColor="text1"/>
          <w:sz w:val="24"/>
          <w:szCs w:val="24"/>
          <w:highlight w:val="none"/>
          <w14:textFill>
            <w14:solidFill>
              <w14:schemeClr w14:val="tx1"/>
            </w14:solidFill>
          </w14:textFill>
        </w:rPr>
        <w:t xml:space="preserve">条 </w:t>
      </w:r>
      <w:r>
        <w:rPr>
          <w:rFonts w:hint="eastAsia" w:ascii="仿宋" w:hAnsi="仿宋" w:eastAsia="仿宋" w:cs="仿宋"/>
          <w:b/>
          <w:color w:val="000000" w:themeColor="text1"/>
          <w:kern w:val="0"/>
          <w:sz w:val="24"/>
          <w:szCs w:val="24"/>
          <w:highlight w:val="none"/>
          <w14:textFill>
            <w14:solidFill>
              <w14:schemeClr w14:val="tx1"/>
            </w14:solidFill>
          </w14:textFill>
        </w:rPr>
        <w:t>合同的变更和终止</w:t>
      </w:r>
      <w:bookmarkEnd w:id="584"/>
    </w:p>
    <w:p w14:paraId="024E3949">
      <w:pPr>
        <w:keepNext w:val="0"/>
        <w:keepLines w:val="0"/>
        <w:pageBreakBefore w:val="0"/>
        <w:widowControl/>
        <w:shd w:val="clear"/>
        <w:kinsoku/>
        <w:wordWrap/>
        <w:overflowPunct/>
        <w:topLinePunct w:val="0"/>
        <w:autoSpaceDE/>
        <w:autoSpaceDN/>
        <w:bidi w:val="0"/>
        <w:adjustRightInd w:val="0"/>
        <w:snapToGrid w:val="0"/>
        <w:spacing w:line="360" w:lineRule="auto"/>
        <w:ind w:left="0" w:leftChars="0" w:firstLine="210" w:firstLineChars="100"/>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除《中华人民共和国政府采购法》第49条、第50条第二款规定的情形外，本合同一经签订，甲乙双方不得擅自变更、中止或终止合同。</w:t>
      </w:r>
    </w:p>
    <w:p w14:paraId="4590D398">
      <w:pPr>
        <w:keepNext w:val="0"/>
        <w:keepLines w:val="0"/>
        <w:pageBreakBefore w:val="0"/>
        <w:widowControl/>
        <w:shd w:val="clear"/>
        <w:kinsoku/>
        <w:wordWrap/>
        <w:overflowPunct/>
        <w:topLinePunct w:val="0"/>
        <w:autoSpaceDE/>
        <w:autoSpaceDN/>
        <w:bidi w:val="0"/>
        <w:adjustRightInd w:val="0"/>
        <w:snapToGrid w:val="0"/>
        <w:spacing w:line="360" w:lineRule="auto"/>
        <w:ind w:left="0" w:leftChars="0" w:firstLine="241" w:firstLineChars="100"/>
        <w:jc w:val="left"/>
        <w:outlineLvl w:val="1"/>
        <w:rPr>
          <w:rFonts w:hint="eastAsia" w:ascii="仿宋" w:hAnsi="仿宋" w:eastAsia="仿宋" w:cs="仿宋"/>
          <w:b/>
          <w:color w:val="000000" w:themeColor="text1"/>
          <w:kern w:val="0"/>
          <w:sz w:val="24"/>
          <w:szCs w:val="24"/>
          <w:highlight w:val="none"/>
          <w14:textFill>
            <w14:solidFill>
              <w14:schemeClr w14:val="tx1"/>
            </w14:solidFill>
          </w14:textFill>
        </w:rPr>
      </w:pPr>
      <w:bookmarkStart w:id="585" w:name="_Toc304"/>
      <w:r>
        <w:rPr>
          <w:rFonts w:hint="eastAsia" w:ascii="仿宋" w:hAnsi="仿宋" w:eastAsia="仿宋" w:cs="仿宋"/>
          <w:b/>
          <w:color w:val="000000" w:themeColor="text1"/>
          <w:kern w:val="0"/>
          <w:sz w:val="24"/>
          <w:szCs w:val="24"/>
          <w:highlight w:val="none"/>
          <w14:textFill>
            <w14:solidFill>
              <w14:schemeClr w14:val="tx1"/>
            </w14:solidFill>
          </w14:textFill>
        </w:rPr>
        <w:t>第十</w:t>
      </w:r>
      <w:r>
        <w:rPr>
          <w:rFonts w:hint="eastAsia" w:ascii="仿宋" w:hAnsi="仿宋" w:eastAsia="仿宋" w:cs="仿宋"/>
          <w:b/>
          <w:color w:val="000000" w:themeColor="text1"/>
          <w:kern w:val="0"/>
          <w:sz w:val="24"/>
          <w:szCs w:val="24"/>
          <w:highlight w:val="none"/>
          <w:lang w:val="en-US" w:eastAsia="zh-CN"/>
          <w14:textFill>
            <w14:solidFill>
              <w14:schemeClr w14:val="tx1"/>
            </w14:solidFill>
          </w14:textFill>
        </w:rPr>
        <w:t>二</w:t>
      </w:r>
      <w:r>
        <w:rPr>
          <w:rFonts w:hint="eastAsia" w:ascii="仿宋" w:hAnsi="仿宋" w:eastAsia="仿宋" w:cs="仿宋"/>
          <w:b/>
          <w:color w:val="000000" w:themeColor="text1"/>
          <w:kern w:val="0"/>
          <w:sz w:val="24"/>
          <w:szCs w:val="24"/>
          <w:highlight w:val="none"/>
          <w14:textFill>
            <w14:solidFill>
              <w14:schemeClr w14:val="tx1"/>
            </w14:solidFill>
          </w14:textFill>
        </w:rPr>
        <w:t>条 争议的解决</w:t>
      </w:r>
      <w:bookmarkEnd w:id="585"/>
    </w:p>
    <w:p w14:paraId="0BD06967">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1、因货物的质量问题发生争议，由质量技术监督部门或其指定的质量鉴定机构进行质量鉴定。货物符合标准的，鉴定费由甲方承担；货物不符合质量标准的，鉴定费由乙方承担。</w:t>
      </w:r>
    </w:p>
    <w:p w14:paraId="3EF335AC">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2、因履行本合同引起的或与本合同有关的争议，甲、乙双方应首先通过友好协商解决，如果协商不成，则采取以下第_1_种方式解决争议：</w:t>
      </w:r>
    </w:p>
    <w:p w14:paraId="36A93FE6">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（1）向甲方所在地有管辖权的人民法院提起诉讼；</w:t>
      </w:r>
    </w:p>
    <w:p w14:paraId="68570590">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（2）向____________仲裁委员会按其仲裁规则申请仲裁。</w:t>
      </w:r>
    </w:p>
    <w:p w14:paraId="31AE40DE">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3、在仲裁期间，本合同应继续履行。</w:t>
      </w:r>
    </w:p>
    <w:p w14:paraId="00B8C222">
      <w:pPr>
        <w:keepNext w:val="0"/>
        <w:keepLines w:val="0"/>
        <w:pageBreakBefore w:val="0"/>
        <w:shd w:val="clear"/>
        <w:kinsoku/>
        <w:wordWrap/>
        <w:overflowPunct/>
        <w:topLinePunct w:val="0"/>
        <w:autoSpaceDE/>
        <w:autoSpaceDN/>
        <w:bidi w:val="0"/>
        <w:adjustRightInd w:val="0"/>
        <w:snapToGrid w:val="0"/>
        <w:spacing w:line="360" w:lineRule="auto"/>
        <w:ind w:left="0" w:leftChars="0" w:firstLine="241" w:firstLineChars="100"/>
        <w:textAlignment w:val="baseline"/>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586" w:name="_Toc22373"/>
      <w:r>
        <w:rPr>
          <w:rFonts w:hint="eastAsia" w:ascii="仿宋" w:hAnsi="仿宋" w:eastAsia="仿宋" w:cs="仿宋"/>
          <w:b/>
          <w:color w:val="000000" w:themeColor="text1"/>
          <w:sz w:val="24"/>
          <w:szCs w:val="24"/>
          <w:highlight w:val="none"/>
          <w14:textFill>
            <w14:solidFill>
              <w14:schemeClr w14:val="tx1"/>
            </w14:solidFill>
          </w14:textFill>
        </w:rPr>
        <w:t>第十</w:t>
      </w:r>
      <w:r>
        <w:rPr>
          <w:rFonts w:hint="eastAsia" w:ascii="仿宋" w:hAnsi="仿宋" w:eastAsia="仿宋" w:cs="仿宋"/>
          <w:b/>
          <w:color w:val="000000" w:themeColor="text1"/>
          <w:sz w:val="24"/>
          <w:szCs w:val="24"/>
          <w:highlight w:val="none"/>
          <w:lang w:val="en-US" w:eastAsia="zh-CN"/>
          <w14:textFill>
            <w14:solidFill>
              <w14:schemeClr w14:val="tx1"/>
            </w14:solidFill>
          </w14:textFill>
        </w:rPr>
        <w:t>三</w:t>
      </w:r>
      <w:r>
        <w:rPr>
          <w:rFonts w:hint="eastAsia" w:ascii="仿宋" w:hAnsi="仿宋" w:eastAsia="仿宋" w:cs="仿宋"/>
          <w:b/>
          <w:color w:val="000000" w:themeColor="text1"/>
          <w:sz w:val="24"/>
          <w:szCs w:val="24"/>
          <w:highlight w:val="none"/>
          <w14:textFill>
            <w14:solidFill>
              <w14:schemeClr w14:val="tx1"/>
            </w14:solidFill>
          </w14:textFill>
        </w:rPr>
        <w:t>条合同文件</w:t>
      </w:r>
      <w:bookmarkEnd w:id="586"/>
      <w:bookmarkStart w:id="588" w:name="_GoBack"/>
      <w:bookmarkEnd w:id="588"/>
    </w:p>
    <w:p w14:paraId="691C8881">
      <w:pPr>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textAlignment w:val="baseline"/>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详细技术说明及其他有关合同项目的特定信息由合同附件予以说明，下列文件构成本合同的组成部分，应该认为是一个整体，彼此相互解释，相互补充。组成合同的多个文件的优先支配地位的次序如下：</w:t>
      </w:r>
    </w:p>
    <w:p w14:paraId="20E9411A">
      <w:pPr>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1、本合同书</w:t>
      </w:r>
    </w:p>
    <w:p w14:paraId="3FF0E1E0">
      <w:pPr>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2、中标通知书</w:t>
      </w:r>
      <w:r>
        <w:rPr>
          <w:rFonts w:hint="eastAsia" w:ascii="仿宋" w:hAnsi="仿宋" w:eastAsia="仿宋" w:cs="仿宋"/>
          <w:color w:val="000000" w:themeColor="text1"/>
          <w:szCs w:val="21"/>
          <w:highlight w:val="none"/>
          <w14:textFill>
            <w14:solidFill>
              <w14:schemeClr w14:val="tx1"/>
            </w14:solidFill>
          </w14:textFill>
        </w:rPr>
        <w:tab/>
      </w:r>
    </w:p>
    <w:p w14:paraId="0979C412">
      <w:pPr>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3、协议</w:t>
      </w:r>
    </w:p>
    <w:p w14:paraId="2B418511">
      <w:pPr>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r>
        <w:rPr>
          <w:rFonts w:hint="eastAsia" w:ascii="仿宋" w:hAnsi="仿宋" w:eastAsia="仿宋" w:cs="仿宋"/>
          <w:color w:val="000000" w:themeColor="text1"/>
          <w:szCs w:val="21"/>
          <w:highlight w:val="none"/>
          <w:lang w:val="en-US" w:eastAsia="zh-CN"/>
          <w14:textFill>
            <w14:solidFill>
              <w14:schemeClr w14:val="tx1"/>
            </w14:solidFill>
          </w14:textFill>
        </w:rPr>
        <w:t>招标</w:t>
      </w:r>
      <w:r>
        <w:rPr>
          <w:rFonts w:hint="eastAsia" w:ascii="仿宋" w:hAnsi="仿宋" w:eastAsia="仿宋" w:cs="仿宋"/>
          <w:color w:val="000000" w:themeColor="text1"/>
          <w:szCs w:val="21"/>
          <w:highlight w:val="none"/>
          <w14:textFill>
            <w14:solidFill>
              <w14:schemeClr w14:val="tx1"/>
            </w14:solidFill>
          </w14:textFill>
        </w:rPr>
        <w:t>文件(含澄清文件)</w:t>
      </w:r>
    </w:p>
    <w:p w14:paraId="7EEAC9BF">
      <w:pPr>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5、投标文件</w:t>
      </w:r>
    </w:p>
    <w:p w14:paraId="683A9D17">
      <w:pPr>
        <w:pStyle w:val="21"/>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jc w:val="both"/>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6、附件：安全责任协议（签订时合同时一并签订）</w:t>
      </w:r>
    </w:p>
    <w:p w14:paraId="21801231">
      <w:pPr>
        <w:keepNext w:val="0"/>
        <w:keepLines w:val="0"/>
        <w:pageBreakBefore w:val="0"/>
        <w:shd w:val="clear"/>
        <w:kinsoku/>
        <w:wordWrap/>
        <w:overflowPunct/>
        <w:topLinePunct w:val="0"/>
        <w:autoSpaceDE/>
        <w:autoSpaceDN/>
        <w:bidi w:val="0"/>
        <w:adjustRightInd w:val="0"/>
        <w:snapToGrid w:val="0"/>
        <w:spacing w:line="360" w:lineRule="auto"/>
        <w:ind w:left="0" w:leftChars="0" w:firstLine="241" w:firstLineChars="100"/>
        <w:outlineLvl w:val="1"/>
        <w:rPr>
          <w:rFonts w:hint="eastAsia" w:ascii="仿宋" w:hAnsi="仿宋" w:eastAsia="仿宋" w:cs="仿宋"/>
          <w:b/>
          <w:color w:val="000000" w:themeColor="text1"/>
          <w:kern w:val="0"/>
          <w:sz w:val="24"/>
          <w:szCs w:val="24"/>
          <w:highlight w:val="none"/>
          <w14:textFill>
            <w14:solidFill>
              <w14:schemeClr w14:val="tx1"/>
            </w14:solidFill>
          </w14:textFill>
        </w:rPr>
      </w:pPr>
      <w:bookmarkStart w:id="587" w:name="_Toc11752"/>
      <w:r>
        <w:rPr>
          <w:rFonts w:hint="eastAsia" w:ascii="仿宋" w:hAnsi="仿宋" w:eastAsia="仿宋" w:cs="仿宋"/>
          <w:b/>
          <w:color w:val="000000" w:themeColor="text1"/>
          <w:sz w:val="24"/>
          <w:szCs w:val="24"/>
          <w:highlight w:val="none"/>
          <w14:textFill>
            <w14:solidFill>
              <w14:schemeClr w14:val="tx1"/>
            </w14:solidFill>
          </w14:textFill>
        </w:rPr>
        <w:t>第十</w:t>
      </w:r>
      <w:r>
        <w:rPr>
          <w:rFonts w:hint="eastAsia" w:ascii="仿宋" w:hAnsi="仿宋" w:eastAsia="仿宋" w:cs="仿宋"/>
          <w:b/>
          <w:color w:val="000000" w:themeColor="text1"/>
          <w:sz w:val="24"/>
          <w:szCs w:val="24"/>
          <w:highlight w:val="none"/>
          <w:lang w:val="en-US" w:eastAsia="zh-CN"/>
          <w14:textFill>
            <w14:solidFill>
              <w14:schemeClr w14:val="tx1"/>
            </w14:solidFill>
          </w14:textFill>
        </w:rPr>
        <w:t>四</w:t>
      </w:r>
      <w:r>
        <w:rPr>
          <w:rFonts w:hint="eastAsia" w:ascii="仿宋" w:hAnsi="仿宋" w:eastAsia="仿宋" w:cs="仿宋"/>
          <w:b/>
          <w:color w:val="000000" w:themeColor="text1"/>
          <w:sz w:val="24"/>
          <w:szCs w:val="24"/>
          <w:highlight w:val="none"/>
          <w14:textFill>
            <w14:solidFill>
              <w14:schemeClr w14:val="tx1"/>
            </w14:solidFill>
          </w14:textFill>
        </w:rPr>
        <w:t xml:space="preserve">条 </w:t>
      </w:r>
      <w:r>
        <w:rPr>
          <w:rFonts w:hint="eastAsia" w:ascii="仿宋" w:hAnsi="仿宋" w:eastAsia="仿宋" w:cs="仿宋"/>
          <w:b/>
          <w:color w:val="000000" w:themeColor="text1"/>
          <w:kern w:val="0"/>
          <w:sz w:val="24"/>
          <w:szCs w:val="24"/>
          <w:highlight w:val="none"/>
          <w14:textFill>
            <w14:solidFill>
              <w14:schemeClr w14:val="tx1"/>
            </w14:solidFill>
          </w14:textFill>
        </w:rPr>
        <w:t>合同生效及其他</w:t>
      </w:r>
      <w:bookmarkEnd w:id="587"/>
    </w:p>
    <w:p w14:paraId="108CE0F3">
      <w:pPr>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w:t>
      </w:r>
      <w:r>
        <w:rPr>
          <w:rFonts w:hint="eastAsia" w:ascii="仿宋" w:hAnsi="仿宋" w:eastAsia="仿宋" w:cs="仿宋"/>
          <w:color w:val="000000" w:themeColor="text1"/>
          <w:szCs w:val="21"/>
          <w:highlight w:val="none"/>
          <w14:textFill>
            <w14:solidFill>
              <w14:schemeClr w14:val="tx1"/>
            </w14:solidFill>
          </w14:textFill>
        </w:rPr>
        <w:t>如有未尽事宜，由双方依法订立补充合同。</w:t>
      </w:r>
    </w:p>
    <w:p w14:paraId="1D095036">
      <w:pPr>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2、本合同自签订之日起生效。</w:t>
      </w:r>
    </w:p>
    <w:p w14:paraId="79F2F243">
      <w:pPr>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3、本合同一式___份，具有同等法律效力，甲乙双方各执____份，___份报送政府采购监督管理部门备案，一份采购代理机构存档。</w:t>
      </w:r>
    </w:p>
    <w:p w14:paraId="66B8782A">
      <w:pPr>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rPr>
          <w:rFonts w:hint="eastAsia" w:ascii="仿宋" w:hAnsi="仿宋" w:eastAsia="仿宋" w:cs="仿宋"/>
          <w:color w:val="000000" w:themeColor="text1"/>
          <w:szCs w:val="21"/>
          <w:highlight w:val="none"/>
          <w14:textFill>
            <w14:solidFill>
              <w14:schemeClr w14:val="tx1"/>
            </w14:solidFill>
          </w14:textFill>
        </w:rPr>
      </w:pPr>
    </w:p>
    <w:p w14:paraId="6FBDB6CE">
      <w:pPr>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rPr>
          <w:rFonts w:hint="eastAsia" w:ascii="仿宋" w:hAnsi="仿宋" w:eastAsia="仿宋" w:cs="仿宋"/>
          <w:color w:val="000000" w:themeColor="text1"/>
          <w:szCs w:val="21"/>
          <w:highlight w:val="none"/>
          <w14:textFill>
            <w14:solidFill>
              <w14:schemeClr w14:val="tx1"/>
            </w14:solidFill>
          </w14:textFill>
        </w:rPr>
      </w:pPr>
    </w:p>
    <w:p w14:paraId="59F1A1B6">
      <w:pPr>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甲方：   （盖章）   </w:t>
      </w:r>
      <w:r>
        <w:rPr>
          <w:rFonts w:hint="eastAsia" w:ascii="仿宋" w:hAnsi="仿宋" w:eastAsia="仿宋" w:cs="仿宋"/>
          <w:color w:val="000000" w:themeColor="text1"/>
          <w:szCs w:val="21"/>
          <w:highlight w:val="none"/>
          <w14:textFill>
            <w14:solidFill>
              <w14:schemeClr w14:val="tx1"/>
            </w14:solidFill>
          </w14:textFill>
        </w:rPr>
        <w:tab/>
      </w:r>
      <w:r>
        <w:rPr>
          <w:rFonts w:hint="eastAsia" w:ascii="仿宋" w:hAnsi="仿宋" w:eastAsia="仿宋" w:cs="仿宋"/>
          <w:color w:val="000000" w:themeColor="text1"/>
          <w:szCs w:val="21"/>
          <w:highlight w:val="none"/>
          <w14:textFill>
            <w14:solidFill>
              <w14:schemeClr w14:val="tx1"/>
            </w14:solidFill>
          </w14:textFill>
        </w:rPr>
        <w:tab/>
      </w:r>
      <w:r>
        <w:rPr>
          <w:rFonts w:hint="eastAsia" w:ascii="仿宋" w:hAnsi="仿宋" w:eastAsia="仿宋" w:cs="仿宋"/>
          <w:color w:val="000000" w:themeColor="text1"/>
          <w:szCs w:val="21"/>
          <w:highlight w:val="none"/>
          <w14:textFill>
            <w14:solidFill>
              <w14:schemeClr w14:val="tx1"/>
            </w14:solidFill>
          </w14:textFill>
        </w:rPr>
        <w:tab/>
      </w:r>
      <w:r>
        <w:rPr>
          <w:rFonts w:hint="eastAsia" w:ascii="仿宋" w:hAnsi="仿宋" w:eastAsia="仿宋" w:cs="仿宋"/>
          <w:color w:val="000000" w:themeColor="text1"/>
          <w:szCs w:val="21"/>
          <w:highlight w:val="none"/>
          <w14:textFill>
            <w14:solidFill>
              <w14:schemeClr w14:val="tx1"/>
            </w14:solidFill>
          </w14:textFill>
        </w:rPr>
        <w:t xml:space="preserve">   乙方：   （盖章）</w:t>
      </w:r>
    </w:p>
    <w:p w14:paraId="56BFF3E2">
      <w:pPr>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法定代表人/授权代表：              法定代表人/授权代表：</w:t>
      </w:r>
    </w:p>
    <w:p w14:paraId="6B1A786D">
      <w:pPr>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地    址：                         地    址：</w:t>
      </w:r>
    </w:p>
    <w:p w14:paraId="2A15BF89">
      <w:pPr>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开户银行：                         开户银行：</w:t>
      </w:r>
    </w:p>
    <w:p w14:paraId="255A2435">
      <w:pPr>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账    号：                         账    号：</w:t>
      </w:r>
    </w:p>
    <w:p w14:paraId="44662972">
      <w:pPr>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电    话：                         电    话：</w:t>
      </w:r>
    </w:p>
    <w:p w14:paraId="3887CDBF">
      <w:pPr>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传    真：                         传    真：</w:t>
      </w:r>
    </w:p>
    <w:p w14:paraId="4718862F">
      <w:pPr>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签约日期：    年  月  日           签约日期：    年  月  日</w:t>
      </w:r>
    </w:p>
    <w:p w14:paraId="12F97858">
      <w:pPr>
        <w:shd w:val="clear"/>
        <w:adjustRightInd w:val="0"/>
        <w:snapToGrid w:val="0"/>
        <w:spacing w:line="360" w:lineRule="exact"/>
        <w:rPr>
          <w:rFonts w:hint="eastAsia" w:ascii="仿宋" w:hAnsi="仿宋" w:eastAsia="仿宋" w:cs="仿宋"/>
          <w:color w:val="000000" w:themeColor="text1"/>
          <w:sz w:val="21"/>
          <w:szCs w:val="21"/>
          <w:highlight w:val="none"/>
          <w14:textFill>
            <w14:solidFill>
              <w14:schemeClr w14:val="tx1"/>
            </w14:solidFill>
          </w14:textFill>
        </w:rPr>
      </w:pPr>
    </w:p>
    <w:sectPr>
      <w:footerReference r:id="rId7"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Sans Serif">
    <w:altName w:val="Arial"/>
    <w:panose1 w:val="020B05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ˎ̥">
    <w:altName w:val="Times New Roman"/>
    <w:panose1 w:val="00000000000000000000"/>
    <w:charset w:val="00"/>
    <w:family w:val="auto"/>
    <w:pitch w:val="default"/>
    <w:sig w:usb0="00000000" w:usb1="00000000" w:usb2="00000000" w:usb3="00000000" w:csb0="00040001" w:csb1="00000000"/>
  </w:font>
  <w:font w:name="宋体-简">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7C60B">
    <w:pPr>
      <w:pStyle w:val="30"/>
      <w:jc w:val="distribute"/>
      <w:rPr>
        <w:rFonts w:ascii="宋体" w:cs="宋体"/>
        <w:kern w:val="1"/>
        <w:sz w:val="24"/>
        <w:u w:val="sing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9F870">
    <w:pPr>
      <w:pStyle w:val="30"/>
      <w:jc w:val="center"/>
    </w:pPr>
  </w:p>
  <w:p w14:paraId="0A8FC74D">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BDF5D">
    <w:pPr>
      <w:pStyle w:val="30"/>
      <w:jc w:val="center"/>
    </w:pPr>
    <w:r>
      <w:rPr>
        <w:rFonts w:hint="eastAsia" w:ascii="宋体" w:hAnsi="宋体"/>
        <w:szCs w:val="18"/>
        <w:lang w:val="en-US" w:eastAsia="zh-CN"/>
      </w:rPr>
      <w:t xml:space="preserve">                                                     </w:t>
    </w:r>
    <w:r>
      <w:rPr>
        <w:sz w:val="18"/>
      </w:rPr>
      <mc:AlternateContent>
        <mc:Choice Requires="wps">
          <w:drawing>
            <wp:anchor distT="0" distB="0" distL="114300" distR="114300" simplePos="0" relativeHeight="251659264" behindDoc="0" locked="0" layoutInCell="1" allowOverlap="1">
              <wp:simplePos x="0" y="0"/>
              <wp:positionH relativeFrom="margin">
                <wp:posOffset>2576830</wp:posOffset>
              </wp:positionH>
              <wp:positionV relativeFrom="paragraph">
                <wp:posOffset>0</wp:posOffset>
              </wp:positionV>
              <wp:extent cx="806450" cy="191770"/>
              <wp:effectExtent l="0" t="0" r="0" b="0"/>
              <wp:wrapNone/>
              <wp:docPr id="2" name="文本框 2"/>
              <wp:cNvGraphicFramePr/>
              <a:graphic xmlns:a="http://schemas.openxmlformats.org/drawingml/2006/main">
                <a:graphicData uri="http://schemas.microsoft.com/office/word/2010/wordprocessingShape">
                  <wps:wsp>
                    <wps:cNvSpPr txBox="1"/>
                    <wps:spPr>
                      <a:xfrm>
                        <a:off x="0" y="0"/>
                        <a:ext cx="806450" cy="1917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8F7478">
                          <w:pPr>
                            <w:pStyle w:val="30"/>
                            <w:rPr>
                              <w:rFonts w:hint="eastAsia" w:eastAsia="宋体"/>
                              <w:lang w:val="en-US" w:eastAsia="zh-CN"/>
                            </w:rPr>
                          </w:pPr>
                          <w:r>
                            <w:t xml:space="preserve">— </w:t>
                          </w:r>
                          <w:r>
                            <w:fldChar w:fldCharType="begin"/>
                          </w:r>
                          <w:r>
                            <w:instrText xml:space="preserve"> PAGE  \* MERGEFORMAT </w:instrText>
                          </w:r>
                          <w:r>
                            <w:fldChar w:fldCharType="separate"/>
                          </w:r>
                          <w:r>
                            <w:t>1</w:t>
                          </w:r>
                          <w:r>
                            <w:fldChar w:fldCharType="end"/>
                          </w:r>
                          <w:r>
                            <w:t xml:space="preserve"> —</w:t>
                          </w:r>
                          <w:r>
                            <w:rPr>
                              <w:rFonts w:hint="eastAsia"/>
                              <w:lang w:val="en-US" w:eastAsia="zh-CN"/>
                            </w:rPr>
                            <w:t xml:space="preserve"> </w:t>
                          </w:r>
                        </w:p>
                        <w:p w14:paraId="0F786503">
                          <w:pPr>
                            <w:pStyle w:val="21"/>
                          </w:pPr>
                        </w:p>
                        <w:p w14:paraId="51F4836D">
                          <w:pPr>
                            <w:pStyle w:val="21"/>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2.9pt;margin-top:0pt;height:15.1pt;width:63.5pt;mso-position-horizontal-relative:margin;z-index:251659264;mso-width-relative:page;mso-height-relative:page;" filled="f" stroked="f" coordsize="21600,21600" o:gfxdata="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EuHjL1gAAAAcBAAAPAAAAAAAAAAEAIAAAACIAAABkcnMvZG93bnJldi54&#10;bWxQSwECFAAUAAAACACHTuJApsdX7TUCAABhBAAADgAAAAAAAAABACAAAAAlAQAAZHJzL2Uyb0Rv&#10;Yy54bWxQSwUGAAAAAAYABgBZAQAAzAUAAAAA&#10;">
              <v:fill on="f" focussize="0,0"/>
              <v:stroke on="f" weight="0.5pt"/>
              <v:imagedata o:title=""/>
              <o:lock v:ext="edit" aspectratio="f"/>
              <v:textbox inset="0mm,0mm,0mm,0mm">
                <w:txbxContent>
                  <w:p w14:paraId="378F7478">
                    <w:pPr>
                      <w:pStyle w:val="30"/>
                      <w:rPr>
                        <w:rFonts w:hint="eastAsia" w:eastAsia="宋体"/>
                        <w:lang w:val="en-US" w:eastAsia="zh-CN"/>
                      </w:rPr>
                    </w:pPr>
                    <w:r>
                      <w:t xml:space="preserve">— </w:t>
                    </w:r>
                    <w:r>
                      <w:fldChar w:fldCharType="begin"/>
                    </w:r>
                    <w:r>
                      <w:instrText xml:space="preserve"> PAGE  \* MERGEFORMAT </w:instrText>
                    </w:r>
                    <w:r>
                      <w:fldChar w:fldCharType="separate"/>
                    </w:r>
                    <w:r>
                      <w:t>1</w:t>
                    </w:r>
                    <w:r>
                      <w:fldChar w:fldCharType="end"/>
                    </w:r>
                    <w:r>
                      <w:t xml:space="preserve"> —</w:t>
                    </w:r>
                    <w:r>
                      <w:rPr>
                        <w:rFonts w:hint="eastAsia"/>
                        <w:lang w:val="en-US" w:eastAsia="zh-CN"/>
                      </w:rPr>
                      <w:t xml:space="preserve"> </w:t>
                    </w:r>
                  </w:p>
                  <w:p w14:paraId="0F786503">
                    <w:pPr>
                      <w:pStyle w:val="21"/>
                    </w:pPr>
                  </w:p>
                  <w:p w14:paraId="51F4836D">
                    <w:pPr>
                      <w:pStyle w:val="21"/>
                    </w:pPr>
                  </w:p>
                </w:txbxContent>
              </v:textbox>
            </v:shape>
          </w:pict>
        </mc:Fallback>
      </mc:AlternateContent>
    </w:r>
  </w:p>
  <w:p w14:paraId="77B51240">
    <w:pPr>
      <w:pStyle w:val="30"/>
      <w:pBdr>
        <w:top w:val="single" w:color="auto" w:sz="4" w:space="0"/>
      </w:pBdr>
    </w:pPr>
    <w:r>
      <w:rPr>
        <w:rFonts w:hint="eastAsia" w:ascii="宋体" w:hAnsi="宋体"/>
        <w:szCs w:val="18"/>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EEF8B">
    <w:pPr>
      <w:pStyle w:val="32"/>
      <w:pBdr>
        <w:top w:val="none" w:color="auto" w:sz="0" w:space="0"/>
        <w:left w:val="none" w:color="auto" w:sz="0" w:space="0"/>
        <w:bottom w:val="none" w:color="auto" w:sz="0" w:space="0"/>
        <w:right w:val="none" w:color="auto" w:sz="0" w:space="0"/>
      </w:pBdr>
      <w:jc w:val="distribute"/>
      <w:rPr>
        <w:sz w:val="28"/>
        <w:szCs w:val="28"/>
        <w:u w:val="single"/>
      </w:rPr>
    </w:pPr>
  </w:p>
  <w:p w14:paraId="1ACD815A">
    <w:pPr>
      <w:pStyle w:val="32"/>
      <w:pBdr>
        <w:top w:val="none" w:color="auto" w:sz="0" w:space="0"/>
        <w:left w:val="none" w:color="auto" w:sz="0" w:space="0"/>
        <w:bottom w:val="none" w:color="auto" w:sz="0" w:space="0"/>
        <w:right w:val="none" w:color="auto" w:sz="0" w:space="0"/>
      </w:pBdr>
      <w:jc w:val="distribute"/>
      <w:rPr>
        <w:b/>
        <w:sz w:val="28"/>
        <w:szCs w:val="28"/>
        <w:u w:val="doub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86D10">
    <w:pPr>
      <w:pStyle w:val="32"/>
      <w:pBdr>
        <w:bottom w:val="single" w:color="auto" w:sz="4" w:space="1"/>
      </w:pBdr>
      <w:tabs>
        <w:tab w:val="right" w:pos="0"/>
        <w:tab w:val="clear" w:pos="4153"/>
        <w:tab w:val="clear" w:pos="8306"/>
      </w:tabs>
      <w:jc w:val="both"/>
      <w:rPr>
        <w:rFonts w:hint="eastAsia" w:ascii="宋体" w:hAnsi="宋体" w:eastAsia="宋体" w:cs="宋体"/>
        <w:lang w:val="en-US" w:eastAsia="zh-CN"/>
      </w:rPr>
    </w:pPr>
    <w:r>
      <w:rPr>
        <w:rFonts w:hint="eastAsia" w:ascii="宋体" w:hAnsi="宋体" w:eastAsia="宋体" w:cs="宋体"/>
        <w:i w:val="0"/>
        <w:iCs w:val="0"/>
        <w:caps w:val="0"/>
        <w:color w:val="auto"/>
        <w:spacing w:val="0"/>
        <w:sz w:val="21"/>
        <w:szCs w:val="21"/>
        <w:shd w:val="clear" w:fill="FFFFFF"/>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18887F"/>
    <w:multiLevelType w:val="singleLevel"/>
    <w:tmpl w:val="8C18887F"/>
    <w:lvl w:ilvl="0" w:tentative="0">
      <w:start w:val="1"/>
      <w:numFmt w:val="decimal"/>
      <w:suff w:val="nothing"/>
      <w:lvlText w:val="%1、"/>
      <w:lvlJc w:val="left"/>
    </w:lvl>
  </w:abstractNum>
  <w:abstractNum w:abstractNumId="1">
    <w:nsid w:val="8DA066FB"/>
    <w:multiLevelType w:val="singleLevel"/>
    <w:tmpl w:val="8DA066FB"/>
    <w:lvl w:ilvl="0" w:tentative="0">
      <w:start w:val="1"/>
      <w:numFmt w:val="decimal"/>
      <w:lvlText w:val="%1."/>
      <w:lvlJc w:val="left"/>
      <w:pPr>
        <w:ind w:left="425" w:hanging="425"/>
      </w:pPr>
      <w:rPr>
        <w:rFonts w:hint="default"/>
      </w:rPr>
    </w:lvl>
  </w:abstractNum>
  <w:abstractNum w:abstractNumId="2">
    <w:nsid w:val="9BB006F7"/>
    <w:multiLevelType w:val="singleLevel"/>
    <w:tmpl w:val="9BB006F7"/>
    <w:lvl w:ilvl="0" w:tentative="0">
      <w:start w:val="1"/>
      <w:numFmt w:val="decimal"/>
      <w:lvlText w:val="%1."/>
      <w:lvlJc w:val="left"/>
      <w:pPr>
        <w:ind w:left="425" w:hanging="425"/>
      </w:pPr>
      <w:rPr>
        <w:rFonts w:hint="default"/>
      </w:rPr>
    </w:lvl>
  </w:abstractNum>
  <w:abstractNum w:abstractNumId="3">
    <w:nsid w:val="A28D3D0C"/>
    <w:multiLevelType w:val="singleLevel"/>
    <w:tmpl w:val="A28D3D0C"/>
    <w:lvl w:ilvl="0" w:tentative="0">
      <w:start w:val="1"/>
      <w:numFmt w:val="decimal"/>
      <w:lvlText w:val="%1."/>
      <w:lvlJc w:val="left"/>
      <w:pPr>
        <w:ind w:left="425" w:hanging="425"/>
      </w:pPr>
      <w:rPr>
        <w:rFonts w:hint="default"/>
      </w:rPr>
    </w:lvl>
  </w:abstractNum>
  <w:abstractNum w:abstractNumId="4">
    <w:nsid w:val="A2B32F9F"/>
    <w:multiLevelType w:val="singleLevel"/>
    <w:tmpl w:val="A2B32F9F"/>
    <w:lvl w:ilvl="0" w:tentative="0">
      <w:start w:val="1"/>
      <w:numFmt w:val="chineseCounting"/>
      <w:suff w:val="nothing"/>
      <w:lvlText w:val="%1．"/>
      <w:lvlJc w:val="left"/>
      <w:rPr>
        <w:rFonts w:hint="eastAsia"/>
      </w:rPr>
    </w:lvl>
  </w:abstractNum>
  <w:abstractNum w:abstractNumId="5">
    <w:nsid w:val="D536AA54"/>
    <w:multiLevelType w:val="singleLevel"/>
    <w:tmpl w:val="D536AA54"/>
    <w:lvl w:ilvl="0" w:tentative="0">
      <w:start w:val="1"/>
      <w:numFmt w:val="decimal"/>
      <w:lvlText w:val="%1."/>
      <w:lvlJc w:val="left"/>
      <w:pPr>
        <w:ind w:left="425" w:hanging="425"/>
      </w:pPr>
      <w:rPr>
        <w:rFonts w:hint="default"/>
      </w:rPr>
    </w:lvl>
  </w:abstractNum>
  <w:abstractNum w:abstractNumId="6">
    <w:nsid w:val="E681E127"/>
    <w:multiLevelType w:val="singleLevel"/>
    <w:tmpl w:val="E681E127"/>
    <w:lvl w:ilvl="0" w:tentative="0">
      <w:start w:val="6"/>
      <w:numFmt w:val="decimal"/>
      <w:suff w:val="nothing"/>
      <w:lvlText w:val="%1、"/>
      <w:lvlJc w:val="left"/>
    </w:lvl>
  </w:abstractNum>
  <w:abstractNum w:abstractNumId="7">
    <w:nsid w:val="26401EEA"/>
    <w:multiLevelType w:val="singleLevel"/>
    <w:tmpl w:val="26401EEA"/>
    <w:lvl w:ilvl="0" w:tentative="0">
      <w:start w:val="1"/>
      <w:numFmt w:val="decimal"/>
      <w:lvlText w:val="%1."/>
      <w:lvlJc w:val="left"/>
      <w:pPr>
        <w:ind w:left="425" w:hanging="425"/>
      </w:pPr>
      <w:rPr>
        <w:rFonts w:hint="default"/>
      </w:rPr>
    </w:lvl>
  </w:abstractNum>
  <w:abstractNum w:abstractNumId="8">
    <w:nsid w:val="396439FA"/>
    <w:multiLevelType w:val="singleLevel"/>
    <w:tmpl w:val="396439FA"/>
    <w:lvl w:ilvl="0" w:tentative="0">
      <w:start w:val="1"/>
      <w:numFmt w:val="decimal"/>
      <w:lvlText w:val="%1."/>
      <w:lvlJc w:val="left"/>
      <w:pPr>
        <w:ind w:left="425" w:hanging="425"/>
      </w:pPr>
      <w:rPr>
        <w:rFonts w:hint="default"/>
      </w:rPr>
    </w:lvl>
  </w:abstractNum>
  <w:abstractNum w:abstractNumId="9">
    <w:nsid w:val="4639E846"/>
    <w:multiLevelType w:val="singleLevel"/>
    <w:tmpl w:val="4639E846"/>
    <w:lvl w:ilvl="0" w:tentative="0">
      <w:start w:val="1"/>
      <w:numFmt w:val="decimal"/>
      <w:lvlText w:val="%1."/>
      <w:lvlJc w:val="left"/>
      <w:pPr>
        <w:ind w:left="425" w:hanging="425"/>
      </w:pPr>
      <w:rPr>
        <w:rFonts w:hint="default"/>
      </w:rPr>
    </w:lvl>
  </w:abstractNum>
  <w:abstractNum w:abstractNumId="10">
    <w:nsid w:val="5C487675"/>
    <w:multiLevelType w:val="multilevel"/>
    <w:tmpl w:val="5C487675"/>
    <w:lvl w:ilvl="0" w:tentative="0">
      <w:start w:val="1"/>
      <w:numFmt w:val="decimal"/>
      <w:lvlText w:val="第%1章"/>
      <w:lvlJc w:val="left"/>
      <w:pPr>
        <w:ind w:left="425" w:hanging="425"/>
      </w:pPr>
      <w:rPr>
        <w:rFonts w:hint="eastAsia"/>
        <w:sz w:val="44"/>
      </w:rPr>
    </w:lvl>
    <w:lvl w:ilvl="1" w:tentative="0">
      <w:start w:val="1"/>
      <w:numFmt w:val="decimal"/>
      <w:lvlText w:val="%1.%2"/>
      <w:lvlJc w:val="left"/>
      <w:pPr>
        <w:ind w:left="0" w:firstLine="0"/>
      </w:pPr>
      <w:rPr>
        <w:rFonts w:hint="eastAsia"/>
        <w:sz w:val="36"/>
      </w:rPr>
    </w:lvl>
    <w:lvl w:ilvl="2" w:tentative="0">
      <w:start w:val="1"/>
      <w:numFmt w:val="decimal"/>
      <w:pStyle w:val="239"/>
      <w:lvlText w:val="%1.%2.%3"/>
      <w:lvlJc w:val="left"/>
      <w:pPr>
        <w:ind w:left="397" w:firstLine="0"/>
      </w:pPr>
      <w:rPr>
        <w:rFonts w:hint="eastAsia"/>
        <w:sz w:val="32"/>
      </w:rPr>
    </w:lvl>
    <w:lvl w:ilvl="3" w:tentative="0">
      <w:start w:val="1"/>
      <w:numFmt w:val="decimal"/>
      <w:lvlText w:val="%1.%2.%3.%4"/>
      <w:lvlJc w:val="left"/>
      <w:pPr>
        <w:ind w:left="851" w:firstLine="0"/>
      </w:pPr>
      <w:rPr>
        <w:rFonts w:hint="eastAsia"/>
        <w:sz w:val="30"/>
      </w:rPr>
    </w:lvl>
    <w:lvl w:ilvl="4" w:tentative="0">
      <w:start w:val="1"/>
      <w:numFmt w:val="decimal"/>
      <w:lvlText w:val="%1.%2.%3.%4.%5"/>
      <w:lvlJc w:val="left"/>
      <w:pPr>
        <w:ind w:left="1134" w:firstLine="0"/>
      </w:pPr>
      <w:rPr>
        <w:rFonts w:hint="eastAsia"/>
        <w:sz w:val="28"/>
      </w:rPr>
    </w:lvl>
    <w:lvl w:ilvl="5" w:tentative="0">
      <w:start w:val="1"/>
      <w:numFmt w:val="decimal"/>
      <w:lvlText w:val="%1.%2.%3.%4.%5.%6"/>
      <w:lvlJc w:val="left"/>
      <w:pPr>
        <w:ind w:left="3260" w:hanging="1134"/>
      </w:pPr>
      <w:rPr>
        <w:rFonts w:hint="eastAsia"/>
        <w:sz w:val="24"/>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0"/>
  </w:num>
  <w:num w:numId="2">
    <w:abstractNumId w:val="4"/>
  </w:num>
  <w:num w:numId="3">
    <w:abstractNumId w:val="8"/>
  </w:num>
  <w:num w:numId="4">
    <w:abstractNumId w:val="5"/>
  </w:num>
  <w:num w:numId="5">
    <w:abstractNumId w:val="1"/>
  </w:num>
  <w:num w:numId="6">
    <w:abstractNumId w:val="2"/>
  </w:num>
  <w:num w:numId="7">
    <w:abstractNumId w:val="3"/>
  </w:num>
  <w:num w:numId="8">
    <w:abstractNumId w:val="7"/>
  </w:num>
  <w:num w:numId="9">
    <w:abstractNumId w:val="9"/>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mMmY3NmQ4ZGIyZDQzZmE4OTJjYzI4MTQ2ZWE5ZDEifQ=="/>
    <w:docVar w:name="KSO_WPS_MARK_KEY" w:val="913be8d1-743a-4127-a7c3-a81b7f4ed10a"/>
  </w:docVars>
  <w:rsids>
    <w:rsidRoot w:val="00172A27"/>
    <w:rsid w:val="000001D1"/>
    <w:rsid w:val="00002C1F"/>
    <w:rsid w:val="00003574"/>
    <w:rsid w:val="0000688B"/>
    <w:rsid w:val="00007BCE"/>
    <w:rsid w:val="00007DED"/>
    <w:rsid w:val="00016C5D"/>
    <w:rsid w:val="00021E99"/>
    <w:rsid w:val="00023F5F"/>
    <w:rsid w:val="00024CD5"/>
    <w:rsid w:val="00025A75"/>
    <w:rsid w:val="00025A93"/>
    <w:rsid w:val="000267EF"/>
    <w:rsid w:val="00037BE7"/>
    <w:rsid w:val="00040C24"/>
    <w:rsid w:val="000415D5"/>
    <w:rsid w:val="00043C5B"/>
    <w:rsid w:val="00043EA3"/>
    <w:rsid w:val="0004459A"/>
    <w:rsid w:val="00045266"/>
    <w:rsid w:val="00047899"/>
    <w:rsid w:val="000538D8"/>
    <w:rsid w:val="000554EC"/>
    <w:rsid w:val="00056052"/>
    <w:rsid w:val="00056A12"/>
    <w:rsid w:val="0006415F"/>
    <w:rsid w:val="0006577B"/>
    <w:rsid w:val="0006580D"/>
    <w:rsid w:val="00071935"/>
    <w:rsid w:val="000740A9"/>
    <w:rsid w:val="00095731"/>
    <w:rsid w:val="000B1DF8"/>
    <w:rsid w:val="000D10E4"/>
    <w:rsid w:val="000D548B"/>
    <w:rsid w:val="000D6161"/>
    <w:rsid w:val="000D7181"/>
    <w:rsid w:val="000E1026"/>
    <w:rsid w:val="000E2A9D"/>
    <w:rsid w:val="000E2E8A"/>
    <w:rsid w:val="000E4F4A"/>
    <w:rsid w:val="000E751C"/>
    <w:rsid w:val="000F73EF"/>
    <w:rsid w:val="000F7B80"/>
    <w:rsid w:val="00100D67"/>
    <w:rsid w:val="00105780"/>
    <w:rsid w:val="001075B9"/>
    <w:rsid w:val="00110934"/>
    <w:rsid w:val="00116098"/>
    <w:rsid w:val="00116F6D"/>
    <w:rsid w:val="00124490"/>
    <w:rsid w:val="00130A0E"/>
    <w:rsid w:val="00140B69"/>
    <w:rsid w:val="0014684D"/>
    <w:rsid w:val="0015178F"/>
    <w:rsid w:val="001566DD"/>
    <w:rsid w:val="00162EEA"/>
    <w:rsid w:val="00170817"/>
    <w:rsid w:val="00172A27"/>
    <w:rsid w:val="0018539E"/>
    <w:rsid w:val="00190A60"/>
    <w:rsid w:val="00190D7C"/>
    <w:rsid w:val="0019653E"/>
    <w:rsid w:val="001A0968"/>
    <w:rsid w:val="001A4DBA"/>
    <w:rsid w:val="001A722B"/>
    <w:rsid w:val="001B1981"/>
    <w:rsid w:val="001B55DB"/>
    <w:rsid w:val="001C04AD"/>
    <w:rsid w:val="001C5971"/>
    <w:rsid w:val="001C59BE"/>
    <w:rsid w:val="001C7AB4"/>
    <w:rsid w:val="001D15B2"/>
    <w:rsid w:val="001E5215"/>
    <w:rsid w:val="001F0DF9"/>
    <w:rsid w:val="001F18AF"/>
    <w:rsid w:val="001F4501"/>
    <w:rsid w:val="001F5C0C"/>
    <w:rsid w:val="0020158E"/>
    <w:rsid w:val="0020175C"/>
    <w:rsid w:val="00202095"/>
    <w:rsid w:val="002102D0"/>
    <w:rsid w:val="00213177"/>
    <w:rsid w:val="00217C44"/>
    <w:rsid w:val="0022255F"/>
    <w:rsid w:val="00223D99"/>
    <w:rsid w:val="002351E2"/>
    <w:rsid w:val="00240247"/>
    <w:rsid w:val="002415D4"/>
    <w:rsid w:val="00252DF9"/>
    <w:rsid w:val="002535FA"/>
    <w:rsid w:val="002539E7"/>
    <w:rsid w:val="002554A6"/>
    <w:rsid w:val="00257358"/>
    <w:rsid w:val="002637F5"/>
    <w:rsid w:val="002678AD"/>
    <w:rsid w:val="00271B91"/>
    <w:rsid w:val="00277883"/>
    <w:rsid w:val="002819BA"/>
    <w:rsid w:val="00292358"/>
    <w:rsid w:val="00296B29"/>
    <w:rsid w:val="002A0181"/>
    <w:rsid w:val="002A29D7"/>
    <w:rsid w:val="002A4B12"/>
    <w:rsid w:val="002A6938"/>
    <w:rsid w:val="002B0492"/>
    <w:rsid w:val="002B0F0C"/>
    <w:rsid w:val="002C1F71"/>
    <w:rsid w:val="002C3F57"/>
    <w:rsid w:val="002D31F8"/>
    <w:rsid w:val="002D6365"/>
    <w:rsid w:val="002E0C92"/>
    <w:rsid w:val="002E1026"/>
    <w:rsid w:val="002E64B8"/>
    <w:rsid w:val="002F2887"/>
    <w:rsid w:val="0030105E"/>
    <w:rsid w:val="0030229E"/>
    <w:rsid w:val="00306D7D"/>
    <w:rsid w:val="00310844"/>
    <w:rsid w:val="00321E99"/>
    <w:rsid w:val="00323F6C"/>
    <w:rsid w:val="00342768"/>
    <w:rsid w:val="00344818"/>
    <w:rsid w:val="003477E8"/>
    <w:rsid w:val="003505B2"/>
    <w:rsid w:val="0035109D"/>
    <w:rsid w:val="003533C2"/>
    <w:rsid w:val="00361116"/>
    <w:rsid w:val="003628A6"/>
    <w:rsid w:val="00364C39"/>
    <w:rsid w:val="00365574"/>
    <w:rsid w:val="003663D3"/>
    <w:rsid w:val="0037121B"/>
    <w:rsid w:val="00371980"/>
    <w:rsid w:val="00373909"/>
    <w:rsid w:val="003816B4"/>
    <w:rsid w:val="00381BE5"/>
    <w:rsid w:val="00382DD4"/>
    <w:rsid w:val="00390CB7"/>
    <w:rsid w:val="00391228"/>
    <w:rsid w:val="00391D63"/>
    <w:rsid w:val="00393BA0"/>
    <w:rsid w:val="00396E6F"/>
    <w:rsid w:val="003A0B49"/>
    <w:rsid w:val="003A0E5A"/>
    <w:rsid w:val="003A289B"/>
    <w:rsid w:val="003A2F33"/>
    <w:rsid w:val="003A4CAB"/>
    <w:rsid w:val="003A5276"/>
    <w:rsid w:val="003A5F48"/>
    <w:rsid w:val="003B5F4D"/>
    <w:rsid w:val="003B5FAC"/>
    <w:rsid w:val="003C18B2"/>
    <w:rsid w:val="003C2A60"/>
    <w:rsid w:val="003C2AC9"/>
    <w:rsid w:val="003C34E1"/>
    <w:rsid w:val="003C3DF7"/>
    <w:rsid w:val="003D1806"/>
    <w:rsid w:val="003D190A"/>
    <w:rsid w:val="003D7D82"/>
    <w:rsid w:val="003E1465"/>
    <w:rsid w:val="003E353F"/>
    <w:rsid w:val="003F530F"/>
    <w:rsid w:val="003F5773"/>
    <w:rsid w:val="003F646A"/>
    <w:rsid w:val="0040410C"/>
    <w:rsid w:val="0040706D"/>
    <w:rsid w:val="00410E6B"/>
    <w:rsid w:val="00414040"/>
    <w:rsid w:val="00415036"/>
    <w:rsid w:val="004154F0"/>
    <w:rsid w:val="00415FE4"/>
    <w:rsid w:val="00416A1B"/>
    <w:rsid w:val="00417F64"/>
    <w:rsid w:val="004218D9"/>
    <w:rsid w:val="00425116"/>
    <w:rsid w:val="00426E89"/>
    <w:rsid w:val="004303B6"/>
    <w:rsid w:val="00434130"/>
    <w:rsid w:val="00450A5C"/>
    <w:rsid w:val="00453889"/>
    <w:rsid w:val="0045474D"/>
    <w:rsid w:val="004570FA"/>
    <w:rsid w:val="00460A44"/>
    <w:rsid w:val="004666E5"/>
    <w:rsid w:val="004723FC"/>
    <w:rsid w:val="00487E43"/>
    <w:rsid w:val="004937A8"/>
    <w:rsid w:val="004A0DC0"/>
    <w:rsid w:val="004A1F19"/>
    <w:rsid w:val="004A2A93"/>
    <w:rsid w:val="004A344A"/>
    <w:rsid w:val="004A3A3C"/>
    <w:rsid w:val="004A58C3"/>
    <w:rsid w:val="004B41C3"/>
    <w:rsid w:val="004B7976"/>
    <w:rsid w:val="004C0A72"/>
    <w:rsid w:val="004C1197"/>
    <w:rsid w:val="004C1691"/>
    <w:rsid w:val="004C1EBA"/>
    <w:rsid w:val="004C26BC"/>
    <w:rsid w:val="004D1130"/>
    <w:rsid w:val="004E6D75"/>
    <w:rsid w:val="004F06BD"/>
    <w:rsid w:val="004F0A05"/>
    <w:rsid w:val="005002CA"/>
    <w:rsid w:val="0050235F"/>
    <w:rsid w:val="005033C4"/>
    <w:rsid w:val="0051094B"/>
    <w:rsid w:val="00512F09"/>
    <w:rsid w:val="005138F7"/>
    <w:rsid w:val="00514B25"/>
    <w:rsid w:val="00521B18"/>
    <w:rsid w:val="00522546"/>
    <w:rsid w:val="00530D85"/>
    <w:rsid w:val="005344F9"/>
    <w:rsid w:val="00537CD7"/>
    <w:rsid w:val="00540431"/>
    <w:rsid w:val="00543D5A"/>
    <w:rsid w:val="005452CE"/>
    <w:rsid w:val="00546DAC"/>
    <w:rsid w:val="00547641"/>
    <w:rsid w:val="00551E65"/>
    <w:rsid w:val="005539A0"/>
    <w:rsid w:val="00557BAC"/>
    <w:rsid w:val="005676B1"/>
    <w:rsid w:val="00567A8B"/>
    <w:rsid w:val="00573358"/>
    <w:rsid w:val="00574049"/>
    <w:rsid w:val="00576727"/>
    <w:rsid w:val="00576DF1"/>
    <w:rsid w:val="00580DAE"/>
    <w:rsid w:val="00581016"/>
    <w:rsid w:val="0058322B"/>
    <w:rsid w:val="00585638"/>
    <w:rsid w:val="00590499"/>
    <w:rsid w:val="005926F9"/>
    <w:rsid w:val="0059608A"/>
    <w:rsid w:val="005A47F7"/>
    <w:rsid w:val="005B31E8"/>
    <w:rsid w:val="005B786E"/>
    <w:rsid w:val="005C1340"/>
    <w:rsid w:val="005C1EAA"/>
    <w:rsid w:val="005D1FA6"/>
    <w:rsid w:val="005E50E6"/>
    <w:rsid w:val="005F406B"/>
    <w:rsid w:val="005F495A"/>
    <w:rsid w:val="005F7200"/>
    <w:rsid w:val="0060031E"/>
    <w:rsid w:val="00613E79"/>
    <w:rsid w:val="006152F0"/>
    <w:rsid w:val="00615453"/>
    <w:rsid w:val="00615B20"/>
    <w:rsid w:val="00620F37"/>
    <w:rsid w:val="006254AD"/>
    <w:rsid w:val="00626C25"/>
    <w:rsid w:val="0063217D"/>
    <w:rsid w:val="0063285F"/>
    <w:rsid w:val="00634A92"/>
    <w:rsid w:val="00635093"/>
    <w:rsid w:val="00640943"/>
    <w:rsid w:val="00641902"/>
    <w:rsid w:val="0064487F"/>
    <w:rsid w:val="006449D4"/>
    <w:rsid w:val="00646B40"/>
    <w:rsid w:val="006474BF"/>
    <w:rsid w:val="006507A3"/>
    <w:rsid w:val="0065523A"/>
    <w:rsid w:val="00672E1A"/>
    <w:rsid w:val="0067342F"/>
    <w:rsid w:val="00676A6B"/>
    <w:rsid w:val="00677485"/>
    <w:rsid w:val="00681115"/>
    <w:rsid w:val="00687E93"/>
    <w:rsid w:val="00693C54"/>
    <w:rsid w:val="006A51BD"/>
    <w:rsid w:val="006B2DEB"/>
    <w:rsid w:val="006B39BE"/>
    <w:rsid w:val="006D5089"/>
    <w:rsid w:val="006D787E"/>
    <w:rsid w:val="006E52A9"/>
    <w:rsid w:val="006E6D69"/>
    <w:rsid w:val="006F0CF3"/>
    <w:rsid w:val="006F5041"/>
    <w:rsid w:val="00704F31"/>
    <w:rsid w:val="00706557"/>
    <w:rsid w:val="00710D5A"/>
    <w:rsid w:val="007221CC"/>
    <w:rsid w:val="00725983"/>
    <w:rsid w:val="007322C9"/>
    <w:rsid w:val="0073324F"/>
    <w:rsid w:val="00733B64"/>
    <w:rsid w:val="0073493A"/>
    <w:rsid w:val="0073688F"/>
    <w:rsid w:val="007412AC"/>
    <w:rsid w:val="00744990"/>
    <w:rsid w:val="00745AFE"/>
    <w:rsid w:val="007558F4"/>
    <w:rsid w:val="00764EE4"/>
    <w:rsid w:val="00765B31"/>
    <w:rsid w:val="007707F4"/>
    <w:rsid w:val="00773E79"/>
    <w:rsid w:val="00774DDA"/>
    <w:rsid w:val="00777804"/>
    <w:rsid w:val="007830AF"/>
    <w:rsid w:val="007908EB"/>
    <w:rsid w:val="00794688"/>
    <w:rsid w:val="007958D5"/>
    <w:rsid w:val="00796486"/>
    <w:rsid w:val="007A0C10"/>
    <w:rsid w:val="007A6318"/>
    <w:rsid w:val="007C0CAA"/>
    <w:rsid w:val="007C28EA"/>
    <w:rsid w:val="007C65BF"/>
    <w:rsid w:val="007D0A06"/>
    <w:rsid w:val="008001D2"/>
    <w:rsid w:val="00800AF1"/>
    <w:rsid w:val="008051AE"/>
    <w:rsid w:val="0081426F"/>
    <w:rsid w:val="00816D81"/>
    <w:rsid w:val="0082316D"/>
    <w:rsid w:val="00823688"/>
    <w:rsid w:val="00834949"/>
    <w:rsid w:val="00836DC5"/>
    <w:rsid w:val="00845926"/>
    <w:rsid w:val="008501C1"/>
    <w:rsid w:val="008503E7"/>
    <w:rsid w:val="00850DEF"/>
    <w:rsid w:val="008542D5"/>
    <w:rsid w:val="0085579A"/>
    <w:rsid w:val="008643F1"/>
    <w:rsid w:val="0086769A"/>
    <w:rsid w:val="0087174B"/>
    <w:rsid w:val="00873284"/>
    <w:rsid w:val="00873972"/>
    <w:rsid w:val="00876AD6"/>
    <w:rsid w:val="00885E16"/>
    <w:rsid w:val="008866A7"/>
    <w:rsid w:val="0089000B"/>
    <w:rsid w:val="008905BB"/>
    <w:rsid w:val="00890942"/>
    <w:rsid w:val="008A0175"/>
    <w:rsid w:val="008B0ED7"/>
    <w:rsid w:val="008B7B4F"/>
    <w:rsid w:val="008C09BD"/>
    <w:rsid w:val="008C34F0"/>
    <w:rsid w:val="008D06A0"/>
    <w:rsid w:val="008D5140"/>
    <w:rsid w:val="008E2261"/>
    <w:rsid w:val="008E27DF"/>
    <w:rsid w:val="008E4B86"/>
    <w:rsid w:val="008E4E42"/>
    <w:rsid w:val="008E63DC"/>
    <w:rsid w:val="008F6BE7"/>
    <w:rsid w:val="009001A6"/>
    <w:rsid w:val="009011B9"/>
    <w:rsid w:val="009024EB"/>
    <w:rsid w:val="009042C0"/>
    <w:rsid w:val="00905D56"/>
    <w:rsid w:val="009134BF"/>
    <w:rsid w:val="009165DF"/>
    <w:rsid w:val="00916DB7"/>
    <w:rsid w:val="00924D8F"/>
    <w:rsid w:val="00926DB5"/>
    <w:rsid w:val="00930BFE"/>
    <w:rsid w:val="009318C7"/>
    <w:rsid w:val="0093720B"/>
    <w:rsid w:val="00947146"/>
    <w:rsid w:val="009572B9"/>
    <w:rsid w:val="009639CC"/>
    <w:rsid w:val="00971BDE"/>
    <w:rsid w:val="009762E1"/>
    <w:rsid w:val="00976EFB"/>
    <w:rsid w:val="009841C9"/>
    <w:rsid w:val="00990375"/>
    <w:rsid w:val="00994C10"/>
    <w:rsid w:val="009A0312"/>
    <w:rsid w:val="009A28B2"/>
    <w:rsid w:val="009A2F9C"/>
    <w:rsid w:val="009B32BB"/>
    <w:rsid w:val="009C1497"/>
    <w:rsid w:val="009C2DE3"/>
    <w:rsid w:val="009C41B0"/>
    <w:rsid w:val="009C5392"/>
    <w:rsid w:val="009C5A2A"/>
    <w:rsid w:val="009C614F"/>
    <w:rsid w:val="009C7915"/>
    <w:rsid w:val="009D299C"/>
    <w:rsid w:val="009E0214"/>
    <w:rsid w:val="009E2393"/>
    <w:rsid w:val="009F1EFC"/>
    <w:rsid w:val="00A02D3B"/>
    <w:rsid w:val="00A07F6F"/>
    <w:rsid w:val="00A11E4C"/>
    <w:rsid w:val="00A14BDA"/>
    <w:rsid w:val="00A151A1"/>
    <w:rsid w:val="00A15F00"/>
    <w:rsid w:val="00A20D22"/>
    <w:rsid w:val="00A215FC"/>
    <w:rsid w:val="00A24DDD"/>
    <w:rsid w:val="00A27CE2"/>
    <w:rsid w:val="00A35302"/>
    <w:rsid w:val="00A36608"/>
    <w:rsid w:val="00A42026"/>
    <w:rsid w:val="00A42635"/>
    <w:rsid w:val="00A45241"/>
    <w:rsid w:val="00A46062"/>
    <w:rsid w:val="00A477EB"/>
    <w:rsid w:val="00A545F0"/>
    <w:rsid w:val="00A575F7"/>
    <w:rsid w:val="00A57FA7"/>
    <w:rsid w:val="00A60859"/>
    <w:rsid w:val="00A6760D"/>
    <w:rsid w:val="00A7181A"/>
    <w:rsid w:val="00A74082"/>
    <w:rsid w:val="00A823C6"/>
    <w:rsid w:val="00A82964"/>
    <w:rsid w:val="00A90A2C"/>
    <w:rsid w:val="00A93F7F"/>
    <w:rsid w:val="00A945D0"/>
    <w:rsid w:val="00A966BD"/>
    <w:rsid w:val="00A97B83"/>
    <w:rsid w:val="00AA6108"/>
    <w:rsid w:val="00AB4EDF"/>
    <w:rsid w:val="00AB518A"/>
    <w:rsid w:val="00AB5757"/>
    <w:rsid w:val="00AB68D7"/>
    <w:rsid w:val="00AD05F1"/>
    <w:rsid w:val="00AE161A"/>
    <w:rsid w:val="00AE4279"/>
    <w:rsid w:val="00AE4CFC"/>
    <w:rsid w:val="00AF01A2"/>
    <w:rsid w:val="00AF2F14"/>
    <w:rsid w:val="00B14B61"/>
    <w:rsid w:val="00B17AB6"/>
    <w:rsid w:val="00B21030"/>
    <w:rsid w:val="00B230F5"/>
    <w:rsid w:val="00B23BA4"/>
    <w:rsid w:val="00B24E4D"/>
    <w:rsid w:val="00B30BBC"/>
    <w:rsid w:val="00B31C25"/>
    <w:rsid w:val="00B4435C"/>
    <w:rsid w:val="00B50BD9"/>
    <w:rsid w:val="00B52690"/>
    <w:rsid w:val="00B55527"/>
    <w:rsid w:val="00B618E6"/>
    <w:rsid w:val="00B6560A"/>
    <w:rsid w:val="00B66E16"/>
    <w:rsid w:val="00B8033E"/>
    <w:rsid w:val="00B928D6"/>
    <w:rsid w:val="00B93CFD"/>
    <w:rsid w:val="00BA2477"/>
    <w:rsid w:val="00BA5904"/>
    <w:rsid w:val="00BA7E17"/>
    <w:rsid w:val="00BB182C"/>
    <w:rsid w:val="00BB2B1A"/>
    <w:rsid w:val="00BC3580"/>
    <w:rsid w:val="00BC6DDA"/>
    <w:rsid w:val="00BD3CC8"/>
    <w:rsid w:val="00BD4FB8"/>
    <w:rsid w:val="00BE46A7"/>
    <w:rsid w:val="00BE4F32"/>
    <w:rsid w:val="00BE7067"/>
    <w:rsid w:val="00BF62B9"/>
    <w:rsid w:val="00C06CA2"/>
    <w:rsid w:val="00C109EC"/>
    <w:rsid w:val="00C12ED9"/>
    <w:rsid w:val="00C21B50"/>
    <w:rsid w:val="00C21BE8"/>
    <w:rsid w:val="00C23308"/>
    <w:rsid w:val="00C26E2C"/>
    <w:rsid w:val="00C30454"/>
    <w:rsid w:val="00C31B42"/>
    <w:rsid w:val="00C34221"/>
    <w:rsid w:val="00C34EBB"/>
    <w:rsid w:val="00C35341"/>
    <w:rsid w:val="00C40E63"/>
    <w:rsid w:val="00C43810"/>
    <w:rsid w:val="00C441D9"/>
    <w:rsid w:val="00C54EFA"/>
    <w:rsid w:val="00C570AA"/>
    <w:rsid w:val="00C61BDA"/>
    <w:rsid w:val="00C6210A"/>
    <w:rsid w:val="00C6305A"/>
    <w:rsid w:val="00C709E2"/>
    <w:rsid w:val="00C72FE6"/>
    <w:rsid w:val="00C76C8A"/>
    <w:rsid w:val="00C8361C"/>
    <w:rsid w:val="00C83CC6"/>
    <w:rsid w:val="00C84172"/>
    <w:rsid w:val="00C91522"/>
    <w:rsid w:val="00C97C58"/>
    <w:rsid w:val="00CA29DF"/>
    <w:rsid w:val="00CA77B8"/>
    <w:rsid w:val="00CB14A8"/>
    <w:rsid w:val="00CC10F6"/>
    <w:rsid w:val="00CD0C6F"/>
    <w:rsid w:val="00CD2E76"/>
    <w:rsid w:val="00CD3E33"/>
    <w:rsid w:val="00CD56CF"/>
    <w:rsid w:val="00CE10FB"/>
    <w:rsid w:val="00CE2415"/>
    <w:rsid w:val="00CE73B1"/>
    <w:rsid w:val="00CF29DA"/>
    <w:rsid w:val="00D0031B"/>
    <w:rsid w:val="00D00892"/>
    <w:rsid w:val="00D0367F"/>
    <w:rsid w:val="00D13F57"/>
    <w:rsid w:val="00D16C0D"/>
    <w:rsid w:val="00D2003F"/>
    <w:rsid w:val="00D217ED"/>
    <w:rsid w:val="00D21C13"/>
    <w:rsid w:val="00D26C05"/>
    <w:rsid w:val="00D32FDA"/>
    <w:rsid w:val="00D3392A"/>
    <w:rsid w:val="00D341BE"/>
    <w:rsid w:val="00D40CB5"/>
    <w:rsid w:val="00D41493"/>
    <w:rsid w:val="00D43727"/>
    <w:rsid w:val="00D44A81"/>
    <w:rsid w:val="00D45C40"/>
    <w:rsid w:val="00D5777A"/>
    <w:rsid w:val="00D65A80"/>
    <w:rsid w:val="00D75B46"/>
    <w:rsid w:val="00D819DA"/>
    <w:rsid w:val="00D8528A"/>
    <w:rsid w:val="00D87AD1"/>
    <w:rsid w:val="00D9108E"/>
    <w:rsid w:val="00D91092"/>
    <w:rsid w:val="00D940BE"/>
    <w:rsid w:val="00D954C3"/>
    <w:rsid w:val="00DA1B57"/>
    <w:rsid w:val="00DA4464"/>
    <w:rsid w:val="00DA47FC"/>
    <w:rsid w:val="00DB474E"/>
    <w:rsid w:val="00DB7A71"/>
    <w:rsid w:val="00DC0BD8"/>
    <w:rsid w:val="00DC6F9D"/>
    <w:rsid w:val="00DD7263"/>
    <w:rsid w:val="00DD7C3C"/>
    <w:rsid w:val="00DF07D4"/>
    <w:rsid w:val="00DF3C76"/>
    <w:rsid w:val="00E01556"/>
    <w:rsid w:val="00E04727"/>
    <w:rsid w:val="00E10F24"/>
    <w:rsid w:val="00E24C6E"/>
    <w:rsid w:val="00E25281"/>
    <w:rsid w:val="00E26322"/>
    <w:rsid w:val="00E265D6"/>
    <w:rsid w:val="00E2789C"/>
    <w:rsid w:val="00E3248F"/>
    <w:rsid w:val="00E33490"/>
    <w:rsid w:val="00E36CC1"/>
    <w:rsid w:val="00E37326"/>
    <w:rsid w:val="00E42272"/>
    <w:rsid w:val="00E434D5"/>
    <w:rsid w:val="00E45A88"/>
    <w:rsid w:val="00E521C9"/>
    <w:rsid w:val="00E550FA"/>
    <w:rsid w:val="00E60070"/>
    <w:rsid w:val="00E629D3"/>
    <w:rsid w:val="00E62A9B"/>
    <w:rsid w:val="00E63F21"/>
    <w:rsid w:val="00E65E38"/>
    <w:rsid w:val="00E662AA"/>
    <w:rsid w:val="00E7384A"/>
    <w:rsid w:val="00E81B9E"/>
    <w:rsid w:val="00E82D93"/>
    <w:rsid w:val="00E8446E"/>
    <w:rsid w:val="00E84907"/>
    <w:rsid w:val="00E84E70"/>
    <w:rsid w:val="00E91D92"/>
    <w:rsid w:val="00E95283"/>
    <w:rsid w:val="00E95F4D"/>
    <w:rsid w:val="00EA1B50"/>
    <w:rsid w:val="00EA3F4F"/>
    <w:rsid w:val="00EA3F68"/>
    <w:rsid w:val="00EA6C7A"/>
    <w:rsid w:val="00EA779B"/>
    <w:rsid w:val="00EA780E"/>
    <w:rsid w:val="00EB32F8"/>
    <w:rsid w:val="00EB4028"/>
    <w:rsid w:val="00EB6CCC"/>
    <w:rsid w:val="00EC1B97"/>
    <w:rsid w:val="00EC2D92"/>
    <w:rsid w:val="00EC76DC"/>
    <w:rsid w:val="00ED0C48"/>
    <w:rsid w:val="00ED1724"/>
    <w:rsid w:val="00ED22E5"/>
    <w:rsid w:val="00ED3543"/>
    <w:rsid w:val="00ED3BD8"/>
    <w:rsid w:val="00ED5CF2"/>
    <w:rsid w:val="00ED66D4"/>
    <w:rsid w:val="00EE26C4"/>
    <w:rsid w:val="00EE64FF"/>
    <w:rsid w:val="00EF1B53"/>
    <w:rsid w:val="00EF68F6"/>
    <w:rsid w:val="00F025D9"/>
    <w:rsid w:val="00F07595"/>
    <w:rsid w:val="00F14796"/>
    <w:rsid w:val="00F1504E"/>
    <w:rsid w:val="00F21E47"/>
    <w:rsid w:val="00F311E3"/>
    <w:rsid w:val="00F31C52"/>
    <w:rsid w:val="00F328E5"/>
    <w:rsid w:val="00F36430"/>
    <w:rsid w:val="00F37DAD"/>
    <w:rsid w:val="00F43D0C"/>
    <w:rsid w:val="00F47E69"/>
    <w:rsid w:val="00F507C4"/>
    <w:rsid w:val="00F63F09"/>
    <w:rsid w:val="00F65E51"/>
    <w:rsid w:val="00F66CBF"/>
    <w:rsid w:val="00F74586"/>
    <w:rsid w:val="00F750DA"/>
    <w:rsid w:val="00F759FC"/>
    <w:rsid w:val="00FA34FE"/>
    <w:rsid w:val="00FA440B"/>
    <w:rsid w:val="00FA5088"/>
    <w:rsid w:val="00FB2898"/>
    <w:rsid w:val="00FB4FFC"/>
    <w:rsid w:val="00FC1C8D"/>
    <w:rsid w:val="00FC318F"/>
    <w:rsid w:val="00FC357F"/>
    <w:rsid w:val="00FC4750"/>
    <w:rsid w:val="00FC5152"/>
    <w:rsid w:val="00FC6CB2"/>
    <w:rsid w:val="00FC6D00"/>
    <w:rsid w:val="00FC78A0"/>
    <w:rsid w:val="00FC7A04"/>
    <w:rsid w:val="00FD0DF1"/>
    <w:rsid w:val="00FE7E50"/>
    <w:rsid w:val="00FF7340"/>
    <w:rsid w:val="010A6538"/>
    <w:rsid w:val="010C7E9E"/>
    <w:rsid w:val="010F5F14"/>
    <w:rsid w:val="01114915"/>
    <w:rsid w:val="01233176"/>
    <w:rsid w:val="0128739E"/>
    <w:rsid w:val="012C6EBE"/>
    <w:rsid w:val="012E7B68"/>
    <w:rsid w:val="01361444"/>
    <w:rsid w:val="013B0B11"/>
    <w:rsid w:val="013C440B"/>
    <w:rsid w:val="013C50AB"/>
    <w:rsid w:val="01413242"/>
    <w:rsid w:val="0147308F"/>
    <w:rsid w:val="01473AEC"/>
    <w:rsid w:val="014E1872"/>
    <w:rsid w:val="01501825"/>
    <w:rsid w:val="015D1E37"/>
    <w:rsid w:val="016320EC"/>
    <w:rsid w:val="016632ED"/>
    <w:rsid w:val="016A347B"/>
    <w:rsid w:val="01754BC7"/>
    <w:rsid w:val="01774323"/>
    <w:rsid w:val="017B2F92"/>
    <w:rsid w:val="018D5596"/>
    <w:rsid w:val="018F047A"/>
    <w:rsid w:val="01A47E38"/>
    <w:rsid w:val="01A92D17"/>
    <w:rsid w:val="01AA499D"/>
    <w:rsid w:val="01AD125C"/>
    <w:rsid w:val="01BD680B"/>
    <w:rsid w:val="01BF098D"/>
    <w:rsid w:val="01C13FA1"/>
    <w:rsid w:val="01C57BC6"/>
    <w:rsid w:val="01C74429"/>
    <w:rsid w:val="01CC68B2"/>
    <w:rsid w:val="01CF196D"/>
    <w:rsid w:val="01D325F8"/>
    <w:rsid w:val="01D54D98"/>
    <w:rsid w:val="01D74CA6"/>
    <w:rsid w:val="01D933E1"/>
    <w:rsid w:val="01E93984"/>
    <w:rsid w:val="01F45283"/>
    <w:rsid w:val="02023A3D"/>
    <w:rsid w:val="02036662"/>
    <w:rsid w:val="020A7DED"/>
    <w:rsid w:val="021652D6"/>
    <w:rsid w:val="021745C2"/>
    <w:rsid w:val="021B5C89"/>
    <w:rsid w:val="02210B68"/>
    <w:rsid w:val="02217FDE"/>
    <w:rsid w:val="02243EDA"/>
    <w:rsid w:val="022551F2"/>
    <w:rsid w:val="022602E1"/>
    <w:rsid w:val="02261EF1"/>
    <w:rsid w:val="0229183F"/>
    <w:rsid w:val="023A7077"/>
    <w:rsid w:val="023F0464"/>
    <w:rsid w:val="0247567F"/>
    <w:rsid w:val="024B2775"/>
    <w:rsid w:val="024C492F"/>
    <w:rsid w:val="02522323"/>
    <w:rsid w:val="025263E9"/>
    <w:rsid w:val="02560D18"/>
    <w:rsid w:val="025A2A63"/>
    <w:rsid w:val="0263791D"/>
    <w:rsid w:val="026608A3"/>
    <w:rsid w:val="02663939"/>
    <w:rsid w:val="02690DFF"/>
    <w:rsid w:val="027E0D1B"/>
    <w:rsid w:val="02844D5F"/>
    <w:rsid w:val="028A598A"/>
    <w:rsid w:val="02916F11"/>
    <w:rsid w:val="029B375C"/>
    <w:rsid w:val="029D33DC"/>
    <w:rsid w:val="02A470ED"/>
    <w:rsid w:val="02AA14B7"/>
    <w:rsid w:val="02B50726"/>
    <w:rsid w:val="02B66C79"/>
    <w:rsid w:val="02B725D1"/>
    <w:rsid w:val="02BB5ECE"/>
    <w:rsid w:val="02C71A3B"/>
    <w:rsid w:val="02C81BA4"/>
    <w:rsid w:val="02CD7B5F"/>
    <w:rsid w:val="02CE1346"/>
    <w:rsid w:val="02CE3699"/>
    <w:rsid w:val="02D21057"/>
    <w:rsid w:val="02D35D36"/>
    <w:rsid w:val="02D53789"/>
    <w:rsid w:val="02E01AEF"/>
    <w:rsid w:val="02E368F4"/>
    <w:rsid w:val="02F14DF7"/>
    <w:rsid w:val="02FC78AB"/>
    <w:rsid w:val="030704FB"/>
    <w:rsid w:val="03086BBE"/>
    <w:rsid w:val="0328120C"/>
    <w:rsid w:val="032835A4"/>
    <w:rsid w:val="032F29C8"/>
    <w:rsid w:val="032F4404"/>
    <w:rsid w:val="03316FEA"/>
    <w:rsid w:val="033B12BD"/>
    <w:rsid w:val="03502D9E"/>
    <w:rsid w:val="03537909"/>
    <w:rsid w:val="03572FF7"/>
    <w:rsid w:val="03575C81"/>
    <w:rsid w:val="03583C5B"/>
    <w:rsid w:val="03584069"/>
    <w:rsid w:val="035C330F"/>
    <w:rsid w:val="035C6F76"/>
    <w:rsid w:val="03613E17"/>
    <w:rsid w:val="036E6271"/>
    <w:rsid w:val="03727D7B"/>
    <w:rsid w:val="037524B1"/>
    <w:rsid w:val="0377715F"/>
    <w:rsid w:val="03830824"/>
    <w:rsid w:val="038A6C1D"/>
    <w:rsid w:val="038E7A37"/>
    <w:rsid w:val="03912F9C"/>
    <w:rsid w:val="0397607D"/>
    <w:rsid w:val="03A26EFC"/>
    <w:rsid w:val="03A36CC6"/>
    <w:rsid w:val="03A81B5B"/>
    <w:rsid w:val="03AA510D"/>
    <w:rsid w:val="03AE2F25"/>
    <w:rsid w:val="03B21C17"/>
    <w:rsid w:val="03B41CB7"/>
    <w:rsid w:val="03B629A7"/>
    <w:rsid w:val="03B72490"/>
    <w:rsid w:val="03B8645A"/>
    <w:rsid w:val="03C81B45"/>
    <w:rsid w:val="03D36B41"/>
    <w:rsid w:val="03D67670"/>
    <w:rsid w:val="03DC737C"/>
    <w:rsid w:val="03FC033A"/>
    <w:rsid w:val="03FE3903"/>
    <w:rsid w:val="03FF4C47"/>
    <w:rsid w:val="04010D18"/>
    <w:rsid w:val="04060440"/>
    <w:rsid w:val="040C0CA9"/>
    <w:rsid w:val="041132F7"/>
    <w:rsid w:val="04136AEB"/>
    <w:rsid w:val="04165EB1"/>
    <w:rsid w:val="04363AE8"/>
    <w:rsid w:val="044141EF"/>
    <w:rsid w:val="04463D2B"/>
    <w:rsid w:val="04491C62"/>
    <w:rsid w:val="044E143B"/>
    <w:rsid w:val="045124FD"/>
    <w:rsid w:val="045C717F"/>
    <w:rsid w:val="04747EE2"/>
    <w:rsid w:val="04766CDF"/>
    <w:rsid w:val="047C7A9D"/>
    <w:rsid w:val="0487573F"/>
    <w:rsid w:val="048D7275"/>
    <w:rsid w:val="048F7135"/>
    <w:rsid w:val="04A15406"/>
    <w:rsid w:val="04A30C83"/>
    <w:rsid w:val="04A77D6F"/>
    <w:rsid w:val="04A85C50"/>
    <w:rsid w:val="04B45DFC"/>
    <w:rsid w:val="04B67A1F"/>
    <w:rsid w:val="04B807B5"/>
    <w:rsid w:val="04BF4A59"/>
    <w:rsid w:val="04C26841"/>
    <w:rsid w:val="04D20B7C"/>
    <w:rsid w:val="04D55D20"/>
    <w:rsid w:val="04DE566C"/>
    <w:rsid w:val="04E8504B"/>
    <w:rsid w:val="04EB6681"/>
    <w:rsid w:val="04F239EA"/>
    <w:rsid w:val="04F76DD4"/>
    <w:rsid w:val="04F803B4"/>
    <w:rsid w:val="0518640C"/>
    <w:rsid w:val="051A565C"/>
    <w:rsid w:val="051B5E4F"/>
    <w:rsid w:val="051C42D9"/>
    <w:rsid w:val="051F77E0"/>
    <w:rsid w:val="05216AB0"/>
    <w:rsid w:val="05254C4B"/>
    <w:rsid w:val="052D007E"/>
    <w:rsid w:val="052D413A"/>
    <w:rsid w:val="054C76DB"/>
    <w:rsid w:val="05553A81"/>
    <w:rsid w:val="055A4F5B"/>
    <w:rsid w:val="055F0502"/>
    <w:rsid w:val="0560706F"/>
    <w:rsid w:val="05620EEE"/>
    <w:rsid w:val="05663F59"/>
    <w:rsid w:val="056B3271"/>
    <w:rsid w:val="056E0FA3"/>
    <w:rsid w:val="05773B83"/>
    <w:rsid w:val="057F1A68"/>
    <w:rsid w:val="05846278"/>
    <w:rsid w:val="058D2915"/>
    <w:rsid w:val="058D3375"/>
    <w:rsid w:val="059A3D38"/>
    <w:rsid w:val="05AD73E7"/>
    <w:rsid w:val="05B6103A"/>
    <w:rsid w:val="05B67C78"/>
    <w:rsid w:val="05BC54BB"/>
    <w:rsid w:val="05BE5B43"/>
    <w:rsid w:val="05C25634"/>
    <w:rsid w:val="05C303C2"/>
    <w:rsid w:val="05C479C1"/>
    <w:rsid w:val="05C641A8"/>
    <w:rsid w:val="05CD002D"/>
    <w:rsid w:val="05D60639"/>
    <w:rsid w:val="05F13345"/>
    <w:rsid w:val="05F652DD"/>
    <w:rsid w:val="05FE35CB"/>
    <w:rsid w:val="0607279E"/>
    <w:rsid w:val="0607620B"/>
    <w:rsid w:val="06077020"/>
    <w:rsid w:val="060C2D53"/>
    <w:rsid w:val="061206B4"/>
    <w:rsid w:val="06212938"/>
    <w:rsid w:val="062A0EF1"/>
    <w:rsid w:val="062F6A41"/>
    <w:rsid w:val="06327EAB"/>
    <w:rsid w:val="06366E1F"/>
    <w:rsid w:val="063D2F0C"/>
    <w:rsid w:val="0640241D"/>
    <w:rsid w:val="064D5AEF"/>
    <w:rsid w:val="064E4F43"/>
    <w:rsid w:val="065344DE"/>
    <w:rsid w:val="065A5F02"/>
    <w:rsid w:val="06650E74"/>
    <w:rsid w:val="06652463"/>
    <w:rsid w:val="066856F7"/>
    <w:rsid w:val="066910D6"/>
    <w:rsid w:val="06712C5C"/>
    <w:rsid w:val="06753754"/>
    <w:rsid w:val="06764670"/>
    <w:rsid w:val="06785CC5"/>
    <w:rsid w:val="067D72CA"/>
    <w:rsid w:val="06824DC3"/>
    <w:rsid w:val="068B295C"/>
    <w:rsid w:val="068C4828"/>
    <w:rsid w:val="069074E0"/>
    <w:rsid w:val="06924322"/>
    <w:rsid w:val="06976776"/>
    <w:rsid w:val="06AB3CE9"/>
    <w:rsid w:val="06B24597"/>
    <w:rsid w:val="06B372D2"/>
    <w:rsid w:val="06B9290C"/>
    <w:rsid w:val="06BC5541"/>
    <w:rsid w:val="06BD7C56"/>
    <w:rsid w:val="06C95CD2"/>
    <w:rsid w:val="06C96A9A"/>
    <w:rsid w:val="06CE129C"/>
    <w:rsid w:val="06CF67EC"/>
    <w:rsid w:val="06D039AA"/>
    <w:rsid w:val="06D070E0"/>
    <w:rsid w:val="06D118A6"/>
    <w:rsid w:val="06DC570A"/>
    <w:rsid w:val="06EC4CA7"/>
    <w:rsid w:val="06EF2B18"/>
    <w:rsid w:val="06F061D0"/>
    <w:rsid w:val="06F17688"/>
    <w:rsid w:val="06F53406"/>
    <w:rsid w:val="07007DF2"/>
    <w:rsid w:val="07043A2A"/>
    <w:rsid w:val="07080D7E"/>
    <w:rsid w:val="07107CDD"/>
    <w:rsid w:val="07155306"/>
    <w:rsid w:val="07231C3E"/>
    <w:rsid w:val="072C14BC"/>
    <w:rsid w:val="073D0077"/>
    <w:rsid w:val="073E594D"/>
    <w:rsid w:val="073F6938"/>
    <w:rsid w:val="07527EB1"/>
    <w:rsid w:val="075F6ABF"/>
    <w:rsid w:val="076F655B"/>
    <w:rsid w:val="077641BC"/>
    <w:rsid w:val="07785D40"/>
    <w:rsid w:val="0787506D"/>
    <w:rsid w:val="078C6AD1"/>
    <w:rsid w:val="078E1566"/>
    <w:rsid w:val="07944C75"/>
    <w:rsid w:val="07A777F1"/>
    <w:rsid w:val="07BA10AF"/>
    <w:rsid w:val="07BC45A2"/>
    <w:rsid w:val="07BE7320"/>
    <w:rsid w:val="07CF0F2B"/>
    <w:rsid w:val="07D27038"/>
    <w:rsid w:val="07E31891"/>
    <w:rsid w:val="07E37708"/>
    <w:rsid w:val="07EA1059"/>
    <w:rsid w:val="07F25F78"/>
    <w:rsid w:val="07F61794"/>
    <w:rsid w:val="07F84B9D"/>
    <w:rsid w:val="07F920F7"/>
    <w:rsid w:val="08064B71"/>
    <w:rsid w:val="08064DBA"/>
    <w:rsid w:val="080705AC"/>
    <w:rsid w:val="08180F83"/>
    <w:rsid w:val="08192EEC"/>
    <w:rsid w:val="081A5EBB"/>
    <w:rsid w:val="081A7F1A"/>
    <w:rsid w:val="081B727D"/>
    <w:rsid w:val="082302F0"/>
    <w:rsid w:val="08273E74"/>
    <w:rsid w:val="082F7D4E"/>
    <w:rsid w:val="083145CC"/>
    <w:rsid w:val="083550BF"/>
    <w:rsid w:val="083B1353"/>
    <w:rsid w:val="08400A92"/>
    <w:rsid w:val="084367D4"/>
    <w:rsid w:val="0847434F"/>
    <w:rsid w:val="08512C9F"/>
    <w:rsid w:val="0858227F"/>
    <w:rsid w:val="086B2CF3"/>
    <w:rsid w:val="08710694"/>
    <w:rsid w:val="087150EF"/>
    <w:rsid w:val="08761BAA"/>
    <w:rsid w:val="08772377"/>
    <w:rsid w:val="08790EE0"/>
    <w:rsid w:val="087D1EE5"/>
    <w:rsid w:val="08881CF7"/>
    <w:rsid w:val="089A78D1"/>
    <w:rsid w:val="089B03BE"/>
    <w:rsid w:val="08A239EC"/>
    <w:rsid w:val="08A42432"/>
    <w:rsid w:val="08A62A3D"/>
    <w:rsid w:val="08A702C5"/>
    <w:rsid w:val="08A8408F"/>
    <w:rsid w:val="08AC4765"/>
    <w:rsid w:val="08AD6673"/>
    <w:rsid w:val="08AE1EA5"/>
    <w:rsid w:val="08B15841"/>
    <w:rsid w:val="08B41F78"/>
    <w:rsid w:val="08B96CC2"/>
    <w:rsid w:val="08C621E3"/>
    <w:rsid w:val="08C747C6"/>
    <w:rsid w:val="08D27869"/>
    <w:rsid w:val="08D33663"/>
    <w:rsid w:val="08D37973"/>
    <w:rsid w:val="08D82B3D"/>
    <w:rsid w:val="08DE41BC"/>
    <w:rsid w:val="08E04D02"/>
    <w:rsid w:val="08E46921"/>
    <w:rsid w:val="08E76D23"/>
    <w:rsid w:val="08EE3343"/>
    <w:rsid w:val="090053BA"/>
    <w:rsid w:val="090105A7"/>
    <w:rsid w:val="09010F98"/>
    <w:rsid w:val="090622E9"/>
    <w:rsid w:val="090F0984"/>
    <w:rsid w:val="09265ED9"/>
    <w:rsid w:val="092709CC"/>
    <w:rsid w:val="092C7268"/>
    <w:rsid w:val="092E73FD"/>
    <w:rsid w:val="09325175"/>
    <w:rsid w:val="09336E74"/>
    <w:rsid w:val="093A1985"/>
    <w:rsid w:val="093A3491"/>
    <w:rsid w:val="093A562A"/>
    <w:rsid w:val="093C2BB9"/>
    <w:rsid w:val="093F01AA"/>
    <w:rsid w:val="094573BB"/>
    <w:rsid w:val="0946032A"/>
    <w:rsid w:val="09481600"/>
    <w:rsid w:val="094E4AAC"/>
    <w:rsid w:val="09532A47"/>
    <w:rsid w:val="0953513A"/>
    <w:rsid w:val="09550B60"/>
    <w:rsid w:val="095F6932"/>
    <w:rsid w:val="09652BB3"/>
    <w:rsid w:val="096A7E55"/>
    <w:rsid w:val="096B1405"/>
    <w:rsid w:val="097717CE"/>
    <w:rsid w:val="09797D80"/>
    <w:rsid w:val="097C6C09"/>
    <w:rsid w:val="098370C2"/>
    <w:rsid w:val="09857BE6"/>
    <w:rsid w:val="0988059A"/>
    <w:rsid w:val="09880765"/>
    <w:rsid w:val="0988267B"/>
    <w:rsid w:val="0989460B"/>
    <w:rsid w:val="098C7D6A"/>
    <w:rsid w:val="099077F7"/>
    <w:rsid w:val="09945775"/>
    <w:rsid w:val="09987570"/>
    <w:rsid w:val="099C0271"/>
    <w:rsid w:val="099C4235"/>
    <w:rsid w:val="09A17925"/>
    <w:rsid w:val="09A324FA"/>
    <w:rsid w:val="09AA059E"/>
    <w:rsid w:val="09AB0C6C"/>
    <w:rsid w:val="09AE7C76"/>
    <w:rsid w:val="09AF2C97"/>
    <w:rsid w:val="09B117EC"/>
    <w:rsid w:val="09B259BF"/>
    <w:rsid w:val="09BB513D"/>
    <w:rsid w:val="09BB5640"/>
    <w:rsid w:val="09C73642"/>
    <w:rsid w:val="09C97885"/>
    <w:rsid w:val="09CB20EF"/>
    <w:rsid w:val="09CB6AFB"/>
    <w:rsid w:val="09CC3506"/>
    <w:rsid w:val="09D16032"/>
    <w:rsid w:val="09D82239"/>
    <w:rsid w:val="09DC279A"/>
    <w:rsid w:val="09EB7F84"/>
    <w:rsid w:val="09EC69BC"/>
    <w:rsid w:val="0A03621B"/>
    <w:rsid w:val="0A171CC6"/>
    <w:rsid w:val="0A1966F1"/>
    <w:rsid w:val="0A1977EC"/>
    <w:rsid w:val="0A2148F3"/>
    <w:rsid w:val="0A303C8D"/>
    <w:rsid w:val="0A3B0B57"/>
    <w:rsid w:val="0A414231"/>
    <w:rsid w:val="0A5F52DD"/>
    <w:rsid w:val="0A652A31"/>
    <w:rsid w:val="0A6A2CE6"/>
    <w:rsid w:val="0A6F3963"/>
    <w:rsid w:val="0A702A09"/>
    <w:rsid w:val="0A716B2E"/>
    <w:rsid w:val="0A764C3F"/>
    <w:rsid w:val="0A7F5428"/>
    <w:rsid w:val="0A805ABD"/>
    <w:rsid w:val="0A811DA6"/>
    <w:rsid w:val="0A83110A"/>
    <w:rsid w:val="0A8F7D96"/>
    <w:rsid w:val="0A93635E"/>
    <w:rsid w:val="0A9A21B4"/>
    <w:rsid w:val="0A9B15DC"/>
    <w:rsid w:val="0A9D7A3C"/>
    <w:rsid w:val="0AA03C2F"/>
    <w:rsid w:val="0AA07B2D"/>
    <w:rsid w:val="0AA425D9"/>
    <w:rsid w:val="0AA76A5B"/>
    <w:rsid w:val="0AAA7336"/>
    <w:rsid w:val="0AB1728C"/>
    <w:rsid w:val="0AB71938"/>
    <w:rsid w:val="0ABA3BC3"/>
    <w:rsid w:val="0ABA7F8F"/>
    <w:rsid w:val="0AC215D2"/>
    <w:rsid w:val="0ACB7628"/>
    <w:rsid w:val="0ACC39CC"/>
    <w:rsid w:val="0AD06361"/>
    <w:rsid w:val="0AD14C2A"/>
    <w:rsid w:val="0AD15B6C"/>
    <w:rsid w:val="0AD2392A"/>
    <w:rsid w:val="0AD32091"/>
    <w:rsid w:val="0AD5453F"/>
    <w:rsid w:val="0AD77065"/>
    <w:rsid w:val="0AF13F44"/>
    <w:rsid w:val="0AF21B8E"/>
    <w:rsid w:val="0AF93024"/>
    <w:rsid w:val="0AFE26FA"/>
    <w:rsid w:val="0B0018BE"/>
    <w:rsid w:val="0B02456B"/>
    <w:rsid w:val="0B0446A8"/>
    <w:rsid w:val="0B073AE9"/>
    <w:rsid w:val="0B0A5387"/>
    <w:rsid w:val="0B0D396B"/>
    <w:rsid w:val="0B0D60CD"/>
    <w:rsid w:val="0B112BB9"/>
    <w:rsid w:val="0B13687B"/>
    <w:rsid w:val="0B16128B"/>
    <w:rsid w:val="0B2372FD"/>
    <w:rsid w:val="0B2705B5"/>
    <w:rsid w:val="0B3643CE"/>
    <w:rsid w:val="0B38256E"/>
    <w:rsid w:val="0B3A2110"/>
    <w:rsid w:val="0B3B5887"/>
    <w:rsid w:val="0B3F323F"/>
    <w:rsid w:val="0B451EB6"/>
    <w:rsid w:val="0B4765DB"/>
    <w:rsid w:val="0B4C5520"/>
    <w:rsid w:val="0B4D3BF1"/>
    <w:rsid w:val="0B4F3D9B"/>
    <w:rsid w:val="0B505490"/>
    <w:rsid w:val="0B5533E5"/>
    <w:rsid w:val="0B5B3553"/>
    <w:rsid w:val="0B5C55FA"/>
    <w:rsid w:val="0B5E6917"/>
    <w:rsid w:val="0B617633"/>
    <w:rsid w:val="0B626F71"/>
    <w:rsid w:val="0B652373"/>
    <w:rsid w:val="0B666D1E"/>
    <w:rsid w:val="0B8E5FB8"/>
    <w:rsid w:val="0B9A409B"/>
    <w:rsid w:val="0B9F30AF"/>
    <w:rsid w:val="0BA615B0"/>
    <w:rsid w:val="0BAC77A0"/>
    <w:rsid w:val="0BAD2F53"/>
    <w:rsid w:val="0BB007E1"/>
    <w:rsid w:val="0BB16B2D"/>
    <w:rsid w:val="0BB35344"/>
    <w:rsid w:val="0BB6147E"/>
    <w:rsid w:val="0BB7245D"/>
    <w:rsid w:val="0BB83010"/>
    <w:rsid w:val="0BC111A4"/>
    <w:rsid w:val="0BC244E8"/>
    <w:rsid w:val="0BC32E34"/>
    <w:rsid w:val="0BC366D3"/>
    <w:rsid w:val="0BC82B63"/>
    <w:rsid w:val="0BD97354"/>
    <w:rsid w:val="0BE01596"/>
    <w:rsid w:val="0BE33F83"/>
    <w:rsid w:val="0BEB61F0"/>
    <w:rsid w:val="0BEC1377"/>
    <w:rsid w:val="0BF6735D"/>
    <w:rsid w:val="0BF73B5D"/>
    <w:rsid w:val="0C0036EF"/>
    <w:rsid w:val="0C062D8D"/>
    <w:rsid w:val="0C157849"/>
    <w:rsid w:val="0C1E4EE9"/>
    <w:rsid w:val="0C2256D7"/>
    <w:rsid w:val="0C2374C7"/>
    <w:rsid w:val="0C2506CA"/>
    <w:rsid w:val="0C25691C"/>
    <w:rsid w:val="0C260E40"/>
    <w:rsid w:val="0C2B1B44"/>
    <w:rsid w:val="0C316F49"/>
    <w:rsid w:val="0C3355FF"/>
    <w:rsid w:val="0C420B00"/>
    <w:rsid w:val="0C4258DA"/>
    <w:rsid w:val="0C4576A1"/>
    <w:rsid w:val="0C5A04F2"/>
    <w:rsid w:val="0C677E6B"/>
    <w:rsid w:val="0C6E5B73"/>
    <w:rsid w:val="0C752494"/>
    <w:rsid w:val="0C7768F3"/>
    <w:rsid w:val="0C7E7EA9"/>
    <w:rsid w:val="0C8023E5"/>
    <w:rsid w:val="0C82079B"/>
    <w:rsid w:val="0C880C59"/>
    <w:rsid w:val="0C8873DF"/>
    <w:rsid w:val="0C92108B"/>
    <w:rsid w:val="0C970E9C"/>
    <w:rsid w:val="0CA3265E"/>
    <w:rsid w:val="0CAE28D1"/>
    <w:rsid w:val="0CB17F5E"/>
    <w:rsid w:val="0CB43E7E"/>
    <w:rsid w:val="0CB6331A"/>
    <w:rsid w:val="0CB657C6"/>
    <w:rsid w:val="0CB769C1"/>
    <w:rsid w:val="0CB93393"/>
    <w:rsid w:val="0CBE135E"/>
    <w:rsid w:val="0CD80E04"/>
    <w:rsid w:val="0CFC41A6"/>
    <w:rsid w:val="0D0062D2"/>
    <w:rsid w:val="0D027C53"/>
    <w:rsid w:val="0D046532"/>
    <w:rsid w:val="0D055FD4"/>
    <w:rsid w:val="0D10028E"/>
    <w:rsid w:val="0D136775"/>
    <w:rsid w:val="0D1B387B"/>
    <w:rsid w:val="0D225312"/>
    <w:rsid w:val="0D24238B"/>
    <w:rsid w:val="0D265864"/>
    <w:rsid w:val="0D266DE0"/>
    <w:rsid w:val="0D2E66FE"/>
    <w:rsid w:val="0D3144DB"/>
    <w:rsid w:val="0D3303D1"/>
    <w:rsid w:val="0D334492"/>
    <w:rsid w:val="0D3857DA"/>
    <w:rsid w:val="0D4A0077"/>
    <w:rsid w:val="0D4B7BC4"/>
    <w:rsid w:val="0D4E797E"/>
    <w:rsid w:val="0D5648AD"/>
    <w:rsid w:val="0D5D4C67"/>
    <w:rsid w:val="0D604B44"/>
    <w:rsid w:val="0D663BA0"/>
    <w:rsid w:val="0D6B5658"/>
    <w:rsid w:val="0D6F5B9E"/>
    <w:rsid w:val="0D731382"/>
    <w:rsid w:val="0D7B0452"/>
    <w:rsid w:val="0D7B6EC0"/>
    <w:rsid w:val="0D7D405D"/>
    <w:rsid w:val="0D815DD4"/>
    <w:rsid w:val="0D876648"/>
    <w:rsid w:val="0D89119D"/>
    <w:rsid w:val="0D976785"/>
    <w:rsid w:val="0DA0258A"/>
    <w:rsid w:val="0DA12C8B"/>
    <w:rsid w:val="0DA97995"/>
    <w:rsid w:val="0DAE5B76"/>
    <w:rsid w:val="0DB714F1"/>
    <w:rsid w:val="0DBB1EA3"/>
    <w:rsid w:val="0DBC505E"/>
    <w:rsid w:val="0DC61F74"/>
    <w:rsid w:val="0DD01EB7"/>
    <w:rsid w:val="0DD93333"/>
    <w:rsid w:val="0DE277A1"/>
    <w:rsid w:val="0DE8376D"/>
    <w:rsid w:val="0DEC271C"/>
    <w:rsid w:val="0E0A6FEB"/>
    <w:rsid w:val="0E204713"/>
    <w:rsid w:val="0E2511AE"/>
    <w:rsid w:val="0E290B9F"/>
    <w:rsid w:val="0E292187"/>
    <w:rsid w:val="0E3273B4"/>
    <w:rsid w:val="0E34151F"/>
    <w:rsid w:val="0E3578B3"/>
    <w:rsid w:val="0E3B0886"/>
    <w:rsid w:val="0E3B203F"/>
    <w:rsid w:val="0E3C33B1"/>
    <w:rsid w:val="0E462B7A"/>
    <w:rsid w:val="0E4D2933"/>
    <w:rsid w:val="0E4D775F"/>
    <w:rsid w:val="0E506BCF"/>
    <w:rsid w:val="0E55118D"/>
    <w:rsid w:val="0E5B3B28"/>
    <w:rsid w:val="0E690E71"/>
    <w:rsid w:val="0E691818"/>
    <w:rsid w:val="0E6D0968"/>
    <w:rsid w:val="0E6D6F96"/>
    <w:rsid w:val="0E782497"/>
    <w:rsid w:val="0E783377"/>
    <w:rsid w:val="0E7C4589"/>
    <w:rsid w:val="0E7E443A"/>
    <w:rsid w:val="0E804564"/>
    <w:rsid w:val="0E896379"/>
    <w:rsid w:val="0E8A5BD3"/>
    <w:rsid w:val="0E8E36BE"/>
    <w:rsid w:val="0E9153B9"/>
    <w:rsid w:val="0E96772B"/>
    <w:rsid w:val="0E975FBA"/>
    <w:rsid w:val="0E9E29B6"/>
    <w:rsid w:val="0E9E70EB"/>
    <w:rsid w:val="0EA726C2"/>
    <w:rsid w:val="0EAD1BBA"/>
    <w:rsid w:val="0EB52D3A"/>
    <w:rsid w:val="0EB633E8"/>
    <w:rsid w:val="0EB63D25"/>
    <w:rsid w:val="0EB702DD"/>
    <w:rsid w:val="0EB910F2"/>
    <w:rsid w:val="0EB949A7"/>
    <w:rsid w:val="0EBC4CE7"/>
    <w:rsid w:val="0EC5389B"/>
    <w:rsid w:val="0ECF78DC"/>
    <w:rsid w:val="0ED30206"/>
    <w:rsid w:val="0ED60140"/>
    <w:rsid w:val="0EDA5ECF"/>
    <w:rsid w:val="0EEE7275"/>
    <w:rsid w:val="0EF00AAA"/>
    <w:rsid w:val="0EF122C5"/>
    <w:rsid w:val="0EF343CB"/>
    <w:rsid w:val="0EFC6090"/>
    <w:rsid w:val="0EFD6EFA"/>
    <w:rsid w:val="0EFF6669"/>
    <w:rsid w:val="0F0410BF"/>
    <w:rsid w:val="0F0A598E"/>
    <w:rsid w:val="0F131C25"/>
    <w:rsid w:val="0F17176A"/>
    <w:rsid w:val="0F190E04"/>
    <w:rsid w:val="0F2074A2"/>
    <w:rsid w:val="0F25029A"/>
    <w:rsid w:val="0F26095E"/>
    <w:rsid w:val="0F27601A"/>
    <w:rsid w:val="0F283F67"/>
    <w:rsid w:val="0F2C2C72"/>
    <w:rsid w:val="0F2E2179"/>
    <w:rsid w:val="0F315EA1"/>
    <w:rsid w:val="0F327F41"/>
    <w:rsid w:val="0F390247"/>
    <w:rsid w:val="0F3A651B"/>
    <w:rsid w:val="0F3D2D27"/>
    <w:rsid w:val="0F3F2A27"/>
    <w:rsid w:val="0F410646"/>
    <w:rsid w:val="0F461D6C"/>
    <w:rsid w:val="0F47161D"/>
    <w:rsid w:val="0F495FAE"/>
    <w:rsid w:val="0F4C2412"/>
    <w:rsid w:val="0F4E168D"/>
    <w:rsid w:val="0F4E1CE6"/>
    <w:rsid w:val="0F572ADF"/>
    <w:rsid w:val="0F585CCA"/>
    <w:rsid w:val="0F5B677D"/>
    <w:rsid w:val="0F5C1F1A"/>
    <w:rsid w:val="0F60021F"/>
    <w:rsid w:val="0F6359F4"/>
    <w:rsid w:val="0F642AB0"/>
    <w:rsid w:val="0F6611E9"/>
    <w:rsid w:val="0F6F7597"/>
    <w:rsid w:val="0F792848"/>
    <w:rsid w:val="0F793457"/>
    <w:rsid w:val="0F7A20F2"/>
    <w:rsid w:val="0F7E4FDA"/>
    <w:rsid w:val="0F8108A1"/>
    <w:rsid w:val="0F815631"/>
    <w:rsid w:val="0F831E95"/>
    <w:rsid w:val="0F847455"/>
    <w:rsid w:val="0F9705F3"/>
    <w:rsid w:val="0F9A4609"/>
    <w:rsid w:val="0F9B1CBD"/>
    <w:rsid w:val="0F9E7BE2"/>
    <w:rsid w:val="0FA770A6"/>
    <w:rsid w:val="0FA933E6"/>
    <w:rsid w:val="0FB04B23"/>
    <w:rsid w:val="0FB122A5"/>
    <w:rsid w:val="0FB87AA7"/>
    <w:rsid w:val="0FC10769"/>
    <w:rsid w:val="0FCB1589"/>
    <w:rsid w:val="0FCB2D53"/>
    <w:rsid w:val="0FD358EB"/>
    <w:rsid w:val="0FDE17AA"/>
    <w:rsid w:val="0FED1A64"/>
    <w:rsid w:val="0FF038FC"/>
    <w:rsid w:val="0FF705D0"/>
    <w:rsid w:val="0FFF3A48"/>
    <w:rsid w:val="10157EC6"/>
    <w:rsid w:val="10203146"/>
    <w:rsid w:val="102610C0"/>
    <w:rsid w:val="102667F4"/>
    <w:rsid w:val="102B535B"/>
    <w:rsid w:val="103E4E6E"/>
    <w:rsid w:val="103E61FE"/>
    <w:rsid w:val="103E7309"/>
    <w:rsid w:val="10416089"/>
    <w:rsid w:val="10417A9D"/>
    <w:rsid w:val="104240CC"/>
    <w:rsid w:val="10497F69"/>
    <w:rsid w:val="105B5DE7"/>
    <w:rsid w:val="105F0A00"/>
    <w:rsid w:val="10635C65"/>
    <w:rsid w:val="106F56E0"/>
    <w:rsid w:val="10700D1C"/>
    <w:rsid w:val="10705E81"/>
    <w:rsid w:val="10803FE4"/>
    <w:rsid w:val="10834B6E"/>
    <w:rsid w:val="1090632E"/>
    <w:rsid w:val="10944070"/>
    <w:rsid w:val="109549EA"/>
    <w:rsid w:val="109776BD"/>
    <w:rsid w:val="10A1053B"/>
    <w:rsid w:val="10AA0004"/>
    <w:rsid w:val="10AA7326"/>
    <w:rsid w:val="10B92487"/>
    <w:rsid w:val="10BD4993"/>
    <w:rsid w:val="10D13AAF"/>
    <w:rsid w:val="10D876FD"/>
    <w:rsid w:val="10DF51A5"/>
    <w:rsid w:val="10E01044"/>
    <w:rsid w:val="10ED054F"/>
    <w:rsid w:val="10F1031C"/>
    <w:rsid w:val="10F178FC"/>
    <w:rsid w:val="10F20D97"/>
    <w:rsid w:val="10F9103E"/>
    <w:rsid w:val="10F91B6C"/>
    <w:rsid w:val="10FF3248"/>
    <w:rsid w:val="110B7C52"/>
    <w:rsid w:val="11131439"/>
    <w:rsid w:val="11140836"/>
    <w:rsid w:val="11145CD5"/>
    <w:rsid w:val="11191FB0"/>
    <w:rsid w:val="111B3388"/>
    <w:rsid w:val="111D4D77"/>
    <w:rsid w:val="11252F1A"/>
    <w:rsid w:val="11296D7D"/>
    <w:rsid w:val="112B2D58"/>
    <w:rsid w:val="112C31EE"/>
    <w:rsid w:val="112D6CCD"/>
    <w:rsid w:val="11346CBB"/>
    <w:rsid w:val="1136367A"/>
    <w:rsid w:val="113D2012"/>
    <w:rsid w:val="113D24EE"/>
    <w:rsid w:val="113D64B6"/>
    <w:rsid w:val="1141513C"/>
    <w:rsid w:val="11447845"/>
    <w:rsid w:val="114C375A"/>
    <w:rsid w:val="114E30E0"/>
    <w:rsid w:val="114F42AC"/>
    <w:rsid w:val="11524E35"/>
    <w:rsid w:val="115C2B36"/>
    <w:rsid w:val="115D0F31"/>
    <w:rsid w:val="115D6662"/>
    <w:rsid w:val="115F091F"/>
    <w:rsid w:val="1161138F"/>
    <w:rsid w:val="117143B2"/>
    <w:rsid w:val="117B517F"/>
    <w:rsid w:val="117D0E6B"/>
    <w:rsid w:val="117D1F24"/>
    <w:rsid w:val="11823EC9"/>
    <w:rsid w:val="11850EAC"/>
    <w:rsid w:val="11966B9D"/>
    <w:rsid w:val="119D7CDF"/>
    <w:rsid w:val="11A774A2"/>
    <w:rsid w:val="11AD3988"/>
    <w:rsid w:val="11B13498"/>
    <w:rsid w:val="11B76268"/>
    <w:rsid w:val="11B83F88"/>
    <w:rsid w:val="11BC7A8B"/>
    <w:rsid w:val="11BF6E86"/>
    <w:rsid w:val="11C74789"/>
    <w:rsid w:val="11CB5870"/>
    <w:rsid w:val="11D573F1"/>
    <w:rsid w:val="11D97477"/>
    <w:rsid w:val="11DC17E5"/>
    <w:rsid w:val="11E42DD6"/>
    <w:rsid w:val="11E62697"/>
    <w:rsid w:val="11E94164"/>
    <w:rsid w:val="11EE6709"/>
    <w:rsid w:val="11F34DC7"/>
    <w:rsid w:val="11F55274"/>
    <w:rsid w:val="11F756AC"/>
    <w:rsid w:val="11FD099E"/>
    <w:rsid w:val="12020F04"/>
    <w:rsid w:val="12030064"/>
    <w:rsid w:val="120431A6"/>
    <w:rsid w:val="120929A2"/>
    <w:rsid w:val="12131391"/>
    <w:rsid w:val="121A14D0"/>
    <w:rsid w:val="12220318"/>
    <w:rsid w:val="12337685"/>
    <w:rsid w:val="123846C6"/>
    <w:rsid w:val="123A0811"/>
    <w:rsid w:val="123A1BC7"/>
    <w:rsid w:val="123B1F06"/>
    <w:rsid w:val="123D0729"/>
    <w:rsid w:val="12430DB7"/>
    <w:rsid w:val="12471388"/>
    <w:rsid w:val="124729AB"/>
    <w:rsid w:val="126200E0"/>
    <w:rsid w:val="126A5674"/>
    <w:rsid w:val="1270230E"/>
    <w:rsid w:val="1273125A"/>
    <w:rsid w:val="127777A6"/>
    <w:rsid w:val="127A0E51"/>
    <w:rsid w:val="127F4C3B"/>
    <w:rsid w:val="12844361"/>
    <w:rsid w:val="12886B37"/>
    <w:rsid w:val="12953363"/>
    <w:rsid w:val="129A5F1E"/>
    <w:rsid w:val="129C72D0"/>
    <w:rsid w:val="12A62179"/>
    <w:rsid w:val="12C2248A"/>
    <w:rsid w:val="12C43058"/>
    <w:rsid w:val="12D17A2B"/>
    <w:rsid w:val="12DB0083"/>
    <w:rsid w:val="12E206CB"/>
    <w:rsid w:val="12E91757"/>
    <w:rsid w:val="12EC7534"/>
    <w:rsid w:val="12F300FC"/>
    <w:rsid w:val="12F46CDB"/>
    <w:rsid w:val="12F64676"/>
    <w:rsid w:val="13066BF4"/>
    <w:rsid w:val="130F125E"/>
    <w:rsid w:val="13133314"/>
    <w:rsid w:val="13133606"/>
    <w:rsid w:val="13137C8A"/>
    <w:rsid w:val="13195901"/>
    <w:rsid w:val="131B5B61"/>
    <w:rsid w:val="131C20FB"/>
    <w:rsid w:val="13247EE9"/>
    <w:rsid w:val="13291AED"/>
    <w:rsid w:val="132F1D05"/>
    <w:rsid w:val="133178C3"/>
    <w:rsid w:val="13327A2D"/>
    <w:rsid w:val="13365156"/>
    <w:rsid w:val="13375E3E"/>
    <w:rsid w:val="13393FAE"/>
    <w:rsid w:val="133C6F2C"/>
    <w:rsid w:val="13405DEA"/>
    <w:rsid w:val="1345127B"/>
    <w:rsid w:val="1346033A"/>
    <w:rsid w:val="13484EFC"/>
    <w:rsid w:val="134B5829"/>
    <w:rsid w:val="135320A0"/>
    <w:rsid w:val="135A1054"/>
    <w:rsid w:val="135D21BD"/>
    <w:rsid w:val="13652812"/>
    <w:rsid w:val="137335D6"/>
    <w:rsid w:val="13750690"/>
    <w:rsid w:val="13795C3B"/>
    <w:rsid w:val="137A57A0"/>
    <w:rsid w:val="137C1149"/>
    <w:rsid w:val="13811D72"/>
    <w:rsid w:val="138B678C"/>
    <w:rsid w:val="139042E3"/>
    <w:rsid w:val="139F0672"/>
    <w:rsid w:val="13A02D2C"/>
    <w:rsid w:val="13A20852"/>
    <w:rsid w:val="13A77CA3"/>
    <w:rsid w:val="13A8796C"/>
    <w:rsid w:val="13A91391"/>
    <w:rsid w:val="13A96B18"/>
    <w:rsid w:val="13B14F39"/>
    <w:rsid w:val="13B4778E"/>
    <w:rsid w:val="13B64198"/>
    <w:rsid w:val="13BB1256"/>
    <w:rsid w:val="13C94031"/>
    <w:rsid w:val="13CB5055"/>
    <w:rsid w:val="13CB7DA9"/>
    <w:rsid w:val="13CC6FEE"/>
    <w:rsid w:val="13D32386"/>
    <w:rsid w:val="13D37F26"/>
    <w:rsid w:val="13E612FE"/>
    <w:rsid w:val="13E76B83"/>
    <w:rsid w:val="13EA3F5C"/>
    <w:rsid w:val="13EC3E3F"/>
    <w:rsid w:val="13EF44E6"/>
    <w:rsid w:val="13F6735D"/>
    <w:rsid w:val="13F876EB"/>
    <w:rsid w:val="14093159"/>
    <w:rsid w:val="14157276"/>
    <w:rsid w:val="14167D0C"/>
    <w:rsid w:val="14192C7F"/>
    <w:rsid w:val="14193DDF"/>
    <w:rsid w:val="141F6313"/>
    <w:rsid w:val="14285B9F"/>
    <w:rsid w:val="142B1B6F"/>
    <w:rsid w:val="142D0DCF"/>
    <w:rsid w:val="143A127E"/>
    <w:rsid w:val="143B682F"/>
    <w:rsid w:val="14430869"/>
    <w:rsid w:val="14432725"/>
    <w:rsid w:val="14443226"/>
    <w:rsid w:val="144642C2"/>
    <w:rsid w:val="14473911"/>
    <w:rsid w:val="144813FA"/>
    <w:rsid w:val="1449056A"/>
    <w:rsid w:val="144B0486"/>
    <w:rsid w:val="145270FB"/>
    <w:rsid w:val="145D7B7C"/>
    <w:rsid w:val="1463562A"/>
    <w:rsid w:val="14663D16"/>
    <w:rsid w:val="1468208E"/>
    <w:rsid w:val="147E2E6B"/>
    <w:rsid w:val="14804384"/>
    <w:rsid w:val="14854E20"/>
    <w:rsid w:val="148D62F6"/>
    <w:rsid w:val="14900E65"/>
    <w:rsid w:val="149061E2"/>
    <w:rsid w:val="14940A62"/>
    <w:rsid w:val="149439E8"/>
    <w:rsid w:val="149A6CFD"/>
    <w:rsid w:val="14A17B0B"/>
    <w:rsid w:val="14BD1EEC"/>
    <w:rsid w:val="14BF2B7A"/>
    <w:rsid w:val="14C5262D"/>
    <w:rsid w:val="14C60BDA"/>
    <w:rsid w:val="14CB5D47"/>
    <w:rsid w:val="14CB6C20"/>
    <w:rsid w:val="14CD7B51"/>
    <w:rsid w:val="14CF7C1C"/>
    <w:rsid w:val="14D233B9"/>
    <w:rsid w:val="14D250B0"/>
    <w:rsid w:val="14D76032"/>
    <w:rsid w:val="14D92A9E"/>
    <w:rsid w:val="14E01004"/>
    <w:rsid w:val="14E2050C"/>
    <w:rsid w:val="14EA179D"/>
    <w:rsid w:val="14F12B8D"/>
    <w:rsid w:val="14F3527D"/>
    <w:rsid w:val="14F92392"/>
    <w:rsid w:val="14FA794C"/>
    <w:rsid w:val="14FF6FA9"/>
    <w:rsid w:val="15063063"/>
    <w:rsid w:val="15064C19"/>
    <w:rsid w:val="151503B1"/>
    <w:rsid w:val="151B18EE"/>
    <w:rsid w:val="151E643C"/>
    <w:rsid w:val="15273F9C"/>
    <w:rsid w:val="15281DF5"/>
    <w:rsid w:val="15284D87"/>
    <w:rsid w:val="152F4368"/>
    <w:rsid w:val="153070B7"/>
    <w:rsid w:val="153627F8"/>
    <w:rsid w:val="153B0F5F"/>
    <w:rsid w:val="153E533A"/>
    <w:rsid w:val="153E5CE2"/>
    <w:rsid w:val="154632BC"/>
    <w:rsid w:val="154E4F2D"/>
    <w:rsid w:val="15553CF3"/>
    <w:rsid w:val="155A7A47"/>
    <w:rsid w:val="155B7AE1"/>
    <w:rsid w:val="15720975"/>
    <w:rsid w:val="15785D0F"/>
    <w:rsid w:val="157B6E3A"/>
    <w:rsid w:val="157C1BA6"/>
    <w:rsid w:val="158E0A15"/>
    <w:rsid w:val="159613BE"/>
    <w:rsid w:val="159E0C56"/>
    <w:rsid w:val="15A0556A"/>
    <w:rsid w:val="15A64B0B"/>
    <w:rsid w:val="15AA2092"/>
    <w:rsid w:val="15B3006A"/>
    <w:rsid w:val="15B7619F"/>
    <w:rsid w:val="15BD7BC5"/>
    <w:rsid w:val="15BF56EC"/>
    <w:rsid w:val="15C26F8A"/>
    <w:rsid w:val="15C62C1A"/>
    <w:rsid w:val="15C7380D"/>
    <w:rsid w:val="15C7675B"/>
    <w:rsid w:val="15C92532"/>
    <w:rsid w:val="15CC605B"/>
    <w:rsid w:val="15D13671"/>
    <w:rsid w:val="15DF0F1F"/>
    <w:rsid w:val="15E20F74"/>
    <w:rsid w:val="15E51085"/>
    <w:rsid w:val="15E92732"/>
    <w:rsid w:val="15EC51EF"/>
    <w:rsid w:val="160025F7"/>
    <w:rsid w:val="1606331B"/>
    <w:rsid w:val="162E3FBD"/>
    <w:rsid w:val="16362ABF"/>
    <w:rsid w:val="163634D4"/>
    <w:rsid w:val="16384275"/>
    <w:rsid w:val="164B4113"/>
    <w:rsid w:val="165B1291"/>
    <w:rsid w:val="167067A1"/>
    <w:rsid w:val="1673211A"/>
    <w:rsid w:val="167635DC"/>
    <w:rsid w:val="167D08B8"/>
    <w:rsid w:val="16894BB3"/>
    <w:rsid w:val="168A28EF"/>
    <w:rsid w:val="169619E0"/>
    <w:rsid w:val="169C19E3"/>
    <w:rsid w:val="169F123F"/>
    <w:rsid w:val="16A070E1"/>
    <w:rsid w:val="16A42B33"/>
    <w:rsid w:val="16A50D85"/>
    <w:rsid w:val="16A57368"/>
    <w:rsid w:val="16A9501F"/>
    <w:rsid w:val="16AD19E8"/>
    <w:rsid w:val="16B014D8"/>
    <w:rsid w:val="16B24ED1"/>
    <w:rsid w:val="16C302B2"/>
    <w:rsid w:val="16CC3B80"/>
    <w:rsid w:val="16D109B7"/>
    <w:rsid w:val="16D2144F"/>
    <w:rsid w:val="16D663B2"/>
    <w:rsid w:val="16DC30E2"/>
    <w:rsid w:val="16DD5A00"/>
    <w:rsid w:val="16E46EAC"/>
    <w:rsid w:val="16E606C2"/>
    <w:rsid w:val="16E67B47"/>
    <w:rsid w:val="16E7513A"/>
    <w:rsid w:val="16E871EA"/>
    <w:rsid w:val="16F73C11"/>
    <w:rsid w:val="16F969DB"/>
    <w:rsid w:val="16FB22AF"/>
    <w:rsid w:val="16FB313E"/>
    <w:rsid w:val="16FD1D31"/>
    <w:rsid w:val="16FE7A78"/>
    <w:rsid w:val="17007A6D"/>
    <w:rsid w:val="17025706"/>
    <w:rsid w:val="17026E59"/>
    <w:rsid w:val="17050780"/>
    <w:rsid w:val="17095832"/>
    <w:rsid w:val="170A0BE8"/>
    <w:rsid w:val="171149C8"/>
    <w:rsid w:val="1715758D"/>
    <w:rsid w:val="171A3023"/>
    <w:rsid w:val="17261636"/>
    <w:rsid w:val="17363645"/>
    <w:rsid w:val="17393EFC"/>
    <w:rsid w:val="173E0892"/>
    <w:rsid w:val="17437528"/>
    <w:rsid w:val="17464469"/>
    <w:rsid w:val="174834AA"/>
    <w:rsid w:val="17490311"/>
    <w:rsid w:val="175129AF"/>
    <w:rsid w:val="1758511E"/>
    <w:rsid w:val="175B7696"/>
    <w:rsid w:val="17614279"/>
    <w:rsid w:val="17645DDE"/>
    <w:rsid w:val="177230D6"/>
    <w:rsid w:val="1772642F"/>
    <w:rsid w:val="1779294D"/>
    <w:rsid w:val="177C760C"/>
    <w:rsid w:val="177F6718"/>
    <w:rsid w:val="17814289"/>
    <w:rsid w:val="17854E2C"/>
    <w:rsid w:val="17923D7B"/>
    <w:rsid w:val="179A1C58"/>
    <w:rsid w:val="179E6E5A"/>
    <w:rsid w:val="17AF79E2"/>
    <w:rsid w:val="17B150CB"/>
    <w:rsid w:val="17B23598"/>
    <w:rsid w:val="17B47768"/>
    <w:rsid w:val="17B85E0F"/>
    <w:rsid w:val="17BB35B1"/>
    <w:rsid w:val="17BE5517"/>
    <w:rsid w:val="17C045CA"/>
    <w:rsid w:val="17C85CEA"/>
    <w:rsid w:val="17CE79E2"/>
    <w:rsid w:val="17D40AAA"/>
    <w:rsid w:val="17D87834"/>
    <w:rsid w:val="17DF4479"/>
    <w:rsid w:val="17E20DEE"/>
    <w:rsid w:val="17E72060"/>
    <w:rsid w:val="17E94CA2"/>
    <w:rsid w:val="17EB564C"/>
    <w:rsid w:val="17EB5B9A"/>
    <w:rsid w:val="17F944DD"/>
    <w:rsid w:val="18052543"/>
    <w:rsid w:val="180E18D0"/>
    <w:rsid w:val="180F4CBE"/>
    <w:rsid w:val="18125949"/>
    <w:rsid w:val="181624DB"/>
    <w:rsid w:val="18187E60"/>
    <w:rsid w:val="181E44F2"/>
    <w:rsid w:val="182007DD"/>
    <w:rsid w:val="182A7068"/>
    <w:rsid w:val="182B52BA"/>
    <w:rsid w:val="182C5877"/>
    <w:rsid w:val="18345F0A"/>
    <w:rsid w:val="183A1736"/>
    <w:rsid w:val="183D39F7"/>
    <w:rsid w:val="1843207A"/>
    <w:rsid w:val="18453F28"/>
    <w:rsid w:val="184753A6"/>
    <w:rsid w:val="18491FB8"/>
    <w:rsid w:val="184C12B5"/>
    <w:rsid w:val="184E5188"/>
    <w:rsid w:val="18506ACF"/>
    <w:rsid w:val="18523355"/>
    <w:rsid w:val="18566ECD"/>
    <w:rsid w:val="185760FC"/>
    <w:rsid w:val="185840A4"/>
    <w:rsid w:val="185D11EC"/>
    <w:rsid w:val="186212BA"/>
    <w:rsid w:val="1864014C"/>
    <w:rsid w:val="18716A45"/>
    <w:rsid w:val="187208E1"/>
    <w:rsid w:val="18722EE9"/>
    <w:rsid w:val="18775075"/>
    <w:rsid w:val="187833B2"/>
    <w:rsid w:val="187B23E5"/>
    <w:rsid w:val="187D051D"/>
    <w:rsid w:val="187D2E0E"/>
    <w:rsid w:val="187D3B10"/>
    <w:rsid w:val="187D644E"/>
    <w:rsid w:val="18820879"/>
    <w:rsid w:val="188B7B07"/>
    <w:rsid w:val="188E0F9F"/>
    <w:rsid w:val="18932E60"/>
    <w:rsid w:val="189D6459"/>
    <w:rsid w:val="18A04FFD"/>
    <w:rsid w:val="18A07947"/>
    <w:rsid w:val="18A4634D"/>
    <w:rsid w:val="18A92683"/>
    <w:rsid w:val="18AE1A47"/>
    <w:rsid w:val="18AE5289"/>
    <w:rsid w:val="18B371A8"/>
    <w:rsid w:val="18B771D9"/>
    <w:rsid w:val="18B828C6"/>
    <w:rsid w:val="18BD4376"/>
    <w:rsid w:val="18C55223"/>
    <w:rsid w:val="18C6568D"/>
    <w:rsid w:val="18C77E92"/>
    <w:rsid w:val="18C8358D"/>
    <w:rsid w:val="18C959BB"/>
    <w:rsid w:val="18D45952"/>
    <w:rsid w:val="18D65581"/>
    <w:rsid w:val="18D90BFD"/>
    <w:rsid w:val="18D951B2"/>
    <w:rsid w:val="18E05C0E"/>
    <w:rsid w:val="18E06D9A"/>
    <w:rsid w:val="18E25BE7"/>
    <w:rsid w:val="18E702FB"/>
    <w:rsid w:val="18F00CE8"/>
    <w:rsid w:val="19037FE5"/>
    <w:rsid w:val="19065E45"/>
    <w:rsid w:val="190972E9"/>
    <w:rsid w:val="19166CB4"/>
    <w:rsid w:val="192132D6"/>
    <w:rsid w:val="1921612B"/>
    <w:rsid w:val="19287DCA"/>
    <w:rsid w:val="192A5572"/>
    <w:rsid w:val="1934019F"/>
    <w:rsid w:val="19583977"/>
    <w:rsid w:val="195C76F5"/>
    <w:rsid w:val="19643E2F"/>
    <w:rsid w:val="196547FC"/>
    <w:rsid w:val="196565AA"/>
    <w:rsid w:val="197455B0"/>
    <w:rsid w:val="197A0717"/>
    <w:rsid w:val="197D1936"/>
    <w:rsid w:val="199E2772"/>
    <w:rsid w:val="19A33352"/>
    <w:rsid w:val="19AE764D"/>
    <w:rsid w:val="19AF75D4"/>
    <w:rsid w:val="19C534ED"/>
    <w:rsid w:val="19C749D9"/>
    <w:rsid w:val="19D15A82"/>
    <w:rsid w:val="19D32BA5"/>
    <w:rsid w:val="19D8115F"/>
    <w:rsid w:val="19D95A8C"/>
    <w:rsid w:val="19DE1A34"/>
    <w:rsid w:val="19DF68D4"/>
    <w:rsid w:val="19E16672"/>
    <w:rsid w:val="19E25F19"/>
    <w:rsid w:val="19E43194"/>
    <w:rsid w:val="19E74261"/>
    <w:rsid w:val="19FA6D1A"/>
    <w:rsid w:val="19FD4F93"/>
    <w:rsid w:val="19FE1B56"/>
    <w:rsid w:val="1A0A6B4F"/>
    <w:rsid w:val="1A0F1ED8"/>
    <w:rsid w:val="1A1507A3"/>
    <w:rsid w:val="1A15521C"/>
    <w:rsid w:val="1A1928B1"/>
    <w:rsid w:val="1A1F4187"/>
    <w:rsid w:val="1A2017A7"/>
    <w:rsid w:val="1A2053A5"/>
    <w:rsid w:val="1A237D40"/>
    <w:rsid w:val="1A255D39"/>
    <w:rsid w:val="1A266FD5"/>
    <w:rsid w:val="1A2C4317"/>
    <w:rsid w:val="1A2C7DFF"/>
    <w:rsid w:val="1A2D7200"/>
    <w:rsid w:val="1A304070"/>
    <w:rsid w:val="1A3167EC"/>
    <w:rsid w:val="1A3654F4"/>
    <w:rsid w:val="1A3F47B6"/>
    <w:rsid w:val="1A444280"/>
    <w:rsid w:val="1A495ECC"/>
    <w:rsid w:val="1A4965F9"/>
    <w:rsid w:val="1A4C0978"/>
    <w:rsid w:val="1A537548"/>
    <w:rsid w:val="1A5A4993"/>
    <w:rsid w:val="1A5F3F04"/>
    <w:rsid w:val="1A674776"/>
    <w:rsid w:val="1A6D2535"/>
    <w:rsid w:val="1A7056AF"/>
    <w:rsid w:val="1A75353A"/>
    <w:rsid w:val="1A886E5C"/>
    <w:rsid w:val="1A8959EC"/>
    <w:rsid w:val="1A901D46"/>
    <w:rsid w:val="1A9E0E31"/>
    <w:rsid w:val="1A9F0FB4"/>
    <w:rsid w:val="1AA06A41"/>
    <w:rsid w:val="1AA16AA1"/>
    <w:rsid w:val="1AA17AB6"/>
    <w:rsid w:val="1AA519C2"/>
    <w:rsid w:val="1ABA602A"/>
    <w:rsid w:val="1ABA785B"/>
    <w:rsid w:val="1ABD3F9F"/>
    <w:rsid w:val="1ABE55FB"/>
    <w:rsid w:val="1ABE7FDC"/>
    <w:rsid w:val="1ABF0C40"/>
    <w:rsid w:val="1ABF1CEA"/>
    <w:rsid w:val="1AC33166"/>
    <w:rsid w:val="1AC94295"/>
    <w:rsid w:val="1ACB4062"/>
    <w:rsid w:val="1ACF3554"/>
    <w:rsid w:val="1AD27C6F"/>
    <w:rsid w:val="1AD5775F"/>
    <w:rsid w:val="1AE612D2"/>
    <w:rsid w:val="1AE77CF0"/>
    <w:rsid w:val="1AEC61C2"/>
    <w:rsid w:val="1AEE2E3A"/>
    <w:rsid w:val="1AF06330"/>
    <w:rsid w:val="1AF519ED"/>
    <w:rsid w:val="1AF5342C"/>
    <w:rsid w:val="1AFA0443"/>
    <w:rsid w:val="1AFF1FA4"/>
    <w:rsid w:val="1B0C419E"/>
    <w:rsid w:val="1B157289"/>
    <w:rsid w:val="1B173817"/>
    <w:rsid w:val="1B195FF9"/>
    <w:rsid w:val="1B22725F"/>
    <w:rsid w:val="1B2B151F"/>
    <w:rsid w:val="1B39587C"/>
    <w:rsid w:val="1B3B1532"/>
    <w:rsid w:val="1B4668FD"/>
    <w:rsid w:val="1B47394A"/>
    <w:rsid w:val="1B4C033F"/>
    <w:rsid w:val="1B4F159B"/>
    <w:rsid w:val="1B642891"/>
    <w:rsid w:val="1B69390C"/>
    <w:rsid w:val="1B6E1A71"/>
    <w:rsid w:val="1B702586"/>
    <w:rsid w:val="1B7116D9"/>
    <w:rsid w:val="1B82359E"/>
    <w:rsid w:val="1B855280"/>
    <w:rsid w:val="1B8561FB"/>
    <w:rsid w:val="1B943177"/>
    <w:rsid w:val="1B972C67"/>
    <w:rsid w:val="1B9B6355"/>
    <w:rsid w:val="1B9D4814"/>
    <w:rsid w:val="1BA0313F"/>
    <w:rsid w:val="1BA11472"/>
    <w:rsid w:val="1BA70410"/>
    <w:rsid w:val="1BC25F36"/>
    <w:rsid w:val="1BCD463F"/>
    <w:rsid w:val="1BD17F27"/>
    <w:rsid w:val="1BD31F37"/>
    <w:rsid w:val="1BD35A60"/>
    <w:rsid w:val="1BD91A0E"/>
    <w:rsid w:val="1BDC68CC"/>
    <w:rsid w:val="1BDD0D8B"/>
    <w:rsid w:val="1BE078BD"/>
    <w:rsid w:val="1BE745F6"/>
    <w:rsid w:val="1BE806B2"/>
    <w:rsid w:val="1BF11408"/>
    <w:rsid w:val="1BFF62D5"/>
    <w:rsid w:val="1C027BDF"/>
    <w:rsid w:val="1C054074"/>
    <w:rsid w:val="1C145037"/>
    <w:rsid w:val="1C17662B"/>
    <w:rsid w:val="1C185919"/>
    <w:rsid w:val="1C19367C"/>
    <w:rsid w:val="1C1B6C65"/>
    <w:rsid w:val="1C3765F9"/>
    <w:rsid w:val="1C412E6E"/>
    <w:rsid w:val="1C42342B"/>
    <w:rsid w:val="1C44694B"/>
    <w:rsid w:val="1C496434"/>
    <w:rsid w:val="1C4D5CB3"/>
    <w:rsid w:val="1C4F6772"/>
    <w:rsid w:val="1C50745E"/>
    <w:rsid w:val="1C532A4B"/>
    <w:rsid w:val="1C6041F4"/>
    <w:rsid w:val="1C6A04B1"/>
    <w:rsid w:val="1C6F1AE1"/>
    <w:rsid w:val="1C7469E6"/>
    <w:rsid w:val="1C7A336B"/>
    <w:rsid w:val="1C7B54B3"/>
    <w:rsid w:val="1C8262D2"/>
    <w:rsid w:val="1C8979E9"/>
    <w:rsid w:val="1C8D63EE"/>
    <w:rsid w:val="1C915D04"/>
    <w:rsid w:val="1C986C96"/>
    <w:rsid w:val="1C9F1DD3"/>
    <w:rsid w:val="1CA23D4E"/>
    <w:rsid w:val="1CA366CB"/>
    <w:rsid w:val="1CAD6138"/>
    <w:rsid w:val="1CAE0268"/>
    <w:rsid w:val="1CAE2016"/>
    <w:rsid w:val="1CB464E2"/>
    <w:rsid w:val="1CB81A6B"/>
    <w:rsid w:val="1CB82E95"/>
    <w:rsid w:val="1CB90C5D"/>
    <w:rsid w:val="1CC44476"/>
    <w:rsid w:val="1CC76F56"/>
    <w:rsid w:val="1CCE090A"/>
    <w:rsid w:val="1CE93D2A"/>
    <w:rsid w:val="1CE96A40"/>
    <w:rsid w:val="1CEB0236"/>
    <w:rsid w:val="1CF0262F"/>
    <w:rsid w:val="1CF57C45"/>
    <w:rsid w:val="1CF80A69"/>
    <w:rsid w:val="1D025D6F"/>
    <w:rsid w:val="1D070972"/>
    <w:rsid w:val="1D155D79"/>
    <w:rsid w:val="1D1A2745"/>
    <w:rsid w:val="1D1C1676"/>
    <w:rsid w:val="1D1E66CC"/>
    <w:rsid w:val="1D215272"/>
    <w:rsid w:val="1D3F6620"/>
    <w:rsid w:val="1D4126F8"/>
    <w:rsid w:val="1D4930D8"/>
    <w:rsid w:val="1D5223E3"/>
    <w:rsid w:val="1D561B4E"/>
    <w:rsid w:val="1D586126"/>
    <w:rsid w:val="1D5E2B03"/>
    <w:rsid w:val="1D5F5F9E"/>
    <w:rsid w:val="1D69133D"/>
    <w:rsid w:val="1D6D6AF8"/>
    <w:rsid w:val="1D6F5B7C"/>
    <w:rsid w:val="1D750D86"/>
    <w:rsid w:val="1D835251"/>
    <w:rsid w:val="1D854F7E"/>
    <w:rsid w:val="1D880945"/>
    <w:rsid w:val="1D8944CB"/>
    <w:rsid w:val="1D921938"/>
    <w:rsid w:val="1D94070A"/>
    <w:rsid w:val="1D9E51F9"/>
    <w:rsid w:val="1DA33B45"/>
    <w:rsid w:val="1DA43419"/>
    <w:rsid w:val="1DAE0C00"/>
    <w:rsid w:val="1DB63878"/>
    <w:rsid w:val="1DC44C30"/>
    <w:rsid w:val="1DCC330E"/>
    <w:rsid w:val="1DCD6AB4"/>
    <w:rsid w:val="1DD26768"/>
    <w:rsid w:val="1DD33F61"/>
    <w:rsid w:val="1DD82332"/>
    <w:rsid w:val="1DDA3D7F"/>
    <w:rsid w:val="1DDE13F8"/>
    <w:rsid w:val="1DE651E8"/>
    <w:rsid w:val="1DF1585D"/>
    <w:rsid w:val="1DF83A39"/>
    <w:rsid w:val="1DF84814"/>
    <w:rsid w:val="1DFB6E89"/>
    <w:rsid w:val="1DFB74DD"/>
    <w:rsid w:val="1E070091"/>
    <w:rsid w:val="1E0A2569"/>
    <w:rsid w:val="1E146959"/>
    <w:rsid w:val="1E1B2F5F"/>
    <w:rsid w:val="1E245234"/>
    <w:rsid w:val="1E2750AE"/>
    <w:rsid w:val="1E484929"/>
    <w:rsid w:val="1E4F5C2D"/>
    <w:rsid w:val="1E552F80"/>
    <w:rsid w:val="1E5E1958"/>
    <w:rsid w:val="1E6147B7"/>
    <w:rsid w:val="1E653553"/>
    <w:rsid w:val="1E693EC0"/>
    <w:rsid w:val="1E6A31B4"/>
    <w:rsid w:val="1E6B5EAB"/>
    <w:rsid w:val="1E6E1784"/>
    <w:rsid w:val="1E6E7C03"/>
    <w:rsid w:val="1E71052F"/>
    <w:rsid w:val="1E71154D"/>
    <w:rsid w:val="1E790E87"/>
    <w:rsid w:val="1E7A25F2"/>
    <w:rsid w:val="1EAB0F03"/>
    <w:rsid w:val="1EAD3FA1"/>
    <w:rsid w:val="1EB24BCB"/>
    <w:rsid w:val="1EB5212B"/>
    <w:rsid w:val="1EBA3D0C"/>
    <w:rsid w:val="1EBB4EBE"/>
    <w:rsid w:val="1EC5054E"/>
    <w:rsid w:val="1EC6392B"/>
    <w:rsid w:val="1EC90621"/>
    <w:rsid w:val="1EC975DB"/>
    <w:rsid w:val="1ECB24E7"/>
    <w:rsid w:val="1ECC2C27"/>
    <w:rsid w:val="1ECC6B68"/>
    <w:rsid w:val="1ED62E6A"/>
    <w:rsid w:val="1EE2244B"/>
    <w:rsid w:val="1EE260EC"/>
    <w:rsid w:val="1EE667FC"/>
    <w:rsid w:val="1EE84B34"/>
    <w:rsid w:val="1EE97F7C"/>
    <w:rsid w:val="1EEF431A"/>
    <w:rsid w:val="1EF64135"/>
    <w:rsid w:val="1EF72EEC"/>
    <w:rsid w:val="1F06438B"/>
    <w:rsid w:val="1F0650C7"/>
    <w:rsid w:val="1F0B19A2"/>
    <w:rsid w:val="1F0B6D61"/>
    <w:rsid w:val="1F0E2B05"/>
    <w:rsid w:val="1F114ADE"/>
    <w:rsid w:val="1F172367"/>
    <w:rsid w:val="1F254E34"/>
    <w:rsid w:val="1F2678A3"/>
    <w:rsid w:val="1F2932A1"/>
    <w:rsid w:val="1F404217"/>
    <w:rsid w:val="1F4247F1"/>
    <w:rsid w:val="1F48621D"/>
    <w:rsid w:val="1F533118"/>
    <w:rsid w:val="1F626E72"/>
    <w:rsid w:val="1F6A2294"/>
    <w:rsid w:val="1F8D282B"/>
    <w:rsid w:val="1F970130"/>
    <w:rsid w:val="1F9D0A44"/>
    <w:rsid w:val="1FA51D91"/>
    <w:rsid w:val="1FA54A0E"/>
    <w:rsid w:val="1FAB7093"/>
    <w:rsid w:val="1FAC0548"/>
    <w:rsid w:val="1FB65F17"/>
    <w:rsid w:val="1FBE0652"/>
    <w:rsid w:val="1FC169BD"/>
    <w:rsid w:val="1FC76C64"/>
    <w:rsid w:val="1FCB7383"/>
    <w:rsid w:val="1FCF3A1C"/>
    <w:rsid w:val="1FD55365"/>
    <w:rsid w:val="1FD55385"/>
    <w:rsid w:val="1FD83DFD"/>
    <w:rsid w:val="1FD930B0"/>
    <w:rsid w:val="1FE43F25"/>
    <w:rsid w:val="1FE521F3"/>
    <w:rsid w:val="1FF107B1"/>
    <w:rsid w:val="1FF11E30"/>
    <w:rsid w:val="1FF20A5C"/>
    <w:rsid w:val="20001E8C"/>
    <w:rsid w:val="20031903"/>
    <w:rsid w:val="20067B7E"/>
    <w:rsid w:val="20075E29"/>
    <w:rsid w:val="200A3D59"/>
    <w:rsid w:val="20102A57"/>
    <w:rsid w:val="201955DF"/>
    <w:rsid w:val="201C198C"/>
    <w:rsid w:val="201E5EB6"/>
    <w:rsid w:val="20255669"/>
    <w:rsid w:val="202F5F6F"/>
    <w:rsid w:val="20301677"/>
    <w:rsid w:val="20341112"/>
    <w:rsid w:val="204E279C"/>
    <w:rsid w:val="204E6184"/>
    <w:rsid w:val="2059524D"/>
    <w:rsid w:val="205E1FA5"/>
    <w:rsid w:val="206841DB"/>
    <w:rsid w:val="20692E24"/>
    <w:rsid w:val="206B3403"/>
    <w:rsid w:val="206B75C0"/>
    <w:rsid w:val="206D21E8"/>
    <w:rsid w:val="206D55DF"/>
    <w:rsid w:val="206F41B2"/>
    <w:rsid w:val="2076034B"/>
    <w:rsid w:val="20767256"/>
    <w:rsid w:val="207823E8"/>
    <w:rsid w:val="207A1ABC"/>
    <w:rsid w:val="20893FDE"/>
    <w:rsid w:val="208C6B12"/>
    <w:rsid w:val="208D3C12"/>
    <w:rsid w:val="20931E8F"/>
    <w:rsid w:val="209A3380"/>
    <w:rsid w:val="20A2611A"/>
    <w:rsid w:val="20A71359"/>
    <w:rsid w:val="20B0645D"/>
    <w:rsid w:val="20B66B40"/>
    <w:rsid w:val="20BA0E51"/>
    <w:rsid w:val="20BC0C42"/>
    <w:rsid w:val="20C5585B"/>
    <w:rsid w:val="20CB1088"/>
    <w:rsid w:val="20CE712B"/>
    <w:rsid w:val="20CF64D3"/>
    <w:rsid w:val="20D276ED"/>
    <w:rsid w:val="20D314FF"/>
    <w:rsid w:val="20D35978"/>
    <w:rsid w:val="20D36C50"/>
    <w:rsid w:val="20D65FDF"/>
    <w:rsid w:val="20D724A8"/>
    <w:rsid w:val="20DB5E28"/>
    <w:rsid w:val="20E32E09"/>
    <w:rsid w:val="20E424AA"/>
    <w:rsid w:val="20F070A1"/>
    <w:rsid w:val="20F261A5"/>
    <w:rsid w:val="20FB39E4"/>
    <w:rsid w:val="20FE770C"/>
    <w:rsid w:val="21044291"/>
    <w:rsid w:val="2106633C"/>
    <w:rsid w:val="210A4B79"/>
    <w:rsid w:val="21197C6C"/>
    <w:rsid w:val="211D393E"/>
    <w:rsid w:val="21226BEF"/>
    <w:rsid w:val="212528F5"/>
    <w:rsid w:val="21332707"/>
    <w:rsid w:val="21362B20"/>
    <w:rsid w:val="21391F84"/>
    <w:rsid w:val="213B5848"/>
    <w:rsid w:val="213E521A"/>
    <w:rsid w:val="213E6B12"/>
    <w:rsid w:val="21456E23"/>
    <w:rsid w:val="214663E7"/>
    <w:rsid w:val="21484B50"/>
    <w:rsid w:val="21494A03"/>
    <w:rsid w:val="215347EE"/>
    <w:rsid w:val="21562473"/>
    <w:rsid w:val="2158338F"/>
    <w:rsid w:val="215869A6"/>
    <w:rsid w:val="215C4D90"/>
    <w:rsid w:val="215D53B4"/>
    <w:rsid w:val="21642844"/>
    <w:rsid w:val="216B497A"/>
    <w:rsid w:val="2173382E"/>
    <w:rsid w:val="217575A6"/>
    <w:rsid w:val="217C0935"/>
    <w:rsid w:val="21822366"/>
    <w:rsid w:val="21863561"/>
    <w:rsid w:val="218F12E5"/>
    <w:rsid w:val="219C1508"/>
    <w:rsid w:val="21AB6CD0"/>
    <w:rsid w:val="21AE317B"/>
    <w:rsid w:val="21B01FA5"/>
    <w:rsid w:val="21BA4C58"/>
    <w:rsid w:val="21BC11F2"/>
    <w:rsid w:val="21BE4D6A"/>
    <w:rsid w:val="21CB622C"/>
    <w:rsid w:val="21D01E62"/>
    <w:rsid w:val="21D03B15"/>
    <w:rsid w:val="21E645E2"/>
    <w:rsid w:val="21E85460"/>
    <w:rsid w:val="21E94A97"/>
    <w:rsid w:val="21EB7868"/>
    <w:rsid w:val="21EC07B7"/>
    <w:rsid w:val="21F40328"/>
    <w:rsid w:val="21F579C8"/>
    <w:rsid w:val="21FD4613"/>
    <w:rsid w:val="221176DE"/>
    <w:rsid w:val="22122C06"/>
    <w:rsid w:val="221262C7"/>
    <w:rsid w:val="221C0A03"/>
    <w:rsid w:val="222370DF"/>
    <w:rsid w:val="22242A1A"/>
    <w:rsid w:val="222B624F"/>
    <w:rsid w:val="22340E6A"/>
    <w:rsid w:val="223E5856"/>
    <w:rsid w:val="22400EBC"/>
    <w:rsid w:val="22412DE8"/>
    <w:rsid w:val="224B1D4A"/>
    <w:rsid w:val="22534DC7"/>
    <w:rsid w:val="22574EFE"/>
    <w:rsid w:val="225B2C40"/>
    <w:rsid w:val="22670040"/>
    <w:rsid w:val="226C09A9"/>
    <w:rsid w:val="2274553B"/>
    <w:rsid w:val="22770131"/>
    <w:rsid w:val="22930250"/>
    <w:rsid w:val="22994A3D"/>
    <w:rsid w:val="22A16B3E"/>
    <w:rsid w:val="22AD0A60"/>
    <w:rsid w:val="22B723CD"/>
    <w:rsid w:val="22BC7CD7"/>
    <w:rsid w:val="22C371B4"/>
    <w:rsid w:val="22C40161"/>
    <w:rsid w:val="22C7765D"/>
    <w:rsid w:val="22CB28BB"/>
    <w:rsid w:val="22DB2858"/>
    <w:rsid w:val="22E91DF4"/>
    <w:rsid w:val="22EE5707"/>
    <w:rsid w:val="22EF5FA2"/>
    <w:rsid w:val="22F21B90"/>
    <w:rsid w:val="22F66267"/>
    <w:rsid w:val="22F740A5"/>
    <w:rsid w:val="22FF110E"/>
    <w:rsid w:val="23003BD7"/>
    <w:rsid w:val="23007343"/>
    <w:rsid w:val="23016467"/>
    <w:rsid w:val="23021BF0"/>
    <w:rsid w:val="230259B3"/>
    <w:rsid w:val="23094295"/>
    <w:rsid w:val="231614AF"/>
    <w:rsid w:val="231E2482"/>
    <w:rsid w:val="232F3FCA"/>
    <w:rsid w:val="233D20F9"/>
    <w:rsid w:val="23460E68"/>
    <w:rsid w:val="234642A1"/>
    <w:rsid w:val="234D545C"/>
    <w:rsid w:val="23502731"/>
    <w:rsid w:val="235D76A1"/>
    <w:rsid w:val="235E7EA4"/>
    <w:rsid w:val="235F050E"/>
    <w:rsid w:val="23694A75"/>
    <w:rsid w:val="2378337E"/>
    <w:rsid w:val="2378526F"/>
    <w:rsid w:val="23895462"/>
    <w:rsid w:val="23927D67"/>
    <w:rsid w:val="23953F30"/>
    <w:rsid w:val="239D4DA3"/>
    <w:rsid w:val="23A05F5C"/>
    <w:rsid w:val="23A62D1E"/>
    <w:rsid w:val="23A632DC"/>
    <w:rsid w:val="23AE3967"/>
    <w:rsid w:val="23B208BE"/>
    <w:rsid w:val="23B67E0E"/>
    <w:rsid w:val="23B74024"/>
    <w:rsid w:val="23BF2D5B"/>
    <w:rsid w:val="23C263D2"/>
    <w:rsid w:val="23CD6B32"/>
    <w:rsid w:val="23CF3744"/>
    <w:rsid w:val="23D41292"/>
    <w:rsid w:val="23EB0A86"/>
    <w:rsid w:val="23F3706B"/>
    <w:rsid w:val="23F400AB"/>
    <w:rsid w:val="2403533D"/>
    <w:rsid w:val="24094AAC"/>
    <w:rsid w:val="240A1E6F"/>
    <w:rsid w:val="240E3ECF"/>
    <w:rsid w:val="24127C13"/>
    <w:rsid w:val="242157C3"/>
    <w:rsid w:val="24263981"/>
    <w:rsid w:val="242644BF"/>
    <w:rsid w:val="24303C58"/>
    <w:rsid w:val="2431571F"/>
    <w:rsid w:val="24360A3C"/>
    <w:rsid w:val="243D71CC"/>
    <w:rsid w:val="244259D7"/>
    <w:rsid w:val="24443A64"/>
    <w:rsid w:val="24507EB3"/>
    <w:rsid w:val="245B41B9"/>
    <w:rsid w:val="245E1D5D"/>
    <w:rsid w:val="24643FED"/>
    <w:rsid w:val="24683E43"/>
    <w:rsid w:val="246C2EE2"/>
    <w:rsid w:val="247E49C4"/>
    <w:rsid w:val="24805226"/>
    <w:rsid w:val="249258B0"/>
    <w:rsid w:val="2493734E"/>
    <w:rsid w:val="24941068"/>
    <w:rsid w:val="249E5066"/>
    <w:rsid w:val="24A361D8"/>
    <w:rsid w:val="24AB2738"/>
    <w:rsid w:val="24BA242F"/>
    <w:rsid w:val="24BB4B39"/>
    <w:rsid w:val="24C212F8"/>
    <w:rsid w:val="24C26913"/>
    <w:rsid w:val="24CE5679"/>
    <w:rsid w:val="24DB1234"/>
    <w:rsid w:val="24DD371D"/>
    <w:rsid w:val="24E3339E"/>
    <w:rsid w:val="24EE7D9B"/>
    <w:rsid w:val="24F26082"/>
    <w:rsid w:val="24F361FA"/>
    <w:rsid w:val="24FD1D8D"/>
    <w:rsid w:val="250273A3"/>
    <w:rsid w:val="25096983"/>
    <w:rsid w:val="250E6800"/>
    <w:rsid w:val="251A76A1"/>
    <w:rsid w:val="251D242F"/>
    <w:rsid w:val="251E5A26"/>
    <w:rsid w:val="25287D72"/>
    <w:rsid w:val="25315208"/>
    <w:rsid w:val="25346CD3"/>
    <w:rsid w:val="25365AE4"/>
    <w:rsid w:val="253A2078"/>
    <w:rsid w:val="253B0B07"/>
    <w:rsid w:val="253B11D0"/>
    <w:rsid w:val="25462EE4"/>
    <w:rsid w:val="254774AC"/>
    <w:rsid w:val="254B3D2B"/>
    <w:rsid w:val="254E54EE"/>
    <w:rsid w:val="255866A0"/>
    <w:rsid w:val="25606D83"/>
    <w:rsid w:val="25643BBA"/>
    <w:rsid w:val="25683697"/>
    <w:rsid w:val="256E4A38"/>
    <w:rsid w:val="257C6206"/>
    <w:rsid w:val="257F4470"/>
    <w:rsid w:val="258960E4"/>
    <w:rsid w:val="25965F62"/>
    <w:rsid w:val="25B02CAD"/>
    <w:rsid w:val="25BF57FD"/>
    <w:rsid w:val="25CC304D"/>
    <w:rsid w:val="25CF2A2A"/>
    <w:rsid w:val="25D1410B"/>
    <w:rsid w:val="25DB1205"/>
    <w:rsid w:val="25E72020"/>
    <w:rsid w:val="25F25669"/>
    <w:rsid w:val="25F609D5"/>
    <w:rsid w:val="25FA0B7A"/>
    <w:rsid w:val="260932BF"/>
    <w:rsid w:val="26133BF3"/>
    <w:rsid w:val="26143D1D"/>
    <w:rsid w:val="261A700A"/>
    <w:rsid w:val="261B28E7"/>
    <w:rsid w:val="26202FCC"/>
    <w:rsid w:val="262F430D"/>
    <w:rsid w:val="26313B27"/>
    <w:rsid w:val="26315941"/>
    <w:rsid w:val="263F7366"/>
    <w:rsid w:val="264734B0"/>
    <w:rsid w:val="2650413E"/>
    <w:rsid w:val="2658795F"/>
    <w:rsid w:val="265F481B"/>
    <w:rsid w:val="26622FBA"/>
    <w:rsid w:val="266269BA"/>
    <w:rsid w:val="266A209B"/>
    <w:rsid w:val="267100DA"/>
    <w:rsid w:val="26754641"/>
    <w:rsid w:val="26782D55"/>
    <w:rsid w:val="267D6301"/>
    <w:rsid w:val="268062CE"/>
    <w:rsid w:val="26861921"/>
    <w:rsid w:val="26872AA1"/>
    <w:rsid w:val="268E07C6"/>
    <w:rsid w:val="269130F1"/>
    <w:rsid w:val="269B185D"/>
    <w:rsid w:val="269C2310"/>
    <w:rsid w:val="26A32151"/>
    <w:rsid w:val="26A47779"/>
    <w:rsid w:val="26A760A9"/>
    <w:rsid w:val="26AA1D34"/>
    <w:rsid w:val="26B763D2"/>
    <w:rsid w:val="26C2163A"/>
    <w:rsid w:val="26C77332"/>
    <w:rsid w:val="26C84235"/>
    <w:rsid w:val="26DA11DF"/>
    <w:rsid w:val="26E916C7"/>
    <w:rsid w:val="26EB2A75"/>
    <w:rsid w:val="26ED0722"/>
    <w:rsid w:val="26F0416A"/>
    <w:rsid w:val="26F163F5"/>
    <w:rsid w:val="26F337C6"/>
    <w:rsid w:val="26F930CC"/>
    <w:rsid w:val="27052D67"/>
    <w:rsid w:val="270A0791"/>
    <w:rsid w:val="270B33C9"/>
    <w:rsid w:val="271167D4"/>
    <w:rsid w:val="271863D4"/>
    <w:rsid w:val="271B27F2"/>
    <w:rsid w:val="271B62A6"/>
    <w:rsid w:val="271D470B"/>
    <w:rsid w:val="271D6716"/>
    <w:rsid w:val="27205EB5"/>
    <w:rsid w:val="272626D1"/>
    <w:rsid w:val="27276904"/>
    <w:rsid w:val="27324B59"/>
    <w:rsid w:val="27326925"/>
    <w:rsid w:val="27353395"/>
    <w:rsid w:val="273E5571"/>
    <w:rsid w:val="27405EAA"/>
    <w:rsid w:val="27480C39"/>
    <w:rsid w:val="275C05BC"/>
    <w:rsid w:val="276172CD"/>
    <w:rsid w:val="2763576E"/>
    <w:rsid w:val="27653C19"/>
    <w:rsid w:val="276832E7"/>
    <w:rsid w:val="276C4FA7"/>
    <w:rsid w:val="276C59F9"/>
    <w:rsid w:val="276D15DE"/>
    <w:rsid w:val="2774095F"/>
    <w:rsid w:val="27826575"/>
    <w:rsid w:val="27856069"/>
    <w:rsid w:val="27895B59"/>
    <w:rsid w:val="278E3226"/>
    <w:rsid w:val="27982424"/>
    <w:rsid w:val="279F6F21"/>
    <w:rsid w:val="27A21C97"/>
    <w:rsid w:val="27A72484"/>
    <w:rsid w:val="27AB2CA6"/>
    <w:rsid w:val="27AB4C89"/>
    <w:rsid w:val="27AC7C18"/>
    <w:rsid w:val="27AD123F"/>
    <w:rsid w:val="27AD5666"/>
    <w:rsid w:val="27AE2D6A"/>
    <w:rsid w:val="27AE3812"/>
    <w:rsid w:val="27B5050A"/>
    <w:rsid w:val="27C064F1"/>
    <w:rsid w:val="27C66C59"/>
    <w:rsid w:val="27C9620D"/>
    <w:rsid w:val="27CC3C98"/>
    <w:rsid w:val="27CC7BF6"/>
    <w:rsid w:val="27DF40FD"/>
    <w:rsid w:val="27E80919"/>
    <w:rsid w:val="27EA454F"/>
    <w:rsid w:val="27EA4753"/>
    <w:rsid w:val="27F8683B"/>
    <w:rsid w:val="27FB25DF"/>
    <w:rsid w:val="27FB7291"/>
    <w:rsid w:val="27FD399F"/>
    <w:rsid w:val="2801780A"/>
    <w:rsid w:val="280179BA"/>
    <w:rsid w:val="280323B3"/>
    <w:rsid w:val="28090902"/>
    <w:rsid w:val="280D4CA8"/>
    <w:rsid w:val="280F556C"/>
    <w:rsid w:val="28103EC4"/>
    <w:rsid w:val="28141908"/>
    <w:rsid w:val="2818054C"/>
    <w:rsid w:val="28180ADF"/>
    <w:rsid w:val="281C498C"/>
    <w:rsid w:val="281E3135"/>
    <w:rsid w:val="282044D8"/>
    <w:rsid w:val="28206CB8"/>
    <w:rsid w:val="282362E4"/>
    <w:rsid w:val="28242E5B"/>
    <w:rsid w:val="28285372"/>
    <w:rsid w:val="283260E3"/>
    <w:rsid w:val="28357A8F"/>
    <w:rsid w:val="283667A0"/>
    <w:rsid w:val="28375FB1"/>
    <w:rsid w:val="28390684"/>
    <w:rsid w:val="283E28ED"/>
    <w:rsid w:val="2844368E"/>
    <w:rsid w:val="284952E9"/>
    <w:rsid w:val="284969C6"/>
    <w:rsid w:val="284C4B32"/>
    <w:rsid w:val="284D0EA4"/>
    <w:rsid w:val="28520636"/>
    <w:rsid w:val="28565FE4"/>
    <w:rsid w:val="285707E6"/>
    <w:rsid w:val="28592D6C"/>
    <w:rsid w:val="285F36CB"/>
    <w:rsid w:val="286214A8"/>
    <w:rsid w:val="286715E1"/>
    <w:rsid w:val="286914E7"/>
    <w:rsid w:val="28700869"/>
    <w:rsid w:val="28733B36"/>
    <w:rsid w:val="2882120E"/>
    <w:rsid w:val="2886448A"/>
    <w:rsid w:val="28881BDD"/>
    <w:rsid w:val="288B2B02"/>
    <w:rsid w:val="288F542E"/>
    <w:rsid w:val="28974EF1"/>
    <w:rsid w:val="2898046B"/>
    <w:rsid w:val="289A7D66"/>
    <w:rsid w:val="28A20FA9"/>
    <w:rsid w:val="28AA2139"/>
    <w:rsid w:val="28AA29A9"/>
    <w:rsid w:val="28AF4EC4"/>
    <w:rsid w:val="28C17634"/>
    <w:rsid w:val="28C459EB"/>
    <w:rsid w:val="28C5692B"/>
    <w:rsid w:val="28CF6423"/>
    <w:rsid w:val="28D34E2F"/>
    <w:rsid w:val="28D86DBC"/>
    <w:rsid w:val="28DB23E5"/>
    <w:rsid w:val="28E538B9"/>
    <w:rsid w:val="28F31D4F"/>
    <w:rsid w:val="28F463E0"/>
    <w:rsid w:val="28F7563D"/>
    <w:rsid w:val="28FB44D6"/>
    <w:rsid w:val="2901329A"/>
    <w:rsid w:val="29045B2F"/>
    <w:rsid w:val="290C4699"/>
    <w:rsid w:val="290E201D"/>
    <w:rsid w:val="291175A9"/>
    <w:rsid w:val="291458F7"/>
    <w:rsid w:val="291F1157"/>
    <w:rsid w:val="292672F1"/>
    <w:rsid w:val="292D7A53"/>
    <w:rsid w:val="2935673C"/>
    <w:rsid w:val="294837F2"/>
    <w:rsid w:val="29485E0E"/>
    <w:rsid w:val="295D00D2"/>
    <w:rsid w:val="2962286D"/>
    <w:rsid w:val="296B731F"/>
    <w:rsid w:val="29735CC6"/>
    <w:rsid w:val="297843D7"/>
    <w:rsid w:val="297B25F8"/>
    <w:rsid w:val="297E5982"/>
    <w:rsid w:val="297F1C71"/>
    <w:rsid w:val="29893098"/>
    <w:rsid w:val="298E52C4"/>
    <w:rsid w:val="299550FB"/>
    <w:rsid w:val="2996455E"/>
    <w:rsid w:val="299A0710"/>
    <w:rsid w:val="29A42CE5"/>
    <w:rsid w:val="29A56F9F"/>
    <w:rsid w:val="29A7021E"/>
    <w:rsid w:val="29AC26A7"/>
    <w:rsid w:val="29B21CC5"/>
    <w:rsid w:val="29B475EC"/>
    <w:rsid w:val="29C70471"/>
    <w:rsid w:val="29D31BA8"/>
    <w:rsid w:val="29E2016D"/>
    <w:rsid w:val="29E91D93"/>
    <w:rsid w:val="2A0170AC"/>
    <w:rsid w:val="2A165475"/>
    <w:rsid w:val="2A1C549D"/>
    <w:rsid w:val="2A256F3B"/>
    <w:rsid w:val="2A370ABE"/>
    <w:rsid w:val="2A3E529F"/>
    <w:rsid w:val="2A4261CD"/>
    <w:rsid w:val="2A467D32"/>
    <w:rsid w:val="2A4E0A4E"/>
    <w:rsid w:val="2A584251"/>
    <w:rsid w:val="2A5D507B"/>
    <w:rsid w:val="2A5F7734"/>
    <w:rsid w:val="2A753B41"/>
    <w:rsid w:val="2A755AD7"/>
    <w:rsid w:val="2A7C19A5"/>
    <w:rsid w:val="2A7F00A7"/>
    <w:rsid w:val="2A7F3244"/>
    <w:rsid w:val="2A807AD5"/>
    <w:rsid w:val="2A897FDE"/>
    <w:rsid w:val="2A8B0C1E"/>
    <w:rsid w:val="2A8D7448"/>
    <w:rsid w:val="2A932B48"/>
    <w:rsid w:val="2A933BA3"/>
    <w:rsid w:val="2A984D50"/>
    <w:rsid w:val="2A994305"/>
    <w:rsid w:val="2AA46FE2"/>
    <w:rsid w:val="2AA604D8"/>
    <w:rsid w:val="2AB23C68"/>
    <w:rsid w:val="2AB96756"/>
    <w:rsid w:val="2ACC3156"/>
    <w:rsid w:val="2AD5714A"/>
    <w:rsid w:val="2AE431B2"/>
    <w:rsid w:val="2AE7718C"/>
    <w:rsid w:val="2AE85BFB"/>
    <w:rsid w:val="2AE86FAA"/>
    <w:rsid w:val="2AEA4B61"/>
    <w:rsid w:val="2AED22A5"/>
    <w:rsid w:val="2AF53506"/>
    <w:rsid w:val="2AF87AE6"/>
    <w:rsid w:val="2AFB125F"/>
    <w:rsid w:val="2AFF0B3A"/>
    <w:rsid w:val="2B013CF4"/>
    <w:rsid w:val="2B084E73"/>
    <w:rsid w:val="2B0A3199"/>
    <w:rsid w:val="2B0F153B"/>
    <w:rsid w:val="2B123D82"/>
    <w:rsid w:val="2B1404BD"/>
    <w:rsid w:val="2B1A7704"/>
    <w:rsid w:val="2B1B499F"/>
    <w:rsid w:val="2B213062"/>
    <w:rsid w:val="2B252957"/>
    <w:rsid w:val="2B26384F"/>
    <w:rsid w:val="2B295402"/>
    <w:rsid w:val="2B2C517A"/>
    <w:rsid w:val="2B311B81"/>
    <w:rsid w:val="2B3330AE"/>
    <w:rsid w:val="2B384D75"/>
    <w:rsid w:val="2B395918"/>
    <w:rsid w:val="2B413B51"/>
    <w:rsid w:val="2B544E32"/>
    <w:rsid w:val="2B571037"/>
    <w:rsid w:val="2B583793"/>
    <w:rsid w:val="2B5925CA"/>
    <w:rsid w:val="2B5A5DE6"/>
    <w:rsid w:val="2B5B323B"/>
    <w:rsid w:val="2B6571B2"/>
    <w:rsid w:val="2B6C06E8"/>
    <w:rsid w:val="2B6F6304"/>
    <w:rsid w:val="2B7A5D28"/>
    <w:rsid w:val="2B7F5FD7"/>
    <w:rsid w:val="2B8151CA"/>
    <w:rsid w:val="2B8A1EA0"/>
    <w:rsid w:val="2B8A5E6E"/>
    <w:rsid w:val="2BA82862"/>
    <w:rsid w:val="2BAC1606"/>
    <w:rsid w:val="2BB37649"/>
    <w:rsid w:val="2BB42415"/>
    <w:rsid w:val="2BB65248"/>
    <w:rsid w:val="2BB822A7"/>
    <w:rsid w:val="2BBD2C80"/>
    <w:rsid w:val="2BC02C66"/>
    <w:rsid w:val="2BC1004E"/>
    <w:rsid w:val="2BCB7A4E"/>
    <w:rsid w:val="2BCD61A8"/>
    <w:rsid w:val="2BD223DC"/>
    <w:rsid w:val="2BD25787"/>
    <w:rsid w:val="2BD55931"/>
    <w:rsid w:val="2BE7611E"/>
    <w:rsid w:val="2BE94E19"/>
    <w:rsid w:val="2BEB1A8A"/>
    <w:rsid w:val="2BEC2295"/>
    <w:rsid w:val="2BEF14DE"/>
    <w:rsid w:val="2BF27461"/>
    <w:rsid w:val="2BF51A0F"/>
    <w:rsid w:val="2BFD08C4"/>
    <w:rsid w:val="2C055387"/>
    <w:rsid w:val="2C0623C5"/>
    <w:rsid w:val="2C07120E"/>
    <w:rsid w:val="2C0C0B07"/>
    <w:rsid w:val="2C1125C1"/>
    <w:rsid w:val="2C161986"/>
    <w:rsid w:val="2C1627B6"/>
    <w:rsid w:val="2C175F8A"/>
    <w:rsid w:val="2C186CD6"/>
    <w:rsid w:val="2C1A1AEF"/>
    <w:rsid w:val="2C2E2294"/>
    <w:rsid w:val="2C31196C"/>
    <w:rsid w:val="2C3D7F61"/>
    <w:rsid w:val="2C42138C"/>
    <w:rsid w:val="2C47345C"/>
    <w:rsid w:val="2C5F0DF2"/>
    <w:rsid w:val="2C5F3333"/>
    <w:rsid w:val="2C616936"/>
    <w:rsid w:val="2C64742D"/>
    <w:rsid w:val="2C6E1245"/>
    <w:rsid w:val="2C7238CB"/>
    <w:rsid w:val="2C7843EE"/>
    <w:rsid w:val="2C7A0C19"/>
    <w:rsid w:val="2C7A3CC3"/>
    <w:rsid w:val="2C807883"/>
    <w:rsid w:val="2C983333"/>
    <w:rsid w:val="2C9A4907"/>
    <w:rsid w:val="2CA73D56"/>
    <w:rsid w:val="2CAA2A60"/>
    <w:rsid w:val="2CB700F0"/>
    <w:rsid w:val="2CBB1B1D"/>
    <w:rsid w:val="2CBE6DD2"/>
    <w:rsid w:val="2CBF3182"/>
    <w:rsid w:val="2CC413E2"/>
    <w:rsid w:val="2CC95FB1"/>
    <w:rsid w:val="2CC96C87"/>
    <w:rsid w:val="2CCF5A74"/>
    <w:rsid w:val="2CD21D51"/>
    <w:rsid w:val="2CF33A75"/>
    <w:rsid w:val="2CF5369D"/>
    <w:rsid w:val="2CF972DD"/>
    <w:rsid w:val="2CFB1A93"/>
    <w:rsid w:val="2D0204E4"/>
    <w:rsid w:val="2D043AB6"/>
    <w:rsid w:val="2D070A1A"/>
    <w:rsid w:val="2D077F81"/>
    <w:rsid w:val="2D112F7E"/>
    <w:rsid w:val="2D2836D2"/>
    <w:rsid w:val="2D29159E"/>
    <w:rsid w:val="2D2A14A3"/>
    <w:rsid w:val="2D2C3818"/>
    <w:rsid w:val="2D330825"/>
    <w:rsid w:val="2D332906"/>
    <w:rsid w:val="2D3642EE"/>
    <w:rsid w:val="2D4179CC"/>
    <w:rsid w:val="2D464245"/>
    <w:rsid w:val="2D4A4D2A"/>
    <w:rsid w:val="2D4E7C8C"/>
    <w:rsid w:val="2D50024A"/>
    <w:rsid w:val="2D6334E2"/>
    <w:rsid w:val="2D6513BF"/>
    <w:rsid w:val="2D6C5C4E"/>
    <w:rsid w:val="2D6D701B"/>
    <w:rsid w:val="2D6E7594"/>
    <w:rsid w:val="2D736897"/>
    <w:rsid w:val="2D771BD6"/>
    <w:rsid w:val="2D7C1CBC"/>
    <w:rsid w:val="2D7F0073"/>
    <w:rsid w:val="2D7F0A19"/>
    <w:rsid w:val="2D8354A9"/>
    <w:rsid w:val="2D8B17F7"/>
    <w:rsid w:val="2D8F2EC8"/>
    <w:rsid w:val="2D954B15"/>
    <w:rsid w:val="2D9729AD"/>
    <w:rsid w:val="2D98579B"/>
    <w:rsid w:val="2D9E000B"/>
    <w:rsid w:val="2DA0018B"/>
    <w:rsid w:val="2DAA35F3"/>
    <w:rsid w:val="2DC00077"/>
    <w:rsid w:val="2DC47B75"/>
    <w:rsid w:val="2DCD78C7"/>
    <w:rsid w:val="2DCF5CFD"/>
    <w:rsid w:val="2DD34127"/>
    <w:rsid w:val="2DD76C09"/>
    <w:rsid w:val="2DE03FF9"/>
    <w:rsid w:val="2DE118D6"/>
    <w:rsid w:val="2DE55BFE"/>
    <w:rsid w:val="2DE749D0"/>
    <w:rsid w:val="2DE96B75"/>
    <w:rsid w:val="2DEE32C4"/>
    <w:rsid w:val="2DF160E0"/>
    <w:rsid w:val="2DF24BA0"/>
    <w:rsid w:val="2DF60D4A"/>
    <w:rsid w:val="2DF74829"/>
    <w:rsid w:val="2DF811B8"/>
    <w:rsid w:val="2E063581"/>
    <w:rsid w:val="2E07699B"/>
    <w:rsid w:val="2E09140F"/>
    <w:rsid w:val="2E0B788F"/>
    <w:rsid w:val="2E0D3348"/>
    <w:rsid w:val="2E0F6DDB"/>
    <w:rsid w:val="2E100418"/>
    <w:rsid w:val="2E117F26"/>
    <w:rsid w:val="2E12312C"/>
    <w:rsid w:val="2E2A3CE5"/>
    <w:rsid w:val="2E2B30C4"/>
    <w:rsid w:val="2E2E56E6"/>
    <w:rsid w:val="2E2F6D2F"/>
    <w:rsid w:val="2E356943"/>
    <w:rsid w:val="2E3D4B5C"/>
    <w:rsid w:val="2E5004EA"/>
    <w:rsid w:val="2E504D66"/>
    <w:rsid w:val="2E620F20"/>
    <w:rsid w:val="2E623BE1"/>
    <w:rsid w:val="2E63375A"/>
    <w:rsid w:val="2E6461EF"/>
    <w:rsid w:val="2E684B29"/>
    <w:rsid w:val="2E6D586C"/>
    <w:rsid w:val="2E6F5850"/>
    <w:rsid w:val="2E7637CA"/>
    <w:rsid w:val="2E792EEA"/>
    <w:rsid w:val="2E7A3BD9"/>
    <w:rsid w:val="2E7B0EC8"/>
    <w:rsid w:val="2E7B5AD6"/>
    <w:rsid w:val="2E7F7CB6"/>
    <w:rsid w:val="2E8A573C"/>
    <w:rsid w:val="2E8A76DC"/>
    <w:rsid w:val="2E8D4B50"/>
    <w:rsid w:val="2E8F2FC6"/>
    <w:rsid w:val="2E976EDC"/>
    <w:rsid w:val="2E9C4DDE"/>
    <w:rsid w:val="2EB73A71"/>
    <w:rsid w:val="2EBE762F"/>
    <w:rsid w:val="2EC17D7C"/>
    <w:rsid w:val="2EC5279E"/>
    <w:rsid w:val="2EC643F0"/>
    <w:rsid w:val="2EDA3568"/>
    <w:rsid w:val="2EDA6985"/>
    <w:rsid w:val="2EDB6DBC"/>
    <w:rsid w:val="2EE04780"/>
    <w:rsid w:val="2EE45B77"/>
    <w:rsid w:val="2EEC7263"/>
    <w:rsid w:val="2EF51FEB"/>
    <w:rsid w:val="2EFC3C85"/>
    <w:rsid w:val="2F013F9D"/>
    <w:rsid w:val="2F087CAC"/>
    <w:rsid w:val="2F155F25"/>
    <w:rsid w:val="2F1672DE"/>
    <w:rsid w:val="2F286E8F"/>
    <w:rsid w:val="2F294C45"/>
    <w:rsid w:val="2F2A0095"/>
    <w:rsid w:val="2F310135"/>
    <w:rsid w:val="2F3242E7"/>
    <w:rsid w:val="2F326AD7"/>
    <w:rsid w:val="2F38003B"/>
    <w:rsid w:val="2F3A6C5E"/>
    <w:rsid w:val="2F44342B"/>
    <w:rsid w:val="2F464330"/>
    <w:rsid w:val="2F481420"/>
    <w:rsid w:val="2F590670"/>
    <w:rsid w:val="2F6346FF"/>
    <w:rsid w:val="2F6366AC"/>
    <w:rsid w:val="2F651E4E"/>
    <w:rsid w:val="2F710B77"/>
    <w:rsid w:val="2F7E1D1C"/>
    <w:rsid w:val="2F882B9B"/>
    <w:rsid w:val="2F8E4E49"/>
    <w:rsid w:val="2F90787C"/>
    <w:rsid w:val="2FA24604"/>
    <w:rsid w:val="2FA57CD1"/>
    <w:rsid w:val="2FA92A30"/>
    <w:rsid w:val="2FA92EAB"/>
    <w:rsid w:val="2FAA30C6"/>
    <w:rsid w:val="2FAE0D43"/>
    <w:rsid w:val="2FB50062"/>
    <w:rsid w:val="2FB87D95"/>
    <w:rsid w:val="2FC73D6E"/>
    <w:rsid w:val="2FCA2075"/>
    <w:rsid w:val="2FD63906"/>
    <w:rsid w:val="2FD972AD"/>
    <w:rsid w:val="2FE01154"/>
    <w:rsid w:val="2FE04EFB"/>
    <w:rsid w:val="2FE07C6E"/>
    <w:rsid w:val="2FE52DA0"/>
    <w:rsid w:val="2FEB4511"/>
    <w:rsid w:val="2FED2A41"/>
    <w:rsid w:val="2FF169AF"/>
    <w:rsid w:val="2FF3611E"/>
    <w:rsid w:val="2FFD1107"/>
    <w:rsid w:val="2FFD1B52"/>
    <w:rsid w:val="2FFE4C0B"/>
    <w:rsid w:val="30007DA5"/>
    <w:rsid w:val="300246FB"/>
    <w:rsid w:val="30103288"/>
    <w:rsid w:val="301B1EF3"/>
    <w:rsid w:val="3025663B"/>
    <w:rsid w:val="30275D16"/>
    <w:rsid w:val="302855A9"/>
    <w:rsid w:val="302877F0"/>
    <w:rsid w:val="302A47F7"/>
    <w:rsid w:val="302F493E"/>
    <w:rsid w:val="303B32CA"/>
    <w:rsid w:val="303D105A"/>
    <w:rsid w:val="303F2919"/>
    <w:rsid w:val="30403475"/>
    <w:rsid w:val="30420F9B"/>
    <w:rsid w:val="30473907"/>
    <w:rsid w:val="30487D28"/>
    <w:rsid w:val="304E377B"/>
    <w:rsid w:val="305215E6"/>
    <w:rsid w:val="3053006C"/>
    <w:rsid w:val="30621303"/>
    <w:rsid w:val="30667A88"/>
    <w:rsid w:val="30677645"/>
    <w:rsid w:val="30697DB0"/>
    <w:rsid w:val="307027F0"/>
    <w:rsid w:val="307A039E"/>
    <w:rsid w:val="30842714"/>
    <w:rsid w:val="30965933"/>
    <w:rsid w:val="3097695B"/>
    <w:rsid w:val="309D5F8B"/>
    <w:rsid w:val="30A12166"/>
    <w:rsid w:val="30A44754"/>
    <w:rsid w:val="30A92176"/>
    <w:rsid w:val="30AA7324"/>
    <w:rsid w:val="30AD3A67"/>
    <w:rsid w:val="30AD499B"/>
    <w:rsid w:val="30B82D56"/>
    <w:rsid w:val="30C23E8A"/>
    <w:rsid w:val="30C379C0"/>
    <w:rsid w:val="30C56DCA"/>
    <w:rsid w:val="30CC5827"/>
    <w:rsid w:val="30D36097"/>
    <w:rsid w:val="30D605AE"/>
    <w:rsid w:val="30E36B98"/>
    <w:rsid w:val="30E958BB"/>
    <w:rsid w:val="30F3714A"/>
    <w:rsid w:val="30F405F4"/>
    <w:rsid w:val="30F54FA4"/>
    <w:rsid w:val="30F559A0"/>
    <w:rsid w:val="30FD07EF"/>
    <w:rsid w:val="310622A1"/>
    <w:rsid w:val="310E0E7D"/>
    <w:rsid w:val="31172DC0"/>
    <w:rsid w:val="311B4D71"/>
    <w:rsid w:val="311C17EC"/>
    <w:rsid w:val="312F4132"/>
    <w:rsid w:val="3130258A"/>
    <w:rsid w:val="313034AA"/>
    <w:rsid w:val="31346121"/>
    <w:rsid w:val="313620D6"/>
    <w:rsid w:val="313902B1"/>
    <w:rsid w:val="313E74D6"/>
    <w:rsid w:val="31405230"/>
    <w:rsid w:val="3165056F"/>
    <w:rsid w:val="316E1BA9"/>
    <w:rsid w:val="31752179"/>
    <w:rsid w:val="317C0EDE"/>
    <w:rsid w:val="317C724B"/>
    <w:rsid w:val="317D198B"/>
    <w:rsid w:val="31816A40"/>
    <w:rsid w:val="31822B8C"/>
    <w:rsid w:val="31823CF4"/>
    <w:rsid w:val="3183403E"/>
    <w:rsid w:val="31845EEE"/>
    <w:rsid w:val="319B67AD"/>
    <w:rsid w:val="319D3D66"/>
    <w:rsid w:val="319F09CA"/>
    <w:rsid w:val="31AB7396"/>
    <w:rsid w:val="31CA45A8"/>
    <w:rsid w:val="31D11C69"/>
    <w:rsid w:val="31D3512D"/>
    <w:rsid w:val="31DC3FB0"/>
    <w:rsid w:val="31E06CBE"/>
    <w:rsid w:val="31E167EA"/>
    <w:rsid w:val="31F40F98"/>
    <w:rsid w:val="31F47C1D"/>
    <w:rsid w:val="31F960C4"/>
    <w:rsid w:val="31FA277A"/>
    <w:rsid w:val="320B6605"/>
    <w:rsid w:val="320E4C55"/>
    <w:rsid w:val="321502FE"/>
    <w:rsid w:val="3215068A"/>
    <w:rsid w:val="32160A2B"/>
    <w:rsid w:val="32185EDE"/>
    <w:rsid w:val="321A63B7"/>
    <w:rsid w:val="321E10B9"/>
    <w:rsid w:val="3220530C"/>
    <w:rsid w:val="322220B5"/>
    <w:rsid w:val="32255891"/>
    <w:rsid w:val="322A400C"/>
    <w:rsid w:val="32397B0D"/>
    <w:rsid w:val="324A639A"/>
    <w:rsid w:val="324D19AD"/>
    <w:rsid w:val="32513718"/>
    <w:rsid w:val="32565A52"/>
    <w:rsid w:val="325B6344"/>
    <w:rsid w:val="32671142"/>
    <w:rsid w:val="326E20AB"/>
    <w:rsid w:val="32700042"/>
    <w:rsid w:val="327837DF"/>
    <w:rsid w:val="32791CC4"/>
    <w:rsid w:val="32850221"/>
    <w:rsid w:val="32851613"/>
    <w:rsid w:val="329C0D99"/>
    <w:rsid w:val="32A647DA"/>
    <w:rsid w:val="32AA2E28"/>
    <w:rsid w:val="32AC5F10"/>
    <w:rsid w:val="32AF490E"/>
    <w:rsid w:val="32B009DE"/>
    <w:rsid w:val="32B06690"/>
    <w:rsid w:val="32B80E85"/>
    <w:rsid w:val="32C3150B"/>
    <w:rsid w:val="32C71332"/>
    <w:rsid w:val="32C80C7B"/>
    <w:rsid w:val="32CB3EDA"/>
    <w:rsid w:val="32CC7242"/>
    <w:rsid w:val="32CF7659"/>
    <w:rsid w:val="32D075CC"/>
    <w:rsid w:val="32E91B5D"/>
    <w:rsid w:val="32ED3B98"/>
    <w:rsid w:val="32F42DDB"/>
    <w:rsid w:val="32F8281B"/>
    <w:rsid w:val="32F9367A"/>
    <w:rsid w:val="32FF2EE8"/>
    <w:rsid w:val="33044978"/>
    <w:rsid w:val="330E1609"/>
    <w:rsid w:val="33105381"/>
    <w:rsid w:val="33192395"/>
    <w:rsid w:val="331D08E7"/>
    <w:rsid w:val="332B28ED"/>
    <w:rsid w:val="332B7C19"/>
    <w:rsid w:val="332E6EF4"/>
    <w:rsid w:val="332F21DB"/>
    <w:rsid w:val="333504CC"/>
    <w:rsid w:val="3335572E"/>
    <w:rsid w:val="33391EF4"/>
    <w:rsid w:val="333C5CC2"/>
    <w:rsid w:val="3341447E"/>
    <w:rsid w:val="3348282F"/>
    <w:rsid w:val="334E421C"/>
    <w:rsid w:val="335B78D3"/>
    <w:rsid w:val="335F3539"/>
    <w:rsid w:val="3361514A"/>
    <w:rsid w:val="336B7771"/>
    <w:rsid w:val="336D5381"/>
    <w:rsid w:val="337338BF"/>
    <w:rsid w:val="33822C22"/>
    <w:rsid w:val="338D077F"/>
    <w:rsid w:val="3390565C"/>
    <w:rsid w:val="3391496F"/>
    <w:rsid w:val="33A1422B"/>
    <w:rsid w:val="33A16D7F"/>
    <w:rsid w:val="33AB52CC"/>
    <w:rsid w:val="33AC2366"/>
    <w:rsid w:val="33B1555C"/>
    <w:rsid w:val="33B221AD"/>
    <w:rsid w:val="33B75AEE"/>
    <w:rsid w:val="33C61EAB"/>
    <w:rsid w:val="33CD4E45"/>
    <w:rsid w:val="33CF529C"/>
    <w:rsid w:val="33D10827"/>
    <w:rsid w:val="33D25F46"/>
    <w:rsid w:val="33D26ADA"/>
    <w:rsid w:val="33D740F0"/>
    <w:rsid w:val="33D82A47"/>
    <w:rsid w:val="33E5078D"/>
    <w:rsid w:val="33E87D94"/>
    <w:rsid w:val="33E90420"/>
    <w:rsid w:val="33EC34B5"/>
    <w:rsid w:val="33F702BA"/>
    <w:rsid w:val="340160C2"/>
    <w:rsid w:val="34142C4F"/>
    <w:rsid w:val="34166608"/>
    <w:rsid w:val="341E1D09"/>
    <w:rsid w:val="34287CA9"/>
    <w:rsid w:val="342A5239"/>
    <w:rsid w:val="343105F8"/>
    <w:rsid w:val="34312280"/>
    <w:rsid w:val="34363F6C"/>
    <w:rsid w:val="343F0918"/>
    <w:rsid w:val="344277BC"/>
    <w:rsid w:val="3443661F"/>
    <w:rsid w:val="3447358C"/>
    <w:rsid w:val="344921A3"/>
    <w:rsid w:val="344C063B"/>
    <w:rsid w:val="344F3C87"/>
    <w:rsid w:val="34503BC2"/>
    <w:rsid w:val="3455325A"/>
    <w:rsid w:val="34573BFE"/>
    <w:rsid w:val="345B4DE2"/>
    <w:rsid w:val="346135E4"/>
    <w:rsid w:val="34621BC6"/>
    <w:rsid w:val="346E47A9"/>
    <w:rsid w:val="34706117"/>
    <w:rsid w:val="34727588"/>
    <w:rsid w:val="347425C8"/>
    <w:rsid w:val="347F2305"/>
    <w:rsid w:val="34825E0A"/>
    <w:rsid w:val="34890699"/>
    <w:rsid w:val="348A5967"/>
    <w:rsid w:val="348B6FC3"/>
    <w:rsid w:val="34944293"/>
    <w:rsid w:val="34945E6C"/>
    <w:rsid w:val="34992347"/>
    <w:rsid w:val="349B7F45"/>
    <w:rsid w:val="349C3739"/>
    <w:rsid w:val="349F6C9E"/>
    <w:rsid w:val="34A0570C"/>
    <w:rsid w:val="34A55F9D"/>
    <w:rsid w:val="34A570CB"/>
    <w:rsid w:val="34B443AA"/>
    <w:rsid w:val="34BB5B73"/>
    <w:rsid w:val="34BE76F7"/>
    <w:rsid w:val="34C064B9"/>
    <w:rsid w:val="34C557AB"/>
    <w:rsid w:val="34C747A1"/>
    <w:rsid w:val="34CD333A"/>
    <w:rsid w:val="34D153C0"/>
    <w:rsid w:val="34D449B3"/>
    <w:rsid w:val="34E7122E"/>
    <w:rsid w:val="34EA406D"/>
    <w:rsid w:val="34EE2100"/>
    <w:rsid w:val="34F13E83"/>
    <w:rsid w:val="34F21601"/>
    <w:rsid w:val="34F24E7E"/>
    <w:rsid w:val="34F6201E"/>
    <w:rsid w:val="35150A2C"/>
    <w:rsid w:val="35164976"/>
    <w:rsid w:val="35172201"/>
    <w:rsid w:val="351C3180"/>
    <w:rsid w:val="351E4A64"/>
    <w:rsid w:val="35211249"/>
    <w:rsid w:val="353719BF"/>
    <w:rsid w:val="353F5204"/>
    <w:rsid w:val="35412085"/>
    <w:rsid w:val="35430AD9"/>
    <w:rsid w:val="354332C6"/>
    <w:rsid w:val="354D6418"/>
    <w:rsid w:val="35515CD9"/>
    <w:rsid w:val="355574F6"/>
    <w:rsid w:val="355A67B6"/>
    <w:rsid w:val="355F3EB4"/>
    <w:rsid w:val="35785E21"/>
    <w:rsid w:val="357A11D7"/>
    <w:rsid w:val="357E0820"/>
    <w:rsid w:val="35844F49"/>
    <w:rsid w:val="358838F4"/>
    <w:rsid w:val="358B6440"/>
    <w:rsid w:val="358D5606"/>
    <w:rsid w:val="35902019"/>
    <w:rsid w:val="359E056B"/>
    <w:rsid w:val="359F6A81"/>
    <w:rsid w:val="35BC34CC"/>
    <w:rsid w:val="35C1015C"/>
    <w:rsid w:val="35C506A4"/>
    <w:rsid w:val="35C5439C"/>
    <w:rsid w:val="35CD7559"/>
    <w:rsid w:val="35D56CB4"/>
    <w:rsid w:val="35D655F5"/>
    <w:rsid w:val="35E61D23"/>
    <w:rsid w:val="35EE423C"/>
    <w:rsid w:val="35F01E35"/>
    <w:rsid w:val="35F04FF6"/>
    <w:rsid w:val="35F47DCC"/>
    <w:rsid w:val="35F745D6"/>
    <w:rsid w:val="35F9731F"/>
    <w:rsid w:val="3601296C"/>
    <w:rsid w:val="36087EA5"/>
    <w:rsid w:val="360C09B0"/>
    <w:rsid w:val="360F590B"/>
    <w:rsid w:val="36104126"/>
    <w:rsid w:val="36153DEA"/>
    <w:rsid w:val="361753B0"/>
    <w:rsid w:val="361C6A78"/>
    <w:rsid w:val="361E5532"/>
    <w:rsid w:val="36242C4C"/>
    <w:rsid w:val="36252C37"/>
    <w:rsid w:val="36293EA3"/>
    <w:rsid w:val="362949F9"/>
    <w:rsid w:val="362F123C"/>
    <w:rsid w:val="362F228B"/>
    <w:rsid w:val="36341386"/>
    <w:rsid w:val="3641499D"/>
    <w:rsid w:val="364273AB"/>
    <w:rsid w:val="36480096"/>
    <w:rsid w:val="364E1A8D"/>
    <w:rsid w:val="36515F02"/>
    <w:rsid w:val="3652559C"/>
    <w:rsid w:val="3653022A"/>
    <w:rsid w:val="365A167E"/>
    <w:rsid w:val="365D0C8B"/>
    <w:rsid w:val="365F76A0"/>
    <w:rsid w:val="365F77CF"/>
    <w:rsid w:val="36616CCC"/>
    <w:rsid w:val="36666DDD"/>
    <w:rsid w:val="366B5E8C"/>
    <w:rsid w:val="36727C9A"/>
    <w:rsid w:val="36730100"/>
    <w:rsid w:val="36873CC3"/>
    <w:rsid w:val="36892FFB"/>
    <w:rsid w:val="36906807"/>
    <w:rsid w:val="369D5193"/>
    <w:rsid w:val="36A17B7C"/>
    <w:rsid w:val="36A42362"/>
    <w:rsid w:val="36A6615F"/>
    <w:rsid w:val="36A86AA6"/>
    <w:rsid w:val="36C002C8"/>
    <w:rsid w:val="36C94C38"/>
    <w:rsid w:val="36D02926"/>
    <w:rsid w:val="36D918CE"/>
    <w:rsid w:val="36DE6396"/>
    <w:rsid w:val="36E22979"/>
    <w:rsid w:val="36F35D72"/>
    <w:rsid w:val="37053951"/>
    <w:rsid w:val="37060F75"/>
    <w:rsid w:val="37076A9B"/>
    <w:rsid w:val="370926C4"/>
    <w:rsid w:val="370A5B3C"/>
    <w:rsid w:val="3710594F"/>
    <w:rsid w:val="37146EE0"/>
    <w:rsid w:val="37266CF4"/>
    <w:rsid w:val="3727708F"/>
    <w:rsid w:val="372B2E07"/>
    <w:rsid w:val="3734309E"/>
    <w:rsid w:val="37377380"/>
    <w:rsid w:val="373D17EF"/>
    <w:rsid w:val="373F32DB"/>
    <w:rsid w:val="373F7EC3"/>
    <w:rsid w:val="37480E2E"/>
    <w:rsid w:val="374D28F1"/>
    <w:rsid w:val="37500E75"/>
    <w:rsid w:val="375326D6"/>
    <w:rsid w:val="37551A4A"/>
    <w:rsid w:val="37557806"/>
    <w:rsid w:val="37565F83"/>
    <w:rsid w:val="3764597C"/>
    <w:rsid w:val="37647E82"/>
    <w:rsid w:val="3765089F"/>
    <w:rsid w:val="376511E5"/>
    <w:rsid w:val="37661C1C"/>
    <w:rsid w:val="376A33F2"/>
    <w:rsid w:val="376A786A"/>
    <w:rsid w:val="37711C99"/>
    <w:rsid w:val="37733DBD"/>
    <w:rsid w:val="378D3D30"/>
    <w:rsid w:val="378D4167"/>
    <w:rsid w:val="378E02F2"/>
    <w:rsid w:val="3792586C"/>
    <w:rsid w:val="37A305D8"/>
    <w:rsid w:val="37A97E73"/>
    <w:rsid w:val="37AA15AE"/>
    <w:rsid w:val="37B723AF"/>
    <w:rsid w:val="37B9513C"/>
    <w:rsid w:val="37BA1D5F"/>
    <w:rsid w:val="37BF3E37"/>
    <w:rsid w:val="37C30C14"/>
    <w:rsid w:val="37C47E91"/>
    <w:rsid w:val="37CD6F8F"/>
    <w:rsid w:val="37D82AEA"/>
    <w:rsid w:val="37DB33F9"/>
    <w:rsid w:val="37E50A8E"/>
    <w:rsid w:val="37FD17A7"/>
    <w:rsid w:val="37FE1C4C"/>
    <w:rsid w:val="38013108"/>
    <w:rsid w:val="38030A26"/>
    <w:rsid w:val="380B2608"/>
    <w:rsid w:val="38156F95"/>
    <w:rsid w:val="381C00C8"/>
    <w:rsid w:val="382A46B7"/>
    <w:rsid w:val="382E6895"/>
    <w:rsid w:val="384C3CA2"/>
    <w:rsid w:val="384D6FBD"/>
    <w:rsid w:val="385B7AD9"/>
    <w:rsid w:val="38666CA2"/>
    <w:rsid w:val="386926C1"/>
    <w:rsid w:val="386E0533"/>
    <w:rsid w:val="386E19E9"/>
    <w:rsid w:val="387409D0"/>
    <w:rsid w:val="38802F48"/>
    <w:rsid w:val="388257A6"/>
    <w:rsid w:val="388667B9"/>
    <w:rsid w:val="388A4429"/>
    <w:rsid w:val="388C6226"/>
    <w:rsid w:val="389362FC"/>
    <w:rsid w:val="38951917"/>
    <w:rsid w:val="38961B7F"/>
    <w:rsid w:val="389A0FDE"/>
    <w:rsid w:val="38A038B5"/>
    <w:rsid w:val="38A5485A"/>
    <w:rsid w:val="38A95DBD"/>
    <w:rsid w:val="38AB467F"/>
    <w:rsid w:val="38AC0F24"/>
    <w:rsid w:val="38B02007"/>
    <w:rsid w:val="38B130DD"/>
    <w:rsid w:val="38B2661C"/>
    <w:rsid w:val="38B34D79"/>
    <w:rsid w:val="38B83983"/>
    <w:rsid w:val="38BB5D8F"/>
    <w:rsid w:val="38BE4B80"/>
    <w:rsid w:val="38C43651"/>
    <w:rsid w:val="38D062BC"/>
    <w:rsid w:val="38D16BAC"/>
    <w:rsid w:val="38D5618A"/>
    <w:rsid w:val="38E2656A"/>
    <w:rsid w:val="38E770F9"/>
    <w:rsid w:val="38F84258"/>
    <w:rsid w:val="38FB5039"/>
    <w:rsid w:val="38FD4910"/>
    <w:rsid w:val="39194863"/>
    <w:rsid w:val="391B7555"/>
    <w:rsid w:val="39210241"/>
    <w:rsid w:val="392431DD"/>
    <w:rsid w:val="39250638"/>
    <w:rsid w:val="3927669B"/>
    <w:rsid w:val="39282C3F"/>
    <w:rsid w:val="39287583"/>
    <w:rsid w:val="393516FD"/>
    <w:rsid w:val="3936203F"/>
    <w:rsid w:val="39377FE0"/>
    <w:rsid w:val="393C32BF"/>
    <w:rsid w:val="39452567"/>
    <w:rsid w:val="39465B31"/>
    <w:rsid w:val="3949339B"/>
    <w:rsid w:val="394D4967"/>
    <w:rsid w:val="395213BF"/>
    <w:rsid w:val="39587FFC"/>
    <w:rsid w:val="395F49D2"/>
    <w:rsid w:val="39633132"/>
    <w:rsid w:val="396D319B"/>
    <w:rsid w:val="396E010A"/>
    <w:rsid w:val="396F4EF8"/>
    <w:rsid w:val="396F5908"/>
    <w:rsid w:val="39756BD2"/>
    <w:rsid w:val="397734A4"/>
    <w:rsid w:val="39776D6F"/>
    <w:rsid w:val="397C376D"/>
    <w:rsid w:val="39825504"/>
    <w:rsid w:val="39826A0B"/>
    <w:rsid w:val="398430E0"/>
    <w:rsid w:val="3991350E"/>
    <w:rsid w:val="39A22AAB"/>
    <w:rsid w:val="39A903AD"/>
    <w:rsid w:val="39AD0ADB"/>
    <w:rsid w:val="39B24FF9"/>
    <w:rsid w:val="39BA7DF9"/>
    <w:rsid w:val="39C33146"/>
    <w:rsid w:val="39C55D33"/>
    <w:rsid w:val="39D2128E"/>
    <w:rsid w:val="39D50425"/>
    <w:rsid w:val="39D96C03"/>
    <w:rsid w:val="39DF3995"/>
    <w:rsid w:val="39DF4D2E"/>
    <w:rsid w:val="39E300DD"/>
    <w:rsid w:val="39E6768A"/>
    <w:rsid w:val="39EB0270"/>
    <w:rsid w:val="39F058F3"/>
    <w:rsid w:val="39F07CBA"/>
    <w:rsid w:val="39F678D2"/>
    <w:rsid w:val="39F70CA1"/>
    <w:rsid w:val="39F819FD"/>
    <w:rsid w:val="39F87D81"/>
    <w:rsid w:val="39FA1AAE"/>
    <w:rsid w:val="39FF1736"/>
    <w:rsid w:val="3A00630C"/>
    <w:rsid w:val="3A03755E"/>
    <w:rsid w:val="3A210253"/>
    <w:rsid w:val="3A2160C5"/>
    <w:rsid w:val="3A23446A"/>
    <w:rsid w:val="3A236A5F"/>
    <w:rsid w:val="3A2C47DA"/>
    <w:rsid w:val="3A2E3312"/>
    <w:rsid w:val="3A320ACC"/>
    <w:rsid w:val="3A3A5144"/>
    <w:rsid w:val="3A424542"/>
    <w:rsid w:val="3A4756F1"/>
    <w:rsid w:val="3A5A02B0"/>
    <w:rsid w:val="3A5F7566"/>
    <w:rsid w:val="3A670E99"/>
    <w:rsid w:val="3A68016E"/>
    <w:rsid w:val="3A692ADF"/>
    <w:rsid w:val="3A747612"/>
    <w:rsid w:val="3A770799"/>
    <w:rsid w:val="3A7A0930"/>
    <w:rsid w:val="3A7F2D6F"/>
    <w:rsid w:val="3A89323E"/>
    <w:rsid w:val="3A8C5F1E"/>
    <w:rsid w:val="3A8E4475"/>
    <w:rsid w:val="3A901318"/>
    <w:rsid w:val="3A9110AE"/>
    <w:rsid w:val="3A9B5364"/>
    <w:rsid w:val="3AA804FD"/>
    <w:rsid w:val="3AAA5F3A"/>
    <w:rsid w:val="3AAC3225"/>
    <w:rsid w:val="3AAD7959"/>
    <w:rsid w:val="3AB64D17"/>
    <w:rsid w:val="3AB962FE"/>
    <w:rsid w:val="3ABD5DEE"/>
    <w:rsid w:val="3AC60033"/>
    <w:rsid w:val="3AC66FCA"/>
    <w:rsid w:val="3AD05784"/>
    <w:rsid w:val="3AE376FB"/>
    <w:rsid w:val="3AE55B98"/>
    <w:rsid w:val="3AF1786F"/>
    <w:rsid w:val="3AF25942"/>
    <w:rsid w:val="3AFF538E"/>
    <w:rsid w:val="3B0A12C3"/>
    <w:rsid w:val="3B0A425E"/>
    <w:rsid w:val="3B0E03F8"/>
    <w:rsid w:val="3B19064C"/>
    <w:rsid w:val="3B193A25"/>
    <w:rsid w:val="3B1D063B"/>
    <w:rsid w:val="3B1D433F"/>
    <w:rsid w:val="3B215530"/>
    <w:rsid w:val="3B220ACF"/>
    <w:rsid w:val="3B285FB9"/>
    <w:rsid w:val="3B2A2D74"/>
    <w:rsid w:val="3B30731A"/>
    <w:rsid w:val="3B351CE2"/>
    <w:rsid w:val="3B3734A3"/>
    <w:rsid w:val="3B3B0249"/>
    <w:rsid w:val="3B4047B4"/>
    <w:rsid w:val="3B43339B"/>
    <w:rsid w:val="3B562689"/>
    <w:rsid w:val="3B5D412E"/>
    <w:rsid w:val="3B640DBE"/>
    <w:rsid w:val="3B73452E"/>
    <w:rsid w:val="3B78793E"/>
    <w:rsid w:val="3B7A2F25"/>
    <w:rsid w:val="3B7A5A8D"/>
    <w:rsid w:val="3B7A67E7"/>
    <w:rsid w:val="3B9814B7"/>
    <w:rsid w:val="3B9C619D"/>
    <w:rsid w:val="3B9D4C55"/>
    <w:rsid w:val="3BA0301A"/>
    <w:rsid w:val="3BAB0584"/>
    <w:rsid w:val="3BB42B2B"/>
    <w:rsid w:val="3BBB29B9"/>
    <w:rsid w:val="3BBC7DBA"/>
    <w:rsid w:val="3BC87F3A"/>
    <w:rsid w:val="3BC97FF5"/>
    <w:rsid w:val="3BD87404"/>
    <w:rsid w:val="3BDD48F9"/>
    <w:rsid w:val="3BDD7DCA"/>
    <w:rsid w:val="3BDF528A"/>
    <w:rsid w:val="3BE3161A"/>
    <w:rsid w:val="3BE41159"/>
    <w:rsid w:val="3BE703E9"/>
    <w:rsid w:val="3BE9692D"/>
    <w:rsid w:val="3BED54F7"/>
    <w:rsid w:val="3BF46037"/>
    <w:rsid w:val="3BFC6E7C"/>
    <w:rsid w:val="3BFD584F"/>
    <w:rsid w:val="3BFF6834"/>
    <w:rsid w:val="3C057C49"/>
    <w:rsid w:val="3C0B0DDB"/>
    <w:rsid w:val="3C0D6901"/>
    <w:rsid w:val="3C123FB4"/>
    <w:rsid w:val="3C1629F6"/>
    <w:rsid w:val="3C1B4977"/>
    <w:rsid w:val="3C1B5560"/>
    <w:rsid w:val="3C1F085F"/>
    <w:rsid w:val="3C2078B9"/>
    <w:rsid w:val="3C2613B9"/>
    <w:rsid w:val="3C2E703F"/>
    <w:rsid w:val="3C3912DA"/>
    <w:rsid w:val="3C3944C4"/>
    <w:rsid w:val="3C4073E3"/>
    <w:rsid w:val="3C43245D"/>
    <w:rsid w:val="3C466F98"/>
    <w:rsid w:val="3C4816E7"/>
    <w:rsid w:val="3C496509"/>
    <w:rsid w:val="3C4F039D"/>
    <w:rsid w:val="3C5A1CFC"/>
    <w:rsid w:val="3C603F10"/>
    <w:rsid w:val="3C610757"/>
    <w:rsid w:val="3C696345"/>
    <w:rsid w:val="3C6A7CD7"/>
    <w:rsid w:val="3C6E499C"/>
    <w:rsid w:val="3C6F72B6"/>
    <w:rsid w:val="3C7127CF"/>
    <w:rsid w:val="3C7529C0"/>
    <w:rsid w:val="3C794C98"/>
    <w:rsid w:val="3C8C40D0"/>
    <w:rsid w:val="3C8D37E1"/>
    <w:rsid w:val="3C8F72B2"/>
    <w:rsid w:val="3C992016"/>
    <w:rsid w:val="3C9A569B"/>
    <w:rsid w:val="3C9B3F0D"/>
    <w:rsid w:val="3C9E6C12"/>
    <w:rsid w:val="3C9F1D18"/>
    <w:rsid w:val="3CA725E5"/>
    <w:rsid w:val="3CA91DA7"/>
    <w:rsid w:val="3CAB1D45"/>
    <w:rsid w:val="3CB16EB3"/>
    <w:rsid w:val="3CB773B7"/>
    <w:rsid w:val="3CBE0C16"/>
    <w:rsid w:val="3CBE56B3"/>
    <w:rsid w:val="3CBF3D3A"/>
    <w:rsid w:val="3CD243EF"/>
    <w:rsid w:val="3CD72D15"/>
    <w:rsid w:val="3CEC2CEF"/>
    <w:rsid w:val="3CEC3BE9"/>
    <w:rsid w:val="3CF22945"/>
    <w:rsid w:val="3D0B3822"/>
    <w:rsid w:val="3D0F521E"/>
    <w:rsid w:val="3D103C1D"/>
    <w:rsid w:val="3D13000F"/>
    <w:rsid w:val="3D1D196D"/>
    <w:rsid w:val="3D1D2832"/>
    <w:rsid w:val="3D1D3A0F"/>
    <w:rsid w:val="3D294D95"/>
    <w:rsid w:val="3D33738A"/>
    <w:rsid w:val="3D3C271F"/>
    <w:rsid w:val="3D3D4D35"/>
    <w:rsid w:val="3D4062DB"/>
    <w:rsid w:val="3D586A74"/>
    <w:rsid w:val="3D5E57B5"/>
    <w:rsid w:val="3D6320C7"/>
    <w:rsid w:val="3D6B50ED"/>
    <w:rsid w:val="3D736C38"/>
    <w:rsid w:val="3D7C687D"/>
    <w:rsid w:val="3D84413D"/>
    <w:rsid w:val="3D8E0023"/>
    <w:rsid w:val="3D9E6736"/>
    <w:rsid w:val="3D9E7490"/>
    <w:rsid w:val="3DB541C0"/>
    <w:rsid w:val="3DB61592"/>
    <w:rsid w:val="3DB9030A"/>
    <w:rsid w:val="3DC35BBB"/>
    <w:rsid w:val="3DC37DBB"/>
    <w:rsid w:val="3DC53F2C"/>
    <w:rsid w:val="3DC93385"/>
    <w:rsid w:val="3DC940CB"/>
    <w:rsid w:val="3DD07587"/>
    <w:rsid w:val="3DD2086E"/>
    <w:rsid w:val="3DD54315"/>
    <w:rsid w:val="3DD879A2"/>
    <w:rsid w:val="3DDA6CB7"/>
    <w:rsid w:val="3DE2207B"/>
    <w:rsid w:val="3DE713D4"/>
    <w:rsid w:val="3DF31CA4"/>
    <w:rsid w:val="3DF47E41"/>
    <w:rsid w:val="3DF75981"/>
    <w:rsid w:val="3DFE2ACA"/>
    <w:rsid w:val="3DFE7A67"/>
    <w:rsid w:val="3DFF2E3A"/>
    <w:rsid w:val="3E057486"/>
    <w:rsid w:val="3E11027B"/>
    <w:rsid w:val="3E117624"/>
    <w:rsid w:val="3E135119"/>
    <w:rsid w:val="3E18333B"/>
    <w:rsid w:val="3E192FB0"/>
    <w:rsid w:val="3E1D0ED7"/>
    <w:rsid w:val="3E207D67"/>
    <w:rsid w:val="3E2274D6"/>
    <w:rsid w:val="3E2320B2"/>
    <w:rsid w:val="3E2A4B55"/>
    <w:rsid w:val="3E3B315E"/>
    <w:rsid w:val="3E3D5672"/>
    <w:rsid w:val="3E3D60A2"/>
    <w:rsid w:val="3E46181B"/>
    <w:rsid w:val="3E484FA9"/>
    <w:rsid w:val="3E4B1963"/>
    <w:rsid w:val="3E5E50CC"/>
    <w:rsid w:val="3E6350CF"/>
    <w:rsid w:val="3E64332B"/>
    <w:rsid w:val="3E6E4385"/>
    <w:rsid w:val="3E744FD2"/>
    <w:rsid w:val="3E78332B"/>
    <w:rsid w:val="3E7E2BAF"/>
    <w:rsid w:val="3E86735F"/>
    <w:rsid w:val="3E867DCA"/>
    <w:rsid w:val="3E88240C"/>
    <w:rsid w:val="3E894239"/>
    <w:rsid w:val="3E90687A"/>
    <w:rsid w:val="3E9444B3"/>
    <w:rsid w:val="3E9A5EEC"/>
    <w:rsid w:val="3E9A6446"/>
    <w:rsid w:val="3E9F3A2D"/>
    <w:rsid w:val="3EA11583"/>
    <w:rsid w:val="3EA637B9"/>
    <w:rsid w:val="3EAD6834"/>
    <w:rsid w:val="3EB562C8"/>
    <w:rsid w:val="3EB93255"/>
    <w:rsid w:val="3EBA0C12"/>
    <w:rsid w:val="3EBA44DD"/>
    <w:rsid w:val="3EBD6A90"/>
    <w:rsid w:val="3EC6476E"/>
    <w:rsid w:val="3EC95630"/>
    <w:rsid w:val="3ECE4A4C"/>
    <w:rsid w:val="3ECF7890"/>
    <w:rsid w:val="3ED731F7"/>
    <w:rsid w:val="3ED90ADE"/>
    <w:rsid w:val="3EE844C9"/>
    <w:rsid w:val="3EEB0C33"/>
    <w:rsid w:val="3EEC4A1C"/>
    <w:rsid w:val="3EF43670"/>
    <w:rsid w:val="3EFA0A2D"/>
    <w:rsid w:val="3EFB0146"/>
    <w:rsid w:val="3F102382"/>
    <w:rsid w:val="3F111FEA"/>
    <w:rsid w:val="3F1858E5"/>
    <w:rsid w:val="3F19380F"/>
    <w:rsid w:val="3F220865"/>
    <w:rsid w:val="3F2266FA"/>
    <w:rsid w:val="3F2B2BFA"/>
    <w:rsid w:val="3F3009D6"/>
    <w:rsid w:val="3F313F9D"/>
    <w:rsid w:val="3F3D16B2"/>
    <w:rsid w:val="3F451A0C"/>
    <w:rsid w:val="3F466C65"/>
    <w:rsid w:val="3F4861B3"/>
    <w:rsid w:val="3F4F0C74"/>
    <w:rsid w:val="3F5468F1"/>
    <w:rsid w:val="3F601D02"/>
    <w:rsid w:val="3F6649AC"/>
    <w:rsid w:val="3F6C2EC4"/>
    <w:rsid w:val="3F6E5909"/>
    <w:rsid w:val="3F824144"/>
    <w:rsid w:val="3F8D4D8A"/>
    <w:rsid w:val="3F8E28FC"/>
    <w:rsid w:val="3F8E7C5C"/>
    <w:rsid w:val="3F90688E"/>
    <w:rsid w:val="3F9357FF"/>
    <w:rsid w:val="3F9B5174"/>
    <w:rsid w:val="3F9E2C84"/>
    <w:rsid w:val="3FA3278D"/>
    <w:rsid w:val="3FA4132B"/>
    <w:rsid w:val="3FA44527"/>
    <w:rsid w:val="3FAC6431"/>
    <w:rsid w:val="3FAF0BD1"/>
    <w:rsid w:val="3FB65876"/>
    <w:rsid w:val="3FBF7FF0"/>
    <w:rsid w:val="3FC43071"/>
    <w:rsid w:val="3FC5683B"/>
    <w:rsid w:val="3FCD5832"/>
    <w:rsid w:val="3FD17545"/>
    <w:rsid w:val="3FD32A54"/>
    <w:rsid w:val="3FD467B1"/>
    <w:rsid w:val="3FDA74AA"/>
    <w:rsid w:val="3FDD5930"/>
    <w:rsid w:val="3FE45BCB"/>
    <w:rsid w:val="3FE74029"/>
    <w:rsid w:val="3FEE6221"/>
    <w:rsid w:val="3FF62489"/>
    <w:rsid w:val="3FF83425"/>
    <w:rsid w:val="3FFA2657"/>
    <w:rsid w:val="3FFB70C1"/>
    <w:rsid w:val="40061013"/>
    <w:rsid w:val="40073765"/>
    <w:rsid w:val="4012771F"/>
    <w:rsid w:val="40157535"/>
    <w:rsid w:val="402959EE"/>
    <w:rsid w:val="402C7E9E"/>
    <w:rsid w:val="40324F52"/>
    <w:rsid w:val="403D52DB"/>
    <w:rsid w:val="403F72A5"/>
    <w:rsid w:val="404A2671"/>
    <w:rsid w:val="404E573A"/>
    <w:rsid w:val="40501179"/>
    <w:rsid w:val="405169FF"/>
    <w:rsid w:val="40536C06"/>
    <w:rsid w:val="40544CE2"/>
    <w:rsid w:val="40551F62"/>
    <w:rsid w:val="405D33A6"/>
    <w:rsid w:val="4060028A"/>
    <w:rsid w:val="40624441"/>
    <w:rsid w:val="40645038"/>
    <w:rsid w:val="406500F9"/>
    <w:rsid w:val="4068232A"/>
    <w:rsid w:val="40691494"/>
    <w:rsid w:val="40781753"/>
    <w:rsid w:val="40790D7F"/>
    <w:rsid w:val="407C3511"/>
    <w:rsid w:val="40881501"/>
    <w:rsid w:val="408A2D9D"/>
    <w:rsid w:val="408D1DBF"/>
    <w:rsid w:val="409018E3"/>
    <w:rsid w:val="40923AAA"/>
    <w:rsid w:val="40953ACA"/>
    <w:rsid w:val="409C4F35"/>
    <w:rsid w:val="409F23B1"/>
    <w:rsid w:val="40A23390"/>
    <w:rsid w:val="40A4535A"/>
    <w:rsid w:val="40A658FC"/>
    <w:rsid w:val="40AE3051"/>
    <w:rsid w:val="40B51316"/>
    <w:rsid w:val="40BA59C9"/>
    <w:rsid w:val="40C46173"/>
    <w:rsid w:val="40C71BCD"/>
    <w:rsid w:val="40CA1918"/>
    <w:rsid w:val="40CA7373"/>
    <w:rsid w:val="40CF2E62"/>
    <w:rsid w:val="40D44847"/>
    <w:rsid w:val="40D64A42"/>
    <w:rsid w:val="40D934A8"/>
    <w:rsid w:val="40E148C3"/>
    <w:rsid w:val="40E5218B"/>
    <w:rsid w:val="40E93E87"/>
    <w:rsid w:val="40EA4DD9"/>
    <w:rsid w:val="40EF4CAC"/>
    <w:rsid w:val="40F7192E"/>
    <w:rsid w:val="40FF3BDC"/>
    <w:rsid w:val="410E7D80"/>
    <w:rsid w:val="410F5F95"/>
    <w:rsid w:val="41160006"/>
    <w:rsid w:val="41171FD0"/>
    <w:rsid w:val="41194293"/>
    <w:rsid w:val="411A0004"/>
    <w:rsid w:val="41202712"/>
    <w:rsid w:val="412C52CD"/>
    <w:rsid w:val="412D0987"/>
    <w:rsid w:val="41300928"/>
    <w:rsid w:val="41362456"/>
    <w:rsid w:val="413E0EB4"/>
    <w:rsid w:val="414020C9"/>
    <w:rsid w:val="4142704D"/>
    <w:rsid w:val="4147052D"/>
    <w:rsid w:val="414C0934"/>
    <w:rsid w:val="414D7932"/>
    <w:rsid w:val="41517290"/>
    <w:rsid w:val="4163336D"/>
    <w:rsid w:val="4164280B"/>
    <w:rsid w:val="416470BA"/>
    <w:rsid w:val="41737986"/>
    <w:rsid w:val="417538D3"/>
    <w:rsid w:val="417B2A0A"/>
    <w:rsid w:val="417C3618"/>
    <w:rsid w:val="417C4F1D"/>
    <w:rsid w:val="41864B10"/>
    <w:rsid w:val="41874A60"/>
    <w:rsid w:val="418826F0"/>
    <w:rsid w:val="41916E61"/>
    <w:rsid w:val="41927543"/>
    <w:rsid w:val="41994793"/>
    <w:rsid w:val="419C716D"/>
    <w:rsid w:val="41A11E72"/>
    <w:rsid w:val="41A2189A"/>
    <w:rsid w:val="41AF3FB7"/>
    <w:rsid w:val="41B044F0"/>
    <w:rsid w:val="41B54C3A"/>
    <w:rsid w:val="41C65ECB"/>
    <w:rsid w:val="41C7188C"/>
    <w:rsid w:val="41CD3834"/>
    <w:rsid w:val="41CD5FE7"/>
    <w:rsid w:val="41D07917"/>
    <w:rsid w:val="41D31431"/>
    <w:rsid w:val="41D83122"/>
    <w:rsid w:val="41DB4DAC"/>
    <w:rsid w:val="41DB7B60"/>
    <w:rsid w:val="41E26596"/>
    <w:rsid w:val="41E34A2C"/>
    <w:rsid w:val="41E464F5"/>
    <w:rsid w:val="41E73432"/>
    <w:rsid w:val="41EB01D0"/>
    <w:rsid w:val="41EB2983"/>
    <w:rsid w:val="41ED737D"/>
    <w:rsid w:val="41F25551"/>
    <w:rsid w:val="41F3403B"/>
    <w:rsid w:val="41FB48E8"/>
    <w:rsid w:val="41FB5D15"/>
    <w:rsid w:val="41FB6FAE"/>
    <w:rsid w:val="4206188F"/>
    <w:rsid w:val="421409D8"/>
    <w:rsid w:val="4216324D"/>
    <w:rsid w:val="42181B5C"/>
    <w:rsid w:val="4223186B"/>
    <w:rsid w:val="42291B13"/>
    <w:rsid w:val="422A0A48"/>
    <w:rsid w:val="422E05A3"/>
    <w:rsid w:val="42384C0F"/>
    <w:rsid w:val="423E31E9"/>
    <w:rsid w:val="424232BD"/>
    <w:rsid w:val="424566C9"/>
    <w:rsid w:val="42462ABA"/>
    <w:rsid w:val="4249759E"/>
    <w:rsid w:val="425C481B"/>
    <w:rsid w:val="425D5562"/>
    <w:rsid w:val="42632930"/>
    <w:rsid w:val="426538A8"/>
    <w:rsid w:val="4270253C"/>
    <w:rsid w:val="42740052"/>
    <w:rsid w:val="42781869"/>
    <w:rsid w:val="427D639B"/>
    <w:rsid w:val="427E71BE"/>
    <w:rsid w:val="4280395E"/>
    <w:rsid w:val="42875938"/>
    <w:rsid w:val="428B1526"/>
    <w:rsid w:val="428F7215"/>
    <w:rsid w:val="42976DB5"/>
    <w:rsid w:val="429F402B"/>
    <w:rsid w:val="42A92D3F"/>
    <w:rsid w:val="42AB5C9E"/>
    <w:rsid w:val="42AD1BF5"/>
    <w:rsid w:val="42AE41C8"/>
    <w:rsid w:val="42B07795"/>
    <w:rsid w:val="42B730DB"/>
    <w:rsid w:val="42BE2214"/>
    <w:rsid w:val="42C23A75"/>
    <w:rsid w:val="42C66783"/>
    <w:rsid w:val="42CB1C43"/>
    <w:rsid w:val="42CD74E5"/>
    <w:rsid w:val="42D321A3"/>
    <w:rsid w:val="42DF6B1E"/>
    <w:rsid w:val="42E21EE9"/>
    <w:rsid w:val="42E628D1"/>
    <w:rsid w:val="42EF275D"/>
    <w:rsid w:val="42EF6EF9"/>
    <w:rsid w:val="42EF789F"/>
    <w:rsid w:val="42F11D19"/>
    <w:rsid w:val="42F14C19"/>
    <w:rsid w:val="42F50908"/>
    <w:rsid w:val="42F53A7D"/>
    <w:rsid w:val="42F81964"/>
    <w:rsid w:val="43005764"/>
    <w:rsid w:val="430E70E6"/>
    <w:rsid w:val="4311795F"/>
    <w:rsid w:val="43236458"/>
    <w:rsid w:val="43236A0A"/>
    <w:rsid w:val="4324652F"/>
    <w:rsid w:val="4328371C"/>
    <w:rsid w:val="432B172B"/>
    <w:rsid w:val="433136EE"/>
    <w:rsid w:val="433406EF"/>
    <w:rsid w:val="43427FE6"/>
    <w:rsid w:val="43442180"/>
    <w:rsid w:val="43452E25"/>
    <w:rsid w:val="434B7778"/>
    <w:rsid w:val="434D38DE"/>
    <w:rsid w:val="43622B9B"/>
    <w:rsid w:val="43642FA9"/>
    <w:rsid w:val="4369409E"/>
    <w:rsid w:val="4378537B"/>
    <w:rsid w:val="43794FF4"/>
    <w:rsid w:val="437E3C11"/>
    <w:rsid w:val="438020CF"/>
    <w:rsid w:val="43881BE8"/>
    <w:rsid w:val="438A6919"/>
    <w:rsid w:val="438B7716"/>
    <w:rsid w:val="438F22F2"/>
    <w:rsid w:val="438F5E4E"/>
    <w:rsid w:val="43903FA1"/>
    <w:rsid w:val="43945C3F"/>
    <w:rsid w:val="43962464"/>
    <w:rsid w:val="43977B2C"/>
    <w:rsid w:val="43A238DE"/>
    <w:rsid w:val="43A32C0B"/>
    <w:rsid w:val="43A70978"/>
    <w:rsid w:val="43AA712C"/>
    <w:rsid w:val="43B50996"/>
    <w:rsid w:val="43B85A29"/>
    <w:rsid w:val="43BD29FA"/>
    <w:rsid w:val="43BD34BF"/>
    <w:rsid w:val="43C26584"/>
    <w:rsid w:val="43C475D9"/>
    <w:rsid w:val="43CA049A"/>
    <w:rsid w:val="43CA59D6"/>
    <w:rsid w:val="43D45027"/>
    <w:rsid w:val="43D5461F"/>
    <w:rsid w:val="43DB5456"/>
    <w:rsid w:val="43DB72E5"/>
    <w:rsid w:val="43E32410"/>
    <w:rsid w:val="43EA6FCB"/>
    <w:rsid w:val="43EB364C"/>
    <w:rsid w:val="43FB3116"/>
    <w:rsid w:val="43FB7B5F"/>
    <w:rsid w:val="43FC7BEA"/>
    <w:rsid w:val="44005588"/>
    <w:rsid w:val="44085B1D"/>
    <w:rsid w:val="440E40E5"/>
    <w:rsid w:val="4416031D"/>
    <w:rsid w:val="44192C16"/>
    <w:rsid w:val="441F16F2"/>
    <w:rsid w:val="442C7B41"/>
    <w:rsid w:val="442D2ABF"/>
    <w:rsid w:val="442F18C7"/>
    <w:rsid w:val="4430732D"/>
    <w:rsid w:val="44331FF5"/>
    <w:rsid w:val="44385A50"/>
    <w:rsid w:val="446112B7"/>
    <w:rsid w:val="44620064"/>
    <w:rsid w:val="44660840"/>
    <w:rsid w:val="44680347"/>
    <w:rsid w:val="44691522"/>
    <w:rsid w:val="448443DE"/>
    <w:rsid w:val="448470B1"/>
    <w:rsid w:val="44861741"/>
    <w:rsid w:val="44863E9E"/>
    <w:rsid w:val="44872F17"/>
    <w:rsid w:val="449C24BE"/>
    <w:rsid w:val="449D2878"/>
    <w:rsid w:val="449F6565"/>
    <w:rsid w:val="44A55A08"/>
    <w:rsid w:val="44AA1FA5"/>
    <w:rsid w:val="44AB30C7"/>
    <w:rsid w:val="44AC4C4C"/>
    <w:rsid w:val="44AE749A"/>
    <w:rsid w:val="44B43896"/>
    <w:rsid w:val="44B50D14"/>
    <w:rsid w:val="44B63D6A"/>
    <w:rsid w:val="44BB3A24"/>
    <w:rsid w:val="44BB705B"/>
    <w:rsid w:val="44BD5B69"/>
    <w:rsid w:val="44BD6207"/>
    <w:rsid w:val="44BD6356"/>
    <w:rsid w:val="44BE3C77"/>
    <w:rsid w:val="44C22253"/>
    <w:rsid w:val="44C27A9B"/>
    <w:rsid w:val="44C51584"/>
    <w:rsid w:val="44C970D0"/>
    <w:rsid w:val="44CF7E69"/>
    <w:rsid w:val="44D178A4"/>
    <w:rsid w:val="44D524E8"/>
    <w:rsid w:val="44D818B0"/>
    <w:rsid w:val="44DD66EA"/>
    <w:rsid w:val="44E31B61"/>
    <w:rsid w:val="44E41E72"/>
    <w:rsid w:val="44F21FDA"/>
    <w:rsid w:val="44F52628"/>
    <w:rsid w:val="44F95EAE"/>
    <w:rsid w:val="4500553C"/>
    <w:rsid w:val="450900CC"/>
    <w:rsid w:val="450B354C"/>
    <w:rsid w:val="450D4275"/>
    <w:rsid w:val="45151EAC"/>
    <w:rsid w:val="451D5249"/>
    <w:rsid w:val="45201701"/>
    <w:rsid w:val="452504BF"/>
    <w:rsid w:val="452D2431"/>
    <w:rsid w:val="45342C3E"/>
    <w:rsid w:val="45384386"/>
    <w:rsid w:val="454100D0"/>
    <w:rsid w:val="454606ED"/>
    <w:rsid w:val="454E693C"/>
    <w:rsid w:val="454F3AF6"/>
    <w:rsid w:val="455560AE"/>
    <w:rsid w:val="455A248C"/>
    <w:rsid w:val="45637592"/>
    <w:rsid w:val="45645F7D"/>
    <w:rsid w:val="456A0921"/>
    <w:rsid w:val="456E13F2"/>
    <w:rsid w:val="456E19ED"/>
    <w:rsid w:val="45723C79"/>
    <w:rsid w:val="45733E45"/>
    <w:rsid w:val="4574248F"/>
    <w:rsid w:val="45766C7A"/>
    <w:rsid w:val="45863FAA"/>
    <w:rsid w:val="458C7E02"/>
    <w:rsid w:val="45926214"/>
    <w:rsid w:val="459B02C1"/>
    <w:rsid w:val="459F60A7"/>
    <w:rsid w:val="45A04E65"/>
    <w:rsid w:val="45A2648D"/>
    <w:rsid w:val="45A97509"/>
    <w:rsid w:val="45B40195"/>
    <w:rsid w:val="45B8663E"/>
    <w:rsid w:val="45C40C47"/>
    <w:rsid w:val="45C933BF"/>
    <w:rsid w:val="45CC14C3"/>
    <w:rsid w:val="45CD1D7E"/>
    <w:rsid w:val="45D41C65"/>
    <w:rsid w:val="45D85CB6"/>
    <w:rsid w:val="45DA2CA5"/>
    <w:rsid w:val="45DC672A"/>
    <w:rsid w:val="45DF7268"/>
    <w:rsid w:val="45E51710"/>
    <w:rsid w:val="45EB517D"/>
    <w:rsid w:val="45FC4C7C"/>
    <w:rsid w:val="45FC593F"/>
    <w:rsid w:val="46001285"/>
    <w:rsid w:val="460726F2"/>
    <w:rsid w:val="460A3EB2"/>
    <w:rsid w:val="460A5157"/>
    <w:rsid w:val="460D5F3F"/>
    <w:rsid w:val="46132D66"/>
    <w:rsid w:val="461B0AF4"/>
    <w:rsid w:val="462816A9"/>
    <w:rsid w:val="463B22BD"/>
    <w:rsid w:val="46440D8B"/>
    <w:rsid w:val="46464134"/>
    <w:rsid w:val="464F5D68"/>
    <w:rsid w:val="46511D4F"/>
    <w:rsid w:val="46525C25"/>
    <w:rsid w:val="46535859"/>
    <w:rsid w:val="46572B1F"/>
    <w:rsid w:val="465C05A9"/>
    <w:rsid w:val="465C653F"/>
    <w:rsid w:val="465D0485"/>
    <w:rsid w:val="46617DC8"/>
    <w:rsid w:val="46641EB3"/>
    <w:rsid w:val="46662D74"/>
    <w:rsid w:val="466B2BA2"/>
    <w:rsid w:val="46713386"/>
    <w:rsid w:val="467A2C9B"/>
    <w:rsid w:val="46802328"/>
    <w:rsid w:val="468319E2"/>
    <w:rsid w:val="46873888"/>
    <w:rsid w:val="46876F49"/>
    <w:rsid w:val="468A4E8C"/>
    <w:rsid w:val="46913456"/>
    <w:rsid w:val="46957C1F"/>
    <w:rsid w:val="469B04A0"/>
    <w:rsid w:val="469F6BE0"/>
    <w:rsid w:val="46A17161"/>
    <w:rsid w:val="46A37B27"/>
    <w:rsid w:val="46A936CA"/>
    <w:rsid w:val="46AA7FFF"/>
    <w:rsid w:val="46AC3AB5"/>
    <w:rsid w:val="46B56C36"/>
    <w:rsid w:val="46B96318"/>
    <w:rsid w:val="46BF36C1"/>
    <w:rsid w:val="46C14065"/>
    <w:rsid w:val="46C455B1"/>
    <w:rsid w:val="46C9790B"/>
    <w:rsid w:val="46C97B2D"/>
    <w:rsid w:val="46CA7A15"/>
    <w:rsid w:val="46D878FB"/>
    <w:rsid w:val="46E82445"/>
    <w:rsid w:val="46EA3CF0"/>
    <w:rsid w:val="46EB2263"/>
    <w:rsid w:val="46F83D33"/>
    <w:rsid w:val="46F908C6"/>
    <w:rsid w:val="47087211"/>
    <w:rsid w:val="470D7F27"/>
    <w:rsid w:val="47142AA5"/>
    <w:rsid w:val="47183182"/>
    <w:rsid w:val="471D245A"/>
    <w:rsid w:val="472034CE"/>
    <w:rsid w:val="472B2D3B"/>
    <w:rsid w:val="47372A84"/>
    <w:rsid w:val="473A5C04"/>
    <w:rsid w:val="473E5135"/>
    <w:rsid w:val="473F5079"/>
    <w:rsid w:val="47431515"/>
    <w:rsid w:val="474451A1"/>
    <w:rsid w:val="47466B02"/>
    <w:rsid w:val="474E6020"/>
    <w:rsid w:val="4751209C"/>
    <w:rsid w:val="47520728"/>
    <w:rsid w:val="475A6745"/>
    <w:rsid w:val="476A5CC5"/>
    <w:rsid w:val="476E6059"/>
    <w:rsid w:val="476F2784"/>
    <w:rsid w:val="477130FF"/>
    <w:rsid w:val="4772724E"/>
    <w:rsid w:val="47743CD8"/>
    <w:rsid w:val="47843450"/>
    <w:rsid w:val="47883D12"/>
    <w:rsid w:val="4789459D"/>
    <w:rsid w:val="478B35DA"/>
    <w:rsid w:val="479557BD"/>
    <w:rsid w:val="47A05946"/>
    <w:rsid w:val="47B6609F"/>
    <w:rsid w:val="47BE5BC6"/>
    <w:rsid w:val="47BF7BAD"/>
    <w:rsid w:val="47C03032"/>
    <w:rsid w:val="47C670D9"/>
    <w:rsid w:val="47CF7161"/>
    <w:rsid w:val="47D51448"/>
    <w:rsid w:val="47D941A0"/>
    <w:rsid w:val="47EA41A2"/>
    <w:rsid w:val="47EE4BF1"/>
    <w:rsid w:val="47F90A49"/>
    <w:rsid w:val="47FE410E"/>
    <w:rsid w:val="48030FE7"/>
    <w:rsid w:val="48203C3B"/>
    <w:rsid w:val="48213C72"/>
    <w:rsid w:val="48254B0C"/>
    <w:rsid w:val="48274FDD"/>
    <w:rsid w:val="482F4142"/>
    <w:rsid w:val="483802BB"/>
    <w:rsid w:val="483808E4"/>
    <w:rsid w:val="483A1096"/>
    <w:rsid w:val="483A1E36"/>
    <w:rsid w:val="483D0612"/>
    <w:rsid w:val="48430C94"/>
    <w:rsid w:val="484336AB"/>
    <w:rsid w:val="485A47E2"/>
    <w:rsid w:val="48631525"/>
    <w:rsid w:val="48650D3C"/>
    <w:rsid w:val="486A5A24"/>
    <w:rsid w:val="48774754"/>
    <w:rsid w:val="48786194"/>
    <w:rsid w:val="487E5A01"/>
    <w:rsid w:val="4881358D"/>
    <w:rsid w:val="48873598"/>
    <w:rsid w:val="488937B4"/>
    <w:rsid w:val="488E2B78"/>
    <w:rsid w:val="48925C56"/>
    <w:rsid w:val="48951B29"/>
    <w:rsid w:val="489A5C3B"/>
    <w:rsid w:val="48A111EC"/>
    <w:rsid w:val="48A32CEA"/>
    <w:rsid w:val="48B0562C"/>
    <w:rsid w:val="48B24817"/>
    <w:rsid w:val="48B35D67"/>
    <w:rsid w:val="48BD345D"/>
    <w:rsid w:val="48BD66D5"/>
    <w:rsid w:val="48BF19E5"/>
    <w:rsid w:val="48C03203"/>
    <w:rsid w:val="48C1363A"/>
    <w:rsid w:val="48CA25BD"/>
    <w:rsid w:val="48D33595"/>
    <w:rsid w:val="48DA0D67"/>
    <w:rsid w:val="48E4687B"/>
    <w:rsid w:val="48E75653"/>
    <w:rsid w:val="48EA2900"/>
    <w:rsid w:val="48F13FFA"/>
    <w:rsid w:val="48F46C49"/>
    <w:rsid w:val="48F6071D"/>
    <w:rsid w:val="48F60D0E"/>
    <w:rsid w:val="490778E5"/>
    <w:rsid w:val="490B4D0F"/>
    <w:rsid w:val="490E3CB9"/>
    <w:rsid w:val="490F2EE9"/>
    <w:rsid w:val="491D4BD9"/>
    <w:rsid w:val="49221512"/>
    <w:rsid w:val="49235AF7"/>
    <w:rsid w:val="493332DD"/>
    <w:rsid w:val="493560F8"/>
    <w:rsid w:val="49366D6C"/>
    <w:rsid w:val="49402BAA"/>
    <w:rsid w:val="494B6CBB"/>
    <w:rsid w:val="4950166C"/>
    <w:rsid w:val="4969094F"/>
    <w:rsid w:val="496B323D"/>
    <w:rsid w:val="496F1C12"/>
    <w:rsid w:val="49715538"/>
    <w:rsid w:val="49725317"/>
    <w:rsid w:val="497351F1"/>
    <w:rsid w:val="497E02DF"/>
    <w:rsid w:val="4985786B"/>
    <w:rsid w:val="49942651"/>
    <w:rsid w:val="49A168B8"/>
    <w:rsid w:val="49A95790"/>
    <w:rsid w:val="49AA2C41"/>
    <w:rsid w:val="49B01EB3"/>
    <w:rsid w:val="49B6098D"/>
    <w:rsid w:val="49B724E6"/>
    <w:rsid w:val="49C2278B"/>
    <w:rsid w:val="49C61E5A"/>
    <w:rsid w:val="49C66E58"/>
    <w:rsid w:val="49E35145"/>
    <w:rsid w:val="49E704A2"/>
    <w:rsid w:val="49EA6C02"/>
    <w:rsid w:val="49EB68F6"/>
    <w:rsid w:val="49EC24BE"/>
    <w:rsid w:val="49F1070A"/>
    <w:rsid w:val="49F455A7"/>
    <w:rsid w:val="49FC1171"/>
    <w:rsid w:val="49FE52F8"/>
    <w:rsid w:val="49FF0661"/>
    <w:rsid w:val="4A00000B"/>
    <w:rsid w:val="4A0103F4"/>
    <w:rsid w:val="4A104E6C"/>
    <w:rsid w:val="4A136529"/>
    <w:rsid w:val="4A16422F"/>
    <w:rsid w:val="4A1E7F2C"/>
    <w:rsid w:val="4A1F73DD"/>
    <w:rsid w:val="4A27646E"/>
    <w:rsid w:val="4A344AE9"/>
    <w:rsid w:val="4A34774F"/>
    <w:rsid w:val="4A3B0ADD"/>
    <w:rsid w:val="4A3D5D50"/>
    <w:rsid w:val="4A4369BA"/>
    <w:rsid w:val="4A461CEA"/>
    <w:rsid w:val="4A4C4A99"/>
    <w:rsid w:val="4A4C6FBE"/>
    <w:rsid w:val="4A517389"/>
    <w:rsid w:val="4A58343D"/>
    <w:rsid w:val="4A5F196C"/>
    <w:rsid w:val="4A620A0A"/>
    <w:rsid w:val="4A655134"/>
    <w:rsid w:val="4A656CC0"/>
    <w:rsid w:val="4A6D5080"/>
    <w:rsid w:val="4A71027A"/>
    <w:rsid w:val="4A90390A"/>
    <w:rsid w:val="4A925361"/>
    <w:rsid w:val="4A946D6F"/>
    <w:rsid w:val="4A9758BE"/>
    <w:rsid w:val="4A9E2704"/>
    <w:rsid w:val="4AA551E5"/>
    <w:rsid w:val="4AAC2AB8"/>
    <w:rsid w:val="4AAF1AD6"/>
    <w:rsid w:val="4AAF6DD6"/>
    <w:rsid w:val="4AB11484"/>
    <w:rsid w:val="4ABF5206"/>
    <w:rsid w:val="4AD03E28"/>
    <w:rsid w:val="4AD056CA"/>
    <w:rsid w:val="4AD45BE7"/>
    <w:rsid w:val="4AD67E57"/>
    <w:rsid w:val="4ADC1682"/>
    <w:rsid w:val="4ADC36A7"/>
    <w:rsid w:val="4AE20F59"/>
    <w:rsid w:val="4AEC0E24"/>
    <w:rsid w:val="4AEE1F11"/>
    <w:rsid w:val="4AFE2B37"/>
    <w:rsid w:val="4B0E0E20"/>
    <w:rsid w:val="4B0F322E"/>
    <w:rsid w:val="4B1027F5"/>
    <w:rsid w:val="4B11183E"/>
    <w:rsid w:val="4B143F83"/>
    <w:rsid w:val="4B160D93"/>
    <w:rsid w:val="4B1760E2"/>
    <w:rsid w:val="4B1C32C3"/>
    <w:rsid w:val="4B315990"/>
    <w:rsid w:val="4B315A73"/>
    <w:rsid w:val="4B490C3D"/>
    <w:rsid w:val="4B4E38DF"/>
    <w:rsid w:val="4B501B8D"/>
    <w:rsid w:val="4B5601E1"/>
    <w:rsid w:val="4B5A1437"/>
    <w:rsid w:val="4B5B01EF"/>
    <w:rsid w:val="4B6A5083"/>
    <w:rsid w:val="4B7F73F5"/>
    <w:rsid w:val="4B811C8B"/>
    <w:rsid w:val="4B8526AE"/>
    <w:rsid w:val="4B8D35BB"/>
    <w:rsid w:val="4B8E28EC"/>
    <w:rsid w:val="4B906059"/>
    <w:rsid w:val="4B927F14"/>
    <w:rsid w:val="4B983265"/>
    <w:rsid w:val="4B98764D"/>
    <w:rsid w:val="4BB01057"/>
    <w:rsid w:val="4BB2309B"/>
    <w:rsid w:val="4BBB4FEF"/>
    <w:rsid w:val="4BC11745"/>
    <w:rsid w:val="4BC7483D"/>
    <w:rsid w:val="4BCB09D3"/>
    <w:rsid w:val="4BCF29E5"/>
    <w:rsid w:val="4BD011D0"/>
    <w:rsid w:val="4BD14E08"/>
    <w:rsid w:val="4BD25443"/>
    <w:rsid w:val="4BD26FC9"/>
    <w:rsid w:val="4BD3645C"/>
    <w:rsid w:val="4BD87856"/>
    <w:rsid w:val="4BDD514F"/>
    <w:rsid w:val="4BE32B7C"/>
    <w:rsid w:val="4BEF1B80"/>
    <w:rsid w:val="4BF12C1F"/>
    <w:rsid w:val="4BF414CA"/>
    <w:rsid w:val="4BF418AD"/>
    <w:rsid w:val="4BF64D73"/>
    <w:rsid w:val="4BF74DFD"/>
    <w:rsid w:val="4C101E96"/>
    <w:rsid w:val="4C147561"/>
    <w:rsid w:val="4C20075F"/>
    <w:rsid w:val="4C211F55"/>
    <w:rsid w:val="4C236BC6"/>
    <w:rsid w:val="4C242F2C"/>
    <w:rsid w:val="4C3149A7"/>
    <w:rsid w:val="4C343A36"/>
    <w:rsid w:val="4C375463"/>
    <w:rsid w:val="4C3970CF"/>
    <w:rsid w:val="4C3B4DC5"/>
    <w:rsid w:val="4C465589"/>
    <w:rsid w:val="4C4E0615"/>
    <w:rsid w:val="4C502A2B"/>
    <w:rsid w:val="4C5060E3"/>
    <w:rsid w:val="4C5440D8"/>
    <w:rsid w:val="4C54729E"/>
    <w:rsid w:val="4C6B1B56"/>
    <w:rsid w:val="4C717308"/>
    <w:rsid w:val="4C737F5C"/>
    <w:rsid w:val="4C813C88"/>
    <w:rsid w:val="4C82133E"/>
    <w:rsid w:val="4C892284"/>
    <w:rsid w:val="4C911CC5"/>
    <w:rsid w:val="4C9804CF"/>
    <w:rsid w:val="4C994A82"/>
    <w:rsid w:val="4C9E0AB0"/>
    <w:rsid w:val="4CA96713"/>
    <w:rsid w:val="4CAC5CC3"/>
    <w:rsid w:val="4CB01CC5"/>
    <w:rsid w:val="4CC6067D"/>
    <w:rsid w:val="4CCA4C76"/>
    <w:rsid w:val="4CCE1172"/>
    <w:rsid w:val="4CCF45B9"/>
    <w:rsid w:val="4CDC3BE9"/>
    <w:rsid w:val="4CE62E7B"/>
    <w:rsid w:val="4CEA7D39"/>
    <w:rsid w:val="4CEC0CB3"/>
    <w:rsid w:val="4CF0229C"/>
    <w:rsid w:val="4CF20C8D"/>
    <w:rsid w:val="4D057171"/>
    <w:rsid w:val="4D082D99"/>
    <w:rsid w:val="4D0A29E9"/>
    <w:rsid w:val="4D113D78"/>
    <w:rsid w:val="4D16138E"/>
    <w:rsid w:val="4D1840C5"/>
    <w:rsid w:val="4D1A61F1"/>
    <w:rsid w:val="4D1B3A0E"/>
    <w:rsid w:val="4D1B46DC"/>
    <w:rsid w:val="4D1F7EC6"/>
    <w:rsid w:val="4D2A08C4"/>
    <w:rsid w:val="4D3202D6"/>
    <w:rsid w:val="4D364793"/>
    <w:rsid w:val="4D387556"/>
    <w:rsid w:val="4D3D11F9"/>
    <w:rsid w:val="4D493511"/>
    <w:rsid w:val="4D49491A"/>
    <w:rsid w:val="4D4C2881"/>
    <w:rsid w:val="4D5A7AA9"/>
    <w:rsid w:val="4D5D27CF"/>
    <w:rsid w:val="4D6705C1"/>
    <w:rsid w:val="4D687C5F"/>
    <w:rsid w:val="4D7955DB"/>
    <w:rsid w:val="4D89620D"/>
    <w:rsid w:val="4D8C5DC2"/>
    <w:rsid w:val="4D8E11DC"/>
    <w:rsid w:val="4D8F5613"/>
    <w:rsid w:val="4D925B02"/>
    <w:rsid w:val="4D934A0C"/>
    <w:rsid w:val="4D9A7366"/>
    <w:rsid w:val="4D9F4C30"/>
    <w:rsid w:val="4DA44BEC"/>
    <w:rsid w:val="4DAB5F7A"/>
    <w:rsid w:val="4DAF4203"/>
    <w:rsid w:val="4DAF5830"/>
    <w:rsid w:val="4DB96D3C"/>
    <w:rsid w:val="4DD1189E"/>
    <w:rsid w:val="4DD32765"/>
    <w:rsid w:val="4DD704FD"/>
    <w:rsid w:val="4DD86E28"/>
    <w:rsid w:val="4DDE1EAC"/>
    <w:rsid w:val="4DDE5FE8"/>
    <w:rsid w:val="4DE90B47"/>
    <w:rsid w:val="4DF05839"/>
    <w:rsid w:val="4DF14E4D"/>
    <w:rsid w:val="4DF571F5"/>
    <w:rsid w:val="4DFA2A5E"/>
    <w:rsid w:val="4DFA5859"/>
    <w:rsid w:val="4E081D5B"/>
    <w:rsid w:val="4E151B46"/>
    <w:rsid w:val="4E153677"/>
    <w:rsid w:val="4E1B1AD4"/>
    <w:rsid w:val="4E204AB5"/>
    <w:rsid w:val="4E281473"/>
    <w:rsid w:val="4E2D63F2"/>
    <w:rsid w:val="4E2D698F"/>
    <w:rsid w:val="4E337408"/>
    <w:rsid w:val="4E37780E"/>
    <w:rsid w:val="4E3C3076"/>
    <w:rsid w:val="4E3D3770"/>
    <w:rsid w:val="4E3D5A9F"/>
    <w:rsid w:val="4E401788"/>
    <w:rsid w:val="4E425E54"/>
    <w:rsid w:val="4E466D42"/>
    <w:rsid w:val="4E4B32B9"/>
    <w:rsid w:val="4E516B22"/>
    <w:rsid w:val="4E540588"/>
    <w:rsid w:val="4E546CF7"/>
    <w:rsid w:val="4E611E87"/>
    <w:rsid w:val="4E624E01"/>
    <w:rsid w:val="4E6D178C"/>
    <w:rsid w:val="4E7D3526"/>
    <w:rsid w:val="4E842E09"/>
    <w:rsid w:val="4E871CB0"/>
    <w:rsid w:val="4E89116B"/>
    <w:rsid w:val="4E8E281D"/>
    <w:rsid w:val="4E904841"/>
    <w:rsid w:val="4E9761F0"/>
    <w:rsid w:val="4E9955D3"/>
    <w:rsid w:val="4EAE0D04"/>
    <w:rsid w:val="4EB87E70"/>
    <w:rsid w:val="4EBB3F9B"/>
    <w:rsid w:val="4EC05838"/>
    <w:rsid w:val="4EC34610"/>
    <w:rsid w:val="4EC41512"/>
    <w:rsid w:val="4EC632BF"/>
    <w:rsid w:val="4EC8471E"/>
    <w:rsid w:val="4ECB17EA"/>
    <w:rsid w:val="4ECC445F"/>
    <w:rsid w:val="4ECF34BC"/>
    <w:rsid w:val="4ED551B9"/>
    <w:rsid w:val="4ED8787F"/>
    <w:rsid w:val="4ED916D9"/>
    <w:rsid w:val="4EDB7EFA"/>
    <w:rsid w:val="4EDC3BA7"/>
    <w:rsid w:val="4EE37128"/>
    <w:rsid w:val="4EEE2AE5"/>
    <w:rsid w:val="4EEE34EC"/>
    <w:rsid w:val="4EF4707B"/>
    <w:rsid w:val="4EFD2805"/>
    <w:rsid w:val="4EFD3A5E"/>
    <w:rsid w:val="4F061F0F"/>
    <w:rsid w:val="4F0633A3"/>
    <w:rsid w:val="4F0D06C9"/>
    <w:rsid w:val="4F1E65C4"/>
    <w:rsid w:val="4F233716"/>
    <w:rsid w:val="4F2D391B"/>
    <w:rsid w:val="4F2E0C11"/>
    <w:rsid w:val="4F32218F"/>
    <w:rsid w:val="4F3834F9"/>
    <w:rsid w:val="4F3F6FDA"/>
    <w:rsid w:val="4F4512A1"/>
    <w:rsid w:val="4F47131D"/>
    <w:rsid w:val="4F4C333C"/>
    <w:rsid w:val="4F4F3A50"/>
    <w:rsid w:val="4F4F4AAC"/>
    <w:rsid w:val="4F535542"/>
    <w:rsid w:val="4F603056"/>
    <w:rsid w:val="4F712267"/>
    <w:rsid w:val="4F7A7262"/>
    <w:rsid w:val="4F7C3A8C"/>
    <w:rsid w:val="4F7C6633"/>
    <w:rsid w:val="4F845BAE"/>
    <w:rsid w:val="4F891C8A"/>
    <w:rsid w:val="4F8A0700"/>
    <w:rsid w:val="4F933090"/>
    <w:rsid w:val="4F960564"/>
    <w:rsid w:val="4F9960B4"/>
    <w:rsid w:val="4FA849FF"/>
    <w:rsid w:val="4FAA7DCA"/>
    <w:rsid w:val="4FB0116F"/>
    <w:rsid w:val="4FBC621D"/>
    <w:rsid w:val="4FC368A1"/>
    <w:rsid w:val="4FC6376D"/>
    <w:rsid w:val="4FC949D3"/>
    <w:rsid w:val="4FD16F4A"/>
    <w:rsid w:val="4FD712A8"/>
    <w:rsid w:val="4FD83B9A"/>
    <w:rsid w:val="4FFD70C9"/>
    <w:rsid w:val="501D38E3"/>
    <w:rsid w:val="501E2D1F"/>
    <w:rsid w:val="501F67AB"/>
    <w:rsid w:val="50201A3A"/>
    <w:rsid w:val="50395ABF"/>
    <w:rsid w:val="50443097"/>
    <w:rsid w:val="5045110F"/>
    <w:rsid w:val="504518F6"/>
    <w:rsid w:val="504A4FE9"/>
    <w:rsid w:val="5057531D"/>
    <w:rsid w:val="506141AF"/>
    <w:rsid w:val="50626217"/>
    <w:rsid w:val="50637781"/>
    <w:rsid w:val="506B5A22"/>
    <w:rsid w:val="506F2C48"/>
    <w:rsid w:val="50707FEE"/>
    <w:rsid w:val="50742835"/>
    <w:rsid w:val="50747317"/>
    <w:rsid w:val="50773DEE"/>
    <w:rsid w:val="507A101F"/>
    <w:rsid w:val="507E24DF"/>
    <w:rsid w:val="509506E1"/>
    <w:rsid w:val="50985133"/>
    <w:rsid w:val="50A15412"/>
    <w:rsid w:val="50AA35CF"/>
    <w:rsid w:val="50B11AF9"/>
    <w:rsid w:val="50B90185"/>
    <w:rsid w:val="50CF01D2"/>
    <w:rsid w:val="50CF1F80"/>
    <w:rsid w:val="50D233A0"/>
    <w:rsid w:val="50DA2EED"/>
    <w:rsid w:val="50DC4A98"/>
    <w:rsid w:val="50E20F10"/>
    <w:rsid w:val="50E472D7"/>
    <w:rsid w:val="50EC1BBB"/>
    <w:rsid w:val="50F761F1"/>
    <w:rsid w:val="51022355"/>
    <w:rsid w:val="51066A14"/>
    <w:rsid w:val="510947F3"/>
    <w:rsid w:val="510D66B8"/>
    <w:rsid w:val="510E2ADE"/>
    <w:rsid w:val="511615C1"/>
    <w:rsid w:val="511A35BB"/>
    <w:rsid w:val="511C76C2"/>
    <w:rsid w:val="51212B5C"/>
    <w:rsid w:val="5121641A"/>
    <w:rsid w:val="51291073"/>
    <w:rsid w:val="51295F2B"/>
    <w:rsid w:val="51321274"/>
    <w:rsid w:val="51337BBE"/>
    <w:rsid w:val="51361FFF"/>
    <w:rsid w:val="51391438"/>
    <w:rsid w:val="514433B9"/>
    <w:rsid w:val="514F59B8"/>
    <w:rsid w:val="51560987"/>
    <w:rsid w:val="515A5FD6"/>
    <w:rsid w:val="515A775F"/>
    <w:rsid w:val="515F2058"/>
    <w:rsid w:val="516011E5"/>
    <w:rsid w:val="51622E6A"/>
    <w:rsid w:val="51637002"/>
    <w:rsid w:val="517214F6"/>
    <w:rsid w:val="517332EE"/>
    <w:rsid w:val="5176055B"/>
    <w:rsid w:val="51761B0B"/>
    <w:rsid w:val="51772678"/>
    <w:rsid w:val="517A1F1A"/>
    <w:rsid w:val="517F1896"/>
    <w:rsid w:val="51991502"/>
    <w:rsid w:val="51994DA8"/>
    <w:rsid w:val="51995E77"/>
    <w:rsid w:val="519B7947"/>
    <w:rsid w:val="519E45A0"/>
    <w:rsid w:val="51A72937"/>
    <w:rsid w:val="51AA1C41"/>
    <w:rsid w:val="51AF3848"/>
    <w:rsid w:val="51B06247"/>
    <w:rsid w:val="51B715A5"/>
    <w:rsid w:val="51B832DD"/>
    <w:rsid w:val="51BC398E"/>
    <w:rsid w:val="51C550B7"/>
    <w:rsid w:val="51C67FA4"/>
    <w:rsid w:val="51CE247B"/>
    <w:rsid w:val="51D35A9F"/>
    <w:rsid w:val="51D63165"/>
    <w:rsid w:val="51D7423C"/>
    <w:rsid w:val="51DB7CDE"/>
    <w:rsid w:val="51DC4954"/>
    <w:rsid w:val="51E75F9F"/>
    <w:rsid w:val="51F872B4"/>
    <w:rsid w:val="51FE62B2"/>
    <w:rsid w:val="51FF3326"/>
    <w:rsid w:val="52185C93"/>
    <w:rsid w:val="522F6B53"/>
    <w:rsid w:val="52315453"/>
    <w:rsid w:val="52360985"/>
    <w:rsid w:val="52390325"/>
    <w:rsid w:val="523A5457"/>
    <w:rsid w:val="523C2E68"/>
    <w:rsid w:val="523E0D6C"/>
    <w:rsid w:val="52431146"/>
    <w:rsid w:val="52693198"/>
    <w:rsid w:val="526F14DE"/>
    <w:rsid w:val="52700E00"/>
    <w:rsid w:val="527E4DA9"/>
    <w:rsid w:val="52857C4A"/>
    <w:rsid w:val="52964F60"/>
    <w:rsid w:val="529D1CC1"/>
    <w:rsid w:val="529E79C7"/>
    <w:rsid w:val="52A2325C"/>
    <w:rsid w:val="52A54CEA"/>
    <w:rsid w:val="52A93E27"/>
    <w:rsid w:val="52AD2D21"/>
    <w:rsid w:val="52AE55C9"/>
    <w:rsid w:val="52BA0903"/>
    <w:rsid w:val="52C823F6"/>
    <w:rsid w:val="52CA2036"/>
    <w:rsid w:val="52D80764"/>
    <w:rsid w:val="52DA40DA"/>
    <w:rsid w:val="52E71802"/>
    <w:rsid w:val="52E73287"/>
    <w:rsid w:val="52FB474A"/>
    <w:rsid w:val="52FD6003"/>
    <w:rsid w:val="53002468"/>
    <w:rsid w:val="53057EDB"/>
    <w:rsid w:val="53097478"/>
    <w:rsid w:val="530D63A6"/>
    <w:rsid w:val="530F6D0A"/>
    <w:rsid w:val="53103DB0"/>
    <w:rsid w:val="53120A6B"/>
    <w:rsid w:val="531542E7"/>
    <w:rsid w:val="53245F24"/>
    <w:rsid w:val="5332571F"/>
    <w:rsid w:val="533601E1"/>
    <w:rsid w:val="53383605"/>
    <w:rsid w:val="533A6331"/>
    <w:rsid w:val="534310B6"/>
    <w:rsid w:val="534E2894"/>
    <w:rsid w:val="53517349"/>
    <w:rsid w:val="53567845"/>
    <w:rsid w:val="535A4110"/>
    <w:rsid w:val="53630B05"/>
    <w:rsid w:val="53695265"/>
    <w:rsid w:val="536D3E13"/>
    <w:rsid w:val="536D43FE"/>
    <w:rsid w:val="537578D5"/>
    <w:rsid w:val="537B2AFE"/>
    <w:rsid w:val="537D6236"/>
    <w:rsid w:val="538476AA"/>
    <w:rsid w:val="53875E4B"/>
    <w:rsid w:val="538D3520"/>
    <w:rsid w:val="53917BE2"/>
    <w:rsid w:val="53961EE9"/>
    <w:rsid w:val="539B439B"/>
    <w:rsid w:val="539E49F2"/>
    <w:rsid w:val="53A45A0C"/>
    <w:rsid w:val="53B023D3"/>
    <w:rsid w:val="53B27D03"/>
    <w:rsid w:val="53B70BA2"/>
    <w:rsid w:val="53B927C7"/>
    <w:rsid w:val="53BA32A6"/>
    <w:rsid w:val="53C929EF"/>
    <w:rsid w:val="53C95059"/>
    <w:rsid w:val="53D13A08"/>
    <w:rsid w:val="53D40BE1"/>
    <w:rsid w:val="53D55AFF"/>
    <w:rsid w:val="53D82074"/>
    <w:rsid w:val="53DB4428"/>
    <w:rsid w:val="53DE5242"/>
    <w:rsid w:val="53E219B9"/>
    <w:rsid w:val="53E21C84"/>
    <w:rsid w:val="53EA6792"/>
    <w:rsid w:val="53EC2E02"/>
    <w:rsid w:val="53F52A10"/>
    <w:rsid w:val="53FF23EC"/>
    <w:rsid w:val="540F5DB4"/>
    <w:rsid w:val="541A1393"/>
    <w:rsid w:val="54207A3B"/>
    <w:rsid w:val="54207E4B"/>
    <w:rsid w:val="54214F8C"/>
    <w:rsid w:val="54266C2A"/>
    <w:rsid w:val="542E0A83"/>
    <w:rsid w:val="54351929"/>
    <w:rsid w:val="54362CC1"/>
    <w:rsid w:val="54365BBC"/>
    <w:rsid w:val="5437569C"/>
    <w:rsid w:val="54376B4D"/>
    <w:rsid w:val="543A339D"/>
    <w:rsid w:val="54460BE9"/>
    <w:rsid w:val="54496E9B"/>
    <w:rsid w:val="544A1355"/>
    <w:rsid w:val="54566D72"/>
    <w:rsid w:val="545C7D98"/>
    <w:rsid w:val="546504A5"/>
    <w:rsid w:val="54700739"/>
    <w:rsid w:val="54734E8E"/>
    <w:rsid w:val="547370C6"/>
    <w:rsid w:val="547B1C41"/>
    <w:rsid w:val="547E67EF"/>
    <w:rsid w:val="54817224"/>
    <w:rsid w:val="54856614"/>
    <w:rsid w:val="5497251D"/>
    <w:rsid w:val="54A05F51"/>
    <w:rsid w:val="54B06507"/>
    <w:rsid w:val="54B41BB8"/>
    <w:rsid w:val="54B84AA0"/>
    <w:rsid w:val="54B9745A"/>
    <w:rsid w:val="54C00A5A"/>
    <w:rsid w:val="54C3004D"/>
    <w:rsid w:val="54C478EC"/>
    <w:rsid w:val="54D83F1C"/>
    <w:rsid w:val="54DA0EF3"/>
    <w:rsid w:val="54E51D72"/>
    <w:rsid w:val="54E5459F"/>
    <w:rsid w:val="54EB1369"/>
    <w:rsid w:val="54ED6045"/>
    <w:rsid w:val="54F00716"/>
    <w:rsid w:val="54F74E66"/>
    <w:rsid w:val="54F75A83"/>
    <w:rsid w:val="54F8791E"/>
    <w:rsid w:val="55022E67"/>
    <w:rsid w:val="55043DC5"/>
    <w:rsid w:val="550A5C75"/>
    <w:rsid w:val="55170AF0"/>
    <w:rsid w:val="551E2DF7"/>
    <w:rsid w:val="55266EAD"/>
    <w:rsid w:val="55304E9F"/>
    <w:rsid w:val="55393E6B"/>
    <w:rsid w:val="55396CFB"/>
    <w:rsid w:val="553B5167"/>
    <w:rsid w:val="55406311"/>
    <w:rsid w:val="554546CA"/>
    <w:rsid w:val="554B402D"/>
    <w:rsid w:val="55516335"/>
    <w:rsid w:val="55521D96"/>
    <w:rsid w:val="555519FA"/>
    <w:rsid w:val="55553F6C"/>
    <w:rsid w:val="555B30C2"/>
    <w:rsid w:val="55635CE6"/>
    <w:rsid w:val="55676D13"/>
    <w:rsid w:val="557622B6"/>
    <w:rsid w:val="5576686F"/>
    <w:rsid w:val="55767797"/>
    <w:rsid w:val="5578459E"/>
    <w:rsid w:val="557A1F96"/>
    <w:rsid w:val="557F2BF0"/>
    <w:rsid w:val="558A2ABC"/>
    <w:rsid w:val="558B3EC5"/>
    <w:rsid w:val="558B3F82"/>
    <w:rsid w:val="55961EF1"/>
    <w:rsid w:val="559659F1"/>
    <w:rsid w:val="559A12DC"/>
    <w:rsid w:val="55A41C2D"/>
    <w:rsid w:val="55A4646A"/>
    <w:rsid w:val="55AF5035"/>
    <w:rsid w:val="55BB4E7D"/>
    <w:rsid w:val="55C70849"/>
    <w:rsid w:val="55CC4CE0"/>
    <w:rsid w:val="55D1398B"/>
    <w:rsid w:val="55D42A82"/>
    <w:rsid w:val="55DB3175"/>
    <w:rsid w:val="55DE7B68"/>
    <w:rsid w:val="55FA1ABC"/>
    <w:rsid w:val="55FB55C5"/>
    <w:rsid w:val="55FC688F"/>
    <w:rsid w:val="560776BA"/>
    <w:rsid w:val="56093F1D"/>
    <w:rsid w:val="560B34AB"/>
    <w:rsid w:val="560F6B61"/>
    <w:rsid w:val="56210A17"/>
    <w:rsid w:val="562716C2"/>
    <w:rsid w:val="56316023"/>
    <w:rsid w:val="56322468"/>
    <w:rsid w:val="563F7578"/>
    <w:rsid w:val="56414CB7"/>
    <w:rsid w:val="56451AD1"/>
    <w:rsid w:val="564F5678"/>
    <w:rsid w:val="5655639A"/>
    <w:rsid w:val="566302EC"/>
    <w:rsid w:val="566808A7"/>
    <w:rsid w:val="56706391"/>
    <w:rsid w:val="5679149C"/>
    <w:rsid w:val="567A7D06"/>
    <w:rsid w:val="56837807"/>
    <w:rsid w:val="568F2401"/>
    <w:rsid w:val="569312BB"/>
    <w:rsid w:val="569B1228"/>
    <w:rsid w:val="569D79A7"/>
    <w:rsid w:val="569E74BB"/>
    <w:rsid w:val="56A21304"/>
    <w:rsid w:val="56A417B8"/>
    <w:rsid w:val="56A7705B"/>
    <w:rsid w:val="56AD7F79"/>
    <w:rsid w:val="56B03C08"/>
    <w:rsid w:val="56B10558"/>
    <w:rsid w:val="56B33C58"/>
    <w:rsid w:val="56B769A3"/>
    <w:rsid w:val="56BA1C2F"/>
    <w:rsid w:val="56BA3E74"/>
    <w:rsid w:val="56BD5128"/>
    <w:rsid w:val="56C433BA"/>
    <w:rsid w:val="56C64E25"/>
    <w:rsid w:val="56D078BA"/>
    <w:rsid w:val="56D45E5C"/>
    <w:rsid w:val="56D91D97"/>
    <w:rsid w:val="56E11FFE"/>
    <w:rsid w:val="56E22F03"/>
    <w:rsid w:val="56FE2675"/>
    <w:rsid w:val="57024CA9"/>
    <w:rsid w:val="570B1A7A"/>
    <w:rsid w:val="570D55B0"/>
    <w:rsid w:val="570F7836"/>
    <w:rsid w:val="571D456C"/>
    <w:rsid w:val="571F4A05"/>
    <w:rsid w:val="5720093F"/>
    <w:rsid w:val="572F29D4"/>
    <w:rsid w:val="5730692C"/>
    <w:rsid w:val="57345D28"/>
    <w:rsid w:val="573578EB"/>
    <w:rsid w:val="5748483A"/>
    <w:rsid w:val="57491534"/>
    <w:rsid w:val="574A6F64"/>
    <w:rsid w:val="57554930"/>
    <w:rsid w:val="575753D8"/>
    <w:rsid w:val="575B58D7"/>
    <w:rsid w:val="57605623"/>
    <w:rsid w:val="576158FB"/>
    <w:rsid w:val="576B6552"/>
    <w:rsid w:val="57761F9B"/>
    <w:rsid w:val="57792C45"/>
    <w:rsid w:val="577C1325"/>
    <w:rsid w:val="577E2CCC"/>
    <w:rsid w:val="57832BB2"/>
    <w:rsid w:val="578850E6"/>
    <w:rsid w:val="578E7FF5"/>
    <w:rsid w:val="579239D5"/>
    <w:rsid w:val="57963FEF"/>
    <w:rsid w:val="57A21425"/>
    <w:rsid w:val="57A718D3"/>
    <w:rsid w:val="57A8224C"/>
    <w:rsid w:val="57AE372B"/>
    <w:rsid w:val="57B47A69"/>
    <w:rsid w:val="57B601AF"/>
    <w:rsid w:val="57B63FF7"/>
    <w:rsid w:val="57BD4097"/>
    <w:rsid w:val="57C251E5"/>
    <w:rsid w:val="57C37B7C"/>
    <w:rsid w:val="57CE1194"/>
    <w:rsid w:val="57CF37D7"/>
    <w:rsid w:val="57D0504D"/>
    <w:rsid w:val="57DF62FB"/>
    <w:rsid w:val="57DF7CFC"/>
    <w:rsid w:val="57E95805"/>
    <w:rsid w:val="57EB1021"/>
    <w:rsid w:val="57F85246"/>
    <w:rsid w:val="57FD1B47"/>
    <w:rsid w:val="580A5CD8"/>
    <w:rsid w:val="580E2A1E"/>
    <w:rsid w:val="58120418"/>
    <w:rsid w:val="58190256"/>
    <w:rsid w:val="581A1FD0"/>
    <w:rsid w:val="58214D28"/>
    <w:rsid w:val="58220A53"/>
    <w:rsid w:val="58255662"/>
    <w:rsid w:val="58265CA2"/>
    <w:rsid w:val="582C7CB7"/>
    <w:rsid w:val="582E72C4"/>
    <w:rsid w:val="583C2242"/>
    <w:rsid w:val="583C5CCB"/>
    <w:rsid w:val="58496ABB"/>
    <w:rsid w:val="584A0594"/>
    <w:rsid w:val="584E7218"/>
    <w:rsid w:val="58644008"/>
    <w:rsid w:val="586819A5"/>
    <w:rsid w:val="58690477"/>
    <w:rsid w:val="58716063"/>
    <w:rsid w:val="58736AA2"/>
    <w:rsid w:val="587839A2"/>
    <w:rsid w:val="587F20DC"/>
    <w:rsid w:val="5884037B"/>
    <w:rsid w:val="588551C2"/>
    <w:rsid w:val="58875A0C"/>
    <w:rsid w:val="58880A1A"/>
    <w:rsid w:val="588B516F"/>
    <w:rsid w:val="588E04FC"/>
    <w:rsid w:val="58915A5B"/>
    <w:rsid w:val="58922E4E"/>
    <w:rsid w:val="5892322A"/>
    <w:rsid w:val="58932672"/>
    <w:rsid w:val="5895405F"/>
    <w:rsid w:val="58997677"/>
    <w:rsid w:val="58A44D10"/>
    <w:rsid w:val="58A52F73"/>
    <w:rsid w:val="58A53206"/>
    <w:rsid w:val="58A91F0E"/>
    <w:rsid w:val="58AB15FA"/>
    <w:rsid w:val="58AB1DB2"/>
    <w:rsid w:val="58AB710B"/>
    <w:rsid w:val="58AC400B"/>
    <w:rsid w:val="58AF65F5"/>
    <w:rsid w:val="58B32187"/>
    <w:rsid w:val="58B367AB"/>
    <w:rsid w:val="58B47A23"/>
    <w:rsid w:val="58B974BA"/>
    <w:rsid w:val="58C02FC5"/>
    <w:rsid w:val="58C44394"/>
    <w:rsid w:val="58C723AC"/>
    <w:rsid w:val="58CB31E8"/>
    <w:rsid w:val="58D75C5B"/>
    <w:rsid w:val="58DA315C"/>
    <w:rsid w:val="58DC4A1E"/>
    <w:rsid w:val="58E05334"/>
    <w:rsid w:val="58E17A5A"/>
    <w:rsid w:val="58E25D56"/>
    <w:rsid w:val="58E267D5"/>
    <w:rsid w:val="58EA0663"/>
    <w:rsid w:val="58F3600E"/>
    <w:rsid w:val="58FA1B64"/>
    <w:rsid w:val="59103135"/>
    <w:rsid w:val="59124742"/>
    <w:rsid w:val="59144AEF"/>
    <w:rsid w:val="591841DB"/>
    <w:rsid w:val="59252237"/>
    <w:rsid w:val="592562E1"/>
    <w:rsid w:val="59276CA7"/>
    <w:rsid w:val="59296AD1"/>
    <w:rsid w:val="593055E0"/>
    <w:rsid w:val="59345076"/>
    <w:rsid w:val="59356D28"/>
    <w:rsid w:val="593E3CDA"/>
    <w:rsid w:val="59453215"/>
    <w:rsid w:val="59453B20"/>
    <w:rsid w:val="594A2AEB"/>
    <w:rsid w:val="59576FB6"/>
    <w:rsid w:val="59592E7B"/>
    <w:rsid w:val="595E36F9"/>
    <w:rsid w:val="59602C55"/>
    <w:rsid w:val="5963054E"/>
    <w:rsid w:val="59631B70"/>
    <w:rsid w:val="596B2F32"/>
    <w:rsid w:val="597647D2"/>
    <w:rsid w:val="5977223D"/>
    <w:rsid w:val="598325E3"/>
    <w:rsid w:val="59872692"/>
    <w:rsid w:val="598C10A3"/>
    <w:rsid w:val="598F568D"/>
    <w:rsid w:val="599625DD"/>
    <w:rsid w:val="59981C54"/>
    <w:rsid w:val="59A12B3D"/>
    <w:rsid w:val="59AF2D18"/>
    <w:rsid w:val="59AF3AF2"/>
    <w:rsid w:val="59B14818"/>
    <w:rsid w:val="59B461B6"/>
    <w:rsid w:val="59B77A55"/>
    <w:rsid w:val="59B95A0D"/>
    <w:rsid w:val="59BA60EE"/>
    <w:rsid w:val="59C02DAD"/>
    <w:rsid w:val="59D10207"/>
    <w:rsid w:val="59D25759"/>
    <w:rsid w:val="59D86349"/>
    <w:rsid w:val="59E74652"/>
    <w:rsid w:val="59EA24B6"/>
    <w:rsid w:val="59F002FD"/>
    <w:rsid w:val="59F02980"/>
    <w:rsid w:val="59F17145"/>
    <w:rsid w:val="59F91E1B"/>
    <w:rsid w:val="59FD5116"/>
    <w:rsid w:val="5A067105"/>
    <w:rsid w:val="5A0B56F0"/>
    <w:rsid w:val="5A2055FA"/>
    <w:rsid w:val="5A297057"/>
    <w:rsid w:val="5A3553B3"/>
    <w:rsid w:val="5A365C4A"/>
    <w:rsid w:val="5A3A2B60"/>
    <w:rsid w:val="5A3B47A6"/>
    <w:rsid w:val="5A3C2295"/>
    <w:rsid w:val="5A3E2C06"/>
    <w:rsid w:val="5A42336F"/>
    <w:rsid w:val="5A455061"/>
    <w:rsid w:val="5A4D1EC6"/>
    <w:rsid w:val="5A5076BF"/>
    <w:rsid w:val="5A5C0D28"/>
    <w:rsid w:val="5A5C32EE"/>
    <w:rsid w:val="5A5D190B"/>
    <w:rsid w:val="5A601753"/>
    <w:rsid w:val="5A687CB9"/>
    <w:rsid w:val="5A6D68F3"/>
    <w:rsid w:val="5A75669D"/>
    <w:rsid w:val="5A8323EE"/>
    <w:rsid w:val="5A885AA9"/>
    <w:rsid w:val="5A8C2769"/>
    <w:rsid w:val="5A9401DD"/>
    <w:rsid w:val="5A94610F"/>
    <w:rsid w:val="5AA136BD"/>
    <w:rsid w:val="5AA77FE6"/>
    <w:rsid w:val="5AAE752B"/>
    <w:rsid w:val="5AB3021C"/>
    <w:rsid w:val="5AB630BE"/>
    <w:rsid w:val="5AB741B0"/>
    <w:rsid w:val="5AB82EC1"/>
    <w:rsid w:val="5AC44733"/>
    <w:rsid w:val="5ACD255B"/>
    <w:rsid w:val="5ADA35B4"/>
    <w:rsid w:val="5AE51657"/>
    <w:rsid w:val="5AE8165E"/>
    <w:rsid w:val="5AE825BC"/>
    <w:rsid w:val="5AF73743"/>
    <w:rsid w:val="5AFE1233"/>
    <w:rsid w:val="5B0008AA"/>
    <w:rsid w:val="5B031853"/>
    <w:rsid w:val="5B0D253B"/>
    <w:rsid w:val="5B136F0D"/>
    <w:rsid w:val="5B155C31"/>
    <w:rsid w:val="5B1D54B7"/>
    <w:rsid w:val="5B21162A"/>
    <w:rsid w:val="5B222596"/>
    <w:rsid w:val="5B246E44"/>
    <w:rsid w:val="5B295CDA"/>
    <w:rsid w:val="5B2A29B4"/>
    <w:rsid w:val="5B3551D5"/>
    <w:rsid w:val="5B364E45"/>
    <w:rsid w:val="5B3F15ED"/>
    <w:rsid w:val="5B405E90"/>
    <w:rsid w:val="5B42726A"/>
    <w:rsid w:val="5B4B1AFC"/>
    <w:rsid w:val="5B4B48F9"/>
    <w:rsid w:val="5B63038C"/>
    <w:rsid w:val="5B656418"/>
    <w:rsid w:val="5B675B3C"/>
    <w:rsid w:val="5B681DB7"/>
    <w:rsid w:val="5B6E71D2"/>
    <w:rsid w:val="5B70435F"/>
    <w:rsid w:val="5B7159D0"/>
    <w:rsid w:val="5B730088"/>
    <w:rsid w:val="5B740991"/>
    <w:rsid w:val="5B74437B"/>
    <w:rsid w:val="5B751975"/>
    <w:rsid w:val="5B7D5DA4"/>
    <w:rsid w:val="5B8553DD"/>
    <w:rsid w:val="5B896C4A"/>
    <w:rsid w:val="5B9519A0"/>
    <w:rsid w:val="5B952EC4"/>
    <w:rsid w:val="5BA968A1"/>
    <w:rsid w:val="5BAF16CD"/>
    <w:rsid w:val="5BB228BB"/>
    <w:rsid w:val="5BB64D50"/>
    <w:rsid w:val="5BB87FB0"/>
    <w:rsid w:val="5BC00E43"/>
    <w:rsid w:val="5BC3708A"/>
    <w:rsid w:val="5BC6506B"/>
    <w:rsid w:val="5BCC27FF"/>
    <w:rsid w:val="5BCC3E36"/>
    <w:rsid w:val="5BDC19F5"/>
    <w:rsid w:val="5BE017D7"/>
    <w:rsid w:val="5BE33A5B"/>
    <w:rsid w:val="5BE364EA"/>
    <w:rsid w:val="5BE64117"/>
    <w:rsid w:val="5BEA1AED"/>
    <w:rsid w:val="5BEB01EF"/>
    <w:rsid w:val="5BF6658D"/>
    <w:rsid w:val="5BFE631F"/>
    <w:rsid w:val="5BFE6FE4"/>
    <w:rsid w:val="5C003935"/>
    <w:rsid w:val="5C005573"/>
    <w:rsid w:val="5C0160F9"/>
    <w:rsid w:val="5C03649B"/>
    <w:rsid w:val="5C081A8C"/>
    <w:rsid w:val="5C09327B"/>
    <w:rsid w:val="5C0C2E43"/>
    <w:rsid w:val="5C0F1DCA"/>
    <w:rsid w:val="5C112EF5"/>
    <w:rsid w:val="5C1523B5"/>
    <w:rsid w:val="5C171F2B"/>
    <w:rsid w:val="5C1D76F0"/>
    <w:rsid w:val="5C2075C5"/>
    <w:rsid w:val="5C3A6069"/>
    <w:rsid w:val="5C410A70"/>
    <w:rsid w:val="5C425D34"/>
    <w:rsid w:val="5C45636A"/>
    <w:rsid w:val="5C4F2ABE"/>
    <w:rsid w:val="5C560E8B"/>
    <w:rsid w:val="5C581538"/>
    <w:rsid w:val="5C5D7036"/>
    <w:rsid w:val="5C615DD6"/>
    <w:rsid w:val="5C672A94"/>
    <w:rsid w:val="5C675690"/>
    <w:rsid w:val="5C6A7000"/>
    <w:rsid w:val="5C724ECE"/>
    <w:rsid w:val="5C7310F3"/>
    <w:rsid w:val="5C776BEB"/>
    <w:rsid w:val="5C7A0780"/>
    <w:rsid w:val="5C7D022F"/>
    <w:rsid w:val="5C7D6575"/>
    <w:rsid w:val="5C7E2144"/>
    <w:rsid w:val="5C8516FE"/>
    <w:rsid w:val="5C8A4C5B"/>
    <w:rsid w:val="5C8D037D"/>
    <w:rsid w:val="5C9B4AD0"/>
    <w:rsid w:val="5C9E7696"/>
    <w:rsid w:val="5CA11271"/>
    <w:rsid w:val="5CA5749C"/>
    <w:rsid w:val="5CB24496"/>
    <w:rsid w:val="5CC5275B"/>
    <w:rsid w:val="5CC74453"/>
    <w:rsid w:val="5CC91FE6"/>
    <w:rsid w:val="5CDC656A"/>
    <w:rsid w:val="5CE53C09"/>
    <w:rsid w:val="5CE77E5B"/>
    <w:rsid w:val="5CEB1EEF"/>
    <w:rsid w:val="5CEC43EB"/>
    <w:rsid w:val="5CEF38B2"/>
    <w:rsid w:val="5CF25617"/>
    <w:rsid w:val="5CF314B1"/>
    <w:rsid w:val="5CFD2382"/>
    <w:rsid w:val="5CFE4292"/>
    <w:rsid w:val="5D010CDE"/>
    <w:rsid w:val="5D0721E8"/>
    <w:rsid w:val="5D0D7453"/>
    <w:rsid w:val="5D100A1E"/>
    <w:rsid w:val="5D104837"/>
    <w:rsid w:val="5D1324BB"/>
    <w:rsid w:val="5D15731A"/>
    <w:rsid w:val="5D1719BE"/>
    <w:rsid w:val="5D1E10D6"/>
    <w:rsid w:val="5D217954"/>
    <w:rsid w:val="5D291DEC"/>
    <w:rsid w:val="5D302B88"/>
    <w:rsid w:val="5D3047CF"/>
    <w:rsid w:val="5D42535B"/>
    <w:rsid w:val="5D43432D"/>
    <w:rsid w:val="5D4A0A83"/>
    <w:rsid w:val="5D4A3BDD"/>
    <w:rsid w:val="5D4A5585"/>
    <w:rsid w:val="5D550D64"/>
    <w:rsid w:val="5D56381F"/>
    <w:rsid w:val="5D594602"/>
    <w:rsid w:val="5D6B3030"/>
    <w:rsid w:val="5D722610"/>
    <w:rsid w:val="5D730E85"/>
    <w:rsid w:val="5D7B5336"/>
    <w:rsid w:val="5D7D0750"/>
    <w:rsid w:val="5D7E3559"/>
    <w:rsid w:val="5D810AA5"/>
    <w:rsid w:val="5D872699"/>
    <w:rsid w:val="5D8D4300"/>
    <w:rsid w:val="5D8E4A80"/>
    <w:rsid w:val="5D97482E"/>
    <w:rsid w:val="5DA02030"/>
    <w:rsid w:val="5DA41E0E"/>
    <w:rsid w:val="5DA72268"/>
    <w:rsid w:val="5DC62146"/>
    <w:rsid w:val="5DC71F6A"/>
    <w:rsid w:val="5DC862A3"/>
    <w:rsid w:val="5DCA5E64"/>
    <w:rsid w:val="5DCB3ACF"/>
    <w:rsid w:val="5DD003BA"/>
    <w:rsid w:val="5DDA038E"/>
    <w:rsid w:val="5DE354FD"/>
    <w:rsid w:val="5DE82F2E"/>
    <w:rsid w:val="5DEA42B1"/>
    <w:rsid w:val="5DEC7F96"/>
    <w:rsid w:val="5DF05963"/>
    <w:rsid w:val="5DF615B6"/>
    <w:rsid w:val="5DF9087B"/>
    <w:rsid w:val="5DFB2606"/>
    <w:rsid w:val="5DFD4F08"/>
    <w:rsid w:val="5E016CB2"/>
    <w:rsid w:val="5E172F8A"/>
    <w:rsid w:val="5E331DA0"/>
    <w:rsid w:val="5E387BAE"/>
    <w:rsid w:val="5E3E7621"/>
    <w:rsid w:val="5E48755C"/>
    <w:rsid w:val="5E4B5FC3"/>
    <w:rsid w:val="5E4E2F15"/>
    <w:rsid w:val="5E53627F"/>
    <w:rsid w:val="5E55788C"/>
    <w:rsid w:val="5E584E27"/>
    <w:rsid w:val="5E5F20CF"/>
    <w:rsid w:val="5E741175"/>
    <w:rsid w:val="5E775184"/>
    <w:rsid w:val="5E7B72A3"/>
    <w:rsid w:val="5E7E12F3"/>
    <w:rsid w:val="5E892D83"/>
    <w:rsid w:val="5EA3535A"/>
    <w:rsid w:val="5EA70A2B"/>
    <w:rsid w:val="5EAE06BC"/>
    <w:rsid w:val="5EAE1426"/>
    <w:rsid w:val="5EBF1885"/>
    <w:rsid w:val="5EC450EE"/>
    <w:rsid w:val="5ECD4F14"/>
    <w:rsid w:val="5EDF127E"/>
    <w:rsid w:val="5EEC63F2"/>
    <w:rsid w:val="5EF37781"/>
    <w:rsid w:val="5EF42D90"/>
    <w:rsid w:val="5EF543BB"/>
    <w:rsid w:val="5EFC5E7B"/>
    <w:rsid w:val="5EFF5B7D"/>
    <w:rsid w:val="5F047935"/>
    <w:rsid w:val="5F056362"/>
    <w:rsid w:val="5F091819"/>
    <w:rsid w:val="5F110760"/>
    <w:rsid w:val="5F1265AF"/>
    <w:rsid w:val="5F180F96"/>
    <w:rsid w:val="5F182D44"/>
    <w:rsid w:val="5F1A31D2"/>
    <w:rsid w:val="5F1F78E4"/>
    <w:rsid w:val="5F206838"/>
    <w:rsid w:val="5F260AC4"/>
    <w:rsid w:val="5F266591"/>
    <w:rsid w:val="5F28678B"/>
    <w:rsid w:val="5F293A2C"/>
    <w:rsid w:val="5F2B24E7"/>
    <w:rsid w:val="5F2B6F1B"/>
    <w:rsid w:val="5F2D46F6"/>
    <w:rsid w:val="5F385E54"/>
    <w:rsid w:val="5F3C3AE7"/>
    <w:rsid w:val="5F3E1829"/>
    <w:rsid w:val="5F3E6B31"/>
    <w:rsid w:val="5F412860"/>
    <w:rsid w:val="5F422122"/>
    <w:rsid w:val="5F42674F"/>
    <w:rsid w:val="5F4F0B04"/>
    <w:rsid w:val="5F550FE6"/>
    <w:rsid w:val="5F641218"/>
    <w:rsid w:val="5F6B324B"/>
    <w:rsid w:val="5F6C7517"/>
    <w:rsid w:val="5F705205"/>
    <w:rsid w:val="5F712E5B"/>
    <w:rsid w:val="5F7327C6"/>
    <w:rsid w:val="5F750196"/>
    <w:rsid w:val="5F750588"/>
    <w:rsid w:val="5F7F6E06"/>
    <w:rsid w:val="5F81458B"/>
    <w:rsid w:val="5F85487D"/>
    <w:rsid w:val="5F8910B2"/>
    <w:rsid w:val="5F8D346E"/>
    <w:rsid w:val="5FA20747"/>
    <w:rsid w:val="5FA7486B"/>
    <w:rsid w:val="5FAC361E"/>
    <w:rsid w:val="5FB5402E"/>
    <w:rsid w:val="5FB901E6"/>
    <w:rsid w:val="5FBC2D4D"/>
    <w:rsid w:val="5FBF7FC6"/>
    <w:rsid w:val="5FD33CED"/>
    <w:rsid w:val="5FDD4249"/>
    <w:rsid w:val="5FDE5D3B"/>
    <w:rsid w:val="5FE57A85"/>
    <w:rsid w:val="5FE73BAF"/>
    <w:rsid w:val="5FE908F1"/>
    <w:rsid w:val="5FED58A6"/>
    <w:rsid w:val="5FF65C5C"/>
    <w:rsid w:val="60003F04"/>
    <w:rsid w:val="60052348"/>
    <w:rsid w:val="60053032"/>
    <w:rsid w:val="600734E4"/>
    <w:rsid w:val="6008725C"/>
    <w:rsid w:val="60163727"/>
    <w:rsid w:val="6018410E"/>
    <w:rsid w:val="6025396A"/>
    <w:rsid w:val="6031180D"/>
    <w:rsid w:val="603A230F"/>
    <w:rsid w:val="604007A4"/>
    <w:rsid w:val="60426A1E"/>
    <w:rsid w:val="604840F1"/>
    <w:rsid w:val="604F7C8F"/>
    <w:rsid w:val="605018D1"/>
    <w:rsid w:val="60547ECC"/>
    <w:rsid w:val="60663646"/>
    <w:rsid w:val="606809C2"/>
    <w:rsid w:val="606D484F"/>
    <w:rsid w:val="60820DBC"/>
    <w:rsid w:val="60825473"/>
    <w:rsid w:val="60884FAA"/>
    <w:rsid w:val="608949A1"/>
    <w:rsid w:val="608F4044"/>
    <w:rsid w:val="609B46CE"/>
    <w:rsid w:val="609D1736"/>
    <w:rsid w:val="60A22FC2"/>
    <w:rsid w:val="60A6027A"/>
    <w:rsid w:val="60A85E9A"/>
    <w:rsid w:val="60B4503A"/>
    <w:rsid w:val="60B86D82"/>
    <w:rsid w:val="60C42FF7"/>
    <w:rsid w:val="60C95E5C"/>
    <w:rsid w:val="60CE2EE1"/>
    <w:rsid w:val="60D07E29"/>
    <w:rsid w:val="60DF62DD"/>
    <w:rsid w:val="60EA05A2"/>
    <w:rsid w:val="60EB1852"/>
    <w:rsid w:val="60F33E43"/>
    <w:rsid w:val="60FF41BB"/>
    <w:rsid w:val="6109299E"/>
    <w:rsid w:val="61112CC5"/>
    <w:rsid w:val="61241E74"/>
    <w:rsid w:val="6129750A"/>
    <w:rsid w:val="61297FB1"/>
    <w:rsid w:val="613121CE"/>
    <w:rsid w:val="613961C3"/>
    <w:rsid w:val="613A1697"/>
    <w:rsid w:val="61413A23"/>
    <w:rsid w:val="61473059"/>
    <w:rsid w:val="615902D6"/>
    <w:rsid w:val="616278FA"/>
    <w:rsid w:val="616733B2"/>
    <w:rsid w:val="61674177"/>
    <w:rsid w:val="61693036"/>
    <w:rsid w:val="61695AD8"/>
    <w:rsid w:val="616C1B96"/>
    <w:rsid w:val="616D381B"/>
    <w:rsid w:val="616D4CDF"/>
    <w:rsid w:val="616E1341"/>
    <w:rsid w:val="61721B91"/>
    <w:rsid w:val="61766367"/>
    <w:rsid w:val="617B3EB0"/>
    <w:rsid w:val="618E0E1E"/>
    <w:rsid w:val="61952E01"/>
    <w:rsid w:val="619660F5"/>
    <w:rsid w:val="619B714A"/>
    <w:rsid w:val="619C13C0"/>
    <w:rsid w:val="619C1EE1"/>
    <w:rsid w:val="61A41770"/>
    <w:rsid w:val="61AF33B2"/>
    <w:rsid w:val="61B51378"/>
    <w:rsid w:val="61C35FB8"/>
    <w:rsid w:val="61C77E1D"/>
    <w:rsid w:val="61CB0AE0"/>
    <w:rsid w:val="61D01F53"/>
    <w:rsid w:val="61D20D31"/>
    <w:rsid w:val="61D80E95"/>
    <w:rsid w:val="61D830B4"/>
    <w:rsid w:val="61DA0784"/>
    <w:rsid w:val="61DB02DC"/>
    <w:rsid w:val="61DB05B0"/>
    <w:rsid w:val="61E2523A"/>
    <w:rsid w:val="61E423F3"/>
    <w:rsid w:val="61E63A17"/>
    <w:rsid w:val="61E66FAD"/>
    <w:rsid w:val="61E67129"/>
    <w:rsid w:val="61EA7A45"/>
    <w:rsid w:val="61ED5EE7"/>
    <w:rsid w:val="62092205"/>
    <w:rsid w:val="62171ACF"/>
    <w:rsid w:val="621950F1"/>
    <w:rsid w:val="621C3279"/>
    <w:rsid w:val="62214D5D"/>
    <w:rsid w:val="622436D5"/>
    <w:rsid w:val="62256101"/>
    <w:rsid w:val="62280495"/>
    <w:rsid w:val="622F4FDA"/>
    <w:rsid w:val="62303EAD"/>
    <w:rsid w:val="62394D24"/>
    <w:rsid w:val="6255436D"/>
    <w:rsid w:val="62593E93"/>
    <w:rsid w:val="625E3163"/>
    <w:rsid w:val="62604BC8"/>
    <w:rsid w:val="6262034B"/>
    <w:rsid w:val="62653DB1"/>
    <w:rsid w:val="6267026A"/>
    <w:rsid w:val="626A337F"/>
    <w:rsid w:val="62766143"/>
    <w:rsid w:val="62790A24"/>
    <w:rsid w:val="627B425A"/>
    <w:rsid w:val="627C0A32"/>
    <w:rsid w:val="627C7B72"/>
    <w:rsid w:val="627F6324"/>
    <w:rsid w:val="628425E8"/>
    <w:rsid w:val="6289299F"/>
    <w:rsid w:val="629F2C81"/>
    <w:rsid w:val="62A02BB8"/>
    <w:rsid w:val="62A47915"/>
    <w:rsid w:val="62A61089"/>
    <w:rsid w:val="62A668AD"/>
    <w:rsid w:val="62A80347"/>
    <w:rsid w:val="62A96B96"/>
    <w:rsid w:val="62AF33EC"/>
    <w:rsid w:val="62B30F46"/>
    <w:rsid w:val="62B701F8"/>
    <w:rsid w:val="62B82C24"/>
    <w:rsid w:val="62B83AA8"/>
    <w:rsid w:val="62BC5D49"/>
    <w:rsid w:val="62BD1BF7"/>
    <w:rsid w:val="62BD60DC"/>
    <w:rsid w:val="62BE5E0D"/>
    <w:rsid w:val="62C05259"/>
    <w:rsid w:val="62C54413"/>
    <w:rsid w:val="62C72673"/>
    <w:rsid w:val="62C74375"/>
    <w:rsid w:val="62CA52E5"/>
    <w:rsid w:val="62CD5E5E"/>
    <w:rsid w:val="62D07784"/>
    <w:rsid w:val="62D5720F"/>
    <w:rsid w:val="62D57BBC"/>
    <w:rsid w:val="62DB3373"/>
    <w:rsid w:val="62E5724A"/>
    <w:rsid w:val="62E94951"/>
    <w:rsid w:val="62EA2C49"/>
    <w:rsid w:val="62EC67D1"/>
    <w:rsid w:val="62F615EE"/>
    <w:rsid w:val="62F92060"/>
    <w:rsid w:val="62F95834"/>
    <w:rsid w:val="62FD13EB"/>
    <w:rsid w:val="63135493"/>
    <w:rsid w:val="63213E09"/>
    <w:rsid w:val="632234BF"/>
    <w:rsid w:val="63231877"/>
    <w:rsid w:val="63252C07"/>
    <w:rsid w:val="6326746E"/>
    <w:rsid w:val="63290D0E"/>
    <w:rsid w:val="632F5A78"/>
    <w:rsid w:val="6339025A"/>
    <w:rsid w:val="63427369"/>
    <w:rsid w:val="6343041D"/>
    <w:rsid w:val="63453AAA"/>
    <w:rsid w:val="63456297"/>
    <w:rsid w:val="63464323"/>
    <w:rsid w:val="634C7460"/>
    <w:rsid w:val="63522164"/>
    <w:rsid w:val="63591E23"/>
    <w:rsid w:val="635A092C"/>
    <w:rsid w:val="635B0E7E"/>
    <w:rsid w:val="635B7569"/>
    <w:rsid w:val="635C4E3D"/>
    <w:rsid w:val="63625431"/>
    <w:rsid w:val="637137D7"/>
    <w:rsid w:val="63754382"/>
    <w:rsid w:val="637627B1"/>
    <w:rsid w:val="63885D3E"/>
    <w:rsid w:val="638F78F2"/>
    <w:rsid w:val="63907BC8"/>
    <w:rsid w:val="639602DE"/>
    <w:rsid w:val="639E7020"/>
    <w:rsid w:val="63A12146"/>
    <w:rsid w:val="63AC7EFE"/>
    <w:rsid w:val="63AE4717"/>
    <w:rsid w:val="63AF4358"/>
    <w:rsid w:val="63B964E3"/>
    <w:rsid w:val="63D95197"/>
    <w:rsid w:val="63E6552A"/>
    <w:rsid w:val="63E67006"/>
    <w:rsid w:val="63EA2B19"/>
    <w:rsid w:val="63EB238C"/>
    <w:rsid w:val="63ED2B9F"/>
    <w:rsid w:val="63F45328"/>
    <w:rsid w:val="63F5554C"/>
    <w:rsid w:val="640203E4"/>
    <w:rsid w:val="64022E4D"/>
    <w:rsid w:val="64043057"/>
    <w:rsid w:val="64093558"/>
    <w:rsid w:val="640D32C8"/>
    <w:rsid w:val="640D3C1C"/>
    <w:rsid w:val="64151F48"/>
    <w:rsid w:val="64294BF2"/>
    <w:rsid w:val="642951CF"/>
    <w:rsid w:val="64336A57"/>
    <w:rsid w:val="644C70A9"/>
    <w:rsid w:val="644D47BC"/>
    <w:rsid w:val="64613A5C"/>
    <w:rsid w:val="646A3A2D"/>
    <w:rsid w:val="646F7DBD"/>
    <w:rsid w:val="647457FE"/>
    <w:rsid w:val="647629E6"/>
    <w:rsid w:val="647E189B"/>
    <w:rsid w:val="64890C5B"/>
    <w:rsid w:val="649A577A"/>
    <w:rsid w:val="649F00CF"/>
    <w:rsid w:val="64A16EE3"/>
    <w:rsid w:val="64A21A5D"/>
    <w:rsid w:val="64A26351"/>
    <w:rsid w:val="64A77044"/>
    <w:rsid w:val="64AA6409"/>
    <w:rsid w:val="64B2338B"/>
    <w:rsid w:val="64B25C4D"/>
    <w:rsid w:val="64BA7677"/>
    <w:rsid w:val="64C31CAB"/>
    <w:rsid w:val="64C66C26"/>
    <w:rsid w:val="64C7375A"/>
    <w:rsid w:val="64C77667"/>
    <w:rsid w:val="64E35D36"/>
    <w:rsid w:val="64E63BF8"/>
    <w:rsid w:val="64FC09C3"/>
    <w:rsid w:val="650407EF"/>
    <w:rsid w:val="650A1F74"/>
    <w:rsid w:val="650B415C"/>
    <w:rsid w:val="650D6B24"/>
    <w:rsid w:val="65133541"/>
    <w:rsid w:val="65163D23"/>
    <w:rsid w:val="65164D65"/>
    <w:rsid w:val="651A0FD2"/>
    <w:rsid w:val="65240694"/>
    <w:rsid w:val="652860EA"/>
    <w:rsid w:val="653470EC"/>
    <w:rsid w:val="65370D10"/>
    <w:rsid w:val="65386D76"/>
    <w:rsid w:val="653A5281"/>
    <w:rsid w:val="6543188C"/>
    <w:rsid w:val="654B581C"/>
    <w:rsid w:val="65565168"/>
    <w:rsid w:val="655A46DF"/>
    <w:rsid w:val="655C1C24"/>
    <w:rsid w:val="656B410C"/>
    <w:rsid w:val="65784C06"/>
    <w:rsid w:val="657C3984"/>
    <w:rsid w:val="6582360D"/>
    <w:rsid w:val="65827289"/>
    <w:rsid w:val="658412FD"/>
    <w:rsid w:val="658D609C"/>
    <w:rsid w:val="65984BDE"/>
    <w:rsid w:val="65A143A4"/>
    <w:rsid w:val="65A30255"/>
    <w:rsid w:val="65A96A12"/>
    <w:rsid w:val="65A97F43"/>
    <w:rsid w:val="65B34512"/>
    <w:rsid w:val="65BF03BD"/>
    <w:rsid w:val="65CC5374"/>
    <w:rsid w:val="65D8147F"/>
    <w:rsid w:val="65DA531D"/>
    <w:rsid w:val="65DC479B"/>
    <w:rsid w:val="65DE105D"/>
    <w:rsid w:val="65EA1EA0"/>
    <w:rsid w:val="65F07E14"/>
    <w:rsid w:val="65F21798"/>
    <w:rsid w:val="65F362B8"/>
    <w:rsid w:val="65F86E84"/>
    <w:rsid w:val="65FA13F5"/>
    <w:rsid w:val="66026F49"/>
    <w:rsid w:val="660C60E0"/>
    <w:rsid w:val="661F566C"/>
    <w:rsid w:val="66202B8F"/>
    <w:rsid w:val="6626043C"/>
    <w:rsid w:val="66374470"/>
    <w:rsid w:val="663761A5"/>
    <w:rsid w:val="663C4415"/>
    <w:rsid w:val="6645369B"/>
    <w:rsid w:val="66494A65"/>
    <w:rsid w:val="66587006"/>
    <w:rsid w:val="665D2648"/>
    <w:rsid w:val="6661150C"/>
    <w:rsid w:val="666B7133"/>
    <w:rsid w:val="667575D4"/>
    <w:rsid w:val="66780783"/>
    <w:rsid w:val="667978DA"/>
    <w:rsid w:val="667B0FBC"/>
    <w:rsid w:val="66836E9B"/>
    <w:rsid w:val="66863385"/>
    <w:rsid w:val="668D21BE"/>
    <w:rsid w:val="66910366"/>
    <w:rsid w:val="66976E3D"/>
    <w:rsid w:val="66A129E2"/>
    <w:rsid w:val="66A7761F"/>
    <w:rsid w:val="66AF0431"/>
    <w:rsid w:val="66AF04D3"/>
    <w:rsid w:val="66AF0505"/>
    <w:rsid w:val="66AF4860"/>
    <w:rsid w:val="66B04194"/>
    <w:rsid w:val="66B63460"/>
    <w:rsid w:val="66C27853"/>
    <w:rsid w:val="66C45DAA"/>
    <w:rsid w:val="66C4632F"/>
    <w:rsid w:val="66C85874"/>
    <w:rsid w:val="66C93B8F"/>
    <w:rsid w:val="66CE7D0D"/>
    <w:rsid w:val="66DB0927"/>
    <w:rsid w:val="66DB2FD4"/>
    <w:rsid w:val="66DE4B30"/>
    <w:rsid w:val="66E53E53"/>
    <w:rsid w:val="66EE50C6"/>
    <w:rsid w:val="66EE58B9"/>
    <w:rsid w:val="66F12905"/>
    <w:rsid w:val="66FA65F2"/>
    <w:rsid w:val="67130B4C"/>
    <w:rsid w:val="67153C75"/>
    <w:rsid w:val="67177D85"/>
    <w:rsid w:val="671A4130"/>
    <w:rsid w:val="671B59D4"/>
    <w:rsid w:val="671E3476"/>
    <w:rsid w:val="67206C55"/>
    <w:rsid w:val="6722024C"/>
    <w:rsid w:val="672B0763"/>
    <w:rsid w:val="672B265C"/>
    <w:rsid w:val="672D4CE8"/>
    <w:rsid w:val="672F2C8D"/>
    <w:rsid w:val="672F6329"/>
    <w:rsid w:val="673616CF"/>
    <w:rsid w:val="673B5C55"/>
    <w:rsid w:val="67492715"/>
    <w:rsid w:val="67540AD0"/>
    <w:rsid w:val="675867FD"/>
    <w:rsid w:val="675D5FFF"/>
    <w:rsid w:val="675E59B4"/>
    <w:rsid w:val="676545F0"/>
    <w:rsid w:val="676D3C75"/>
    <w:rsid w:val="67772930"/>
    <w:rsid w:val="677821E1"/>
    <w:rsid w:val="677B41A8"/>
    <w:rsid w:val="67840C2E"/>
    <w:rsid w:val="678878D3"/>
    <w:rsid w:val="678B6429"/>
    <w:rsid w:val="679152F5"/>
    <w:rsid w:val="6798447B"/>
    <w:rsid w:val="679E22C6"/>
    <w:rsid w:val="67A1542D"/>
    <w:rsid w:val="67A23BDC"/>
    <w:rsid w:val="67A7391E"/>
    <w:rsid w:val="67AC5F95"/>
    <w:rsid w:val="67AE69D9"/>
    <w:rsid w:val="67AF7891"/>
    <w:rsid w:val="67BB6E96"/>
    <w:rsid w:val="67BF0C36"/>
    <w:rsid w:val="67D23AD1"/>
    <w:rsid w:val="67D26883"/>
    <w:rsid w:val="67D94632"/>
    <w:rsid w:val="67DA3CF9"/>
    <w:rsid w:val="67DC1D21"/>
    <w:rsid w:val="67E40A16"/>
    <w:rsid w:val="67E41C88"/>
    <w:rsid w:val="67E759A9"/>
    <w:rsid w:val="67EB56F4"/>
    <w:rsid w:val="67F325A0"/>
    <w:rsid w:val="67FB6A66"/>
    <w:rsid w:val="6800222E"/>
    <w:rsid w:val="680B3E54"/>
    <w:rsid w:val="68176832"/>
    <w:rsid w:val="681E1D82"/>
    <w:rsid w:val="681E5F31"/>
    <w:rsid w:val="681F6FED"/>
    <w:rsid w:val="682C160E"/>
    <w:rsid w:val="682D2573"/>
    <w:rsid w:val="683634E3"/>
    <w:rsid w:val="68401F12"/>
    <w:rsid w:val="68421B8C"/>
    <w:rsid w:val="684D1769"/>
    <w:rsid w:val="6855588C"/>
    <w:rsid w:val="6859136F"/>
    <w:rsid w:val="68592AB6"/>
    <w:rsid w:val="685E3EBD"/>
    <w:rsid w:val="68624715"/>
    <w:rsid w:val="6864524C"/>
    <w:rsid w:val="6867242F"/>
    <w:rsid w:val="687016F7"/>
    <w:rsid w:val="687A0679"/>
    <w:rsid w:val="687A6A6A"/>
    <w:rsid w:val="687B4F22"/>
    <w:rsid w:val="687D4111"/>
    <w:rsid w:val="688237E5"/>
    <w:rsid w:val="688519C8"/>
    <w:rsid w:val="688D537F"/>
    <w:rsid w:val="689072CA"/>
    <w:rsid w:val="6893513C"/>
    <w:rsid w:val="689845BC"/>
    <w:rsid w:val="689C2C37"/>
    <w:rsid w:val="689F668A"/>
    <w:rsid w:val="68A14066"/>
    <w:rsid w:val="68A526BE"/>
    <w:rsid w:val="68AC144F"/>
    <w:rsid w:val="68B848FE"/>
    <w:rsid w:val="68B91A87"/>
    <w:rsid w:val="68B934E7"/>
    <w:rsid w:val="68D6542B"/>
    <w:rsid w:val="68D66F36"/>
    <w:rsid w:val="68DE6FE0"/>
    <w:rsid w:val="68E07E46"/>
    <w:rsid w:val="68E22237"/>
    <w:rsid w:val="68E407DF"/>
    <w:rsid w:val="68EF3417"/>
    <w:rsid w:val="68EF598D"/>
    <w:rsid w:val="690812C7"/>
    <w:rsid w:val="69104817"/>
    <w:rsid w:val="69150204"/>
    <w:rsid w:val="6919371A"/>
    <w:rsid w:val="69195A8A"/>
    <w:rsid w:val="691D5B26"/>
    <w:rsid w:val="691F3444"/>
    <w:rsid w:val="6921078D"/>
    <w:rsid w:val="69213A88"/>
    <w:rsid w:val="69250889"/>
    <w:rsid w:val="69272795"/>
    <w:rsid w:val="692A18A6"/>
    <w:rsid w:val="692C3B5D"/>
    <w:rsid w:val="692F7B60"/>
    <w:rsid w:val="69345FFB"/>
    <w:rsid w:val="69374285"/>
    <w:rsid w:val="69384AF9"/>
    <w:rsid w:val="693C1042"/>
    <w:rsid w:val="694035C3"/>
    <w:rsid w:val="6943089E"/>
    <w:rsid w:val="69450FB5"/>
    <w:rsid w:val="69486DC1"/>
    <w:rsid w:val="694B7CE4"/>
    <w:rsid w:val="69516214"/>
    <w:rsid w:val="69522B37"/>
    <w:rsid w:val="69536FA2"/>
    <w:rsid w:val="695817BF"/>
    <w:rsid w:val="695B5142"/>
    <w:rsid w:val="696459E5"/>
    <w:rsid w:val="696E0130"/>
    <w:rsid w:val="696E0EA7"/>
    <w:rsid w:val="696E6EA8"/>
    <w:rsid w:val="6976545F"/>
    <w:rsid w:val="69797085"/>
    <w:rsid w:val="697E7B17"/>
    <w:rsid w:val="6983333C"/>
    <w:rsid w:val="698535EE"/>
    <w:rsid w:val="6985524D"/>
    <w:rsid w:val="698F54EC"/>
    <w:rsid w:val="69946A6C"/>
    <w:rsid w:val="699A592F"/>
    <w:rsid w:val="69A27DD9"/>
    <w:rsid w:val="69A578CA"/>
    <w:rsid w:val="69A655DA"/>
    <w:rsid w:val="69AF5B70"/>
    <w:rsid w:val="69BA535F"/>
    <w:rsid w:val="69BE15B8"/>
    <w:rsid w:val="69C60EF3"/>
    <w:rsid w:val="69C6146F"/>
    <w:rsid w:val="69CA142B"/>
    <w:rsid w:val="69CB659D"/>
    <w:rsid w:val="69CD7EA5"/>
    <w:rsid w:val="69D6713E"/>
    <w:rsid w:val="69E31AE2"/>
    <w:rsid w:val="69EE2548"/>
    <w:rsid w:val="69EF4147"/>
    <w:rsid w:val="69F0277F"/>
    <w:rsid w:val="69F23A42"/>
    <w:rsid w:val="69F82255"/>
    <w:rsid w:val="69FA3512"/>
    <w:rsid w:val="69FB2499"/>
    <w:rsid w:val="6A003C11"/>
    <w:rsid w:val="6A11089C"/>
    <w:rsid w:val="6A13077F"/>
    <w:rsid w:val="6A156A75"/>
    <w:rsid w:val="6A2C306F"/>
    <w:rsid w:val="6A2F0D03"/>
    <w:rsid w:val="6A3B2E9F"/>
    <w:rsid w:val="6A3C476E"/>
    <w:rsid w:val="6A3C5C50"/>
    <w:rsid w:val="6A496454"/>
    <w:rsid w:val="6A4D5FEB"/>
    <w:rsid w:val="6A4F71BD"/>
    <w:rsid w:val="6A56479B"/>
    <w:rsid w:val="6A580566"/>
    <w:rsid w:val="6A590DE0"/>
    <w:rsid w:val="6A5A1A64"/>
    <w:rsid w:val="6A5B5205"/>
    <w:rsid w:val="6A654B93"/>
    <w:rsid w:val="6A755BE3"/>
    <w:rsid w:val="6A82383E"/>
    <w:rsid w:val="6A834C5D"/>
    <w:rsid w:val="6A861B6A"/>
    <w:rsid w:val="6A8D7966"/>
    <w:rsid w:val="6A9637F1"/>
    <w:rsid w:val="6A9A2F82"/>
    <w:rsid w:val="6A9C0CCD"/>
    <w:rsid w:val="6A9E7245"/>
    <w:rsid w:val="6AB41A70"/>
    <w:rsid w:val="6AC00283"/>
    <w:rsid w:val="6AC63D56"/>
    <w:rsid w:val="6ACE0A84"/>
    <w:rsid w:val="6ADA4C85"/>
    <w:rsid w:val="6ADD0559"/>
    <w:rsid w:val="6AE4100F"/>
    <w:rsid w:val="6AE503DD"/>
    <w:rsid w:val="6AEE4950"/>
    <w:rsid w:val="6AF40B09"/>
    <w:rsid w:val="6AF6131B"/>
    <w:rsid w:val="6AFA6A28"/>
    <w:rsid w:val="6AFC176B"/>
    <w:rsid w:val="6AFC7F36"/>
    <w:rsid w:val="6B00125C"/>
    <w:rsid w:val="6B046CD8"/>
    <w:rsid w:val="6B06537A"/>
    <w:rsid w:val="6B067871"/>
    <w:rsid w:val="6B0A14A9"/>
    <w:rsid w:val="6B0C4023"/>
    <w:rsid w:val="6B0D7733"/>
    <w:rsid w:val="6B0E6094"/>
    <w:rsid w:val="6B1D005F"/>
    <w:rsid w:val="6B1D4EBD"/>
    <w:rsid w:val="6B281980"/>
    <w:rsid w:val="6B290AE6"/>
    <w:rsid w:val="6B2C5F48"/>
    <w:rsid w:val="6B3A3E42"/>
    <w:rsid w:val="6B434DBF"/>
    <w:rsid w:val="6B4A6F42"/>
    <w:rsid w:val="6B4C6A0B"/>
    <w:rsid w:val="6B5A5F3A"/>
    <w:rsid w:val="6B5B0922"/>
    <w:rsid w:val="6B6A4609"/>
    <w:rsid w:val="6B713AFC"/>
    <w:rsid w:val="6B715CB5"/>
    <w:rsid w:val="6B7A2D3C"/>
    <w:rsid w:val="6B7E4615"/>
    <w:rsid w:val="6B8B0649"/>
    <w:rsid w:val="6B915AEF"/>
    <w:rsid w:val="6B99570E"/>
    <w:rsid w:val="6B9E600C"/>
    <w:rsid w:val="6BA64AA6"/>
    <w:rsid w:val="6BAA7D79"/>
    <w:rsid w:val="6BAD3CC3"/>
    <w:rsid w:val="6BAE5124"/>
    <w:rsid w:val="6BAF689F"/>
    <w:rsid w:val="6BBF4FAC"/>
    <w:rsid w:val="6BC66E87"/>
    <w:rsid w:val="6BC75BA0"/>
    <w:rsid w:val="6BC95AF1"/>
    <w:rsid w:val="6BCF4934"/>
    <w:rsid w:val="6BCF6E80"/>
    <w:rsid w:val="6BD2260D"/>
    <w:rsid w:val="6BD3587A"/>
    <w:rsid w:val="6BDF7458"/>
    <w:rsid w:val="6BE6450C"/>
    <w:rsid w:val="6BF02587"/>
    <w:rsid w:val="6BF06CEF"/>
    <w:rsid w:val="6BF07195"/>
    <w:rsid w:val="6BF5715A"/>
    <w:rsid w:val="6BF94E42"/>
    <w:rsid w:val="6BFC2633"/>
    <w:rsid w:val="6C005FAD"/>
    <w:rsid w:val="6C0134DD"/>
    <w:rsid w:val="6C0A4481"/>
    <w:rsid w:val="6C0A737F"/>
    <w:rsid w:val="6C0E4447"/>
    <w:rsid w:val="6C114A6F"/>
    <w:rsid w:val="6C136B41"/>
    <w:rsid w:val="6C171153"/>
    <w:rsid w:val="6C201E87"/>
    <w:rsid w:val="6C2242E4"/>
    <w:rsid w:val="6C2C2CDA"/>
    <w:rsid w:val="6C2D69BE"/>
    <w:rsid w:val="6C3118A0"/>
    <w:rsid w:val="6C35150F"/>
    <w:rsid w:val="6C352B60"/>
    <w:rsid w:val="6C365B58"/>
    <w:rsid w:val="6C3918BB"/>
    <w:rsid w:val="6C3C237F"/>
    <w:rsid w:val="6C3F2032"/>
    <w:rsid w:val="6C441487"/>
    <w:rsid w:val="6C450EF0"/>
    <w:rsid w:val="6C4C3B13"/>
    <w:rsid w:val="6C504887"/>
    <w:rsid w:val="6C505E13"/>
    <w:rsid w:val="6C522A6E"/>
    <w:rsid w:val="6C531D06"/>
    <w:rsid w:val="6C5A76D6"/>
    <w:rsid w:val="6C646850"/>
    <w:rsid w:val="6C650080"/>
    <w:rsid w:val="6C683613"/>
    <w:rsid w:val="6C7012B2"/>
    <w:rsid w:val="6C7D4FCF"/>
    <w:rsid w:val="6C7E003F"/>
    <w:rsid w:val="6C8514BC"/>
    <w:rsid w:val="6C9368A6"/>
    <w:rsid w:val="6C9854C4"/>
    <w:rsid w:val="6C991825"/>
    <w:rsid w:val="6C9C4FB4"/>
    <w:rsid w:val="6CA916A8"/>
    <w:rsid w:val="6CC22541"/>
    <w:rsid w:val="6CC73E7F"/>
    <w:rsid w:val="6CD01102"/>
    <w:rsid w:val="6CD32ADC"/>
    <w:rsid w:val="6CD469F6"/>
    <w:rsid w:val="6CDB448E"/>
    <w:rsid w:val="6CDD25F0"/>
    <w:rsid w:val="6CE6448A"/>
    <w:rsid w:val="6CE751B3"/>
    <w:rsid w:val="6CF21078"/>
    <w:rsid w:val="6CF95798"/>
    <w:rsid w:val="6CFB1497"/>
    <w:rsid w:val="6CFC1EF7"/>
    <w:rsid w:val="6D0B2A82"/>
    <w:rsid w:val="6D0C736B"/>
    <w:rsid w:val="6D0E08C5"/>
    <w:rsid w:val="6D0E25DA"/>
    <w:rsid w:val="6D1378AB"/>
    <w:rsid w:val="6D196605"/>
    <w:rsid w:val="6D196CE1"/>
    <w:rsid w:val="6D294397"/>
    <w:rsid w:val="6D2F5E28"/>
    <w:rsid w:val="6D413DAD"/>
    <w:rsid w:val="6D48320F"/>
    <w:rsid w:val="6D495388"/>
    <w:rsid w:val="6D4A48C4"/>
    <w:rsid w:val="6D4B5581"/>
    <w:rsid w:val="6D504FD7"/>
    <w:rsid w:val="6D706437"/>
    <w:rsid w:val="6D7343F4"/>
    <w:rsid w:val="6D860EF1"/>
    <w:rsid w:val="6D897659"/>
    <w:rsid w:val="6D8B5606"/>
    <w:rsid w:val="6D8D5BE7"/>
    <w:rsid w:val="6D8F68C7"/>
    <w:rsid w:val="6DA847F1"/>
    <w:rsid w:val="6DAC1227"/>
    <w:rsid w:val="6DAF0D17"/>
    <w:rsid w:val="6DB16F6A"/>
    <w:rsid w:val="6DB85E1E"/>
    <w:rsid w:val="6DB93944"/>
    <w:rsid w:val="6DCE2C85"/>
    <w:rsid w:val="6DD17B96"/>
    <w:rsid w:val="6DD62303"/>
    <w:rsid w:val="6DDC0FB6"/>
    <w:rsid w:val="6DDD5A49"/>
    <w:rsid w:val="6DDF754D"/>
    <w:rsid w:val="6DE917BA"/>
    <w:rsid w:val="6DF04D30"/>
    <w:rsid w:val="6E093C5C"/>
    <w:rsid w:val="6E0C327A"/>
    <w:rsid w:val="6E1176B9"/>
    <w:rsid w:val="6E121611"/>
    <w:rsid w:val="6E1514DC"/>
    <w:rsid w:val="6E186C15"/>
    <w:rsid w:val="6E20011E"/>
    <w:rsid w:val="6E257130"/>
    <w:rsid w:val="6E267FC1"/>
    <w:rsid w:val="6E2E60E0"/>
    <w:rsid w:val="6E3D54F7"/>
    <w:rsid w:val="6E3D68CE"/>
    <w:rsid w:val="6E464149"/>
    <w:rsid w:val="6E513B07"/>
    <w:rsid w:val="6E51534E"/>
    <w:rsid w:val="6E5556F6"/>
    <w:rsid w:val="6E577F27"/>
    <w:rsid w:val="6E6B2770"/>
    <w:rsid w:val="6E6F5A36"/>
    <w:rsid w:val="6E6F5EC6"/>
    <w:rsid w:val="6E7679A7"/>
    <w:rsid w:val="6E785ACB"/>
    <w:rsid w:val="6E7A6E47"/>
    <w:rsid w:val="6E7B04BD"/>
    <w:rsid w:val="6E841BF5"/>
    <w:rsid w:val="6E8A3BC5"/>
    <w:rsid w:val="6E8E6BA7"/>
    <w:rsid w:val="6E903638"/>
    <w:rsid w:val="6E9432C9"/>
    <w:rsid w:val="6E991D93"/>
    <w:rsid w:val="6EA31405"/>
    <w:rsid w:val="6EA463A2"/>
    <w:rsid w:val="6EA57D5B"/>
    <w:rsid w:val="6EA62795"/>
    <w:rsid w:val="6EA7353C"/>
    <w:rsid w:val="6EAC1849"/>
    <w:rsid w:val="6EB33CC8"/>
    <w:rsid w:val="6EB86D79"/>
    <w:rsid w:val="6EB95C61"/>
    <w:rsid w:val="6EC066F9"/>
    <w:rsid w:val="6EC06FC3"/>
    <w:rsid w:val="6ECA45DD"/>
    <w:rsid w:val="6ED56D94"/>
    <w:rsid w:val="6EDD756E"/>
    <w:rsid w:val="6EE25006"/>
    <w:rsid w:val="6EE25B38"/>
    <w:rsid w:val="6EEC7F84"/>
    <w:rsid w:val="6EEF42DE"/>
    <w:rsid w:val="6EF043F6"/>
    <w:rsid w:val="6EF1468F"/>
    <w:rsid w:val="6EF3044D"/>
    <w:rsid w:val="6EF95D64"/>
    <w:rsid w:val="6EFA5422"/>
    <w:rsid w:val="6EFE3D04"/>
    <w:rsid w:val="6F0664C1"/>
    <w:rsid w:val="6F085098"/>
    <w:rsid w:val="6F0B01CF"/>
    <w:rsid w:val="6F1378A3"/>
    <w:rsid w:val="6F142069"/>
    <w:rsid w:val="6F154AE6"/>
    <w:rsid w:val="6F1E2AD6"/>
    <w:rsid w:val="6F27241B"/>
    <w:rsid w:val="6F290730"/>
    <w:rsid w:val="6F2A45AA"/>
    <w:rsid w:val="6F385849"/>
    <w:rsid w:val="6F4045CE"/>
    <w:rsid w:val="6F43752F"/>
    <w:rsid w:val="6F4632E7"/>
    <w:rsid w:val="6F4C7376"/>
    <w:rsid w:val="6F5C0BBA"/>
    <w:rsid w:val="6F63000B"/>
    <w:rsid w:val="6F6429C3"/>
    <w:rsid w:val="6F684202"/>
    <w:rsid w:val="6F6B2A36"/>
    <w:rsid w:val="6F6F075E"/>
    <w:rsid w:val="6F7056EE"/>
    <w:rsid w:val="6F753DDD"/>
    <w:rsid w:val="6F7D3980"/>
    <w:rsid w:val="6F7F75BF"/>
    <w:rsid w:val="6F81095A"/>
    <w:rsid w:val="6F815F0F"/>
    <w:rsid w:val="6F907CBC"/>
    <w:rsid w:val="6F926382"/>
    <w:rsid w:val="6F9D556B"/>
    <w:rsid w:val="6FA05F0D"/>
    <w:rsid w:val="6FA920AE"/>
    <w:rsid w:val="6FAD533B"/>
    <w:rsid w:val="6FB05B0B"/>
    <w:rsid w:val="6FB40867"/>
    <w:rsid w:val="6FB51D19"/>
    <w:rsid w:val="6FB9221B"/>
    <w:rsid w:val="6FC861D2"/>
    <w:rsid w:val="6FCC0F58"/>
    <w:rsid w:val="6FCF3E0A"/>
    <w:rsid w:val="6FD22687"/>
    <w:rsid w:val="6FDD5EAF"/>
    <w:rsid w:val="6FDE1D83"/>
    <w:rsid w:val="6FE119B9"/>
    <w:rsid w:val="6FE12A77"/>
    <w:rsid w:val="6FF5399F"/>
    <w:rsid w:val="70002350"/>
    <w:rsid w:val="700770A0"/>
    <w:rsid w:val="700D5CF4"/>
    <w:rsid w:val="700E570C"/>
    <w:rsid w:val="70146F5A"/>
    <w:rsid w:val="70184F84"/>
    <w:rsid w:val="7023042F"/>
    <w:rsid w:val="70247734"/>
    <w:rsid w:val="702F7850"/>
    <w:rsid w:val="70302060"/>
    <w:rsid w:val="70310109"/>
    <w:rsid w:val="70326667"/>
    <w:rsid w:val="70377E6F"/>
    <w:rsid w:val="704716DB"/>
    <w:rsid w:val="70482DE3"/>
    <w:rsid w:val="704C5AD8"/>
    <w:rsid w:val="704D1189"/>
    <w:rsid w:val="705931C7"/>
    <w:rsid w:val="705A3572"/>
    <w:rsid w:val="705B5B04"/>
    <w:rsid w:val="706856C8"/>
    <w:rsid w:val="70687328"/>
    <w:rsid w:val="706D26E2"/>
    <w:rsid w:val="70706F10"/>
    <w:rsid w:val="70777B6C"/>
    <w:rsid w:val="707D4D7E"/>
    <w:rsid w:val="7085737F"/>
    <w:rsid w:val="7087456D"/>
    <w:rsid w:val="70931E70"/>
    <w:rsid w:val="70A33291"/>
    <w:rsid w:val="70A44B41"/>
    <w:rsid w:val="70AD38F3"/>
    <w:rsid w:val="70AE3508"/>
    <w:rsid w:val="70B07280"/>
    <w:rsid w:val="70BC0644"/>
    <w:rsid w:val="70BD7C14"/>
    <w:rsid w:val="70C20550"/>
    <w:rsid w:val="70C6066D"/>
    <w:rsid w:val="70C925B1"/>
    <w:rsid w:val="70CD1896"/>
    <w:rsid w:val="70D31804"/>
    <w:rsid w:val="70D425F3"/>
    <w:rsid w:val="70D80B1B"/>
    <w:rsid w:val="70D94A29"/>
    <w:rsid w:val="70DA7F54"/>
    <w:rsid w:val="70DB29ED"/>
    <w:rsid w:val="70DF74E1"/>
    <w:rsid w:val="70F0124F"/>
    <w:rsid w:val="70F02849"/>
    <w:rsid w:val="70F41D36"/>
    <w:rsid w:val="71043EBA"/>
    <w:rsid w:val="7105230D"/>
    <w:rsid w:val="710A6495"/>
    <w:rsid w:val="71124BB1"/>
    <w:rsid w:val="71153587"/>
    <w:rsid w:val="711F1595"/>
    <w:rsid w:val="71254EFF"/>
    <w:rsid w:val="71257102"/>
    <w:rsid w:val="71264FDA"/>
    <w:rsid w:val="71265794"/>
    <w:rsid w:val="712D3800"/>
    <w:rsid w:val="71306E04"/>
    <w:rsid w:val="71380F11"/>
    <w:rsid w:val="71385DEE"/>
    <w:rsid w:val="713D4675"/>
    <w:rsid w:val="713E57F4"/>
    <w:rsid w:val="7141418F"/>
    <w:rsid w:val="715E2F77"/>
    <w:rsid w:val="7162147F"/>
    <w:rsid w:val="717643C7"/>
    <w:rsid w:val="717938D8"/>
    <w:rsid w:val="71836742"/>
    <w:rsid w:val="718978AC"/>
    <w:rsid w:val="718A2427"/>
    <w:rsid w:val="718E3FD3"/>
    <w:rsid w:val="71A23EBF"/>
    <w:rsid w:val="71A75045"/>
    <w:rsid w:val="71A94D89"/>
    <w:rsid w:val="71BA144C"/>
    <w:rsid w:val="71BB6EB3"/>
    <w:rsid w:val="71BB7BC0"/>
    <w:rsid w:val="71BC3298"/>
    <w:rsid w:val="71C24FA7"/>
    <w:rsid w:val="71CA79F7"/>
    <w:rsid w:val="71D177E1"/>
    <w:rsid w:val="71D353C3"/>
    <w:rsid w:val="71DF6A65"/>
    <w:rsid w:val="71DF6A69"/>
    <w:rsid w:val="71E301BE"/>
    <w:rsid w:val="71EE1350"/>
    <w:rsid w:val="71F153DB"/>
    <w:rsid w:val="71FD5DE7"/>
    <w:rsid w:val="720337ED"/>
    <w:rsid w:val="720359C7"/>
    <w:rsid w:val="72103F0B"/>
    <w:rsid w:val="72205F72"/>
    <w:rsid w:val="722144EA"/>
    <w:rsid w:val="72233A82"/>
    <w:rsid w:val="722B365E"/>
    <w:rsid w:val="7230299A"/>
    <w:rsid w:val="7233656A"/>
    <w:rsid w:val="7238752D"/>
    <w:rsid w:val="72414E18"/>
    <w:rsid w:val="72461B17"/>
    <w:rsid w:val="7246219B"/>
    <w:rsid w:val="724904F1"/>
    <w:rsid w:val="724B6A51"/>
    <w:rsid w:val="72571065"/>
    <w:rsid w:val="725D17CA"/>
    <w:rsid w:val="72605C00"/>
    <w:rsid w:val="726269B9"/>
    <w:rsid w:val="726E11A1"/>
    <w:rsid w:val="72702E7D"/>
    <w:rsid w:val="7298385D"/>
    <w:rsid w:val="72A16A7D"/>
    <w:rsid w:val="72A91023"/>
    <w:rsid w:val="72B107DA"/>
    <w:rsid w:val="72B86369"/>
    <w:rsid w:val="72B8745F"/>
    <w:rsid w:val="72C0584E"/>
    <w:rsid w:val="72C42615"/>
    <w:rsid w:val="72C578F3"/>
    <w:rsid w:val="72CE0048"/>
    <w:rsid w:val="72CF55DD"/>
    <w:rsid w:val="72D22C80"/>
    <w:rsid w:val="72D618E2"/>
    <w:rsid w:val="72D70A16"/>
    <w:rsid w:val="72E42B45"/>
    <w:rsid w:val="72EE4F94"/>
    <w:rsid w:val="72EE637E"/>
    <w:rsid w:val="72EF3290"/>
    <w:rsid w:val="72F53670"/>
    <w:rsid w:val="72FA6C2B"/>
    <w:rsid w:val="73030993"/>
    <w:rsid w:val="7315786E"/>
    <w:rsid w:val="731E10E7"/>
    <w:rsid w:val="731F5F4E"/>
    <w:rsid w:val="732075EA"/>
    <w:rsid w:val="732708D5"/>
    <w:rsid w:val="73280DA0"/>
    <w:rsid w:val="732B3796"/>
    <w:rsid w:val="732B3D2D"/>
    <w:rsid w:val="732D3105"/>
    <w:rsid w:val="732D7DBA"/>
    <w:rsid w:val="733A612A"/>
    <w:rsid w:val="733B6156"/>
    <w:rsid w:val="733D635F"/>
    <w:rsid w:val="733E091D"/>
    <w:rsid w:val="73442AC9"/>
    <w:rsid w:val="734819F2"/>
    <w:rsid w:val="73490EB6"/>
    <w:rsid w:val="734D2174"/>
    <w:rsid w:val="735B77AF"/>
    <w:rsid w:val="735C549D"/>
    <w:rsid w:val="735F00E2"/>
    <w:rsid w:val="735F02EA"/>
    <w:rsid w:val="73685AE7"/>
    <w:rsid w:val="736B56E0"/>
    <w:rsid w:val="73782D86"/>
    <w:rsid w:val="73793682"/>
    <w:rsid w:val="737C6E2F"/>
    <w:rsid w:val="737F01CC"/>
    <w:rsid w:val="73812055"/>
    <w:rsid w:val="738D1994"/>
    <w:rsid w:val="739A12BD"/>
    <w:rsid w:val="739A2552"/>
    <w:rsid w:val="73AD7B3F"/>
    <w:rsid w:val="73C71690"/>
    <w:rsid w:val="73C908D4"/>
    <w:rsid w:val="73CF1E23"/>
    <w:rsid w:val="73CF3B5C"/>
    <w:rsid w:val="73D2575F"/>
    <w:rsid w:val="73D678EC"/>
    <w:rsid w:val="73D73BD1"/>
    <w:rsid w:val="73D96AEE"/>
    <w:rsid w:val="73DC0984"/>
    <w:rsid w:val="73E42D5A"/>
    <w:rsid w:val="73E74D53"/>
    <w:rsid w:val="73EA0CFB"/>
    <w:rsid w:val="73ED2655"/>
    <w:rsid w:val="73F95753"/>
    <w:rsid w:val="7403480C"/>
    <w:rsid w:val="740A314B"/>
    <w:rsid w:val="740D3898"/>
    <w:rsid w:val="740F4CA4"/>
    <w:rsid w:val="74105CDC"/>
    <w:rsid w:val="74127D6E"/>
    <w:rsid w:val="7419338E"/>
    <w:rsid w:val="741F64E0"/>
    <w:rsid w:val="74276B4E"/>
    <w:rsid w:val="74285696"/>
    <w:rsid w:val="74344302"/>
    <w:rsid w:val="743554AC"/>
    <w:rsid w:val="74355F6C"/>
    <w:rsid w:val="74366164"/>
    <w:rsid w:val="743768F0"/>
    <w:rsid w:val="743828A3"/>
    <w:rsid w:val="743C0E2B"/>
    <w:rsid w:val="743C1D70"/>
    <w:rsid w:val="743E5B55"/>
    <w:rsid w:val="74497B3A"/>
    <w:rsid w:val="744B344D"/>
    <w:rsid w:val="744F39DE"/>
    <w:rsid w:val="74522B4B"/>
    <w:rsid w:val="745237DB"/>
    <w:rsid w:val="74561C4F"/>
    <w:rsid w:val="74690512"/>
    <w:rsid w:val="746907DC"/>
    <w:rsid w:val="746B4E22"/>
    <w:rsid w:val="74737794"/>
    <w:rsid w:val="747C539A"/>
    <w:rsid w:val="7480089B"/>
    <w:rsid w:val="748051BB"/>
    <w:rsid w:val="748A25A0"/>
    <w:rsid w:val="74924B22"/>
    <w:rsid w:val="7492774C"/>
    <w:rsid w:val="749C2B79"/>
    <w:rsid w:val="749D5671"/>
    <w:rsid w:val="74A83421"/>
    <w:rsid w:val="74AF0B63"/>
    <w:rsid w:val="74B01101"/>
    <w:rsid w:val="74B8287E"/>
    <w:rsid w:val="74BA3143"/>
    <w:rsid w:val="74BD4185"/>
    <w:rsid w:val="74C43285"/>
    <w:rsid w:val="74CA5026"/>
    <w:rsid w:val="74CC09E4"/>
    <w:rsid w:val="74CD6C2B"/>
    <w:rsid w:val="74D03B5B"/>
    <w:rsid w:val="74D47F61"/>
    <w:rsid w:val="74D55403"/>
    <w:rsid w:val="74D715D2"/>
    <w:rsid w:val="74DD33CD"/>
    <w:rsid w:val="74DF23F8"/>
    <w:rsid w:val="74EB4B62"/>
    <w:rsid w:val="74F155F7"/>
    <w:rsid w:val="74F52356"/>
    <w:rsid w:val="74F7779C"/>
    <w:rsid w:val="74F92A23"/>
    <w:rsid w:val="7501360F"/>
    <w:rsid w:val="750307CC"/>
    <w:rsid w:val="7516629F"/>
    <w:rsid w:val="751F0F18"/>
    <w:rsid w:val="7527212C"/>
    <w:rsid w:val="7538148C"/>
    <w:rsid w:val="753D4E5A"/>
    <w:rsid w:val="75403DF3"/>
    <w:rsid w:val="7541332D"/>
    <w:rsid w:val="7541494A"/>
    <w:rsid w:val="75443B78"/>
    <w:rsid w:val="754D1420"/>
    <w:rsid w:val="754D1541"/>
    <w:rsid w:val="755224CE"/>
    <w:rsid w:val="75533D8A"/>
    <w:rsid w:val="75572C76"/>
    <w:rsid w:val="75603FDF"/>
    <w:rsid w:val="75700484"/>
    <w:rsid w:val="75705230"/>
    <w:rsid w:val="757220A4"/>
    <w:rsid w:val="757E0BA8"/>
    <w:rsid w:val="757E2F6B"/>
    <w:rsid w:val="757E756E"/>
    <w:rsid w:val="75840190"/>
    <w:rsid w:val="7586114C"/>
    <w:rsid w:val="758626CB"/>
    <w:rsid w:val="75933A19"/>
    <w:rsid w:val="75944BD7"/>
    <w:rsid w:val="75974B6F"/>
    <w:rsid w:val="75975F78"/>
    <w:rsid w:val="75A062DE"/>
    <w:rsid w:val="75B311C3"/>
    <w:rsid w:val="75C57DD8"/>
    <w:rsid w:val="75C81DD2"/>
    <w:rsid w:val="75E00A02"/>
    <w:rsid w:val="75E22EA2"/>
    <w:rsid w:val="75E722D5"/>
    <w:rsid w:val="75F2229F"/>
    <w:rsid w:val="75F42EC0"/>
    <w:rsid w:val="75F60B30"/>
    <w:rsid w:val="75F714AD"/>
    <w:rsid w:val="75FF2103"/>
    <w:rsid w:val="760065B4"/>
    <w:rsid w:val="76041F8B"/>
    <w:rsid w:val="7608051D"/>
    <w:rsid w:val="76085CDD"/>
    <w:rsid w:val="76114870"/>
    <w:rsid w:val="76171EA7"/>
    <w:rsid w:val="76216387"/>
    <w:rsid w:val="762802B3"/>
    <w:rsid w:val="76290195"/>
    <w:rsid w:val="763220F3"/>
    <w:rsid w:val="763406CC"/>
    <w:rsid w:val="76430CF6"/>
    <w:rsid w:val="76444440"/>
    <w:rsid w:val="764E6ACD"/>
    <w:rsid w:val="765607F1"/>
    <w:rsid w:val="76562678"/>
    <w:rsid w:val="76594CF0"/>
    <w:rsid w:val="765C2BA3"/>
    <w:rsid w:val="765F3B81"/>
    <w:rsid w:val="76697525"/>
    <w:rsid w:val="766A7ED1"/>
    <w:rsid w:val="766E0DC1"/>
    <w:rsid w:val="76714747"/>
    <w:rsid w:val="767818C2"/>
    <w:rsid w:val="76784911"/>
    <w:rsid w:val="767A2B37"/>
    <w:rsid w:val="767B2FE7"/>
    <w:rsid w:val="76832D47"/>
    <w:rsid w:val="768A0573"/>
    <w:rsid w:val="768B5DC4"/>
    <w:rsid w:val="76947BF8"/>
    <w:rsid w:val="76AF71BD"/>
    <w:rsid w:val="76BC61A3"/>
    <w:rsid w:val="76CF7544"/>
    <w:rsid w:val="76D325D0"/>
    <w:rsid w:val="76D505F5"/>
    <w:rsid w:val="76D51757"/>
    <w:rsid w:val="76D64F23"/>
    <w:rsid w:val="76E56E55"/>
    <w:rsid w:val="76E73438"/>
    <w:rsid w:val="76E957FA"/>
    <w:rsid w:val="76EA51E8"/>
    <w:rsid w:val="76EE0562"/>
    <w:rsid w:val="76EE2280"/>
    <w:rsid w:val="76F54799"/>
    <w:rsid w:val="76F56B05"/>
    <w:rsid w:val="76F91F92"/>
    <w:rsid w:val="76F94957"/>
    <w:rsid w:val="76FB67AB"/>
    <w:rsid w:val="770E7A76"/>
    <w:rsid w:val="77102263"/>
    <w:rsid w:val="77166ABB"/>
    <w:rsid w:val="771F21CE"/>
    <w:rsid w:val="772072B5"/>
    <w:rsid w:val="772A3AE4"/>
    <w:rsid w:val="773A3875"/>
    <w:rsid w:val="773C1C0E"/>
    <w:rsid w:val="7746543E"/>
    <w:rsid w:val="77482D29"/>
    <w:rsid w:val="77503315"/>
    <w:rsid w:val="77552B9D"/>
    <w:rsid w:val="77592289"/>
    <w:rsid w:val="775A1CF3"/>
    <w:rsid w:val="77650792"/>
    <w:rsid w:val="777234E1"/>
    <w:rsid w:val="777C61F3"/>
    <w:rsid w:val="777D55FA"/>
    <w:rsid w:val="777F1B75"/>
    <w:rsid w:val="77854826"/>
    <w:rsid w:val="77887E1F"/>
    <w:rsid w:val="779111A1"/>
    <w:rsid w:val="77A10873"/>
    <w:rsid w:val="77A47413"/>
    <w:rsid w:val="77AC2DFE"/>
    <w:rsid w:val="77B061D0"/>
    <w:rsid w:val="77B2559F"/>
    <w:rsid w:val="77B54DC9"/>
    <w:rsid w:val="77B82D36"/>
    <w:rsid w:val="77BF5FFA"/>
    <w:rsid w:val="77C655DB"/>
    <w:rsid w:val="77E3380B"/>
    <w:rsid w:val="77EB6A8A"/>
    <w:rsid w:val="77EB7B02"/>
    <w:rsid w:val="77ED1BEA"/>
    <w:rsid w:val="77F11B43"/>
    <w:rsid w:val="77F70518"/>
    <w:rsid w:val="77FC2DAB"/>
    <w:rsid w:val="780104EC"/>
    <w:rsid w:val="78024ECD"/>
    <w:rsid w:val="7807209D"/>
    <w:rsid w:val="780F55B9"/>
    <w:rsid w:val="780F64A6"/>
    <w:rsid w:val="78106C6D"/>
    <w:rsid w:val="781528BF"/>
    <w:rsid w:val="781F103C"/>
    <w:rsid w:val="78237D85"/>
    <w:rsid w:val="78240B68"/>
    <w:rsid w:val="782600E5"/>
    <w:rsid w:val="782819B6"/>
    <w:rsid w:val="782F1EFA"/>
    <w:rsid w:val="78310267"/>
    <w:rsid w:val="783A5315"/>
    <w:rsid w:val="783C79AD"/>
    <w:rsid w:val="78470F94"/>
    <w:rsid w:val="78506296"/>
    <w:rsid w:val="785229AC"/>
    <w:rsid w:val="78526BB1"/>
    <w:rsid w:val="78536AF7"/>
    <w:rsid w:val="78575279"/>
    <w:rsid w:val="78621B07"/>
    <w:rsid w:val="78690F47"/>
    <w:rsid w:val="78692552"/>
    <w:rsid w:val="786976C8"/>
    <w:rsid w:val="786A028E"/>
    <w:rsid w:val="786D3CA8"/>
    <w:rsid w:val="786D40E6"/>
    <w:rsid w:val="787C2F5E"/>
    <w:rsid w:val="787C35D6"/>
    <w:rsid w:val="78915591"/>
    <w:rsid w:val="789E3A8C"/>
    <w:rsid w:val="789F1F48"/>
    <w:rsid w:val="78A20485"/>
    <w:rsid w:val="78A25098"/>
    <w:rsid w:val="78A833D9"/>
    <w:rsid w:val="78AB3B50"/>
    <w:rsid w:val="78B55333"/>
    <w:rsid w:val="78BB1CE2"/>
    <w:rsid w:val="78BE4E3D"/>
    <w:rsid w:val="78BF7039"/>
    <w:rsid w:val="78CA2EA9"/>
    <w:rsid w:val="78D51EEC"/>
    <w:rsid w:val="78DE6ADA"/>
    <w:rsid w:val="78E462BE"/>
    <w:rsid w:val="78EC6147"/>
    <w:rsid w:val="78F93B8F"/>
    <w:rsid w:val="78FB4ABB"/>
    <w:rsid w:val="78FD0F21"/>
    <w:rsid w:val="79012111"/>
    <w:rsid w:val="79057967"/>
    <w:rsid w:val="790749BC"/>
    <w:rsid w:val="790A4903"/>
    <w:rsid w:val="791123BF"/>
    <w:rsid w:val="79134850"/>
    <w:rsid w:val="791407B6"/>
    <w:rsid w:val="79167DFB"/>
    <w:rsid w:val="7924594A"/>
    <w:rsid w:val="792B57CD"/>
    <w:rsid w:val="79303F10"/>
    <w:rsid w:val="7932612A"/>
    <w:rsid w:val="79331D91"/>
    <w:rsid w:val="79347010"/>
    <w:rsid w:val="7941531A"/>
    <w:rsid w:val="794530F9"/>
    <w:rsid w:val="79476F53"/>
    <w:rsid w:val="794873CE"/>
    <w:rsid w:val="794A2BB3"/>
    <w:rsid w:val="794C3108"/>
    <w:rsid w:val="794C6C15"/>
    <w:rsid w:val="794F114D"/>
    <w:rsid w:val="79537A79"/>
    <w:rsid w:val="797015A1"/>
    <w:rsid w:val="797352EE"/>
    <w:rsid w:val="79783AAA"/>
    <w:rsid w:val="797F13CC"/>
    <w:rsid w:val="798C4E9C"/>
    <w:rsid w:val="7998268C"/>
    <w:rsid w:val="799847D7"/>
    <w:rsid w:val="799D7146"/>
    <w:rsid w:val="79A328AA"/>
    <w:rsid w:val="79AA575B"/>
    <w:rsid w:val="79B471DA"/>
    <w:rsid w:val="79BB1D8B"/>
    <w:rsid w:val="79C066F7"/>
    <w:rsid w:val="79C9227A"/>
    <w:rsid w:val="79C94E0D"/>
    <w:rsid w:val="79CE5CB5"/>
    <w:rsid w:val="79D16099"/>
    <w:rsid w:val="79D6394B"/>
    <w:rsid w:val="79E07E4A"/>
    <w:rsid w:val="79E47FF3"/>
    <w:rsid w:val="79F237AD"/>
    <w:rsid w:val="7A025E33"/>
    <w:rsid w:val="7A0344E2"/>
    <w:rsid w:val="7A044199"/>
    <w:rsid w:val="7A0547A5"/>
    <w:rsid w:val="7A0B114D"/>
    <w:rsid w:val="7A155ADF"/>
    <w:rsid w:val="7A197EEF"/>
    <w:rsid w:val="7A1F411B"/>
    <w:rsid w:val="7A233866"/>
    <w:rsid w:val="7A294988"/>
    <w:rsid w:val="7A317848"/>
    <w:rsid w:val="7A356BD9"/>
    <w:rsid w:val="7A392099"/>
    <w:rsid w:val="7A3E2666"/>
    <w:rsid w:val="7A4B5D2D"/>
    <w:rsid w:val="7A505630"/>
    <w:rsid w:val="7A5216AD"/>
    <w:rsid w:val="7A524FFA"/>
    <w:rsid w:val="7A532B6E"/>
    <w:rsid w:val="7A543119"/>
    <w:rsid w:val="7A580CBC"/>
    <w:rsid w:val="7A657EA0"/>
    <w:rsid w:val="7A6A1EE6"/>
    <w:rsid w:val="7A711524"/>
    <w:rsid w:val="7A7817F2"/>
    <w:rsid w:val="7A8A4A55"/>
    <w:rsid w:val="7A8F485D"/>
    <w:rsid w:val="7A94741C"/>
    <w:rsid w:val="7A97391C"/>
    <w:rsid w:val="7AA05E8F"/>
    <w:rsid w:val="7AAF7948"/>
    <w:rsid w:val="7AB21E46"/>
    <w:rsid w:val="7ABC7695"/>
    <w:rsid w:val="7AC70EA4"/>
    <w:rsid w:val="7ACD4328"/>
    <w:rsid w:val="7ACD4708"/>
    <w:rsid w:val="7AD01F98"/>
    <w:rsid w:val="7AD149C3"/>
    <w:rsid w:val="7ADC503B"/>
    <w:rsid w:val="7ADF15AD"/>
    <w:rsid w:val="7AE0528D"/>
    <w:rsid w:val="7AE26091"/>
    <w:rsid w:val="7AE35E8A"/>
    <w:rsid w:val="7AE53D22"/>
    <w:rsid w:val="7AEB0534"/>
    <w:rsid w:val="7AEF1577"/>
    <w:rsid w:val="7AF045B5"/>
    <w:rsid w:val="7AF96873"/>
    <w:rsid w:val="7AFB7F56"/>
    <w:rsid w:val="7B0326A2"/>
    <w:rsid w:val="7B0A3A31"/>
    <w:rsid w:val="7B0B4C26"/>
    <w:rsid w:val="7B1168A9"/>
    <w:rsid w:val="7B16687D"/>
    <w:rsid w:val="7B2A40D3"/>
    <w:rsid w:val="7B337241"/>
    <w:rsid w:val="7B38234C"/>
    <w:rsid w:val="7B3867F0"/>
    <w:rsid w:val="7B3A2568"/>
    <w:rsid w:val="7B3E014C"/>
    <w:rsid w:val="7B440CFC"/>
    <w:rsid w:val="7B445BBD"/>
    <w:rsid w:val="7B4D694F"/>
    <w:rsid w:val="7B4E7E3B"/>
    <w:rsid w:val="7B506A29"/>
    <w:rsid w:val="7B507724"/>
    <w:rsid w:val="7B5348F9"/>
    <w:rsid w:val="7B587BE1"/>
    <w:rsid w:val="7B5A5AD3"/>
    <w:rsid w:val="7B5F1FCE"/>
    <w:rsid w:val="7B641393"/>
    <w:rsid w:val="7B6C42EB"/>
    <w:rsid w:val="7B6D6151"/>
    <w:rsid w:val="7B6E6AE7"/>
    <w:rsid w:val="7B7B1469"/>
    <w:rsid w:val="7B7C356E"/>
    <w:rsid w:val="7B821743"/>
    <w:rsid w:val="7B826E3E"/>
    <w:rsid w:val="7B9003DA"/>
    <w:rsid w:val="7B925CCA"/>
    <w:rsid w:val="7B971FAA"/>
    <w:rsid w:val="7BB217F7"/>
    <w:rsid w:val="7BB341E4"/>
    <w:rsid w:val="7BBA7205"/>
    <w:rsid w:val="7BBC2F7D"/>
    <w:rsid w:val="7BC437E7"/>
    <w:rsid w:val="7BC550AC"/>
    <w:rsid w:val="7BD01353"/>
    <w:rsid w:val="7BD63726"/>
    <w:rsid w:val="7BD7386C"/>
    <w:rsid w:val="7BD74EAB"/>
    <w:rsid w:val="7BDB29CB"/>
    <w:rsid w:val="7BE167A8"/>
    <w:rsid w:val="7BE552CE"/>
    <w:rsid w:val="7BE81177"/>
    <w:rsid w:val="7BED6B5B"/>
    <w:rsid w:val="7BEE15CE"/>
    <w:rsid w:val="7BF44832"/>
    <w:rsid w:val="7BF56759"/>
    <w:rsid w:val="7BF63E4B"/>
    <w:rsid w:val="7C01687D"/>
    <w:rsid w:val="7C075514"/>
    <w:rsid w:val="7C13579D"/>
    <w:rsid w:val="7C1B6C68"/>
    <w:rsid w:val="7C1D74D6"/>
    <w:rsid w:val="7C1F420D"/>
    <w:rsid w:val="7C2C0C23"/>
    <w:rsid w:val="7C2E0B57"/>
    <w:rsid w:val="7C322918"/>
    <w:rsid w:val="7C3860A1"/>
    <w:rsid w:val="7C4371FA"/>
    <w:rsid w:val="7C440C94"/>
    <w:rsid w:val="7C4C190A"/>
    <w:rsid w:val="7C52743D"/>
    <w:rsid w:val="7C58594A"/>
    <w:rsid w:val="7C5D08D4"/>
    <w:rsid w:val="7C606D2C"/>
    <w:rsid w:val="7C607BBF"/>
    <w:rsid w:val="7C66281A"/>
    <w:rsid w:val="7C6756A8"/>
    <w:rsid w:val="7C851933"/>
    <w:rsid w:val="7C8F1C48"/>
    <w:rsid w:val="7C934AB7"/>
    <w:rsid w:val="7C9576D2"/>
    <w:rsid w:val="7CA1331E"/>
    <w:rsid w:val="7CA3537F"/>
    <w:rsid w:val="7CA53A11"/>
    <w:rsid w:val="7CAB21F2"/>
    <w:rsid w:val="7CB71255"/>
    <w:rsid w:val="7CBB49FB"/>
    <w:rsid w:val="7CBD52B4"/>
    <w:rsid w:val="7CCB3D06"/>
    <w:rsid w:val="7CDB4082"/>
    <w:rsid w:val="7CDD0A74"/>
    <w:rsid w:val="7CE25BA9"/>
    <w:rsid w:val="7CE37367"/>
    <w:rsid w:val="7CE81B50"/>
    <w:rsid w:val="7CF64FFC"/>
    <w:rsid w:val="7CFD01CF"/>
    <w:rsid w:val="7D084EF7"/>
    <w:rsid w:val="7D0959F5"/>
    <w:rsid w:val="7D0E4148"/>
    <w:rsid w:val="7D0F5EA2"/>
    <w:rsid w:val="7D161B1F"/>
    <w:rsid w:val="7D1A67B9"/>
    <w:rsid w:val="7D2210C8"/>
    <w:rsid w:val="7D297ADB"/>
    <w:rsid w:val="7D2C4708"/>
    <w:rsid w:val="7D3803D7"/>
    <w:rsid w:val="7D397F8C"/>
    <w:rsid w:val="7D3A6C63"/>
    <w:rsid w:val="7D401A43"/>
    <w:rsid w:val="7D453719"/>
    <w:rsid w:val="7D467A78"/>
    <w:rsid w:val="7D510BF8"/>
    <w:rsid w:val="7D56072F"/>
    <w:rsid w:val="7D5C3396"/>
    <w:rsid w:val="7D5D7CCC"/>
    <w:rsid w:val="7D5E09AC"/>
    <w:rsid w:val="7D6405A2"/>
    <w:rsid w:val="7D6D2B6B"/>
    <w:rsid w:val="7D7A30EF"/>
    <w:rsid w:val="7D7D743F"/>
    <w:rsid w:val="7D832D44"/>
    <w:rsid w:val="7D8711C3"/>
    <w:rsid w:val="7D887CE6"/>
    <w:rsid w:val="7D922DBB"/>
    <w:rsid w:val="7DA301D8"/>
    <w:rsid w:val="7DBB33AA"/>
    <w:rsid w:val="7DBB6747"/>
    <w:rsid w:val="7DBF0BB2"/>
    <w:rsid w:val="7DC42184"/>
    <w:rsid w:val="7DC93724"/>
    <w:rsid w:val="7DCC485C"/>
    <w:rsid w:val="7DCF35BA"/>
    <w:rsid w:val="7DD5372D"/>
    <w:rsid w:val="7DD722F0"/>
    <w:rsid w:val="7DDE731B"/>
    <w:rsid w:val="7DDF172D"/>
    <w:rsid w:val="7DE467BB"/>
    <w:rsid w:val="7DEC570F"/>
    <w:rsid w:val="7DF0341D"/>
    <w:rsid w:val="7DFA4C46"/>
    <w:rsid w:val="7DFD21D7"/>
    <w:rsid w:val="7E0212A1"/>
    <w:rsid w:val="7E055EE1"/>
    <w:rsid w:val="7E095F97"/>
    <w:rsid w:val="7E096221"/>
    <w:rsid w:val="7E0B4528"/>
    <w:rsid w:val="7E0B63F7"/>
    <w:rsid w:val="7E0D389A"/>
    <w:rsid w:val="7E1626EC"/>
    <w:rsid w:val="7E1C5F55"/>
    <w:rsid w:val="7E217EFC"/>
    <w:rsid w:val="7E2D4218"/>
    <w:rsid w:val="7E3039CD"/>
    <w:rsid w:val="7E3E785A"/>
    <w:rsid w:val="7E420F5B"/>
    <w:rsid w:val="7E431F37"/>
    <w:rsid w:val="7E495B86"/>
    <w:rsid w:val="7E4A15D1"/>
    <w:rsid w:val="7E534F52"/>
    <w:rsid w:val="7E535226"/>
    <w:rsid w:val="7E585E0E"/>
    <w:rsid w:val="7E5A5EB6"/>
    <w:rsid w:val="7E5D24BC"/>
    <w:rsid w:val="7E694F12"/>
    <w:rsid w:val="7E6D5430"/>
    <w:rsid w:val="7E6F1098"/>
    <w:rsid w:val="7E70004F"/>
    <w:rsid w:val="7E7044F2"/>
    <w:rsid w:val="7E80283D"/>
    <w:rsid w:val="7E824DF6"/>
    <w:rsid w:val="7E865AC4"/>
    <w:rsid w:val="7E875255"/>
    <w:rsid w:val="7E8E78C2"/>
    <w:rsid w:val="7E9A3766"/>
    <w:rsid w:val="7E9C4B8F"/>
    <w:rsid w:val="7EA26653"/>
    <w:rsid w:val="7EA8467A"/>
    <w:rsid w:val="7EAE6DDB"/>
    <w:rsid w:val="7EB01205"/>
    <w:rsid w:val="7EB01FDC"/>
    <w:rsid w:val="7EB51F05"/>
    <w:rsid w:val="7EB640A0"/>
    <w:rsid w:val="7EC31200"/>
    <w:rsid w:val="7EC6435A"/>
    <w:rsid w:val="7ECC1603"/>
    <w:rsid w:val="7ECC54CE"/>
    <w:rsid w:val="7ECF1E1F"/>
    <w:rsid w:val="7ECF4F2D"/>
    <w:rsid w:val="7ED523B9"/>
    <w:rsid w:val="7ED56104"/>
    <w:rsid w:val="7ED56FFA"/>
    <w:rsid w:val="7ED76320"/>
    <w:rsid w:val="7ED83EE4"/>
    <w:rsid w:val="7EDA3CD5"/>
    <w:rsid w:val="7EDB2F51"/>
    <w:rsid w:val="7EDB7BBE"/>
    <w:rsid w:val="7EE175A8"/>
    <w:rsid w:val="7EE17752"/>
    <w:rsid w:val="7EEF3669"/>
    <w:rsid w:val="7EF14A8E"/>
    <w:rsid w:val="7EFC7B34"/>
    <w:rsid w:val="7F061002"/>
    <w:rsid w:val="7F0D062E"/>
    <w:rsid w:val="7F1239B6"/>
    <w:rsid w:val="7F1E7DC0"/>
    <w:rsid w:val="7F202CCC"/>
    <w:rsid w:val="7F207FF4"/>
    <w:rsid w:val="7F2350C1"/>
    <w:rsid w:val="7F243AD8"/>
    <w:rsid w:val="7F244CB3"/>
    <w:rsid w:val="7F313DAF"/>
    <w:rsid w:val="7F324A40"/>
    <w:rsid w:val="7F3A2AF2"/>
    <w:rsid w:val="7F494D54"/>
    <w:rsid w:val="7F592109"/>
    <w:rsid w:val="7F5A0C56"/>
    <w:rsid w:val="7F67557B"/>
    <w:rsid w:val="7F6B1BBD"/>
    <w:rsid w:val="7F737E3D"/>
    <w:rsid w:val="7F7A29D8"/>
    <w:rsid w:val="7F880C19"/>
    <w:rsid w:val="7F8828A7"/>
    <w:rsid w:val="7F8A609B"/>
    <w:rsid w:val="7F8D5082"/>
    <w:rsid w:val="7F9A1DCB"/>
    <w:rsid w:val="7F9B093D"/>
    <w:rsid w:val="7F9C7BD2"/>
    <w:rsid w:val="7F9E0BEB"/>
    <w:rsid w:val="7FA01878"/>
    <w:rsid w:val="7FA134F4"/>
    <w:rsid w:val="7FA237FE"/>
    <w:rsid w:val="7FA83872"/>
    <w:rsid w:val="7FAB7F3D"/>
    <w:rsid w:val="7FAE7080"/>
    <w:rsid w:val="7FB15428"/>
    <w:rsid w:val="7FB56B75"/>
    <w:rsid w:val="7FB64187"/>
    <w:rsid w:val="7FBD5515"/>
    <w:rsid w:val="7FC8224C"/>
    <w:rsid w:val="7FCA48B6"/>
    <w:rsid w:val="7FCC0473"/>
    <w:rsid w:val="7FCF19B5"/>
    <w:rsid w:val="7FD15A06"/>
    <w:rsid w:val="7FD24D80"/>
    <w:rsid w:val="7FD60385"/>
    <w:rsid w:val="7FE5421D"/>
    <w:rsid w:val="7FEE0E00"/>
    <w:rsid w:val="7FF01447"/>
    <w:rsid w:val="7FF7544F"/>
    <w:rsid w:val="7FF825AB"/>
    <w:rsid w:val="7FFD6A31"/>
    <w:rsid w:val="7FFE14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iPriority="99"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37"/>
    <w:qFormat/>
    <w:uiPriority w:val="0"/>
    <w:pPr>
      <w:jc w:val="center"/>
      <w:outlineLvl w:val="0"/>
    </w:pPr>
    <w:rPr>
      <w:rFonts w:ascii="宋体" w:hAnsi="宋体"/>
      <w:sz w:val="36"/>
    </w:rPr>
  </w:style>
  <w:style w:type="paragraph" w:styleId="3">
    <w:name w:val="heading 2"/>
    <w:basedOn w:val="1"/>
    <w:next w:val="1"/>
    <w:link w:val="217"/>
    <w:qFormat/>
    <w:uiPriority w:val="0"/>
    <w:pPr>
      <w:spacing w:line="360" w:lineRule="auto"/>
      <w:jc w:val="center"/>
      <w:outlineLvl w:val="1"/>
    </w:pPr>
    <w:rPr>
      <w:rFonts w:ascii="Arial" w:hAnsi="Arial" w:eastAsia="黑体"/>
      <w:b/>
      <w:bCs/>
      <w:kern w:val="0"/>
      <w:sz w:val="32"/>
      <w:szCs w:val="32"/>
    </w:rPr>
  </w:style>
  <w:style w:type="paragraph" w:styleId="4">
    <w:name w:val="heading 3"/>
    <w:basedOn w:val="1"/>
    <w:next w:val="1"/>
    <w:link w:val="187"/>
    <w:qFormat/>
    <w:uiPriority w:val="0"/>
    <w:pPr>
      <w:keepNext/>
      <w:keepLines/>
      <w:autoSpaceDE w:val="0"/>
      <w:autoSpaceDN w:val="0"/>
      <w:adjustRightInd w:val="0"/>
      <w:spacing w:before="360" w:after="120"/>
      <w:jc w:val="left"/>
      <w:outlineLvl w:val="2"/>
    </w:pPr>
    <w:rPr>
      <w:rFonts w:ascii="宋体"/>
      <w:b/>
      <w:sz w:val="24"/>
      <w:u w:val="single"/>
    </w:rPr>
  </w:style>
  <w:style w:type="paragraph" w:styleId="5">
    <w:name w:val="heading 4"/>
    <w:basedOn w:val="1"/>
    <w:next w:val="1"/>
    <w:link w:val="226"/>
    <w:qFormat/>
    <w:uiPriority w:val="0"/>
    <w:pPr>
      <w:keepNext/>
      <w:outlineLvl w:val="3"/>
    </w:pPr>
    <w:rPr>
      <w:color w:val="FF0000"/>
      <w:sz w:val="28"/>
      <w:u w:val="single"/>
    </w:rPr>
  </w:style>
  <w:style w:type="paragraph" w:styleId="6">
    <w:name w:val="heading 5"/>
    <w:basedOn w:val="1"/>
    <w:next w:val="1"/>
    <w:link w:val="207"/>
    <w:qFormat/>
    <w:uiPriority w:val="0"/>
    <w:pPr>
      <w:keepNext/>
      <w:keepLines/>
      <w:spacing w:before="280" w:after="290" w:line="372" w:lineRule="auto"/>
      <w:outlineLvl w:val="4"/>
    </w:pPr>
    <w:rPr>
      <w:b/>
      <w:sz w:val="28"/>
    </w:rPr>
  </w:style>
  <w:style w:type="paragraph" w:styleId="7">
    <w:name w:val="heading 6"/>
    <w:basedOn w:val="1"/>
    <w:next w:val="1"/>
    <w:link w:val="195"/>
    <w:qFormat/>
    <w:uiPriority w:val="0"/>
    <w:pPr>
      <w:keepNext/>
      <w:keepLines/>
      <w:spacing w:before="240" w:after="64" w:line="317" w:lineRule="auto"/>
      <w:outlineLvl w:val="5"/>
    </w:pPr>
    <w:rPr>
      <w:rFonts w:ascii="Arial" w:hAnsi="Arial" w:eastAsia="黑体"/>
      <w:b/>
      <w:sz w:val="24"/>
    </w:rPr>
  </w:style>
  <w:style w:type="paragraph" w:styleId="8">
    <w:name w:val="heading 7"/>
    <w:basedOn w:val="1"/>
    <w:next w:val="1"/>
    <w:link w:val="210"/>
    <w:qFormat/>
    <w:uiPriority w:val="0"/>
    <w:pPr>
      <w:keepNext/>
      <w:keepLines/>
      <w:spacing w:before="240" w:after="64" w:line="317" w:lineRule="auto"/>
      <w:outlineLvl w:val="6"/>
    </w:pPr>
    <w:rPr>
      <w:b/>
      <w:sz w:val="24"/>
    </w:rPr>
  </w:style>
  <w:style w:type="paragraph" w:styleId="9">
    <w:name w:val="heading 8"/>
    <w:basedOn w:val="1"/>
    <w:next w:val="1"/>
    <w:link w:val="202"/>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link w:val="236"/>
    <w:qFormat/>
    <w:uiPriority w:val="0"/>
    <w:pPr>
      <w:keepNext/>
      <w:keepLines/>
      <w:spacing w:before="240" w:after="64" w:line="317" w:lineRule="auto"/>
      <w:outlineLvl w:val="8"/>
    </w:pPr>
    <w:rPr>
      <w:rFonts w:ascii="Arial" w:hAnsi="Arial" w:eastAsia="黑体"/>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able of authorities"/>
    <w:basedOn w:val="1"/>
    <w:next w:val="1"/>
    <w:unhideWhenUsed/>
    <w:qFormat/>
    <w:uiPriority w:val="99"/>
    <w:pPr>
      <w:ind w:left="420" w:leftChars="200"/>
    </w:pPr>
  </w:style>
  <w:style w:type="paragraph" w:styleId="12">
    <w:name w:val="Normal Indent"/>
    <w:basedOn w:val="1"/>
    <w:next w:val="13"/>
    <w:qFormat/>
    <w:uiPriority w:val="0"/>
    <w:pPr>
      <w:adjustRightInd w:val="0"/>
      <w:spacing w:line="312" w:lineRule="atLeast"/>
      <w:ind w:firstLine="420"/>
      <w:textAlignment w:val="baseline"/>
    </w:pPr>
    <w:rPr>
      <w:rFonts w:ascii="宋体"/>
      <w:kern w:val="0"/>
    </w:rPr>
  </w:style>
  <w:style w:type="paragraph" w:styleId="13">
    <w:name w:val="Body Text First Indent 2"/>
    <w:basedOn w:val="14"/>
    <w:qFormat/>
    <w:uiPriority w:val="0"/>
    <w:pPr>
      <w:ind w:firstLine="420" w:firstLineChars="200"/>
    </w:pPr>
    <w:rPr>
      <w:sz w:val="21"/>
    </w:rPr>
  </w:style>
  <w:style w:type="paragraph" w:styleId="14">
    <w:name w:val="Body Text Indent"/>
    <w:basedOn w:val="1"/>
    <w:link w:val="182"/>
    <w:qFormat/>
    <w:uiPriority w:val="0"/>
    <w:pPr>
      <w:spacing w:after="120"/>
      <w:ind w:left="420" w:leftChars="200"/>
    </w:pPr>
    <w:rPr>
      <w:b/>
      <w:color w:val="000000"/>
      <w:kern w:val="0"/>
      <w:sz w:val="24"/>
      <w:szCs w:val="24"/>
    </w:rPr>
  </w:style>
  <w:style w:type="paragraph" w:styleId="15">
    <w:name w:val="caption"/>
    <w:basedOn w:val="1"/>
    <w:next w:val="1"/>
    <w:qFormat/>
    <w:uiPriority w:val="35"/>
    <w:rPr>
      <w:rFonts w:ascii="Calibri Light" w:hAnsi="Calibri Light" w:eastAsia="黑体"/>
      <w:sz w:val="20"/>
    </w:rPr>
  </w:style>
  <w:style w:type="paragraph" w:styleId="16">
    <w:name w:val="Document Map"/>
    <w:basedOn w:val="1"/>
    <w:link w:val="213"/>
    <w:qFormat/>
    <w:uiPriority w:val="0"/>
    <w:pPr>
      <w:shd w:val="clear" w:color="auto" w:fill="000080"/>
    </w:pPr>
  </w:style>
  <w:style w:type="paragraph" w:styleId="17">
    <w:name w:val="toa heading"/>
    <w:basedOn w:val="1"/>
    <w:next w:val="1"/>
    <w:qFormat/>
    <w:uiPriority w:val="0"/>
    <w:pPr>
      <w:autoSpaceDE w:val="0"/>
      <w:autoSpaceDN w:val="0"/>
      <w:adjustRightInd w:val="0"/>
      <w:spacing w:before="120"/>
      <w:jc w:val="left"/>
    </w:pPr>
    <w:rPr>
      <w:rFonts w:ascii="Arial" w:hAnsi="Arial"/>
      <w:kern w:val="0"/>
      <w:sz w:val="24"/>
    </w:rPr>
  </w:style>
  <w:style w:type="paragraph" w:styleId="18">
    <w:name w:val="annotation text"/>
    <w:basedOn w:val="1"/>
    <w:qFormat/>
    <w:uiPriority w:val="0"/>
    <w:pPr>
      <w:jc w:val="left"/>
    </w:pPr>
  </w:style>
  <w:style w:type="paragraph" w:styleId="19">
    <w:name w:val="Salutation"/>
    <w:basedOn w:val="1"/>
    <w:next w:val="1"/>
    <w:link w:val="245"/>
    <w:qFormat/>
    <w:uiPriority w:val="99"/>
    <w:rPr>
      <w:rFonts w:ascii="Calibri" w:hAnsi="Calibri"/>
      <w:sz w:val="24"/>
    </w:rPr>
  </w:style>
  <w:style w:type="paragraph" w:styleId="20">
    <w:name w:val="Body Text 3"/>
    <w:basedOn w:val="1"/>
    <w:qFormat/>
    <w:uiPriority w:val="0"/>
    <w:pPr>
      <w:widowControl/>
      <w:ind w:right="-108"/>
    </w:pPr>
    <w:rPr>
      <w:b/>
      <w:sz w:val="24"/>
    </w:rPr>
  </w:style>
  <w:style w:type="paragraph" w:styleId="21">
    <w:name w:val="Body Text"/>
    <w:basedOn w:val="1"/>
    <w:next w:val="1"/>
    <w:link w:val="198"/>
    <w:qFormat/>
    <w:uiPriority w:val="0"/>
    <w:pPr>
      <w:jc w:val="center"/>
    </w:pPr>
  </w:style>
  <w:style w:type="paragraph" w:styleId="22">
    <w:name w:val="List 2"/>
    <w:basedOn w:val="1"/>
    <w:qFormat/>
    <w:uiPriority w:val="0"/>
    <w:pPr>
      <w:ind w:left="100" w:leftChars="200" w:hanging="200" w:hangingChars="200"/>
      <w:contextualSpacing/>
    </w:pPr>
  </w:style>
  <w:style w:type="paragraph" w:styleId="23">
    <w:name w:val="Block Text"/>
    <w:basedOn w:val="1"/>
    <w:next w:val="24"/>
    <w:qFormat/>
    <w:uiPriority w:val="99"/>
    <w:pPr>
      <w:spacing w:after="120"/>
      <w:ind w:left="1440" w:leftChars="700" w:right="700" w:rightChars="700"/>
    </w:pPr>
  </w:style>
  <w:style w:type="paragraph" w:styleId="24">
    <w:name w:val="Plain Text"/>
    <w:basedOn w:val="1"/>
    <w:link w:val="218"/>
    <w:qFormat/>
    <w:uiPriority w:val="0"/>
    <w:rPr>
      <w:rFonts w:ascii="宋体" w:hAnsi="Courier New"/>
    </w:rPr>
  </w:style>
  <w:style w:type="paragraph" w:styleId="25">
    <w:name w:val="toc 3"/>
    <w:basedOn w:val="1"/>
    <w:next w:val="1"/>
    <w:qFormat/>
    <w:uiPriority w:val="0"/>
    <w:pPr>
      <w:spacing w:beforeLines="100" w:line="360" w:lineRule="auto"/>
      <w:ind w:left="480" w:firstLine="480" w:firstLineChars="200"/>
      <w:jc w:val="left"/>
    </w:pPr>
    <w:rPr>
      <w:i/>
      <w:sz w:val="24"/>
    </w:rPr>
  </w:style>
  <w:style w:type="paragraph" w:styleId="26">
    <w:name w:val="Date"/>
    <w:basedOn w:val="1"/>
    <w:next w:val="1"/>
    <w:link w:val="185"/>
    <w:qFormat/>
    <w:uiPriority w:val="0"/>
    <w:pPr>
      <w:ind w:left="100" w:leftChars="2500"/>
    </w:pPr>
  </w:style>
  <w:style w:type="paragraph" w:styleId="27">
    <w:name w:val="Body Text Indent 2"/>
    <w:basedOn w:val="1"/>
    <w:link w:val="215"/>
    <w:qFormat/>
    <w:uiPriority w:val="0"/>
    <w:pPr>
      <w:spacing w:after="120" w:line="480" w:lineRule="auto"/>
      <w:ind w:left="420" w:leftChars="200"/>
    </w:pPr>
  </w:style>
  <w:style w:type="paragraph" w:styleId="28">
    <w:name w:val="endnote text"/>
    <w:basedOn w:val="1"/>
    <w:qFormat/>
    <w:uiPriority w:val="0"/>
    <w:pPr>
      <w:snapToGrid w:val="0"/>
      <w:jc w:val="left"/>
    </w:pPr>
  </w:style>
  <w:style w:type="paragraph" w:styleId="29">
    <w:name w:val="Balloon Text"/>
    <w:basedOn w:val="1"/>
    <w:link w:val="190"/>
    <w:qFormat/>
    <w:uiPriority w:val="0"/>
    <w:rPr>
      <w:sz w:val="18"/>
    </w:rPr>
  </w:style>
  <w:style w:type="paragraph" w:styleId="30">
    <w:name w:val="footer"/>
    <w:basedOn w:val="1"/>
    <w:next w:val="21"/>
    <w:link w:val="200"/>
    <w:qFormat/>
    <w:uiPriority w:val="0"/>
    <w:pPr>
      <w:tabs>
        <w:tab w:val="center" w:pos="4153"/>
        <w:tab w:val="right" w:pos="8306"/>
      </w:tabs>
      <w:snapToGrid w:val="0"/>
      <w:jc w:val="left"/>
    </w:pPr>
    <w:rPr>
      <w:kern w:val="0"/>
      <w:sz w:val="18"/>
    </w:rPr>
  </w:style>
  <w:style w:type="paragraph" w:styleId="31">
    <w:name w:val="envelope return"/>
    <w:basedOn w:val="1"/>
    <w:qFormat/>
    <w:uiPriority w:val="0"/>
    <w:pPr>
      <w:snapToGrid w:val="0"/>
    </w:pPr>
    <w:rPr>
      <w:rFonts w:ascii="Arial" w:hAnsi="Arial"/>
    </w:rPr>
  </w:style>
  <w:style w:type="paragraph" w:styleId="32">
    <w:name w:val="header"/>
    <w:basedOn w:val="1"/>
    <w:next w:val="33"/>
    <w:link w:val="209"/>
    <w:qFormat/>
    <w:uiPriority w:val="0"/>
    <w:pPr>
      <w:pBdr>
        <w:bottom w:val="single" w:color="auto" w:sz="6" w:space="1"/>
      </w:pBdr>
      <w:tabs>
        <w:tab w:val="center" w:pos="4153"/>
        <w:tab w:val="right" w:pos="8306"/>
      </w:tabs>
      <w:snapToGrid w:val="0"/>
      <w:jc w:val="center"/>
    </w:pPr>
    <w:rPr>
      <w:sz w:val="18"/>
    </w:rPr>
  </w:style>
  <w:style w:type="paragraph" w:customStyle="1" w:styleId="33">
    <w:name w:val="自定义页眉"/>
    <w:basedOn w:val="32"/>
    <w:qFormat/>
    <w:uiPriority w:val="0"/>
    <w:pPr>
      <w:pBdr>
        <w:bottom w:val="thickThinMediumGap" w:color="auto" w:sz="18" w:space="1"/>
      </w:pBdr>
    </w:pPr>
    <w:rPr>
      <w:rFonts w:eastAsia="华文行楷"/>
      <w:sz w:val="21"/>
    </w:rPr>
  </w:style>
  <w:style w:type="paragraph" w:styleId="34">
    <w:name w:val="toc 1"/>
    <w:basedOn w:val="1"/>
    <w:next w:val="1"/>
    <w:qFormat/>
    <w:uiPriority w:val="39"/>
    <w:pPr>
      <w:widowControl/>
      <w:jc w:val="left"/>
    </w:pPr>
    <w:rPr>
      <w:kern w:val="0"/>
      <w:sz w:val="20"/>
    </w:rPr>
  </w:style>
  <w:style w:type="paragraph" w:styleId="35">
    <w:name w:val="Body Text Indent 3"/>
    <w:basedOn w:val="1"/>
    <w:link w:val="203"/>
    <w:qFormat/>
    <w:uiPriority w:val="0"/>
    <w:pPr>
      <w:spacing w:after="120"/>
      <w:ind w:left="420" w:leftChars="200"/>
    </w:pPr>
    <w:rPr>
      <w:sz w:val="16"/>
    </w:rPr>
  </w:style>
  <w:style w:type="paragraph" w:styleId="36">
    <w:name w:val="toc 2"/>
    <w:basedOn w:val="1"/>
    <w:next w:val="1"/>
    <w:qFormat/>
    <w:uiPriority w:val="39"/>
    <w:pPr>
      <w:spacing w:beforeLines="100" w:line="360" w:lineRule="auto"/>
      <w:ind w:left="240" w:firstLine="480" w:firstLineChars="200"/>
      <w:jc w:val="left"/>
    </w:pPr>
    <w:rPr>
      <w:smallCaps/>
      <w:sz w:val="24"/>
    </w:rPr>
  </w:style>
  <w:style w:type="paragraph" w:styleId="37">
    <w:name w:val="Body Text 2"/>
    <w:basedOn w:val="1"/>
    <w:link w:val="227"/>
    <w:qFormat/>
    <w:uiPriority w:val="0"/>
    <w:rPr>
      <w:sz w:val="30"/>
    </w:rPr>
  </w:style>
  <w:style w:type="paragraph" w:styleId="38">
    <w:name w:val="Normal (Web)"/>
    <w:basedOn w:val="1"/>
    <w:qFormat/>
    <w:uiPriority w:val="0"/>
    <w:pPr>
      <w:widowControl/>
      <w:spacing w:before="100" w:beforeAutospacing="1" w:after="100" w:afterAutospacing="1"/>
      <w:jc w:val="left"/>
    </w:pPr>
    <w:rPr>
      <w:rFonts w:ascii="宋体" w:hAnsi="宋体"/>
      <w:kern w:val="0"/>
      <w:sz w:val="24"/>
    </w:rPr>
  </w:style>
  <w:style w:type="paragraph" w:styleId="39">
    <w:name w:val="Title"/>
    <w:basedOn w:val="22"/>
    <w:next w:val="1"/>
    <w:qFormat/>
    <w:uiPriority w:val="0"/>
    <w:pPr>
      <w:spacing w:before="120" w:after="120"/>
      <w:jc w:val="center"/>
    </w:pPr>
    <w:rPr>
      <w:rFonts w:eastAsia="黑体"/>
      <w:b/>
      <w:sz w:val="32"/>
    </w:rPr>
  </w:style>
  <w:style w:type="paragraph" w:styleId="40">
    <w:name w:val="annotation subject"/>
    <w:basedOn w:val="18"/>
    <w:next w:val="18"/>
    <w:qFormat/>
    <w:uiPriority w:val="0"/>
    <w:rPr>
      <w:b/>
    </w:rPr>
  </w:style>
  <w:style w:type="paragraph" w:styleId="41">
    <w:name w:val="Body Text First Indent"/>
    <w:basedOn w:val="21"/>
    <w:next w:val="13"/>
    <w:qFormat/>
    <w:uiPriority w:val="0"/>
    <w:pPr>
      <w:spacing w:after="120"/>
      <w:ind w:firstLine="420" w:firstLineChars="100"/>
    </w:pPr>
    <w:rPr>
      <w:sz w:val="18"/>
      <w:szCs w:val="18"/>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basedOn w:val="44"/>
    <w:qFormat/>
    <w:uiPriority w:val="0"/>
    <w:rPr>
      <w:b/>
    </w:rPr>
  </w:style>
  <w:style w:type="character" w:styleId="46">
    <w:name w:val="endnote reference"/>
    <w:qFormat/>
    <w:uiPriority w:val="0"/>
    <w:rPr>
      <w:vertAlign w:val="superscript"/>
    </w:rPr>
  </w:style>
  <w:style w:type="character" w:styleId="47">
    <w:name w:val="page number"/>
    <w:basedOn w:val="44"/>
    <w:qFormat/>
    <w:uiPriority w:val="0"/>
  </w:style>
  <w:style w:type="character" w:styleId="48">
    <w:name w:val="FollowedHyperlink"/>
    <w:qFormat/>
    <w:uiPriority w:val="0"/>
    <w:rPr>
      <w:color w:val="333333"/>
      <w:u w:val="none"/>
    </w:rPr>
  </w:style>
  <w:style w:type="character" w:styleId="49">
    <w:name w:val="Emphasis"/>
    <w:qFormat/>
    <w:uiPriority w:val="0"/>
  </w:style>
  <w:style w:type="character" w:styleId="50">
    <w:name w:val="HTML Definition"/>
    <w:basedOn w:val="44"/>
    <w:qFormat/>
    <w:uiPriority w:val="0"/>
    <w:rPr>
      <w:i/>
    </w:rPr>
  </w:style>
  <w:style w:type="character" w:styleId="51">
    <w:name w:val="Hyperlink"/>
    <w:basedOn w:val="44"/>
    <w:qFormat/>
    <w:uiPriority w:val="0"/>
    <w:rPr>
      <w:color w:val="333333"/>
      <w:u w:val="none"/>
    </w:rPr>
  </w:style>
  <w:style w:type="character" w:styleId="52">
    <w:name w:val="HTML Code"/>
    <w:qFormat/>
    <w:uiPriority w:val="0"/>
    <w:rPr>
      <w:rFonts w:ascii="Consolas" w:hAnsi="Consolas" w:eastAsia="Consolas" w:cs="Consolas"/>
      <w:color w:val="C7254E"/>
      <w:sz w:val="21"/>
      <w:szCs w:val="21"/>
      <w:shd w:val="clear" w:color="auto" w:fill="F9F2F4"/>
    </w:rPr>
  </w:style>
  <w:style w:type="character" w:styleId="53">
    <w:name w:val="annotation reference"/>
    <w:qFormat/>
    <w:uiPriority w:val="0"/>
    <w:rPr>
      <w:sz w:val="21"/>
    </w:rPr>
  </w:style>
  <w:style w:type="character" w:styleId="54">
    <w:name w:val="HTML Keyboard"/>
    <w:qFormat/>
    <w:uiPriority w:val="0"/>
    <w:rPr>
      <w:rFonts w:hint="default" w:ascii="Consolas" w:hAnsi="Consolas" w:eastAsia="Consolas" w:cs="Consolas"/>
      <w:color w:val="FFFFFF"/>
      <w:sz w:val="21"/>
      <w:szCs w:val="21"/>
      <w:shd w:val="clear" w:color="auto" w:fill="333333"/>
    </w:rPr>
  </w:style>
  <w:style w:type="character" w:styleId="55">
    <w:name w:val="HTML Sample"/>
    <w:qFormat/>
    <w:uiPriority w:val="0"/>
    <w:rPr>
      <w:rFonts w:hint="default" w:ascii="Consolas" w:hAnsi="Consolas" w:eastAsia="Consolas" w:cs="Consolas"/>
      <w:sz w:val="21"/>
      <w:szCs w:val="21"/>
    </w:rPr>
  </w:style>
  <w:style w:type="paragraph" w:customStyle="1" w:styleId="5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7">
    <w:name w:val="样式 首行缩进:  2 字符"/>
    <w:qFormat/>
    <w:uiPriority w:val="0"/>
    <w:pPr>
      <w:widowControl w:val="0"/>
      <w:pBdr>
        <w:top w:val="none" w:color="000000" w:sz="0" w:space="3"/>
        <w:left w:val="none" w:color="000000" w:sz="0" w:space="3"/>
        <w:bottom w:val="none" w:color="000000" w:sz="0" w:space="3"/>
        <w:right w:val="none" w:color="000000" w:sz="0" w:space="3"/>
        <w:between w:val="none" w:color="000000" w:sz="0" w:space="0"/>
      </w:pBdr>
      <w:spacing w:line="400" w:lineRule="exact"/>
      <w:ind w:firstLine="200"/>
      <w:jc w:val="both"/>
    </w:pPr>
    <w:rPr>
      <w:rFonts w:ascii="Calibri" w:hAnsi="Calibri" w:eastAsia="宋体" w:cs="宋体"/>
      <w:kern w:val="1"/>
      <w:sz w:val="24"/>
      <w:szCs w:val="24"/>
      <w:lang w:val="en-US" w:eastAsia="zh-CN" w:bidi="ar-SA"/>
    </w:rPr>
  </w:style>
  <w:style w:type="paragraph" w:customStyle="1" w:styleId="58">
    <w:name w:val="Char"/>
    <w:basedOn w:val="1"/>
    <w:qFormat/>
    <w:uiPriority w:val="0"/>
    <w:pPr>
      <w:spacing w:line="360" w:lineRule="auto"/>
    </w:pPr>
    <w:rPr>
      <w:rFonts w:ascii="仿宋_GB2312" w:eastAsia="仿宋_GB2312"/>
      <w:b/>
      <w:sz w:val="32"/>
    </w:rPr>
  </w:style>
  <w:style w:type="paragraph" w:customStyle="1" w:styleId="59">
    <w:name w:val="正文A"/>
    <w:basedOn w:val="1"/>
    <w:qFormat/>
    <w:uiPriority w:val="0"/>
    <w:pPr>
      <w:adjustRightInd w:val="0"/>
      <w:snapToGrid w:val="0"/>
      <w:spacing w:line="360" w:lineRule="auto"/>
      <w:ind w:firstLine="480" w:firstLineChars="200"/>
    </w:pPr>
    <w:rPr>
      <w:rFonts w:ascii="宋体" w:hAnsi="宋体"/>
      <w:sz w:val="24"/>
    </w:rPr>
  </w:style>
  <w:style w:type="paragraph" w:customStyle="1" w:styleId="6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61">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62">
    <w:name w:val="Char3"/>
    <w:basedOn w:val="1"/>
    <w:qFormat/>
    <w:uiPriority w:val="0"/>
    <w:pPr>
      <w:widowControl/>
      <w:spacing w:after="160" w:line="240" w:lineRule="exact"/>
      <w:jc w:val="left"/>
    </w:pPr>
  </w:style>
  <w:style w:type="paragraph" w:customStyle="1" w:styleId="63">
    <w:name w:val="样式 标题 2H2l2I2 + 宋体"/>
    <w:basedOn w:val="3"/>
    <w:qFormat/>
    <w:uiPriority w:val="0"/>
    <w:pPr>
      <w:keepNext/>
      <w:keepLines/>
      <w:widowControl/>
      <w:spacing w:before="180" w:after="120"/>
      <w:ind w:left="720" w:hanging="720"/>
      <w:jc w:val="left"/>
    </w:pPr>
  </w:style>
  <w:style w:type="paragraph" w:customStyle="1" w:styleId="64">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65">
    <w:name w:val="xl33"/>
    <w:basedOn w:val="1"/>
    <w:qFormat/>
    <w:uiPriority w:val="0"/>
    <w:pPr>
      <w:widowControl/>
      <w:pBdr>
        <w:bottom w:val="single" w:color="auto" w:sz="4" w:space="0"/>
      </w:pBdr>
      <w:spacing w:before="100" w:beforeAutospacing="1" w:after="100" w:afterAutospacing="1"/>
      <w:jc w:val="center"/>
    </w:pPr>
    <w:rPr>
      <w:rFonts w:ascii="宋体" w:hAnsi="宋体"/>
      <w:kern w:val="0"/>
      <w:sz w:val="24"/>
    </w:rPr>
  </w:style>
  <w:style w:type="paragraph" w:customStyle="1" w:styleId="6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4"/>
    </w:rPr>
  </w:style>
  <w:style w:type="paragraph" w:customStyle="1" w:styleId="67">
    <w:name w:val="title12"/>
    <w:basedOn w:val="1"/>
    <w:qFormat/>
    <w:uiPriority w:val="0"/>
    <w:pPr>
      <w:spacing w:before="100"/>
      <w:jc w:val="left"/>
    </w:pPr>
    <w:rPr>
      <w:b/>
      <w:kern w:val="0"/>
      <w:sz w:val="15"/>
      <w:szCs w:val="15"/>
    </w:rPr>
  </w:style>
  <w:style w:type="paragraph" w:customStyle="1" w:styleId="68">
    <w:name w:val="目录"/>
    <w:basedOn w:val="1"/>
    <w:qFormat/>
    <w:uiPriority w:val="0"/>
    <w:pPr>
      <w:widowControl/>
      <w:jc w:val="center"/>
    </w:pPr>
    <w:rPr>
      <w:rFonts w:ascii="宋体"/>
      <w:b/>
      <w:kern w:val="0"/>
      <w:sz w:val="36"/>
    </w:rPr>
  </w:style>
  <w:style w:type="paragraph" w:customStyle="1" w:styleId="69">
    <w:name w:val="列表编号2"/>
    <w:basedOn w:val="70"/>
    <w:qFormat/>
    <w:uiPriority w:val="0"/>
    <w:pPr>
      <w:tabs>
        <w:tab w:val="left" w:pos="900"/>
        <w:tab w:val="left" w:pos="1588"/>
      </w:tabs>
      <w:ind w:left="1588" w:hanging="794"/>
    </w:pPr>
  </w:style>
  <w:style w:type="paragraph" w:customStyle="1" w:styleId="70">
    <w:name w:val="列表编号1"/>
    <w:basedOn w:val="1"/>
    <w:qFormat/>
    <w:uiPriority w:val="0"/>
    <w:pPr>
      <w:tabs>
        <w:tab w:val="left" w:pos="900"/>
      </w:tabs>
      <w:spacing w:beforeLines="100" w:line="360" w:lineRule="auto"/>
      <w:ind w:left="900" w:hanging="420"/>
    </w:pPr>
    <w:rPr>
      <w:sz w:val="24"/>
    </w:rPr>
  </w:style>
  <w:style w:type="paragraph" w:customStyle="1" w:styleId="71">
    <w:name w:val="正文缩进2格"/>
    <w:basedOn w:val="1"/>
    <w:link w:val="193"/>
    <w:qFormat/>
    <w:uiPriority w:val="0"/>
    <w:pPr>
      <w:spacing w:line="600" w:lineRule="exact"/>
      <w:ind w:firstLine="639" w:firstLineChars="206"/>
    </w:pPr>
    <w:rPr>
      <w:rFonts w:ascii="仿宋_GB2312" w:hAnsi="宋体" w:eastAsia="仿宋_GB2312"/>
      <w:sz w:val="31"/>
    </w:rPr>
  </w:style>
  <w:style w:type="paragraph" w:styleId="72">
    <w:name w:val="List Paragraph"/>
    <w:basedOn w:val="1"/>
    <w:qFormat/>
    <w:uiPriority w:val="0"/>
    <w:pPr>
      <w:ind w:firstLine="420" w:firstLineChars="200"/>
    </w:pPr>
    <w:rPr>
      <w:rFonts w:ascii="Calibri" w:hAnsi="Calibri"/>
      <w:sz w:val="24"/>
      <w:szCs w:val="22"/>
    </w:rPr>
  </w:style>
  <w:style w:type="paragraph" w:customStyle="1" w:styleId="73">
    <w:name w:val="正文+首行缩进2字符"/>
    <w:basedOn w:val="1"/>
    <w:qFormat/>
    <w:uiPriority w:val="0"/>
    <w:pPr>
      <w:adjustRightInd w:val="0"/>
      <w:snapToGrid w:val="0"/>
      <w:spacing w:before="100" w:beforeAutospacing="1" w:after="100" w:afterAutospacing="1"/>
    </w:pPr>
    <w:rPr>
      <w:rFonts w:ascii="宋体" w:hAnsi="宋体"/>
      <w:snapToGrid w:val="0"/>
      <w:spacing w:val="10"/>
      <w:kern w:val="0"/>
    </w:rPr>
  </w:style>
  <w:style w:type="paragraph" w:customStyle="1" w:styleId="74">
    <w:name w:val="WPSOffice手动目录 1"/>
    <w:qFormat/>
    <w:uiPriority w:val="0"/>
    <w:rPr>
      <w:rFonts w:ascii="Times New Roman" w:hAnsi="Times New Roman" w:eastAsia="宋体" w:cs="Times New Roman"/>
      <w:lang w:val="en-US" w:eastAsia="zh-CN" w:bidi="ar-SA"/>
    </w:rPr>
  </w:style>
  <w:style w:type="paragraph" w:customStyle="1" w:styleId="7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76">
    <w:name w:val="正文文本缩进 31"/>
    <w:basedOn w:val="1"/>
    <w:qFormat/>
    <w:uiPriority w:val="0"/>
    <w:pPr>
      <w:adjustRightInd w:val="0"/>
      <w:spacing w:after="240"/>
      <w:ind w:left="792" w:firstLine="480"/>
      <w:textAlignment w:val="baseline"/>
    </w:pPr>
    <w:rPr>
      <w:sz w:val="24"/>
    </w:rPr>
  </w:style>
  <w:style w:type="paragraph" w:customStyle="1" w:styleId="77">
    <w:name w:val="样式 标题 3 + 宋体"/>
    <w:basedOn w:val="4"/>
    <w:link w:val="197"/>
    <w:qFormat/>
    <w:uiPriority w:val="0"/>
    <w:pPr>
      <w:keepNext w:val="0"/>
      <w:widowControl/>
      <w:tabs>
        <w:tab w:val="left" w:pos="1080"/>
      </w:tabs>
      <w:autoSpaceDE/>
      <w:autoSpaceDN/>
      <w:adjustRightInd/>
      <w:spacing w:before="0"/>
      <w:ind w:left="1021" w:hanging="794"/>
      <w:jc w:val="both"/>
    </w:pPr>
    <w:rPr>
      <w:rFonts w:hAnsi="宋体"/>
      <w:b w:val="0"/>
      <w:snapToGrid w:val="0"/>
      <w:kern w:val="0"/>
      <w:u w:val="none"/>
    </w:rPr>
  </w:style>
  <w:style w:type="paragraph" w:customStyle="1" w:styleId="78">
    <w:name w:val="xl34"/>
    <w:basedOn w:val="1"/>
    <w:qFormat/>
    <w:uiPriority w:val="0"/>
    <w:pPr>
      <w:widowControl/>
      <w:pBdr>
        <w:bottom w:val="single" w:color="auto" w:sz="4" w:space="0"/>
      </w:pBdr>
      <w:spacing w:before="100" w:beforeAutospacing="1" w:after="100" w:afterAutospacing="1"/>
      <w:jc w:val="center"/>
    </w:pPr>
    <w:rPr>
      <w:rFonts w:ascii="宋体" w:hAnsi="宋体"/>
      <w:kern w:val="0"/>
      <w:sz w:val="24"/>
    </w:rPr>
  </w:style>
  <w:style w:type="paragraph" w:customStyle="1" w:styleId="79">
    <w:name w:val="页脚1"/>
    <w:basedOn w:val="1"/>
    <w:qFormat/>
    <w:uiPriority w:val="0"/>
    <w:pPr>
      <w:tabs>
        <w:tab w:val="center" w:pos="4153"/>
        <w:tab w:val="right" w:pos="8306"/>
      </w:tabs>
      <w:adjustRightInd w:val="0"/>
      <w:spacing w:line="240" w:lineRule="atLeast"/>
      <w:jc w:val="left"/>
      <w:textAlignment w:val="baseline"/>
    </w:pPr>
    <w:rPr>
      <w:sz w:val="18"/>
    </w:rPr>
  </w:style>
  <w:style w:type="paragraph" w:customStyle="1" w:styleId="80">
    <w:name w:val="toc2"/>
    <w:basedOn w:val="2"/>
    <w:qFormat/>
    <w:uiPriority w:val="0"/>
    <w:pPr>
      <w:keepNext/>
      <w:tabs>
        <w:tab w:val="left" w:pos="840"/>
      </w:tabs>
      <w:spacing w:before="240" w:after="60"/>
      <w:jc w:val="both"/>
    </w:pPr>
    <w:rPr>
      <w:rFonts w:ascii="Arial" w:hAnsi="Arial"/>
      <w:kern w:val="32"/>
      <w:sz w:val="22"/>
    </w:rPr>
  </w:style>
  <w:style w:type="paragraph" w:customStyle="1" w:styleId="81">
    <w:name w:val="i."/>
    <w:basedOn w:val="1"/>
    <w:qFormat/>
    <w:uiPriority w:val="0"/>
    <w:pPr>
      <w:widowControl/>
      <w:tabs>
        <w:tab w:val="left" w:pos="2041"/>
        <w:tab w:val="left" w:pos="2308"/>
      </w:tabs>
      <w:spacing w:before="60" w:after="60" w:line="264" w:lineRule="auto"/>
      <w:ind w:left="2041" w:hanging="453"/>
    </w:pPr>
    <w:rPr>
      <w:sz w:val="22"/>
    </w:rPr>
  </w:style>
  <w:style w:type="paragraph" w:customStyle="1" w:styleId="82">
    <w:name w:val="xiao b"/>
    <w:basedOn w:val="1"/>
    <w:qFormat/>
    <w:uiPriority w:val="0"/>
    <w:pPr>
      <w:jc w:val="center"/>
    </w:pPr>
    <w:rPr>
      <w:rFonts w:eastAsia="黑体"/>
      <w:sz w:val="24"/>
    </w:rPr>
  </w:style>
  <w:style w:type="paragraph" w:customStyle="1" w:styleId="83">
    <w:name w:val="表中"/>
    <w:basedOn w:val="1"/>
    <w:qFormat/>
    <w:uiPriority w:val="0"/>
    <w:pPr>
      <w:tabs>
        <w:tab w:val="left" w:pos="2619"/>
      </w:tabs>
      <w:adjustRightInd w:val="0"/>
      <w:spacing w:before="60" w:line="360" w:lineRule="auto"/>
      <w:ind w:right="26" w:rightChars="26"/>
    </w:pPr>
    <w:rPr>
      <w:rFonts w:ascii="宋体" w:hAnsi="宋体"/>
      <w:b/>
      <w:snapToGrid w:val="0"/>
      <w:kern w:val="0"/>
      <w:sz w:val="24"/>
    </w:rPr>
  </w:style>
  <w:style w:type="paragraph" w:customStyle="1" w:styleId="84">
    <w:name w:val="font9"/>
    <w:basedOn w:val="1"/>
    <w:qFormat/>
    <w:uiPriority w:val="0"/>
    <w:pPr>
      <w:widowControl/>
      <w:spacing w:before="100" w:beforeAutospacing="1" w:after="100" w:afterAutospacing="1"/>
      <w:jc w:val="left"/>
    </w:pPr>
    <w:rPr>
      <w:rFonts w:hint="eastAsia" w:ascii="宋体" w:hAnsi="宋体"/>
      <w:color w:val="FF0000"/>
      <w:kern w:val="0"/>
      <w:sz w:val="20"/>
    </w:rPr>
  </w:style>
  <w:style w:type="paragraph" w:customStyle="1" w:styleId="85">
    <w:name w:val="font8"/>
    <w:basedOn w:val="1"/>
    <w:qFormat/>
    <w:uiPriority w:val="0"/>
    <w:pPr>
      <w:widowControl/>
      <w:spacing w:before="100" w:beforeAutospacing="1" w:after="100" w:afterAutospacing="1"/>
      <w:jc w:val="left"/>
    </w:pPr>
    <w:rPr>
      <w:rFonts w:ascii="MS Sans Serif" w:hAnsi="MS Sans Serif"/>
      <w:color w:val="FF0000"/>
      <w:kern w:val="0"/>
      <w:sz w:val="20"/>
    </w:rPr>
  </w:style>
  <w:style w:type="paragraph" w:customStyle="1" w:styleId="86">
    <w:name w:val="tit"/>
    <w:basedOn w:val="1"/>
    <w:qFormat/>
    <w:uiPriority w:val="0"/>
    <w:pPr>
      <w:pBdr>
        <w:left w:val="single" w:color="auto" w:sz="6" w:space="4"/>
      </w:pBdr>
      <w:tabs>
        <w:tab w:val="left" w:pos="1021"/>
        <w:tab w:val="left" w:pos="5245"/>
      </w:tabs>
      <w:spacing w:before="60" w:after="60" w:line="520" w:lineRule="exact"/>
      <w:jc w:val="center"/>
    </w:pPr>
    <w:rPr>
      <w:rFonts w:ascii="Arial" w:hAnsi="Arial" w:eastAsia="仿宋_GB2312"/>
      <w:kern w:val="0"/>
    </w:rPr>
  </w:style>
  <w:style w:type="paragraph" w:customStyle="1" w:styleId="87">
    <w:name w:val="xl47"/>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88">
    <w:name w:val="列表1"/>
    <w:basedOn w:val="1"/>
    <w:qFormat/>
    <w:uiPriority w:val="0"/>
    <w:pPr>
      <w:adjustRightInd w:val="0"/>
      <w:spacing w:after="120" w:line="300" w:lineRule="auto"/>
      <w:ind w:left="2387" w:hanging="227"/>
      <w:textAlignment w:val="baseline"/>
    </w:pPr>
    <w:rPr>
      <w:rFonts w:ascii="宋体" w:hAnsi="宋体"/>
      <w:sz w:val="24"/>
    </w:rPr>
  </w:style>
  <w:style w:type="paragraph" w:customStyle="1" w:styleId="89">
    <w:name w:val="C503-正文格式"/>
    <w:basedOn w:val="1"/>
    <w:qFormat/>
    <w:uiPriority w:val="0"/>
    <w:pPr>
      <w:widowControl/>
      <w:ind w:firstLine="560" w:firstLineChars="200"/>
      <w:jc w:val="left"/>
    </w:pPr>
    <w:rPr>
      <w:rFonts w:ascii="仿宋" w:hAnsi="仿宋" w:eastAsia="仿宋" w:cs="宋体"/>
      <w:kern w:val="0"/>
    </w:rPr>
  </w:style>
  <w:style w:type="paragraph" w:customStyle="1" w:styleId="90">
    <w:name w:val="xl3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91">
    <w:name w:val="xl4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92">
    <w:name w:val="正文文本 21"/>
    <w:basedOn w:val="1"/>
    <w:qFormat/>
    <w:uiPriority w:val="0"/>
    <w:pPr>
      <w:autoSpaceDE w:val="0"/>
      <w:autoSpaceDN w:val="0"/>
      <w:adjustRightInd w:val="0"/>
      <w:spacing w:line="380" w:lineRule="atLeast"/>
      <w:textAlignment w:val="baseline"/>
    </w:pPr>
    <w:rPr>
      <w:spacing w:val="10"/>
      <w:kern w:val="0"/>
      <w:sz w:val="24"/>
    </w:rPr>
  </w:style>
  <w:style w:type="paragraph" w:customStyle="1" w:styleId="93">
    <w:name w:val="xl3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94">
    <w:name w:val="_Style 87"/>
    <w:basedOn w:val="2"/>
    <w:next w:val="1"/>
    <w:qFormat/>
    <w:uiPriority w:val="0"/>
    <w:pPr>
      <w:keepNext/>
      <w:keepLines/>
      <w:widowControl/>
      <w:spacing w:before="480" w:line="276" w:lineRule="auto"/>
      <w:jc w:val="left"/>
      <w:outlineLvl w:val="9"/>
    </w:pPr>
    <w:rPr>
      <w:rFonts w:ascii="Cambria" w:hAnsi="Cambria"/>
      <w:bCs/>
      <w:color w:val="365F91"/>
      <w:kern w:val="0"/>
      <w:sz w:val="28"/>
      <w:szCs w:val="28"/>
    </w:rPr>
  </w:style>
  <w:style w:type="paragraph" w:customStyle="1" w:styleId="95">
    <w:name w:val="缺省文本"/>
    <w:basedOn w:val="1"/>
    <w:qFormat/>
    <w:uiPriority w:val="0"/>
    <w:pPr>
      <w:autoSpaceDE w:val="0"/>
      <w:autoSpaceDN w:val="0"/>
      <w:adjustRightInd w:val="0"/>
      <w:jc w:val="left"/>
    </w:pPr>
    <w:rPr>
      <w:kern w:val="0"/>
      <w:sz w:val="24"/>
    </w:rPr>
  </w:style>
  <w:style w:type="paragraph" w:customStyle="1" w:styleId="96">
    <w:name w:val="&lt;=&gt;"/>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97">
    <w:name w:val="正文 + 宋体"/>
    <w:basedOn w:val="1"/>
    <w:qFormat/>
    <w:uiPriority w:val="0"/>
    <w:pPr>
      <w:spacing w:line="380" w:lineRule="exact"/>
      <w:jc w:val="center"/>
    </w:pPr>
    <w:rPr>
      <w:sz w:val="24"/>
      <w:szCs w:val="24"/>
    </w:rPr>
  </w:style>
  <w:style w:type="paragraph" w:customStyle="1" w:styleId="98">
    <w:name w:val="xl5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99">
    <w:name w:val="xl48"/>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olor w:val="FF0000"/>
      <w:kern w:val="0"/>
      <w:sz w:val="24"/>
    </w:rPr>
  </w:style>
  <w:style w:type="paragraph" w:customStyle="1" w:styleId="100">
    <w:name w:val="(1)"/>
    <w:basedOn w:val="1"/>
    <w:qFormat/>
    <w:uiPriority w:val="0"/>
    <w:pPr>
      <w:widowControl/>
      <w:tabs>
        <w:tab w:val="left" w:pos="2608"/>
      </w:tabs>
      <w:overflowPunct w:val="0"/>
      <w:autoSpaceDE w:val="0"/>
      <w:autoSpaceDN w:val="0"/>
      <w:adjustRightInd w:val="0"/>
      <w:spacing w:before="120" w:after="120" w:line="264" w:lineRule="auto"/>
      <w:ind w:left="2608" w:hanging="567"/>
      <w:textAlignment w:val="baseline"/>
    </w:pPr>
    <w:rPr>
      <w:kern w:val="0"/>
      <w:sz w:val="22"/>
    </w:rPr>
  </w:style>
  <w:style w:type="paragraph" w:customStyle="1" w:styleId="101">
    <w:name w:val="List Paragraph11"/>
    <w:basedOn w:val="1"/>
    <w:qFormat/>
    <w:uiPriority w:val="0"/>
    <w:pPr>
      <w:ind w:firstLine="420" w:firstLineChars="200"/>
    </w:pPr>
  </w:style>
  <w:style w:type="paragraph" w:customStyle="1" w:styleId="102">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rPr>
  </w:style>
  <w:style w:type="paragraph" w:customStyle="1" w:styleId="103">
    <w:name w:val="标书正文"/>
    <w:basedOn w:val="1"/>
    <w:qFormat/>
    <w:uiPriority w:val="0"/>
    <w:pPr>
      <w:adjustRightInd w:val="0"/>
      <w:spacing w:line="360" w:lineRule="auto"/>
      <w:ind w:left="840" w:hanging="840"/>
      <w:textAlignment w:val="baseline"/>
    </w:pPr>
    <w:rPr>
      <w:rFonts w:ascii="楷体_GB2312" w:eastAsia="楷体_GB2312"/>
      <w:kern w:val="0"/>
      <w:sz w:val="24"/>
    </w:rPr>
  </w:style>
  <w:style w:type="paragraph" w:customStyle="1" w:styleId="104">
    <w:name w:val="Char Char Char Char Char Char Char"/>
    <w:basedOn w:val="1"/>
    <w:qFormat/>
    <w:uiPriority w:val="0"/>
    <w:pPr>
      <w:widowControl/>
      <w:tabs>
        <w:tab w:val="left" w:pos="720"/>
      </w:tabs>
      <w:spacing w:line="360" w:lineRule="auto"/>
      <w:ind w:left="720"/>
      <w:jc w:val="left"/>
    </w:pPr>
    <w:rPr>
      <w:rFonts w:ascii="宋体"/>
      <w:kern w:val="0"/>
    </w:rPr>
  </w:style>
  <w:style w:type="paragraph" w:customStyle="1" w:styleId="105">
    <w:name w:val="无间隔1"/>
    <w:qFormat/>
    <w:uiPriority w:val="1"/>
    <w:pPr>
      <w:widowControl w:val="0"/>
      <w:spacing w:line="300" w:lineRule="auto"/>
    </w:pPr>
    <w:rPr>
      <w:rFonts w:ascii="Calibri" w:hAnsi="Calibri" w:eastAsia="宋体" w:cs="黑体"/>
      <w:kern w:val="2"/>
      <w:sz w:val="21"/>
      <w:szCs w:val="22"/>
      <w:lang w:val="en-US" w:eastAsia="zh-CN" w:bidi="ar-SA"/>
    </w:rPr>
  </w:style>
  <w:style w:type="paragraph" w:customStyle="1" w:styleId="106">
    <w:name w:val="符号参数位1级"/>
    <w:basedOn w:val="1"/>
    <w:qFormat/>
    <w:uiPriority w:val="0"/>
    <w:pPr>
      <w:tabs>
        <w:tab w:val="left" w:pos="5670"/>
      </w:tabs>
      <w:adjustRightInd w:val="0"/>
      <w:spacing w:before="60"/>
      <w:ind w:left="851" w:hanging="284"/>
      <w:jc w:val="left"/>
      <w:textAlignment w:val="baseline"/>
    </w:pPr>
    <w:rPr>
      <w:kern w:val="0"/>
      <w:sz w:val="28"/>
    </w:rPr>
  </w:style>
  <w:style w:type="paragraph" w:customStyle="1" w:styleId="107">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08">
    <w:name w:val="Table Paragraph"/>
    <w:basedOn w:val="1"/>
    <w:qFormat/>
    <w:uiPriority w:val="1"/>
    <w:rPr>
      <w:rFonts w:ascii="宋体" w:hAnsi="宋体" w:cs="宋体"/>
      <w:lang w:val="zh-CN" w:bidi="zh-CN"/>
    </w:rPr>
  </w:style>
  <w:style w:type="paragraph" w:customStyle="1" w:styleId="109">
    <w:name w:val="font6"/>
    <w:basedOn w:val="1"/>
    <w:qFormat/>
    <w:uiPriority w:val="0"/>
    <w:pPr>
      <w:widowControl/>
      <w:spacing w:before="100" w:beforeAutospacing="1" w:after="100" w:afterAutospacing="1"/>
      <w:jc w:val="left"/>
    </w:pPr>
    <w:rPr>
      <w:rFonts w:hint="eastAsia" w:ascii="宋体" w:hAnsi="宋体"/>
      <w:kern w:val="0"/>
      <w:sz w:val="20"/>
    </w:rPr>
  </w:style>
  <w:style w:type="paragraph" w:customStyle="1" w:styleId="110">
    <w:name w:val="(a)items"/>
    <w:basedOn w:val="1"/>
    <w:qFormat/>
    <w:uiPriority w:val="0"/>
    <w:pPr>
      <w:tabs>
        <w:tab w:val="left" w:pos="1980"/>
      </w:tabs>
      <w:adjustRightInd w:val="0"/>
      <w:spacing w:after="240"/>
      <w:ind w:left="1980" w:leftChars="680" w:hanging="348" w:hangingChars="145"/>
      <w:textAlignment w:val="baseline"/>
    </w:pPr>
    <w:rPr>
      <w:sz w:val="24"/>
    </w:rPr>
  </w:style>
  <w:style w:type="paragraph" w:customStyle="1" w:styleId="111">
    <w:name w:val="表头"/>
    <w:basedOn w:val="1"/>
    <w:qFormat/>
    <w:uiPriority w:val="0"/>
    <w:pPr>
      <w:spacing w:beforeLines="50" w:afterLines="50"/>
      <w:ind w:right="-21" w:rightChars="-21"/>
      <w:jc w:val="center"/>
    </w:pPr>
    <w:rPr>
      <w:rFonts w:ascii="宋体"/>
      <w:b/>
      <w:sz w:val="24"/>
    </w:rPr>
  </w:style>
  <w:style w:type="paragraph" w:customStyle="1" w:styleId="112">
    <w:name w:val="Char Char Char"/>
    <w:basedOn w:val="1"/>
    <w:qFormat/>
    <w:uiPriority w:val="0"/>
    <w:rPr>
      <w:rFonts w:ascii="Tahoma" w:hAnsi="Tahoma"/>
      <w:sz w:val="24"/>
    </w:rPr>
  </w:style>
  <w:style w:type="paragraph" w:customStyle="1" w:styleId="113">
    <w:name w:val="xl32"/>
    <w:basedOn w:val="1"/>
    <w:qFormat/>
    <w:uiPriority w:val="0"/>
    <w:pPr>
      <w:widowControl/>
      <w:pBdr>
        <w:bottom w:val="single" w:color="auto" w:sz="4" w:space="0"/>
      </w:pBdr>
      <w:spacing w:before="100" w:beforeAutospacing="1" w:after="100" w:afterAutospacing="1"/>
      <w:jc w:val="center"/>
    </w:pPr>
    <w:rPr>
      <w:rFonts w:hint="eastAsia" w:ascii="宋体" w:hAnsi="宋体"/>
      <w:kern w:val="0"/>
      <w:sz w:val="24"/>
    </w:rPr>
  </w:style>
  <w:style w:type="paragraph" w:customStyle="1" w:styleId="114">
    <w:name w:val="图标题文字"/>
    <w:basedOn w:val="115"/>
    <w:qFormat/>
    <w:uiPriority w:val="0"/>
    <w:pPr>
      <w:spacing w:line="300" w:lineRule="exact"/>
      <w:jc w:val="center"/>
    </w:pPr>
    <w:rPr>
      <w:b/>
      <w:sz w:val="28"/>
    </w:rPr>
  </w:style>
  <w:style w:type="paragraph" w:customStyle="1" w:styleId="115">
    <w:name w:val="文本框文字"/>
    <w:basedOn w:val="1"/>
    <w:qFormat/>
    <w:uiPriority w:val="0"/>
    <w:pPr>
      <w:spacing w:line="280" w:lineRule="exact"/>
    </w:pPr>
  </w:style>
  <w:style w:type="paragraph" w:customStyle="1" w:styleId="116">
    <w:name w:val="title1"/>
    <w:basedOn w:val="1"/>
    <w:qFormat/>
    <w:uiPriority w:val="0"/>
    <w:pPr>
      <w:spacing w:before="100" w:line="300" w:lineRule="atLeast"/>
      <w:jc w:val="left"/>
    </w:pPr>
    <w:rPr>
      <w:b/>
      <w:kern w:val="0"/>
      <w:sz w:val="16"/>
      <w:szCs w:val="16"/>
    </w:rPr>
  </w:style>
  <w:style w:type="paragraph" w:customStyle="1" w:styleId="117">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olor w:val="FF0000"/>
      <w:kern w:val="0"/>
      <w:sz w:val="24"/>
    </w:rPr>
  </w:style>
  <w:style w:type="paragraph" w:customStyle="1" w:styleId="118">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1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20">
    <w:name w:val="font7"/>
    <w:basedOn w:val="1"/>
    <w:qFormat/>
    <w:uiPriority w:val="0"/>
    <w:pPr>
      <w:widowControl/>
      <w:spacing w:before="100" w:beforeAutospacing="1" w:after="100" w:afterAutospacing="1"/>
      <w:jc w:val="left"/>
    </w:pPr>
    <w:rPr>
      <w:rFonts w:hint="eastAsia" w:ascii="宋体" w:hAnsi="宋体"/>
      <w:kern w:val="0"/>
      <w:sz w:val="20"/>
    </w:rPr>
  </w:style>
  <w:style w:type="paragraph" w:customStyle="1" w:styleId="121">
    <w:name w:val="xl37"/>
    <w:basedOn w:val="1"/>
    <w:qFormat/>
    <w:uiPriority w:val="0"/>
    <w:pPr>
      <w:widowControl/>
      <w:spacing w:before="100" w:beforeAutospacing="1" w:after="100" w:afterAutospacing="1"/>
      <w:jc w:val="center"/>
    </w:pPr>
    <w:rPr>
      <w:rFonts w:hint="eastAsia" w:ascii="宋体" w:hAnsi="宋体"/>
      <w:kern w:val="0"/>
      <w:sz w:val="24"/>
    </w:rPr>
  </w:style>
  <w:style w:type="paragraph" w:customStyle="1" w:styleId="122">
    <w:name w:val="table text contents"/>
    <w:basedOn w:val="123"/>
    <w:qFormat/>
    <w:uiPriority w:val="0"/>
    <w:pPr>
      <w:ind w:left="0" w:firstLine="0" w:firstLineChars="0"/>
      <w:jc w:val="center"/>
    </w:pPr>
  </w:style>
  <w:style w:type="paragraph" w:customStyle="1" w:styleId="123">
    <w:name w:val="table text"/>
    <w:basedOn w:val="1"/>
    <w:qFormat/>
    <w:uiPriority w:val="0"/>
    <w:pPr>
      <w:spacing w:line="0" w:lineRule="atLeast"/>
      <w:ind w:left="220" w:hanging="220" w:hangingChars="100"/>
    </w:pPr>
    <w:rPr>
      <w:sz w:val="22"/>
    </w:rPr>
  </w:style>
  <w:style w:type="paragraph" w:customStyle="1" w:styleId="124">
    <w:name w:val="&lt;--"/>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25">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26">
    <w:name w:val="标题 2 + 楷体_GB2312"/>
    <w:basedOn w:val="3"/>
    <w:qFormat/>
    <w:uiPriority w:val="0"/>
    <w:pPr>
      <w:keepNext/>
      <w:ind w:firstLine="240" w:firstLineChars="100"/>
      <w:jc w:val="both"/>
    </w:pPr>
    <w:rPr>
      <w:rFonts w:ascii="楷体_GB2312" w:eastAsia="楷体_GB2312"/>
      <w:b w:val="0"/>
    </w:rPr>
  </w:style>
  <w:style w:type="paragraph" w:customStyle="1" w:styleId="127">
    <w:name w:val="Char1"/>
    <w:basedOn w:val="1"/>
    <w:qFormat/>
    <w:uiPriority w:val="0"/>
    <w:rPr>
      <w:szCs w:val="21"/>
    </w:rPr>
  </w:style>
  <w:style w:type="paragraph" w:customStyle="1" w:styleId="128">
    <w:name w:val="图"/>
    <w:basedOn w:val="1"/>
    <w:qFormat/>
    <w:uiPriority w:val="0"/>
    <w:pPr>
      <w:keepNext/>
      <w:spacing w:before="60" w:after="60" w:line="300" w:lineRule="auto"/>
      <w:jc w:val="center"/>
      <w:textAlignment w:val="center"/>
    </w:pPr>
    <w:rPr>
      <w:snapToGrid w:val="0"/>
      <w:spacing w:val="20"/>
      <w:sz w:val="24"/>
    </w:rPr>
  </w:style>
  <w:style w:type="paragraph" w:customStyle="1" w:styleId="129">
    <w:name w:val="样式1"/>
    <w:basedOn w:val="1"/>
    <w:qFormat/>
    <w:uiPriority w:val="0"/>
    <w:pPr>
      <w:tabs>
        <w:tab w:val="left" w:pos="425"/>
        <w:tab w:val="left" w:pos="3969"/>
      </w:tabs>
      <w:adjustRightInd w:val="0"/>
      <w:spacing w:before="120" w:line="300" w:lineRule="auto"/>
      <w:ind w:left="425" w:hanging="425"/>
      <w:jc w:val="left"/>
      <w:textAlignment w:val="baseline"/>
    </w:pPr>
    <w:rPr>
      <w:rFonts w:ascii="宋体"/>
      <w:kern w:val="0"/>
      <w:sz w:val="28"/>
    </w:rPr>
  </w:style>
  <w:style w:type="paragraph" w:customStyle="1" w:styleId="130">
    <w:name w:val="样式 标题 4 + 宋体"/>
    <w:basedOn w:val="5"/>
    <w:qFormat/>
    <w:uiPriority w:val="0"/>
    <w:pPr>
      <w:keepNext w:val="0"/>
      <w:keepLines/>
      <w:widowControl/>
      <w:spacing w:after="120"/>
      <w:ind w:left="1531" w:hanging="1077"/>
    </w:pPr>
    <w:rPr>
      <w:rFonts w:ascii="宋体" w:hAnsi="宋体"/>
      <w:color w:val="auto"/>
      <w:kern w:val="0"/>
      <w:sz w:val="24"/>
      <w:u w:val="none"/>
    </w:rPr>
  </w:style>
  <w:style w:type="paragraph" w:customStyle="1" w:styleId="131">
    <w:name w:val="多级编号 1"/>
    <w:basedOn w:val="1"/>
    <w:qFormat/>
    <w:uiPriority w:val="0"/>
    <w:pPr>
      <w:tabs>
        <w:tab w:val="left" w:pos="814"/>
      </w:tabs>
      <w:adjustRightInd w:val="0"/>
      <w:spacing w:before="120" w:line="300" w:lineRule="auto"/>
      <w:ind w:left="425" w:hanging="425"/>
      <w:jc w:val="left"/>
      <w:textAlignment w:val="baseline"/>
    </w:pPr>
    <w:rPr>
      <w:kern w:val="0"/>
      <w:position w:val="20"/>
      <w:sz w:val="28"/>
    </w:rPr>
  </w:style>
  <w:style w:type="paragraph" w:customStyle="1" w:styleId="13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33">
    <w:name w:val="title11"/>
    <w:basedOn w:val="1"/>
    <w:qFormat/>
    <w:uiPriority w:val="0"/>
    <w:pPr>
      <w:spacing w:before="150" w:line="450" w:lineRule="atLeast"/>
      <w:jc w:val="left"/>
    </w:pPr>
    <w:rPr>
      <w:b/>
      <w:kern w:val="0"/>
      <w:sz w:val="24"/>
      <w:szCs w:val="24"/>
    </w:rPr>
  </w:style>
  <w:style w:type="paragraph" w:customStyle="1" w:styleId="134">
    <w:name w:val="font5"/>
    <w:basedOn w:val="1"/>
    <w:qFormat/>
    <w:uiPriority w:val="0"/>
    <w:pPr>
      <w:widowControl/>
      <w:spacing w:before="100" w:beforeAutospacing="1" w:after="100" w:afterAutospacing="1"/>
      <w:jc w:val="left"/>
    </w:pPr>
    <w:rPr>
      <w:rFonts w:hint="eastAsia" w:ascii="宋体" w:hAnsi="宋体"/>
      <w:kern w:val="0"/>
      <w:sz w:val="18"/>
    </w:rPr>
  </w:style>
  <w:style w:type="paragraph" w:customStyle="1" w:styleId="135">
    <w:name w:val="Char Char4 Char Char Char Char"/>
    <w:basedOn w:val="1"/>
    <w:qFormat/>
    <w:uiPriority w:val="0"/>
    <w:pPr>
      <w:spacing w:line="440" w:lineRule="atLeast"/>
      <w:ind w:firstLine="482" w:firstLineChars="200"/>
    </w:pPr>
    <w:rPr>
      <w:rFonts w:ascii="宋体" w:hAnsi="宋体"/>
      <w:b/>
      <w:color w:val="000000"/>
      <w:sz w:val="24"/>
    </w:rPr>
  </w:style>
  <w:style w:type="paragraph" w:customStyle="1" w:styleId="136">
    <w:name w:val="Char1 Char Char Char1"/>
    <w:basedOn w:val="1"/>
    <w:qFormat/>
    <w:uiPriority w:val="0"/>
    <w:pPr>
      <w:widowControl/>
      <w:spacing w:after="160" w:line="240" w:lineRule="exact"/>
      <w:jc w:val="left"/>
    </w:pPr>
    <w:rPr>
      <w:rFonts w:ascii="Verdana" w:hAnsi="Verdana" w:eastAsia="仿宋_GB2312"/>
      <w:kern w:val="0"/>
      <w:sz w:val="28"/>
      <w:lang w:eastAsia="en-US"/>
    </w:rPr>
  </w:style>
  <w:style w:type="paragraph" w:customStyle="1" w:styleId="137">
    <w:name w:val="正文文本缩进 21"/>
    <w:basedOn w:val="1"/>
    <w:qFormat/>
    <w:uiPriority w:val="0"/>
    <w:pPr>
      <w:adjustRightInd w:val="0"/>
      <w:spacing w:after="240"/>
      <w:ind w:left="1080" w:firstLine="480"/>
      <w:textAlignment w:val="baseline"/>
    </w:pPr>
    <w:rPr>
      <w:sz w:val="24"/>
    </w:rPr>
  </w:style>
  <w:style w:type="paragraph" w:customStyle="1" w:styleId="138">
    <w:name w:val="xl4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3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140">
    <w:name w:val="(i)tems"/>
    <w:basedOn w:val="1"/>
    <w:qFormat/>
    <w:uiPriority w:val="0"/>
    <w:pPr>
      <w:tabs>
        <w:tab w:val="left" w:pos="360"/>
      </w:tabs>
      <w:adjustRightInd w:val="0"/>
      <w:spacing w:after="240"/>
      <w:ind w:left="360" w:hanging="360"/>
      <w:textAlignment w:val="baseline"/>
    </w:pPr>
    <w:rPr>
      <w:sz w:val="24"/>
    </w:rPr>
  </w:style>
  <w:style w:type="paragraph" w:customStyle="1" w:styleId="141">
    <w:name w:val="p0"/>
    <w:basedOn w:val="1"/>
    <w:link w:val="244"/>
    <w:qFormat/>
    <w:uiPriority w:val="0"/>
    <w:pPr>
      <w:widowControl/>
      <w:jc w:val="left"/>
    </w:pPr>
    <w:rPr>
      <w:rFonts w:ascii="Calibri" w:hAnsi="Calibri" w:cs="宋体"/>
      <w:kern w:val="0"/>
      <w:sz w:val="24"/>
      <w:szCs w:val="24"/>
    </w:rPr>
  </w:style>
  <w:style w:type="paragraph" w:customStyle="1" w:styleId="142">
    <w:name w:val="xl28"/>
    <w:basedOn w:val="1"/>
    <w:qFormat/>
    <w:uiPriority w:val="0"/>
    <w:pPr>
      <w:widowControl/>
      <w:spacing w:before="100" w:after="100"/>
      <w:jc w:val="center"/>
    </w:pPr>
    <w:rPr>
      <w:rFonts w:ascii="Arial Unicode MS" w:hAnsi="Arial Unicode MS"/>
      <w:kern w:val="0"/>
      <w:sz w:val="24"/>
    </w:rPr>
  </w:style>
  <w:style w:type="paragraph" w:customStyle="1" w:styleId="143">
    <w:name w:val="项目编号2"/>
    <w:basedOn w:val="144"/>
    <w:qFormat/>
    <w:uiPriority w:val="0"/>
    <w:pPr>
      <w:tabs>
        <w:tab w:val="left" w:pos="360"/>
        <w:tab w:val="left" w:pos="927"/>
      </w:tabs>
      <w:ind w:left="360" w:hanging="360"/>
    </w:pPr>
  </w:style>
  <w:style w:type="paragraph" w:customStyle="1" w:styleId="144">
    <w:name w:val="项目编号1"/>
    <w:basedOn w:val="1"/>
    <w:qFormat/>
    <w:uiPriority w:val="0"/>
    <w:pPr>
      <w:tabs>
        <w:tab w:val="left" w:pos="927"/>
      </w:tabs>
      <w:spacing w:beforeLines="100" w:line="360" w:lineRule="auto"/>
      <w:ind w:left="907" w:hanging="340"/>
    </w:pPr>
    <w:rPr>
      <w:sz w:val="24"/>
    </w:rPr>
  </w:style>
  <w:style w:type="paragraph" w:customStyle="1" w:styleId="145">
    <w:name w:val="基准标题"/>
    <w:basedOn w:val="21"/>
    <w:next w:val="21"/>
    <w:qFormat/>
    <w:uiPriority w:val="0"/>
    <w:pPr>
      <w:keepNext/>
      <w:keepLines/>
      <w:widowControl/>
      <w:tabs>
        <w:tab w:val="left" w:pos="2619"/>
      </w:tabs>
      <w:adjustRightInd w:val="0"/>
      <w:spacing w:before="60" w:line="240" w:lineRule="atLeast"/>
      <w:ind w:right="26" w:rightChars="26"/>
      <w:jc w:val="left"/>
    </w:pPr>
    <w:rPr>
      <w:rFonts w:ascii="Garamond" w:hAnsi="Garamond"/>
      <w:b/>
      <w:kern w:val="20"/>
    </w:rPr>
  </w:style>
  <w:style w:type="paragraph" w:customStyle="1" w:styleId="146">
    <w:name w:val="数字编号"/>
    <w:basedOn w:val="1"/>
    <w:qFormat/>
    <w:uiPriority w:val="0"/>
    <w:pPr>
      <w:tabs>
        <w:tab w:val="left" w:pos="3969"/>
      </w:tabs>
      <w:adjustRightInd w:val="0"/>
      <w:spacing w:before="120" w:line="300" w:lineRule="auto"/>
      <w:ind w:firstLine="567"/>
      <w:jc w:val="left"/>
      <w:textAlignment w:val="baseline"/>
    </w:pPr>
    <w:rPr>
      <w:kern w:val="0"/>
      <w:position w:val="20"/>
      <w:sz w:val="28"/>
    </w:rPr>
  </w:style>
  <w:style w:type="paragraph" w:customStyle="1" w:styleId="147">
    <w:name w:val="1."/>
    <w:basedOn w:val="1"/>
    <w:qFormat/>
    <w:uiPriority w:val="0"/>
    <w:pPr>
      <w:widowControl/>
      <w:tabs>
        <w:tab w:val="left" w:pos="1134"/>
      </w:tabs>
      <w:spacing w:before="60" w:after="60" w:line="264" w:lineRule="auto"/>
      <w:ind w:left="1134" w:hanging="454"/>
    </w:pPr>
    <w:rPr>
      <w:sz w:val="22"/>
    </w:rPr>
  </w:style>
  <w:style w:type="paragraph" w:customStyle="1" w:styleId="148">
    <w:name w:val="样式 标题 5 + 宋体"/>
    <w:basedOn w:val="6"/>
    <w:qFormat/>
    <w:uiPriority w:val="0"/>
    <w:pPr>
      <w:keepNext w:val="0"/>
      <w:widowControl/>
      <w:tabs>
        <w:tab w:val="left" w:pos="1800"/>
      </w:tabs>
      <w:spacing w:before="0" w:after="120" w:line="240" w:lineRule="auto"/>
      <w:ind w:left="1985" w:hanging="1305"/>
    </w:pPr>
    <w:rPr>
      <w:rFonts w:ascii="宋体" w:hAnsi="宋体"/>
      <w:b w:val="0"/>
      <w:kern w:val="0"/>
      <w:sz w:val="24"/>
    </w:rPr>
  </w:style>
  <w:style w:type="paragraph" w:customStyle="1" w:styleId="149">
    <w:name w:val="±íÉí"/>
    <w:basedOn w:val="1"/>
    <w:qFormat/>
    <w:uiPriority w:val="0"/>
    <w:pPr>
      <w:widowControl/>
      <w:overflowPunct w:val="0"/>
      <w:autoSpaceDE w:val="0"/>
      <w:autoSpaceDN w:val="0"/>
      <w:adjustRightInd w:val="0"/>
      <w:spacing w:line="300" w:lineRule="auto"/>
      <w:jc w:val="left"/>
      <w:textAlignment w:val="baseline"/>
    </w:pPr>
    <w:rPr>
      <w:kern w:val="0"/>
      <w:sz w:val="18"/>
    </w:rPr>
  </w:style>
  <w:style w:type="paragraph" w:customStyle="1" w:styleId="150">
    <w:name w:val="正文缩进1"/>
    <w:basedOn w:val="1"/>
    <w:qFormat/>
    <w:uiPriority w:val="0"/>
    <w:pPr>
      <w:ind w:firstLine="420" w:firstLineChars="200"/>
    </w:pPr>
  </w:style>
  <w:style w:type="paragraph" w:customStyle="1" w:styleId="15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2">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53">
    <w:name w:val="xl35"/>
    <w:basedOn w:val="1"/>
    <w:qFormat/>
    <w:uiPriority w:val="0"/>
    <w:pPr>
      <w:widowControl/>
      <w:spacing w:before="100" w:beforeAutospacing="1" w:after="100" w:afterAutospacing="1"/>
      <w:jc w:val="center"/>
      <w:textAlignment w:val="center"/>
    </w:pPr>
    <w:rPr>
      <w:rFonts w:hint="eastAsia" w:ascii="宋体" w:hAnsi="宋体"/>
      <w:kern w:val="0"/>
      <w:sz w:val="24"/>
    </w:rPr>
  </w:style>
  <w:style w:type="paragraph" w:customStyle="1" w:styleId="154">
    <w:name w:val="Char2"/>
    <w:basedOn w:val="16"/>
    <w:qFormat/>
    <w:uiPriority w:val="0"/>
  </w:style>
  <w:style w:type="paragraph" w:customStyle="1" w:styleId="155">
    <w:name w:val="xl36"/>
    <w:basedOn w:val="1"/>
    <w:qFormat/>
    <w:uiPriority w:val="0"/>
    <w:pPr>
      <w:widowControl/>
      <w:spacing w:before="100" w:beforeAutospacing="1" w:after="100" w:afterAutospacing="1"/>
      <w:jc w:val="center"/>
      <w:textAlignment w:val="center"/>
    </w:pPr>
    <w:rPr>
      <w:rFonts w:hint="eastAsia" w:ascii="宋体" w:hAnsi="宋体"/>
      <w:kern w:val="0"/>
      <w:sz w:val="24"/>
    </w:rPr>
  </w:style>
  <w:style w:type="paragraph" w:customStyle="1" w:styleId="156">
    <w:name w:val="tex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57">
    <w:name w:val="comments"/>
    <w:basedOn w:val="1"/>
    <w:qFormat/>
    <w:uiPriority w:val="0"/>
    <w:pPr>
      <w:adjustRightInd w:val="0"/>
      <w:spacing w:after="100"/>
      <w:ind w:left="2340" w:leftChars="975"/>
      <w:textAlignment w:val="baseline"/>
    </w:pPr>
    <w:rPr>
      <w:sz w:val="24"/>
    </w:rPr>
  </w:style>
  <w:style w:type="paragraph" w:customStyle="1" w:styleId="158">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4"/>
    </w:rPr>
  </w:style>
  <w:style w:type="paragraph" w:customStyle="1" w:styleId="159">
    <w:name w:val="TESTO"/>
    <w:basedOn w:val="1"/>
    <w:qFormat/>
    <w:uiPriority w:val="0"/>
    <w:pPr>
      <w:widowControl/>
      <w:tabs>
        <w:tab w:val="left" w:pos="1418"/>
        <w:tab w:val="left" w:pos="1701"/>
        <w:tab w:val="left" w:pos="2424"/>
        <w:tab w:val="left" w:pos="3024"/>
        <w:tab w:val="left" w:pos="3624"/>
        <w:tab w:val="left" w:pos="4224"/>
        <w:tab w:val="left" w:pos="4824"/>
        <w:tab w:val="left" w:pos="5424"/>
        <w:tab w:val="left" w:pos="6024"/>
        <w:tab w:val="left" w:pos="6624"/>
        <w:tab w:val="left" w:pos="7224"/>
      </w:tabs>
      <w:overflowPunct w:val="0"/>
      <w:autoSpaceDE w:val="0"/>
      <w:autoSpaceDN w:val="0"/>
      <w:adjustRightInd w:val="0"/>
      <w:spacing w:line="240" w:lineRule="atLeast"/>
      <w:ind w:left="1247" w:right="851" w:hanging="851"/>
      <w:textAlignment w:val="baseline"/>
    </w:pPr>
    <w:rPr>
      <w:rFonts w:ascii="Arial" w:hAnsi="Arial"/>
      <w:kern w:val="0"/>
      <w:sz w:val="22"/>
      <w:lang w:val="en-GB"/>
    </w:rPr>
  </w:style>
  <w:style w:type="paragraph" w:customStyle="1" w:styleId="160">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61">
    <w:name w:val="List Paragraph1"/>
    <w:basedOn w:val="1"/>
    <w:qFormat/>
    <w:uiPriority w:val="0"/>
    <w:pPr>
      <w:ind w:firstLine="420" w:firstLineChars="200"/>
    </w:pPr>
    <w:rPr>
      <w:rFonts w:ascii="Calibri" w:hAnsi="Calibri"/>
      <w:szCs w:val="22"/>
    </w:rPr>
  </w:style>
  <w:style w:type="paragraph" w:customStyle="1" w:styleId="162">
    <w:name w:val="样式 样式 MYSTY1 + 首行缩进:  2 字符 + 段前: 0.5 行 段后: 0.5 行"/>
    <w:basedOn w:val="1"/>
    <w:qFormat/>
    <w:uiPriority w:val="0"/>
    <w:pPr>
      <w:tabs>
        <w:tab w:val="left" w:pos="525"/>
      </w:tabs>
      <w:spacing w:beforeLines="50" w:afterLines="50"/>
      <w:ind w:left="420" w:hanging="420"/>
      <w:jc w:val="left"/>
    </w:pPr>
    <w:rPr>
      <w:b/>
      <w:sz w:val="24"/>
    </w:rPr>
  </w:style>
  <w:style w:type="paragraph" w:customStyle="1" w:styleId="163">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64">
    <w:name w:val="xl38"/>
    <w:basedOn w:val="1"/>
    <w:qFormat/>
    <w:uiPriority w:val="0"/>
    <w:pPr>
      <w:widowControl/>
      <w:spacing w:before="100" w:beforeAutospacing="1" w:after="100" w:afterAutospacing="1"/>
      <w:jc w:val="center"/>
    </w:pPr>
    <w:rPr>
      <w:rFonts w:ascii="宋体" w:hAnsi="宋体"/>
      <w:kern w:val="0"/>
      <w:sz w:val="24"/>
    </w:rPr>
  </w:style>
  <w:style w:type="paragraph" w:customStyle="1" w:styleId="165">
    <w:name w:val="sma."/>
    <w:basedOn w:val="1"/>
    <w:qFormat/>
    <w:uiPriority w:val="0"/>
    <w:pPr>
      <w:widowControl/>
      <w:tabs>
        <w:tab w:val="left" w:pos="1588"/>
      </w:tabs>
      <w:spacing w:before="60" w:after="60" w:line="264" w:lineRule="auto"/>
      <w:ind w:left="1588" w:hanging="454"/>
    </w:pPr>
    <w:rPr>
      <w:sz w:val="22"/>
    </w:rPr>
  </w:style>
  <w:style w:type="paragraph" w:customStyle="1" w:styleId="166">
    <w:name w:val="==&gt;"/>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6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4"/>
    </w:rPr>
  </w:style>
  <w:style w:type="paragraph" w:customStyle="1" w:styleId="16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69">
    <w:name w:val="&lt;=="/>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styleId="170">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71">
    <w:name w:val="xl4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4"/>
    </w:rPr>
  </w:style>
  <w:style w:type="paragraph" w:customStyle="1" w:styleId="172">
    <w:name w:val="图表"/>
    <w:basedOn w:val="15"/>
    <w:qFormat/>
    <w:uiPriority w:val="0"/>
    <w:pPr>
      <w:jc w:val="center"/>
    </w:pPr>
    <w:rPr>
      <w:rFonts w:ascii="Times New Roman" w:hAnsi="Times New Roman" w:eastAsia="宋体" w:cs="宋体"/>
      <w:sz w:val="21"/>
    </w:rPr>
  </w:style>
  <w:style w:type="paragraph" w:customStyle="1" w:styleId="173">
    <w:name w:val="样式 红正文 + 首行缩进:  2 字符1"/>
    <w:basedOn w:val="1"/>
    <w:qFormat/>
    <w:uiPriority w:val="0"/>
    <w:pPr>
      <w:adjustRightInd w:val="0"/>
      <w:snapToGrid w:val="0"/>
      <w:spacing w:before="240" w:line="360" w:lineRule="auto"/>
      <w:ind w:left="210" w:leftChars="100" w:right="131" w:rightChars="131" w:firstLine="560" w:firstLineChars="200"/>
      <w:jc w:val="left"/>
    </w:pPr>
    <w:rPr>
      <w:rFonts w:ascii="宋体" w:hAnsi="宋体"/>
      <w:color w:val="000000"/>
      <w:sz w:val="28"/>
    </w:rPr>
  </w:style>
  <w:style w:type="paragraph" w:customStyle="1" w:styleId="174">
    <w:name w:val="参数值"/>
    <w:basedOn w:val="1"/>
    <w:qFormat/>
    <w:uiPriority w:val="0"/>
    <w:pPr>
      <w:tabs>
        <w:tab w:val="left" w:pos="5670"/>
      </w:tabs>
      <w:adjustRightInd w:val="0"/>
      <w:spacing w:line="300" w:lineRule="auto"/>
      <w:ind w:left="1134"/>
      <w:textAlignment w:val="baseline"/>
    </w:pPr>
    <w:rPr>
      <w:rFonts w:ascii="宋体"/>
      <w:sz w:val="28"/>
    </w:rPr>
  </w:style>
  <w:style w:type="paragraph" w:customStyle="1" w:styleId="175">
    <w:name w:val="表头－h"/>
    <w:basedOn w:val="1"/>
    <w:next w:val="1"/>
    <w:qFormat/>
    <w:uiPriority w:val="0"/>
    <w:pPr>
      <w:keepNext/>
      <w:widowControl/>
      <w:adjustRightInd w:val="0"/>
      <w:snapToGrid w:val="0"/>
      <w:ind w:firstLine="357"/>
      <w:jc w:val="center"/>
    </w:pPr>
    <w:rPr>
      <w:rFonts w:ascii="Arial" w:hAnsi="Arial"/>
      <w:b/>
      <w:spacing w:val="4"/>
      <w:kern w:val="0"/>
      <w:sz w:val="28"/>
    </w:rPr>
  </w:style>
  <w:style w:type="paragraph" w:customStyle="1" w:styleId="176">
    <w:name w:val="_Style 19"/>
    <w:basedOn w:val="1"/>
    <w:next w:val="1"/>
    <w:qFormat/>
    <w:uiPriority w:val="0"/>
    <w:pPr>
      <w:spacing w:after="120"/>
    </w:pPr>
  </w:style>
  <w:style w:type="paragraph" w:customStyle="1" w:styleId="177">
    <w:name w:val="list closer"/>
    <w:basedOn w:val="88"/>
    <w:qFormat/>
    <w:uiPriority w:val="0"/>
    <w:pPr>
      <w:ind w:left="1200" w:leftChars="1200" w:hanging="1980" w:hangingChars="825"/>
    </w:pPr>
  </w:style>
  <w:style w:type="paragraph" w:customStyle="1" w:styleId="178">
    <w:name w:val="title13"/>
    <w:basedOn w:val="1"/>
    <w:qFormat/>
    <w:uiPriority w:val="0"/>
    <w:pPr>
      <w:spacing w:before="150"/>
      <w:jc w:val="left"/>
    </w:pPr>
    <w:rPr>
      <w:b/>
      <w:kern w:val="0"/>
      <w:sz w:val="22"/>
      <w:szCs w:val="22"/>
    </w:rPr>
  </w:style>
  <w:style w:type="paragraph" w:customStyle="1" w:styleId="179">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80">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character" w:customStyle="1" w:styleId="181">
    <w:name w:val="myp1111"/>
    <w:basedOn w:val="44"/>
    <w:qFormat/>
    <w:uiPriority w:val="0"/>
  </w:style>
  <w:style w:type="character" w:customStyle="1" w:styleId="182">
    <w:name w:val="正文文本缩进 Char"/>
    <w:link w:val="14"/>
    <w:qFormat/>
    <w:uiPriority w:val="0"/>
    <w:rPr>
      <w:rFonts w:ascii="Times New Roman" w:hAnsi="Times New Roman" w:eastAsia="宋体" w:cs="Times New Roman"/>
      <w:b/>
      <w:color w:val="000000"/>
      <w:sz w:val="24"/>
      <w:szCs w:val="24"/>
    </w:rPr>
  </w:style>
  <w:style w:type="character" w:customStyle="1" w:styleId="183">
    <w:name w:val="huei12b1"/>
    <w:qFormat/>
    <w:uiPriority w:val="0"/>
    <w:rPr>
      <w:b/>
      <w:color w:val="333333"/>
      <w:sz w:val="24"/>
    </w:rPr>
  </w:style>
  <w:style w:type="character" w:customStyle="1" w:styleId="184">
    <w:name w:val="标题 5 Char Char"/>
    <w:qFormat/>
    <w:uiPriority w:val="0"/>
    <w:rPr>
      <w:rFonts w:eastAsia="宋体"/>
      <w:b/>
      <w:kern w:val="2"/>
      <w:sz w:val="28"/>
      <w:lang w:val="en-US" w:eastAsia="zh-CN"/>
    </w:rPr>
  </w:style>
  <w:style w:type="character" w:customStyle="1" w:styleId="185">
    <w:name w:val="日期 Char"/>
    <w:link w:val="26"/>
    <w:qFormat/>
    <w:uiPriority w:val="0"/>
    <w:rPr>
      <w:kern w:val="2"/>
      <w:sz w:val="21"/>
      <w:lang w:bidi="ar-SA"/>
    </w:rPr>
  </w:style>
  <w:style w:type="character" w:customStyle="1" w:styleId="186">
    <w:name w:val="t151"/>
    <w:qFormat/>
    <w:uiPriority w:val="0"/>
    <w:rPr>
      <w:rFonts w:hint="default" w:ascii="ˎ̥" w:hAnsi="ˎ̥"/>
      <w:color w:val="B34300"/>
      <w:sz w:val="24"/>
    </w:rPr>
  </w:style>
  <w:style w:type="character" w:customStyle="1" w:styleId="187">
    <w:name w:val="标题 3 Char"/>
    <w:link w:val="4"/>
    <w:qFormat/>
    <w:uiPriority w:val="0"/>
    <w:rPr>
      <w:rFonts w:ascii="宋体" w:eastAsia="宋体"/>
      <w:b/>
      <w:kern w:val="2"/>
      <w:sz w:val="24"/>
      <w:u w:val="single"/>
      <w:lang w:val="en-US" w:eastAsia="zh-CN" w:bidi="ar-SA"/>
    </w:rPr>
  </w:style>
  <w:style w:type="character" w:customStyle="1" w:styleId="188">
    <w:name w:val="phone"/>
    <w:basedOn w:val="44"/>
    <w:qFormat/>
    <w:uiPriority w:val="0"/>
    <w:rPr>
      <w:color w:val="FF8833"/>
      <w:sz w:val="18"/>
      <w:szCs w:val="18"/>
    </w:rPr>
  </w:style>
  <w:style w:type="character" w:customStyle="1" w:styleId="189">
    <w:name w:val="number"/>
    <w:basedOn w:val="44"/>
    <w:qFormat/>
    <w:uiPriority w:val="0"/>
    <w:rPr>
      <w:color w:val="FF8833"/>
      <w:sz w:val="18"/>
      <w:szCs w:val="18"/>
    </w:rPr>
  </w:style>
  <w:style w:type="character" w:customStyle="1" w:styleId="190">
    <w:name w:val="批注框文本 Char"/>
    <w:link w:val="29"/>
    <w:qFormat/>
    <w:uiPriority w:val="0"/>
    <w:rPr>
      <w:rFonts w:eastAsia="宋体"/>
      <w:kern w:val="2"/>
      <w:sz w:val="18"/>
      <w:lang w:val="en-US" w:eastAsia="zh-CN" w:bidi="ar-SA"/>
    </w:rPr>
  </w:style>
  <w:style w:type="character" w:customStyle="1" w:styleId="191">
    <w:name w:val="纯文本 Char Char"/>
    <w:qFormat/>
    <w:uiPriority w:val="0"/>
    <w:rPr>
      <w:rFonts w:ascii="宋体" w:hAnsi="Courier New" w:eastAsia="宋体" w:cs="Courier New"/>
      <w:szCs w:val="21"/>
    </w:rPr>
  </w:style>
  <w:style w:type="character" w:customStyle="1" w:styleId="192">
    <w:name w:val="stclosebtn"/>
    <w:basedOn w:val="44"/>
    <w:qFormat/>
    <w:uiPriority w:val="0"/>
  </w:style>
  <w:style w:type="character" w:customStyle="1" w:styleId="193">
    <w:name w:val="正文缩进2格 Char Char"/>
    <w:link w:val="71"/>
    <w:qFormat/>
    <w:uiPriority w:val="0"/>
    <w:rPr>
      <w:rFonts w:ascii="仿宋_GB2312" w:hAnsi="宋体" w:eastAsia="仿宋_GB2312"/>
      <w:kern w:val="2"/>
      <w:sz w:val="31"/>
      <w:lang w:val="en-US" w:eastAsia="zh-CN" w:bidi="ar-SA"/>
    </w:rPr>
  </w:style>
  <w:style w:type="character" w:customStyle="1" w:styleId="194">
    <w:name w:val="beforeinfotext"/>
    <w:basedOn w:val="44"/>
    <w:qFormat/>
    <w:uiPriority w:val="0"/>
    <w:rPr>
      <w:color w:val="666666"/>
    </w:rPr>
  </w:style>
  <w:style w:type="character" w:customStyle="1" w:styleId="195">
    <w:name w:val="标题 6 Char"/>
    <w:link w:val="7"/>
    <w:qFormat/>
    <w:uiPriority w:val="0"/>
    <w:rPr>
      <w:rFonts w:ascii="Arial" w:hAnsi="Arial" w:eastAsia="黑体"/>
      <w:b/>
      <w:kern w:val="2"/>
      <w:sz w:val="24"/>
      <w:lang w:val="en-US" w:eastAsia="zh-CN" w:bidi="ar-SA"/>
    </w:rPr>
  </w:style>
  <w:style w:type="character" w:customStyle="1" w:styleId="196">
    <w:name w:val="old"/>
    <w:qFormat/>
    <w:uiPriority w:val="0"/>
    <w:rPr>
      <w:color w:val="999999"/>
    </w:rPr>
  </w:style>
  <w:style w:type="character" w:customStyle="1" w:styleId="197">
    <w:name w:val="样式 标题 3 + 宋体 Char Char"/>
    <w:link w:val="77"/>
    <w:qFormat/>
    <w:uiPriority w:val="0"/>
    <w:rPr>
      <w:rFonts w:ascii="宋体" w:hAnsi="宋体" w:eastAsia="宋体"/>
      <w:snapToGrid w:val="0"/>
      <w:sz w:val="24"/>
      <w:lang w:val="en-US" w:eastAsia="zh-CN" w:bidi="ar-SA"/>
    </w:rPr>
  </w:style>
  <w:style w:type="character" w:customStyle="1" w:styleId="198">
    <w:name w:val="正文文本 Char"/>
    <w:link w:val="21"/>
    <w:qFormat/>
    <w:uiPriority w:val="0"/>
    <w:rPr>
      <w:rFonts w:eastAsia="宋体"/>
      <w:kern w:val="2"/>
      <w:sz w:val="21"/>
      <w:lang w:val="en-US" w:eastAsia="zh-CN" w:bidi="ar-SA"/>
    </w:rPr>
  </w:style>
  <w:style w:type="character" w:customStyle="1" w:styleId="199">
    <w:name w:val="页眉 Char1"/>
    <w:qFormat/>
    <w:uiPriority w:val="0"/>
    <w:rPr>
      <w:rFonts w:ascii="Times New Roman" w:hAnsi="Times New Roman" w:eastAsia="宋体" w:cs="Times New Roman"/>
      <w:sz w:val="18"/>
      <w:szCs w:val="18"/>
    </w:rPr>
  </w:style>
  <w:style w:type="character" w:customStyle="1" w:styleId="200">
    <w:name w:val="页脚 Char"/>
    <w:link w:val="30"/>
    <w:qFormat/>
    <w:uiPriority w:val="0"/>
    <w:rPr>
      <w:rFonts w:ascii="Times New Roman" w:hAnsi="Times New Roman" w:eastAsia="宋体" w:cs="Times New Roman"/>
      <w:kern w:val="0"/>
      <w:sz w:val="18"/>
      <w:szCs w:val="20"/>
    </w:rPr>
  </w:style>
  <w:style w:type="character" w:customStyle="1" w:styleId="201">
    <w:name w:val="glyphicon4"/>
    <w:basedOn w:val="44"/>
    <w:qFormat/>
    <w:uiPriority w:val="0"/>
  </w:style>
  <w:style w:type="character" w:customStyle="1" w:styleId="202">
    <w:name w:val="标题 8 Char"/>
    <w:link w:val="9"/>
    <w:qFormat/>
    <w:uiPriority w:val="0"/>
    <w:rPr>
      <w:rFonts w:ascii="Arial" w:hAnsi="Arial" w:eastAsia="黑体"/>
      <w:kern w:val="2"/>
      <w:sz w:val="24"/>
      <w:lang w:val="en-US" w:eastAsia="zh-CN" w:bidi="ar-SA"/>
    </w:rPr>
  </w:style>
  <w:style w:type="character" w:customStyle="1" w:styleId="203">
    <w:name w:val="正文文本缩进 3 Char"/>
    <w:link w:val="35"/>
    <w:qFormat/>
    <w:uiPriority w:val="0"/>
    <w:rPr>
      <w:rFonts w:eastAsia="宋体"/>
      <w:kern w:val="2"/>
      <w:sz w:val="16"/>
      <w:lang w:val="en-US" w:eastAsia="zh-CN" w:bidi="ar-SA"/>
    </w:rPr>
  </w:style>
  <w:style w:type="character" w:customStyle="1" w:styleId="204">
    <w:name w:val="indent"/>
    <w:basedOn w:val="44"/>
    <w:qFormat/>
    <w:uiPriority w:val="0"/>
  </w:style>
  <w:style w:type="character" w:customStyle="1" w:styleId="205">
    <w:name w:val="button"/>
    <w:basedOn w:val="44"/>
    <w:qFormat/>
    <w:uiPriority w:val="0"/>
  </w:style>
  <w:style w:type="character" w:customStyle="1" w:styleId="206">
    <w:name w:val="Footer-Even Char Char"/>
    <w:qFormat/>
    <w:uiPriority w:val="0"/>
    <w:rPr>
      <w:rFonts w:eastAsia="宋体"/>
      <w:kern w:val="2"/>
      <w:sz w:val="18"/>
      <w:lang w:val="en-US" w:eastAsia="zh-CN" w:bidi="ar-SA"/>
    </w:rPr>
  </w:style>
  <w:style w:type="character" w:customStyle="1" w:styleId="207">
    <w:name w:val="标题 5 Char"/>
    <w:link w:val="6"/>
    <w:qFormat/>
    <w:uiPriority w:val="0"/>
    <w:rPr>
      <w:rFonts w:eastAsia="宋体"/>
      <w:b/>
      <w:kern w:val="2"/>
      <w:sz w:val="28"/>
      <w:lang w:val="en-US" w:eastAsia="zh-CN" w:bidi="ar-SA"/>
    </w:rPr>
  </w:style>
  <w:style w:type="character" w:customStyle="1" w:styleId="208">
    <w:name w:val="普通文字 Char"/>
    <w:qFormat/>
    <w:uiPriority w:val="0"/>
    <w:rPr>
      <w:rFonts w:ascii="宋体" w:hAnsi="Courier New" w:eastAsia="宋体" w:cs="Times New Roman"/>
      <w:szCs w:val="21"/>
    </w:rPr>
  </w:style>
  <w:style w:type="character" w:customStyle="1" w:styleId="209">
    <w:name w:val="页眉 Char"/>
    <w:link w:val="32"/>
    <w:qFormat/>
    <w:uiPriority w:val="0"/>
    <w:rPr>
      <w:kern w:val="2"/>
      <w:sz w:val="18"/>
      <w:lang w:bidi="ar-SA"/>
    </w:rPr>
  </w:style>
  <w:style w:type="character" w:customStyle="1" w:styleId="210">
    <w:name w:val="标题 7 Char"/>
    <w:link w:val="8"/>
    <w:qFormat/>
    <w:uiPriority w:val="0"/>
    <w:rPr>
      <w:rFonts w:eastAsia="宋体"/>
      <w:b/>
      <w:kern w:val="2"/>
      <w:sz w:val="24"/>
      <w:lang w:val="en-US" w:eastAsia="zh-CN" w:bidi="ar-SA"/>
    </w:rPr>
  </w:style>
  <w:style w:type="character" w:customStyle="1" w:styleId="211">
    <w:name w:val="日期 Char Char"/>
    <w:qFormat/>
    <w:uiPriority w:val="0"/>
    <w:rPr>
      <w:rFonts w:ascii="Times New Roman" w:hAnsi="Times New Roman" w:eastAsia="宋体" w:cs="Times New Roman"/>
      <w:b/>
      <w:sz w:val="32"/>
      <w:szCs w:val="20"/>
    </w:rPr>
  </w:style>
  <w:style w:type="character" w:customStyle="1" w:styleId="212">
    <w:name w:val="proollist"/>
    <w:basedOn w:val="44"/>
    <w:qFormat/>
    <w:uiPriority w:val="0"/>
  </w:style>
  <w:style w:type="character" w:customStyle="1" w:styleId="213">
    <w:name w:val="文档结构图 Char"/>
    <w:link w:val="16"/>
    <w:qFormat/>
    <w:uiPriority w:val="0"/>
    <w:rPr>
      <w:rFonts w:eastAsia="宋体"/>
      <w:kern w:val="2"/>
      <w:sz w:val="21"/>
      <w:lang w:val="en-US" w:eastAsia="zh-CN" w:bidi="ar-SA"/>
    </w:rPr>
  </w:style>
  <w:style w:type="character" w:customStyle="1" w:styleId="214">
    <w:name w:val="hour_pm"/>
    <w:basedOn w:val="44"/>
    <w:qFormat/>
    <w:uiPriority w:val="0"/>
  </w:style>
  <w:style w:type="character" w:customStyle="1" w:styleId="215">
    <w:name w:val="正文文本缩进 2 Char"/>
    <w:link w:val="27"/>
    <w:qFormat/>
    <w:uiPriority w:val="0"/>
    <w:rPr>
      <w:rFonts w:eastAsia="宋体"/>
      <w:kern w:val="2"/>
      <w:sz w:val="21"/>
      <w:lang w:val="en-US" w:eastAsia="zh-CN" w:bidi="ar-SA"/>
    </w:rPr>
  </w:style>
  <w:style w:type="character" w:customStyle="1" w:styleId="216">
    <w:name w:val="text1"/>
    <w:basedOn w:val="44"/>
    <w:qFormat/>
    <w:uiPriority w:val="0"/>
  </w:style>
  <w:style w:type="character" w:customStyle="1" w:styleId="217">
    <w:name w:val="标题 2 Char"/>
    <w:link w:val="3"/>
    <w:qFormat/>
    <w:uiPriority w:val="0"/>
    <w:rPr>
      <w:rFonts w:ascii="Arial" w:hAnsi="Arial" w:eastAsia="黑体" w:cs="Times New Roman"/>
      <w:b/>
      <w:bCs/>
      <w:sz w:val="32"/>
      <w:szCs w:val="32"/>
    </w:rPr>
  </w:style>
  <w:style w:type="character" w:customStyle="1" w:styleId="218">
    <w:name w:val="纯文本 Char"/>
    <w:link w:val="24"/>
    <w:qFormat/>
    <w:uiPriority w:val="0"/>
    <w:rPr>
      <w:rFonts w:ascii="宋体" w:hAnsi="Courier New" w:eastAsia="宋体"/>
      <w:kern w:val="2"/>
      <w:sz w:val="21"/>
      <w:lang w:val="en-US" w:eastAsia="zh-CN" w:bidi="ar-SA"/>
    </w:rPr>
  </w:style>
  <w:style w:type="character" w:customStyle="1" w:styleId="219">
    <w:name w:val="zi71"/>
    <w:qFormat/>
    <w:uiPriority w:val="0"/>
    <w:rPr>
      <w:color w:val="000000"/>
      <w:sz w:val="20"/>
      <w:u w:val="none"/>
    </w:rPr>
  </w:style>
  <w:style w:type="character" w:customStyle="1" w:styleId="220">
    <w:name w:val="Char Char2"/>
    <w:qFormat/>
    <w:uiPriority w:val="0"/>
    <w:rPr>
      <w:rFonts w:ascii="Arial" w:hAnsi="Arial" w:eastAsia="黑体"/>
      <w:b/>
      <w:bCs/>
      <w:kern w:val="2"/>
      <w:sz w:val="32"/>
      <w:szCs w:val="32"/>
      <w:lang w:val="en-US" w:eastAsia="zh-CN" w:bidi="ar-SA"/>
    </w:rPr>
  </w:style>
  <w:style w:type="character" w:customStyle="1" w:styleId="221">
    <w:name w:val="页眉 Char Char"/>
    <w:qFormat/>
    <w:uiPriority w:val="0"/>
    <w:rPr>
      <w:rFonts w:ascii="Times New Roman" w:hAnsi="Times New Roman" w:eastAsia="宋体" w:cs="Times New Roman"/>
      <w:sz w:val="18"/>
      <w:szCs w:val="18"/>
    </w:rPr>
  </w:style>
  <w:style w:type="character" w:customStyle="1" w:styleId="222">
    <w:name w:val="页码1"/>
    <w:qFormat/>
    <w:uiPriority w:val="0"/>
    <w:rPr>
      <w:rFonts w:hint="default" w:ascii="Times New Roman"/>
    </w:rPr>
  </w:style>
  <w:style w:type="character" w:customStyle="1" w:styleId="223">
    <w:name w:val="f141"/>
    <w:qFormat/>
    <w:uiPriority w:val="0"/>
    <w:rPr>
      <w:sz w:val="21"/>
    </w:rPr>
  </w:style>
  <w:style w:type="character" w:customStyle="1" w:styleId="224">
    <w:name w:val="hover3"/>
    <w:qFormat/>
    <w:uiPriority w:val="0"/>
    <w:rPr>
      <w:shd w:val="clear" w:color="auto" w:fill="EEEEEE"/>
    </w:rPr>
  </w:style>
  <w:style w:type="character" w:customStyle="1" w:styleId="225">
    <w:name w:val="tmpztreemove_arrow"/>
    <w:qFormat/>
    <w:uiPriority w:val="0"/>
    <w:rPr>
      <w:shd w:val="clear" w:color="auto" w:fill="FFFFFF"/>
    </w:rPr>
  </w:style>
  <w:style w:type="character" w:customStyle="1" w:styleId="226">
    <w:name w:val="标题 4 Char"/>
    <w:link w:val="5"/>
    <w:qFormat/>
    <w:uiPriority w:val="0"/>
    <w:rPr>
      <w:rFonts w:eastAsia="宋体"/>
      <w:color w:val="FF0000"/>
      <w:kern w:val="2"/>
      <w:sz w:val="28"/>
      <w:u w:val="single"/>
      <w:lang w:val="en-US" w:eastAsia="zh-CN" w:bidi="ar-SA"/>
    </w:rPr>
  </w:style>
  <w:style w:type="character" w:customStyle="1" w:styleId="227">
    <w:name w:val="正文文本 2 Char"/>
    <w:link w:val="37"/>
    <w:qFormat/>
    <w:uiPriority w:val="0"/>
    <w:rPr>
      <w:rFonts w:eastAsia="宋体"/>
      <w:kern w:val="2"/>
      <w:sz w:val="30"/>
      <w:lang w:val="en-US" w:eastAsia="zh-CN" w:bidi="ar-SA"/>
    </w:rPr>
  </w:style>
  <w:style w:type="character" w:customStyle="1" w:styleId="228">
    <w:name w:val="paramname3"/>
    <w:qFormat/>
    <w:uiPriority w:val="0"/>
    <w:rPr>
      <w:color w:val="999999"/>
    </w:rPr>
  </w:style>
  <w:style w:type="character" w:customStyle="1" w:styleId="229">
    <w:name w:val="Char Char7"/>
    <w:qFormat/>
    <w:uiPriority w:val="0"/>
    <w:rPr>
      <w:rFonts w:ascii="Times New Roman" w:hAnsi="Times New Roman" w:eastAsia="宋体"/>
    </w:rPr>
  </w:style>
  <w:style w:type="character" w:customStyle="1" w:styleId="230">
    <w:name w:val="标题 3 Char1 Char"/>
    <w:qFormat/>
    <w:uiPriority w:val="0"/>
    <w:rPr>
      <w:rFonts w:ascii="Times New Roman" w:hAnsi="Times New Roman" w:eastAsia="宋体"/>
      <w:b/>
      <w:sz w:val="32"/>
    </w:rPr>
  </w:style>
  <w:style w:type="character" w:customStyle="1" w:styleId="231">
    <w:name w:val="Heading 2 Char"/>
    <w:qFormat/>
    <w:locked/>
    <w:uiPriority w:val="0"/>
    <w:rPr>
      <w:rFonts w:ascii="Arial" w:hAnsi="Arial" w:eastAsia="黑体" w:cs="Times New Roman"/>
      <w:b/>
      <w:bCs/>
      <w:sz w:val="32"/>
      <w:szCs w:val="32"/>
    </w:rPr>
  </w:style>
  <w:style w:type="character" w:customStyle="1" w:styleId="232">
    <w:name w:val="hour_am"/>
    <w:basedOn w:val="44"/>
    <w:qFormat/>
    <w:uiPriority w:val="0"/>
  </w:style>
  <w:style w:type="character" w:customStyle="1" w:styleId="233">
    <w:name w:val="spantable1"/>
    <w:qFormat/>
    <w:uiPriority w:val="0"/>
    <w:rPr>
      <w:rFonts w:hint="default" w:ascii="ˎ̥" w:hAnsi="ˎ̥"/>
      <w:sz w:val="18"/>
    </w:rPr>
  </w:style>
  <w:style w:type="character" w:customStyle="1" w:styleId="234">
    <w:name w:val="标题 1 Char Char"/>
    <w:qFormat/>
    <w:uiPriority w:val="0"/>
    <w:rPr>
      <w:rFonts w:ascii="Times New Roman" w:hAnsi="Times New Roman" w:eastAsia="宋体" w:cs="Times New Roman"/>
      <w:b/>
      <w:bCs/>
      <w:kern w:val="44"/>
      <w:sz w:val="44"/>
      <w:szCs w:val="44"/>
    </w:rPr>
  </w:style>
  <w:style w:type="character" w:customStyle="1" w:styleId="235">
    <w:name w:val="正文文字 Char"/>
    <w:qFormat/>
    <w:uiPriority w:val="0"/>
    <w:rPr>
      <w:rFonts w:eastAsia="宋体"/>
      <w:kern w:val="2"/>
      <w:sz w:val="21"/>
      <w:lang w:val="en-US" w:eastAsia="zh-CN"/>
    </w:rPr>
  </w:style>
  <w:style w:type="character" w:customStyle="1" w:styleId="236">
    <w:name w:val="标题 9 Char"/>
    <w:link w:val="10"/>
    <w:qFormat/>
    <w:uiPriority w:val="0"/>
    <w:rPr>
      <w:rFonts w:ascii="Arial" w:hAnsi="Arial" w:eastAsia="黑体"/>
      <w:kern w:val="2"/>
      <w:sz w:val="21"/>
      <w:lang w:val="en-US" w:eastAsia="zh-CN" w:bidi="ar-SA"/>
    </w:rPr>
  </w:style>
  <w:style w:type="character" w:customStyle="1" w:styleId="237">
    <w:name w:val="标题 1 Char"/>
    <w:link w:val="2"/>
    <w:qFormat/>
    <w:uiPriority w:val="0"/>
    <w:rPr>
      <w:rFonts w:ascii="宋体" w:hAnsi="宋体" w:eastAsia="宋体"/>
      <w:b/>
      <w:kern w:val="2"/>
      <w:sz w:val="36"/>
      <w:lang w:val="en-US" w:eastAsia="zh-CN" w:bidi="ar-SA"/>
    </w:rPr>
  </w:style>
  <w:style w:type="paragraph" w:customStyle="1" w:styleId="238">
    <w:name w:val="title14"/>
    <w:basedOn w:val="1"/>
    <w:qFormat/>
    <w:uiPriority w:val="0"/>
    <w:pPr>
      <w:spacing w:before="100"/>
      <w:jc w:val="left"/>
    </w:pPr>
    <w:rPr>
      <w:b/>
      <w:kern w:val="0"/>
      <w:sz w:val="15"/>
      <w:szCs w:val="15"/>
    </w:rPr>
  </w:style>
  <w:style w:type="paragraph" w:customStyle="1" w:styleId="239">
    <w:name w:val="标题 31"/>
    <w:basedOn w:val="1"/>
    <w:next w:val="1"/>
    <w:unhideWhenUsed/>
    <w:qFormat/>
    <w:uiPriority w:val="0"/>
    <w:pPr>
      <w:keepNext/>
      <w:keepLines/>
      <w:numPr>
        <w:ilvl w:val="2"/>
        <w:numId w:val="1"/>
      </w:numPr>
      <w:spacing w:before="260" w:after="260" w:line="413" w:lineRule="auto"/>
      <w:outlineLvl w:val="2"/>
    </w:pPr>
    <w:rPr>
      <w:rFonts w:eastAsia="黑体"/>
      <w:b/>
      <w:sz w:val="36"/>
    </w:rPr>
  </w:style>
  <w:style w:type="character" w:customStyle="1" w:styleId="240">
    <w:name w:val="font171"/>
    <w:basedOn w:val="44"/>
    <w:qFormat/>
    <w:uiPriority w:val="0"/>
    <w:rPr>
      <w:rFonts w:hint="default" w:ascii="宋体-简" w:hAnsi="宋体-简" w:eastAsia="宋体-简" w:cs="宋体-简"/>
      <w:color w:val="000000"/>
      <w:sz w:val="18"/>
      <w:szCs w:val="18"/>
      <w:u w:val="none"/>
    </w:rPr>
  </w:style>
  <w:style w:type="character" w:customStyle="1" w:styleId="241">
    <w:name w:val="font131"/>
    <w:basedOn w:val="44"/>
    <w:qFormat/>
    <w:uiPriority w:val="0"/>
    <w:rPr>
      <w:rFonts w:ascii="Calibri" w:hAnsi="Calibri" w:cs="Calibri"/>
      <w:color w:val="000000"/>
      <w:sz w:val="18"/>
      <w:szCs w:val="18"/>
      <w:u w:val="none"/>
    </w:rPr>
  </w:style>
  <w:style w:type="paragraph" w:customStyle="1" w:styleId="242">
    <w:name w:val="正文 New"/>
    <w:qFormat/>
    <w:uiPriority w:val="99"/>
    <w:pPr>
      <w:widowControl w:val="0"/>
      <w:jc w:val="both"/>
    </w:pPr>
    <w:rPr>
      <w:rFonts w:ascii="Calibri" w:hAnsi="Calibri" w:eastAsia="宋体" w:cs="Times New Roman"/>
      <w:lang w:val="en-US" w:eastAsia="zh-CN" w:bidi="ar-SA"/>
    </w:rPr>
  </w:style>
  <w:style w:type="character" w:customStyle="1" w:styleId="243">
    <w:name w:val="NormalCharacter"/>
    <w:qFormat/>
    <w:uiPriority w:val="0"/>
    <w:rPr>
      <w:rFonts w:ascii="Times New Roman" w:hAnsi="Times New Roman" w:eastAsia="宋体"/>
    </w:rPr>
  </w:style>
  <w:style w:type="character" w:customStyle="1" w:styleId="244">
    <w:name w:val="p0 Char"/>
    <w:link w:val="141"/>
    <w:qFormat/>
    <w:uiPriority w:val="0"/>
    <w:rPr>
      <w:rFonts w:ascii="Calibri" w:hAnsi="Calibri" w:cs="宋体"/>
      <w:sz w:val="24"/>
      <w:szCs w:val="24"/>
    </w:rPr>
  </w:style>
  <w:style w:type="character" w:customStyle="1" w:styleId="245">
    <w:name w:val="称呼 Char"/>
    <w:basedOn w:val="44"/>
    <w:link w:val="19"/>
    <w:qFormat/>
    <w:uiPriority w:val="99"/>
    <w:rPr>
      <w:rFonts w:ascii="Calibri" w:hAnsi="Calibri"/>
      <w:kern w:val="2"/>
      <w:sz w:val="24"/>
    </w:rPr>
  </w:style>
  <w:style w:type="character" w:customStyle="1" w:styleId="246">
    <w:name w:val="font31"/>
    <w:basedOn w:val="44"/>
    <w:qFormat/>
    <w:uiPriority w:val="0"/>
    <w:rPr>
      <w:rFonts w:hint="eastAsia" w:ascii="仿宋" w:hAnsi="仿宋" w:eastAsia="仿宋" w:cs="仿宋"/>
      <w:b/>
      <w:bCs/>
      <w:color w:val="000000"/>
      <w:sz w:val="24"/>
      <w:szCs w:val="24"/>
      <w:u w:val="none"/>
    </w:rPr>
  </w:style>
  <w:style w:type="paragraph" w:customStyle="1" w:styleId="247">
    <w:name w:val="段"/>
    <w:next w:val="1"/>
    <w:qFormat/>
    <w:uiPriority w:val="0"/>
    <w:pPr>
      <w:autoSpaceDE w:val="0"/>
      <w:autoSpaceDN w:val="0"/>
      <w:ind w:firstLine="200"/>
      <w:jc w:val="both"/>
    </w:pPr>
    <w:rPr>
      <w:rFonts w:ascii="宋体" w:hAnsi="Times New Roman" w:eastAsia="宋体" w:cs="Times New Roman"/>
      <w:sz w:val="21"/>
      <w:lang w:val="en-US" w:eastAsia="zh-CN" w:bidi="ar-SA"/>
    </w:rPr>
  </w:style>
  <w:style w:type="paragraph" w:customStyle="1" w:styleId="248">
    <w:name w:val="WPSOffice手动目录 2"/>
    <w:qFormat/>
    <w:uiPriority w:val="0"/>
    <w:pPr>
      <w:ind w:leftChars="200"/>
    </w:pPr>
    <w:rPr>
      <w:rFonts w:ascii="Times New Roman" w:hAnsi="Times New Roman" w:eastAsia="宋体" w:cs="Times New Roman"/>
      <w:sz w:val="20"/>
      <w:szCs w:val="20"/>
    </w:rPr>
  </w:style>
  <w:style w:type="paragraph" w:customStyle="1" w:styleId="249">
    <w:name w:val="默认段落字体 Para Char Char Char Char Char Char Char"/>
    <w:basedOn w:val="1"/>
    <w:qFormat/>
    <w:uiPriority w:val="0"/>
    <w:rPr>
      <w:rFonts w:ascii="Tahoma" w:hAnsi="Tahoma"/>
      <w:sz w:val="24"/>
      <w:szCs w:val="20"/>
    </w:rPr>
  </w:style>
  <w:style w:type="character" w:customStyle="1" w:styleId="250">
    <w:name w:val="font11"/>
    <w:basedOn w:val="44"/>
    <w:qFormat/>
    <w:uiPriority w:val="0"/>
    <w:rPr>
      <w:rFonts w:hint="eastAsia" w:ascii="宋体" w:hAnsi="宋体" w:eastAsia="宋体" w:cs="宋体"/>
      <w:color w:val="000000"/>
      <w:sz w:val="22"/>
      <w:szCs w:val="22"/>
      <w:u w:val="none"/>
    </w:rPr>
  </w:style>
  <w:style w:type="paragraph" w:customStyle="1" w:styleId="251">
    <w:name w:val="Normal Indent1"/>
    <w:basedOn w:val="1"/>
    <w:qFormat/>
    <w:uiPriority w:val="99"/>
    <w:pPr>
      <w:spacing w:line="660" w:lineRule="exact"/>
      <w:ind w:firstLine="720" w:firstLineChars="200"/>
    </w:pPr>
    <w:rPr>
      <w:rFonts w:eastAsia="楷体_GB2312"/>
    </w:rPr>
  </w:style>
  <w:style w:type="paragraph" w:customStyle="1" w:styleId="252">
    <w:name w:val="UserStyle_11"/>
    <w:basedOn w:val="1"/>
    <w:next w:val="1"/>
    <w:qFormat/>
    <w:uiPriority w:val="0"/>
    <w:pPr>
      <w:widowControl/>
      <w:spacing w:after="120"/>
      <w:ind w:left="420" w:leftChars="200"/>
      <w:textAlignment w:val="baseline"/>
    </w:pPr>
    <w:rPr>
      <w:szCs w:val="22"/>
    </w:rPr>
  </w:style>
  <w:style w:type="paragraph" w:customStyle="1" w:styleId="253">
    <w:name w:val="_Style 15"/>
    <w:basedOn w:val="1"/>
    <w:next w:val="72"/>
    <w:qFormat/>
    <w:uiPriority w:val="34"/>
    <w:pPr>
      <w:widowControl/>
      <w:spacing w:after="200" w:line="276" w:lineRule="auto"/>
      <w:ind w:left="720"/>
      <w:contextualSpacing/>
      <w:jc w:val="left"/>
    </w:pPr>
    <w:rPr>
      <w:rFonts w:ascii="Calibri" w:hAnsi="Calibri"/>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72</Pages>
  <Words>16931</Words>
  <Characters>18397</Characters>
  <Lines>309</Lines>
  <Paragraphs>87</Paragraphs>
  <TotalTime>41</TotalTime>
  <ScaleCrop>false</ScaleCrop>
  <LinksUpToDate>false</LinksUpToDate>
  <CharactersWithSpaces>18672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2013-07-11T02:47:00Z</dcterms:created>
  <dc:creator>微软用户</dc:creator>
  <cp:lastModifiedBy>soul</cp:lastModifiedBy>
  <cp:lastPrinted>2025-03-27T03:01:00Z</cp:lastPrinted>
  <dcterms:modified xsi:type="dcterms:W3CDTF">2025-05-08T06:47:25Z</dcterms:modified>
  <dc:title>招标编号：SXLHZB2009-124</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679E217EF5A748729FAF5C617F9FE1B8_13</vt:lpwstr>
  </property>
  <property fmtid="{D5CDD505-2E9C-101B-9397-08002B2CF9AE}" pid="4" name="KSOTemplateDocerSaveRecord">
    <vt:lpwstr>eyJoZGlkIjoiYjExMTI1OTkzMzZjM2E4ZjhjZTFjYjIwZjY5NjUzOTgiLCJ1c2VySWQiOiIzMjUzMDc2MzkifQ==</vt:lpwstr>
  </property>
</Properties>
</file>