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96113">
      <w:pPr>
        <w:spacing w:line="360" w:lineRule="auto"/>
        <w:ind w:firstLine="723"/>
        <w:jc w:val="center"/>
        <w:rPr>
          <w:rFonts w:ascii="宋体" w:hAnsi="宋体" w:cstheme="minorBidi"/>
          <w:b/>
          <w:color w:val="auto"/>
          <w:sz w:val="36"/>
          <w:szCs w:val="36"/>
        </w:rPr>
      </w:pPr>
      <w:r>
        <w:rPr>
          <w:rFonts w:hint="eastAsia" w:ascii="宋体" w:hAnsi="宋体" w:cstheme="minorBidi"/>
          <w:b/>
          <w:color w:val="auto"/>
          <w:sz w:val="36"/>
          <w:szCs w:val="36"/>
        </w:rPr>
        <w:t>磋商项目技术、服务、商务及其他要求</w:t>
      </w:r>
    </w:p>
    <w:p w14:paraId="7C98134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theme="minorBidi"/>
          <w:b/>
          <w:color w:val="auto"/>
          <w:sz w:val="21"/>
          <w:szCs w:val="21"/>
        </w:rPr>
      </w:pPr>
      <w:r>
        <w:rPr>
          <w:rFonts w:ascii="宋体" w:hAnsi="宋体" w:cs="宋体"/>
          <w:color w:val="auto"/>
          <w:spacing w:val="-3"/>
          <w:position w:val="13"/>
          <w:szCs w:val="21"/>
        </w:rPr>
        <w:t>（注：带</w:t>
      </w:r>
      <w:r>
        <w:rPr>
          <w:rFonts w:hint="eastAsia" w:ascii="宋体" w:hAnsi="宋体" w:cs="宋体"/>
          <w:color w:val="auto"/>
          <w:spacing w:val="-3"/>
          <w:position w:val="13"/>
          <w:szCs w:val="21"/>
        </w:rPr>
        <w:t>“</w:t>
      </w:r>
      <w:r>
        <w:rPr>
          <w:rFonts w:ascii="宋体" w:hAnsi="宋体" w:cs="宋体"/>
          <w:color w:val="auto"/>
          <w:spacing w:val="-3"/>
          <w:position w:val="13"/>
          <w:szCs w:val="21"/>
        </w:rPr>
        <w:t>★</w:t>
      </w:r>
      <w:r>
        <w:rPr>
          <w:rFonts w:hint="eastAsia" w:ascii="宋体" w:hAnsi="宋体" w:cs="宋体"/>
          <w:color w:val="auto"/>
          <w:spacing w:val="-3"/>
          <w:position w:val="13"/>
          <w:szCs w:val="21"/>
        </w:rPr>
        <w:t>”</w:t>
      </w:r>
      <w:r>
        <w:rPr>
          <w:rFonts w:ascii="宋体" w:hAnsi="宋体" w:cs="宋体"/>
          <w:color w:val="auto"/>
          <w:spacing w:val="-3"/>
          <w:position w:val="13"/>
          <w:szCs w:val="21"/>
        </w:rPr>
        <w:t>的参数需求为实质性要求，供应商必须响应并满足的参数需求，采购人、采购代理机构应当根据项目实际需求合理设定，并明确具体要求。带</w:t>
      </w:r>
      <w:r>
        <w:rPr>
          <w:rFonts w:hint="eastAsia" w:ascii="宋体" w:hAnsi="宋体" w:cs="宋体"/>
          <w:color w:val="auto"/>
          <w:spacing w:val="-3"/>
          <w:position w:val="13"/>
          <w:szCs w:val="21"/>
        </w:rPr>
        <w:t>“</w:t>
      </w:r>
      <w:r>
        <w:rPr>
          <w:rFonts w:ascii="宋体" w:hAnsi="宋体" w:cs="宋体"/>
          <w:color w:val="auto"/>
          <w:spacing w:val="-3"/>
          <w:position w:val="13"/>
          <w:szCs w:val="21"/>
        </w:rPr>
        <w:t>▲</w:t>
      </w:r>
      <w:r>
        <w:rPr>
          <w:rFonts w:hint="eastAsia" w:ascii="宋体" w:hAnsi="宋体" w:cs="宋体"/>
          <w:color w:val="auto"/>
          <w:spacing w:val="-3"/>
          <w:position w:val="13"/>
          <w:szCs w:val="21"/>
        </w:rPr>
        <w:t>”</w:t>
      </w:r>
      <w:r>
        <w:rPr>
          <w:rFonts w:ascii="宋体" w:hAnsi="宋体" w:cs="宋体"/>
          <w:color w:val="auto"/>
          <w:spacing w:val="-3"/>
          <w:position w:val="13"/>
          <w:szCs w:val="21"/>
        </w:rPr>
        <w:t>号条款为允许负偏离的参数需求，若未响应或者不满足，将在综合评审中予以扣分处理。）</w:t>
      </w:r>
    </w:p>
    <w:p w14:paraId="4C9D189E">
      <w:pPr>
        <w:pStyle w:val="6"/>
        <w:keepNext w:val="0"/>
        <w:keepLines w:val="0"/>
        <w:pageBreakBefore w:val="0"/>
        <w:widowControl w:val="0"/>
        <w:kinsoku/>
        <w:wordWrap/>
        <w:overflowPunct/>
        <w:topLinePunct w:val="0"/>
        <w:autoSpaceDE/>
        <w:autoSpaceDN/>
        <w:bidi w:val="0"/>
        <w:adjustRightInd/>
        <w:snapToGrid/>
        <w:spacing w:after="0" w:line="480" w:lineRule="exact"/>
        <w:ind w:firstLine="0" w:firstLineChars="0"/>
        <w:textAlignment w:val="auto"/>
        <w:rPr>
          <w:rFonts w:ascii="宋体" w:hAnsi="宋体"/>
          <w:b/>
          <w:color w:val="auto"/>
          <w:sz w:val="21"/>
          <w:szCs w:val="21"/>
        </w:rPr>
      </w:pPr>
      <w:r>
        <w:rPr>
          <w:rFonts w:ascii="宋体" w:hAnsi="宋体"/>
          <w:b/>
          <w:color w:val="auto"/>
          <w:sz w:val="21"/>
          <w:szCs w:val="21"/>
        </w:rPr>
        <w:t>3.1采购项目概况</w:t>
      </w:r>
    </w:p>
    <w:p w14:paraId="4497C3BB">
      <w:pPr>
        <w:keepNext w:val="0"/>
        <w:keepLines w:val="0"/>
        <w:pageBreakBefore w:val="0"/>
        <w:kinsoku/>
        <w:wordWrap/>
        <w:overflowPunct/>
        <w:topLinePunct w:val="0"/>
        <w:autoSpaceDE/>
        <w:autoSpaceDN/>
        <w:bidi w:val="0"/>
        <w:adjustRightInd/>
        <w:snapToGrid/>
        <w:spacing w:line="480" w:lineRule="exact"/>
        <w:ind w:right="-199" w:rightChars="-95" w:firstLine="420" w:firstLineChars="200"/>
        <w:textAlignment w:val="auto"/>
        <w:rPr>
          <w:rFonts w:hint="eastAsia" w:eastAsia="宋体"/>
          <w:color w:val="auto"/>
          <w:sz w:val="21"/>
          <w:szCs w:val="21"/>
          <w:lang w:eastAsia="zh-CN"/>
        </w:rPr>
      </w:pPr>
      <w:r>
        <w:rPr>
          <w:rFonts w:hint="eastAsia" w:ascii="宋体" w:hAnsi="宋体"/>
          <w:color w:val="auto"/>
          <w:szCs w:val="21"/>
          <w:lang w:eastAsia="zh-CN"/>
        </w:rPr>
        <w:t>本项目为</w:t>
      </w:r>
      <w:r>
        <w:rPr>
          <w:rFonts w:hint="eastAsia" w:ascii="宋体" w:hAnsi="宋体"/>
          <w:color w:val="auto"/>
          <w:szCs w:val="21"/>
        </w:rPr>
        <w:t>开展军休干部教育实践活动</w:t>
      </w:r>
    </w:p>
    <w:p w14:paraId="5260BF02">
      <w:pPr>
        <w:pStyle w:val="6"/>
        <w:keepNext w:val="0"/>
        <w:keepLines w:val="0"/>
        <w:pageBreakBefore w:val="0"/>
        <w:widowControl w:val="0"/>
        <w:kinsoku/>
        <w:wordWrap/>
        <w:overflowPunct/>
        <w:topLinePunct w:val="0"/>
        <w:autoSpaceDE/>
        <w:autoSpaceDN/>
        <w:bidi w:val="0"/>
        <w:adjustRightInd/>
        <w:snapToGrid/>
        <w:spacing w:after="0" w:line="480" w:lineRule="exact"/>
        <w:ind w:firstLine="0" w:firstLineChars="0"/>
        <w:textAlignment w:val="auto"/>
        <w:rPr>
          <w:rFonts w:ascii="宋体" w:hAnsi="宋体"/>
          <w:b/>
          <w:color w:val="auto"/>
          <w:sz w:val="21"/>
          <w:szCs w:val="21"/>
        </w:rPr>
      </w:pPr>
      <w:r>
        <w:rPr>
          <w:rFonts w:hint="eastAsia" w:ascii="宋体" w:hAnsi="宋体"/>
          <w:b/>
          <w:color w:val="auto"/>
          <w:sz w:val="21"/>
          <w:szCs w:val="21"/>
        </w:rPr>
        <w:t>3.2服务内容及服务要求</w:t>
      </w:r>
    </w:p>
    <w:p w14:paraId="6EEA350D">
      <w:pPr>
        <w:keepNext w:val="0"/>
        <w:keepLines w:val="0"/>
        <w:pageBreakBefore w:val="0"/>
        <w:widowControl w:val="0"/>
        <w:kinsoku/>
        <w:wordWrap/>
        <w:overflowPunct/>
        <w:topLinePunct w:val="0"/>
        <w:autoSpaceDE/>
        <w:autoSpaceDN/>
        <w:bidi w:val="0"/>
        <w:adjustRightInd/>
        <w:snapToGrid/>
        <w:spacing w:line="480" w:lineRule="exact"/>
        <w:ind w:firstLine="233" w:firstLineChars="100"/>
        <w:textAlignment w:val="auto"/>
        <w:rPr>
          <w:rFonts w:ascii="宋体" w:hAnsi="宋体"/>
          <w:b/>
          <w:bCs/>
          <w:color w:val="auto"/>
          <w:spacing w:val="11"/>
          <w:sz w:val="21"/>
          <w:szCs w:val="21"/>
        </w:rPr>
      </w:pPr>
      <w:r>
        <w:rPr>
          <w:rFonts w:hint="eastAsia" w:ascii="宋体" w:hAnsi="宋体"/>
          <w:b/>
          <w:bCs/>
          <w:color w:val="auto"/>
          <w:spacing w:val="11"/>
          <w:sz w:val="21"/>
          <w:szCs w:val="21"/>
        </w:rPr>
        <w:t>3.2.1服务内容</w:t>
      </w:r>
    </w:p>
    <w:p w14:paraId="3C1FDAF5">
      <w:pPr>
        <w:keepNext w:val="0"/>
        <w:keepLines w:val="0"/>
        <w:pageBreakBefore w:val="0"/>
        <w:widowControl w:val="0"/>
        <w:kinsoku/>
        <w:wordWrap/>
        <w:overflowPunct/>
        <w:topLinePunct w:val="0"/>
        <w:autoSpaceDE/>
        <w:autoSpaceDN/>
        <w:bidi w:val="0"/>
        <w:adjustRightInd/>
        <w:snapToGrid/>
        <w:spacing w:line="480" w:lineRule="exact"/>
        <w:ind w:left="105" w:right="105" w:firstLine="420" w:firstLineChars="200"/>
        <w:textAlignment w:val="auto"/>
        <w:rPr>
          <w:rFonts w:ascii="宋体" w:hAnsi="宋体"/>
          <w:color w:val="auto"/>
          <w:szCs w:val="21"/>
        </w:rPr>
      </w:pPr>
      <w:r>
        <w:rPr>
          <w:rFonts w:ascii="宋体" w:hAnsi="宋体"/>
          <w:color w:val="auto"/>
          <w:szCs w:val="21"/>
        </w:rPr>
        <w:t>采购包1：</w:t>
      </w:r>
    </w:p>
    <w:p w14:paraId="4426B048">
      <w:pPr>
        <w:keepNext w:val="0"/>
        <w:keepLines w:val="0"/>
        <w:pageBreakBefore w:val="0"/>
        <w:widowControl w:val="0"/>
        <w:kinsoku/>
        <w:wordWrap/>
        <w:overflowPunct/>
        <w:topLinePunct w:val="0"/>
        <w:autoSpaceDE/>
        <w:autoSpaceDN/>
        <w:bidi w:val="0"/>
        <w:adjustRightInd/>
        <w:snapToGrid/>
        <w:spacing w:line="480" w:lineRule="exact"/>
        <w:ind w:left="105" w:right="105" w:firstLine="420" w:firstLineChars="200"/>
        <w:textAlignment w:val="auto"/>
        <w:rPr>
          <w:rFonts w:ascii="宋体" w:hAnsi="宋体"/>
          <w:color w:val="auto"/>
          <w:szCs w:val="21"/>
        </w:rPr>
      </w:pPr>
      <w:r>
        <w:rPr>
          <w:rFonts w:ascii="宋体" w:hAnsi="宋体"/>
          <w:color w:val="auto"/>
          <w:szCs w:val="21"/>
        </w:rPr>
        <w:t>采购包预算金额（元）:</w:t>
      </w:r>
      <w:r>
        <w:rPr>
          <w:rFonts w:hint="eastAsia" w:ascii="宋体" w:hAnsi="宋体"/>
          <w:color w:val="auto"/>
          <w:szCs w:val="21"/>
          <w:lang w:val="en-US" w:eastAsia="zh-CN"/>
        </w:rPr>
        <w:t>480000.00</w:t>
      </w:r>
    </w:p>
    <w:p w14:paraId="165A9EC0">
      <w:pPr>
        <w:keepNext w:val="0"/>
        <w:keepLines w:val="0"/>
        <w:pageBreakBefore w:val="0"/>
        <w:widowControl w:val="0"/>
        <w:kinsoku/>
        <w:wordWrap/>
        <w:overflowPunct/>
        <w:topLinePunct w:val="0"/>
        <w:autoSpaceDE/>
        <w:autoSpaceDN/>
        <w:bidi w:val="0"/>
        <w:adjustRightInd/>
        <w:snapToGrid/>
        <w:spacing w:line="480" w:lineRule="exact"/>
        <w:ind w:left="105" w:right="105" w:firstLine="420" w:firstLineChars="200"/>
        <w:textAlignment w:val="auto"/>
        <w:rPr>
          <w:rFonts w:ascii="宋体" w:hAnsi="宋体"/>
          <w:color w:val="auto"/>
          <w:szCs w:val="21"/>
        </w:rPr>
      </w:pPr>
      <w:r>
        <w:rPr>
          <w:rFonts w:ascii="宋体" w:hAnsi="宋体"/>
          <w:color w:val="auto"/>
          <w:szCs w:val="21"/>
        </w:rPr>
        <w:t>采购包最高限价（元）:</w:t>
      </w:r>
      <w:r>
        <w:rPr>
          <w:rFonts w:hint="eastAsia" w:ascii="宋体" w:hAnsi="宋体"/>
          <w:color w:val="auto"/>
          <w:szCs w:val="21"/>
          <w:lang w:val="en-US" w:eastAsia="zh-CN"/>
        </w:rPr>
        <w:t>480000.00</w:t>
      </w:r>
    </w:p>
    <w:p w14:paraId="02689E06">
      <w:pPr>
        <w:keepNext w:val="0"/>
        <w:keepLines w:val="0"/>
        <w:pageBreakBefore w:val="0"/>
        <w:widowControl w:val="0"/>
        <w:kinsoku/>
        <w:wordWrap/>
        <w:overflowPunct/>
        <w:topLinePunct w:val="0"/>
        <w:autoSpaceDE/>
        <w:autoSpaceDN/>
        <w:bidi w:val="0"/>
        <w:adjustRightInd/>
        <w:snapToGrid/>
        <w:spacing w:line="480" w:lineRule="exact"/>
        <w:ind w:left="105" w:right="105" w:firstLine="420" w:firstLineChars="200"/>
        <w:textAlignment w:val="auto"/>
        <w:rPr>
          <w:rFonts w:ascii="宋体" w:hAnsi="宋体"/>
          <w:color w:val="auto"/>
          <w:szCs w:val="21"/>
        </w:rPr>
      </w:pPr>
      <w:r>
        <w:rPr>
          <w:rFonts w:ascii="宋体" w:hAnsi="宋体"/>
          <w:color w:val="auto"/>
          <w:szCs w:val="21"/>
        </w:rPr>
        <w:t>供应商报价不允许超过标的金额</w:t>
      </w:r>
    </w:p>
    <w:p w14:paraId="3EA3E6E7">
      <w:pPr>
        <w:keepNext w:val="0"/>
        <w:keepLines w:val="0"/>
        <w:pageBreakBefore w:val="0"/>
        <w:widowControl w:val="0"/>
        <w:kinsoku/>
        <w:wordWrap/>
        <w:overflowPunct/>
        <w:topLinePunct w:val="0"/>
        <w:autoSpaceDE/>
        <w:autoSpaceDN/>
        <w:bidi w:val="0"/>
        <w:adjustRightInd/>
        <w:snapToGrid/>
        <w:spacing w:line="480" w:lineRule="exact"/>
        <w:ind w:left="105" w:right="105" w:firstLine="420" w:firstLineChars="200"/>
        <w:textAlignment w:val="auto"/>
        <w:rPr>
          <w:rFonts w:ascii="宋体" w:hAnsi="宋体"/>
          <w:color w:val="auto"/>
          <w:szCs w:val="21"/>
        </w:rPr>
      </w:pPr>
      <w:r>
        <w:rPr>
          <w:rFonts w:ascii="宋体" w:hAnsi="宋体"/>
          <w:color w:val="auto"/>
          <w:szCs w:val="21"/>
        </w:rPr>
        <w:t>（招单价的）供应商报价不允许超过标的单价</w:t>
      </w:r>
    </w:p>
    <w:tbl>
      <w:tblPr>
        <w:tblStyle w:val="8"/>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131"/>
        <w:gridCol w:w="833"/>
        <w:gridCol w:w="1190"/>
        <w:gridCol w:w="650"/>
        <w:gridCol w:w="938"/>
        <w:gridCol w:w="900"/>
        <w:gridCol w:w="912"/>
        <w:gridCol w:w="988"/>
        <w:gridCol w:w="1239"/>
      </w:tblGrid>
      <w:tr w14:paraId="53D8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562" w:type="dxa"/>
            <w:vAlign w:val="center"/>
          </w:tcPr>
          <w:p w14:paraId="214B1726">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b/>
                <w:color w:val="auto"/>
                <w:kern w:val="0"/>
                <w:szCs w:val="21"/>
              </w:rPr>
            </w:pPr>
            <w:r>
              <w:rPr>
                <w:rFonts w:hint="eastAsia" w:ascii="宋体" w:hAnsi="宋体"/>
                <w:b/>
                <w:color w:val="auto"/>
                <w:kern w:val="0"/>
                <w:szCs w:val="21"/>
              </w:rPr>
              <w:t>序号</w:t>
            </w:r>
          </w:p>
        </w:tc>
        <w:tc>
          <w:tcPr>
            <w:tcW w:w="2131" w:type="dxa"/>
            <w:vAlign w:val="center"/>
          </w:tcPr>
          <w:p w14:paraId="6B928E6D">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b/>
                <w:color w:val="auto"/>
                <w:kern w:val="0"/>
                <w:szCs w:val="21"/>
              </w:rPr>
            </w:pPr>
            <w:r>
              <w:rPr>
                <w:rFonts w:hint="eastAsia" w:ascii="宋体" w:hAnsi="宋体"/>
                <w:b/>
                <w:color w:val="auto"/>
                <w:kern w:val="0"/>
                <w:szCs w:val="21"/>
              </w:rPr>
              <w:t>标的名称</w:t>
            </w:r>
          </w:p>
        </w:tc>
        <w:tc>
          <w:tcPr>
            <w:tcW w:w="833" w:type="dxa"/>
            <w:vAlign w:val="center"/>
          </w:tcPr>
          <w:p w14:paraId="7E686C47">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b/>
                <w:color w:val="auto"/>
                <w:kern w:val="0"/>
                <w:szCs w:val="21"/>
              </w:rPr>
            </w:pPr>
            <w:r>
              <w:rPr>
                <w:rFonts w:hint="eastAsia" w:ascii="宋体" w:hAnsi="宋体"/>
                <w:b/>
                <w:color w:val="auto"/>
                <w:kern w:val="0"/>
                <w:szCs w:val="21"/>
              </w:rPr>
              <w:t>数量</w:t>
            </w:r>
          </w:p>
        </w:tc>
        <w:tc>
          <w:tcPr>
            <w:tcW w:w="1190" w:type="dxa"/>
            <w:vAlign w:val="center"/>
          </w:tcPr>
          <w:p w14:paraId="591D1EE9">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b/>
                <w:color w:val="auto"/>
                <w:kern w:val="0"/>
                <w:szCs w:val="21"/>
              </w:rPr>
            </w:pPr>
            <w:r>
              <w:rPr>
                <w:rFonts w:hint="eastAsia" w:ascii="宋体" w:hAnsi="宋体"/>
                <w:b/>
                <w:color w:val="auto"/>
                <w:kern w:val="0"/>
                <w:szCs w:val="21"/>
              </w:rPr>
              <w:t>标的金额</w:t>
            </w:r>
          </w:p>
          <w:p w14:paraId="27B3AF1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b/>
                <w:color w:val="auto"/>
                <w:kern w:val="0"/>
                <w:szCs w:val="21"/>
              </w:rPr>
            </w:pPr>
            <w:r>
              <w:rPr>
                <w:rFonts w:hint="eastAsia" w:ascii="宋体" w:hAnsi="宋体"/>
                <w:b/>
                <w:color w:val="auto"/>
                <w:kern w:val="0"/>
                <w:szCs w:val="21"/>
              </w:rPr>
              <w:t>（元）</w:t>
            </w:r>
          </w:p>
        </w:tc>
        <w:tc>
          <w:tcPr>
            <w:tcW w:w="650" w:type="dxa"/>
            <w:vAlign w:val="center"/>
          </w:tcPr>
          <w:p w14:paraId="04993E19">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b/>
                <w:color w:val="auto"/>
                <w:kern w:val="0"/>
                <w:szCs w:val="21"/>
              </w:rPr>
            </w:pPr>
            <w:r>
              <w:rPr>
                <w:rFonts w:hint="eastAsia" w:ascii="宋体" w:hAnsi="宋体"/>
                <w:b/>
                <w:color w:val="auto"/>
                <w:kern w:val="0"/>
                <w:szCs w:val="21"/>
              </w:rPr>
              <w:t>计量单位</w:t>
            </w:r>
          </w:p>
        </w:tc>
        <w:tc>
          <w:tcPr>
            <w:tcW w:w="938" w:type="dxa"/>
            <w:vAlign w:val="center"/>
          </w:tcPr>
          <w:p w14:paraId="7A92A60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b/>
                <w:color w:val="auto"/>
                <w:kern w:val="0"/>
                <w:szCs w:val="21"/>
              </w:rPr>
            </w:pPr>
            <w:r>
              <w:rPr>
                <w:rFonts w:hint="eastAsia" w:ascii="宋体" w:hAnsi="宋体"/>
                <w:b/>
                <w:color w:val="auto"/>
                <w:kern w:val="0"/>
                <w:szCs w:val="21"/>
              </w:rPr>
              <w:t>所属行业</w:t>
            </w:r>
          </w:p>
        </w:tc>
        <w:tc>
          <w:tcPr>
            <w:tcW w:w="900" w:type="dxa"/>
            <w:vAlign w:val="center"/>
          </w:tcPr>
          <w:p w14:paraId="778AA17F">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b/>
                <w:color w:val="auto"/>
                <w:kern w:val="0"/>
                <w:szCs w:val="21"/>
              </w:rPr>
            </w:pPr>
            <w:r>
              <w:rPr>
                <w:rFonts w:hint="eastAsia" w:ascii="宋体" w:hAnsi="宋体"/>
                <w:b/>
                <w:color w:val="auto"/>
                <w:kern w:val="0"/>
                <w:szCs w:val="21"/>
              </w:rPr>
              <w:t>是否核心产品</w:t>
            </w:r>
          </w:p>
        </w:tc>
        <w:tc>
          <w:tcPr>
            <w:tcW w:w="912" w:type="dxa"/>
            <w:vAlign w:val="center"/>
          </w:tcPr>
          <w:p w14:paraId="40516733">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b/>
                <w:color w:val="auto"/>
                <w:kern w:val="0"/>
                <w:szCs w:val="21"/>
              </w:rPr>
            </w:pPr>
            <w:r>
              <w:rPr>
                <w:rFonts w:hint="eastAsia" w:ascii="宋体" w:hAnsi="宋体"/>
                <w:b/>
                <w:color w:val="auto"/>
                <w:kern w:val="0"/>
                <w:szCs w:val="21"/>
              </w:rPr>
              <w:t>是否允许进口产品</w:t>
            </w:r>
          </w:p>
        </w:tc>
        <w:tc>
          <w:tcPr>
            <w:tcW w:w="988" w:type="dxa"/>
            <w:vAlign w:val="center"/>
          </w:tcPr>
          <w:p w14:paraId="78DB3ED2">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b/>
                <w:color w:val="auto"/>
                <w:kern w:val="0"/>
                <w:szCs w:val="21"/>
              </w:rPr>
            </w:pPr>
            <w:r>
              <w:rPr>
                <w:rFonts w:hint="eastAsia" w:ascii="宋体" w:hAnsi="宋体"/>
                <w:b/>
                <w:color w:val="auto"/>
                <w:kern w:val="0"/>
                <w:szCs w:val="21"/>
              </w:rPr>
              <w:t>是否属于节能产品</w:t>
            </w:r>
          </w:p>
        </w:tc>
        <w:tc>
          <w:tcPr>
            <w:tcW w:w="1239" w:type="dxa"/>
            <w:vAlign w:val="center"/>
          </w:tcPr>
          <w:p w14:paraId="6C4BD75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b/>
                <w:color w:val="auto"/>
                <w:kern w:val="0"/>
                <w:szCs w:val="21"/>
              </w:rPr>
            </w:pPr>
            <w:r>
              <w:rPr>
                <w:rFonts w:hint="eastAsia" w:ascii="宋体" w:hAnsi="宋体"/>
                <w:b/>
                <w:color w:val="auto"/>
                <w:kern w:val="0"/>
                <w:szCs w:val="21"/>
              </w:rPr>
              <w:t>是否属于环境标志产品</w:t>
            </w:r>
          </w:p>
        </w:tc>
      </w:tr>
      <w:tr w14:paraId="1C1A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62" w:type="dxa"/>
            <w:vAlign w:val="center"/>
          </w:tcPr>
          <w:p w14:paraId="7ACFFB43">
            <w:pPr>
              <w:keepNext w:val="0"/>
              <w:keepLines w:val="0"/>
              <w:pageBreakBefore w:val="0"/>
              <w:kinsoku/>
              <w:wordWrap/>
              <w:overflowPunct/>
              <w:topLinePunct w:val="0"/>
              <w:autoSpaceDE/>
              <w:autoSpaceDN/>
              <w:bidi w:val="0"/>
              <w:adjustRightInd/>
              <w:snapToGrid/>
              <w:spacing w:line="480" w:lineRule="exact"/>
              <w:textAlignment w:val="auto"/>
              <w:rPr>
                <w:rFonts w:ascii="宋体" w:hAnsi="宋体"/>
                <w:color w:val="auto"/>
                <w:kern w:val="0"/>
                <w:szCs w:val="21"/>
              </w:rPr>
            </w:pPr>
            <w:r>
              <w:rPr>
                <w:rFonts w:hint="eastAsia" w:ascii="宋体" w:hAnsi="宋体"/>
                <w:color w:val="auto"/>
                <w:kern w:val="0"/>
                <w:szCs w:val="21"/>
              </w:rPr>
              <w:t>1</w:t>
            </w:r>
          </w:p>
        </w:tc>
        <w:tc>
          <w:tcPr>
            <w:tcW w:w="2131" w:type="dxa"/>
            <w:vAlign w:val="center"/>
          </w:tcPr>
          <w:p w14:paraId="0610F80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olor w:val="auto"/>
                <w:kern w:val="0"/>
                <w:szCs w:val="21"/>
                <w:lang w:eastAsia="zh-CN"/>
              </w:rPr>
            </w:pPr>
            <w:r>
              <w:rPr>
                <w:rFonts w:hint="eastAsia" w:ascii="宋体" w:hAnsi="宋体" w:eastAsia="宋体" w:cs="宋体"/>
                <w:color w:val="auto"/>
                <w:sz w:val="21"/>
                <w:szCs w:val="21"/>
                <w:u w:val="none"/>
                <w:lang w:eastAsia="zh-CN"/>
              </w:rPr>
              <w:t>西安市龙首村军休所军休干部实践研学活动采购项目</w:t>
            </w:r>
          </w:p>
        </w:tc>
        <w:tc>
          <w:tcPr>
            <w:tcW w:w="833" w:type="dxa"/>
            <w:vAlign w:val="center"/>
          </w:tcPr>
          <w:p w14:paraId="70C37B78">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color w:val="auto"/>
                <w:kern w:val="0"/>
                <w:szCs w:val="21"/>
              </w:rPr>
            </w:pPr>
            <w:r>
              <w:rPr>
                <w:rFonts w:hint="eastAsia" w:ascii="宋体" w:hAnsi="宋体"/>
                <w:color w:val="auto"/>
                <w:kern w:val="0"/>
                <w:szCs w:val="21"/>
              </w:rPr>
              <w:t>1.0</w:t>
            </w:r>
          </w:p>
        </w:tc>
        <w:tc>
          <w:tcPr>
            <w:tcW w:w="1190" w:type="dxa"/>
            <w:vAlign w:val="center"/>
          </w:tcPr>
          <w:p w14:paraId="12575692">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color w:val="auto"/>
                <w:kern w:val="0"/>
                <w:szCs w:val="21"/>
              </w:rPr>
            </w:pPr>
            <w:r>
              <w:rPr>
                <w:rFonts w:hint="eastAsia" w:ascii="宋体" w:hAnsi="宋体"/>
                <w:color w:val="auto"/>
                <w:kern w:val="0"/>
                <w:szCs w:val="21"/>
                <w:lang w:val="en-US" w:eastAsia="zh-CN"/>
              </w:rPr>
              <w:t>480000.00</w:t>
            </w:r>
          </w:p>
        </w:tc>
        <w:tc>
          <w:tcPr>
            <w:tcW w:w="650" w:type="dxa"/>
            <w:vAlign w:val="center"/>
          </w:tcPr>
          <w:p w14:paraId="1952D11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项</w:t>
            </w:r>
          </w:p>
        </w:tc>
        <w:tc>
          <w:tcPr>
            <w:tcW w:w="938" w:type="dxa"/>
            <w:vAlign w:val="center"/>
          </w:tcPr>
          <w:p w14:paraId="1C53398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color w:val="auto"/>
                <w:kern w:val="0"/>
                <w:szCs w:val="21"/>
                <w:highlight w:val="none"/>
              </w:rPr>
            </w:pPr>
            <w:r>
              <w:rPr>
                <w:rFonts w:hint="eastAsia" w:ascii="宋体" w:hAnsi="宋体" w:cs="宋体"/>
                <w:color w:val="auto"/>
                <w:kern w:val="0"/>
                <w:szCs w:val="21"/>
                <w:highlight w:val="none"/>
              </w:rPr>
              <w:t>租赁和商务服务业</w:t>
            </w:r>
          </w:p>
        </w:tc>
        <w:tc>
          <w:tcPr>
            <w:tcW w:w="900" w:type="dxa"/>
            <w:vAlign w:val="center"/>
          </w:tcPr>
          <w:p w14:paraId="22B321E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否</w:t>
            </w:r>
          </w:p>
        </w:tc>
        <w:tc>
          <w:tcPr>
            <w:tcW w:w="912" w:type="dxa"/>
            <w:vAlign w:val="center"/>
          </w:tcPr>
          <w:p w14:paraId="70720848">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color w:val="auto"/>
                <w:kern w:val="0"/>
                <w:szCs w:val="21"/>
              </w:rPr>
            </w:pPr>
            <w:r>
              <w:rPr>
                <w:rFonts w:hint="eastAsia" w:ascii="宋体" w:hAnsi="宋体"/>
                <w:color w:val="auto"/>
                <w:kern w:val="0"/>
                <w:szCs w:val="21"/>
              </w:rPr>
              <w:t>否</w:t>
            </w:r>
          </w:p>
        </w:tc>
        <w:tc>
          <w:tcPr>
            <w:tcW w:w="988" w:type="dxa"/>
            <w:vAlign w:val="center"/>
          </w:tcPr>
          <w:p w14:paraId="6CFDF3BF">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color w:val="auto"/>
                <w:kern w:val="0"/>
                <w:szCs w:val="21"/>
              </w:rPr>
            </w:pPr>
            <w:r>
              <w:rPr>
                <w:rFonts w:hint="eastAsia" w:ascii="宋体" w:hAnsi="宋体"/>
                <w:color w:val="auto"/>
                <w:kern w:val="0"/>
                <w:szCs w:val="21"/>
              </w:rPr>
              <w:t>否</w:t>
            </w:r>
          </w:p>
        </w:tc>
        <w:tc>
          <w:tcPr>
            <w:tcW w:w="1239" w:type="dxa"/>
            <w:vAlign w:val="center"/>
          </w:tcPr>
          <w:p w14:paraId="25FD2892">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color w:val="auto"/>
                <w:kern w:val="0"/>
                <w:szCs w:val="21"/>
              </w:rPr>
            </w:pPr>
            <w:r>
              <w:rPr>
                <w:rFonts w:hint="eastAsia" w:ascii="宋体" w:hAnsi="宋体"/>
                <w:color w:val="auto"/>
                <w:kern w:val="0"/>
                <w:szCs w:val="21"/>
              </w:rPr>
              <w:t>否</w:t>
            </w:r>
          </w:p>
        </w:tc>
      </w:tr>
    </w:tbl>
    <w:p w14:paraId="7A4F26BF">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211" w:firstLineChars="1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bookmarkStart w:id="0" w:name="OLE_LINK23"/>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3.2.2接待要求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14:paraId="7C725B1C">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1、合同：服务商根据采购人要求，在确定线路后签订学习实践合同。</w:t>
      </w:r>
    </w:p>
    <w:p w14:paraId="6F43FC30">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2、通知：团队出行事宜确定以后，要确保逐一通知到位（时间、地点），做好备案登记；</w:t>
      </w:r>
    </w:p>
    <w:p w14:paraId="596B27BD">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3、交通：</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两日游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出行采用的交通工具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往返交通费不包含在报价中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据实结算。一日游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出行采用的交通工具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往返交通费包含在报价中。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服务商应为每次出行配备应急保障车（预防突发事件紧急护送）一台配置不低于中型以上suv。出行必须采用国家规定的正规车队车辆和三年内无重大交通事故的驾驶大型客车的经验驾驶员。车辆运营手续完备，车况、车龄和安全性良好，司机经验丰富、综合素质高，出行前需提供车辆年审合格证明等证明车况良好的相关材料。</w:t>
      </w:r>
    </w:p>
    <w:p w14:paraId="04D94315">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住宿：两日游住宿安排在四星级以上酒店，要求酒店位置好，房间大、无安全隐患，有独立的早餐厅，卫生间要防滑、洗浴间要有防滑垫，要配备免费的洗漱用品；酒店容量要足够，可同时容纳活动人员同时入住和早餐使用的酒店；服务商需提供相同规格的酒店，配备不低于2名导游协助解决食宿相关问题，采购人提供不低于5名单位工作人员。具体情况可由双方共同协调解决。</w:t>
      </w:r>
    </w:p>
    <w:p w14:paraId="09057548">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5、餐食：一日游早餐配备携带餐，20元标准。正餐必须选择有正式营业执照的可同时容纳150人左右用餐的社会餐厅或酒店，餐厅环境好，正餐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元/人</w:t>
      </w:r>
      <w:r>
        <w:rPr>
          <w:rFonts w:hint="eastAsia" w:ascii="宋体" w:hAnsi="宋体" w:eastAsia="宋体" w:cs="宋体"/>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餐，至少12菜一汤，荤素对半，主食（米饭、馒头、面）管饱，必备茶水餐巾纸、餐后果盘。</w:t>
      </w:r>
    </w:p>
    <w:p w14:paraId="507B0221">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两日游早餐全程包含，出行当天可以配备携带餐，20元标准。第二天早餐要求自助酒店早餐，品种保证10个及以上，早餐供应场所可以容纳150人左右同时用餐。正餐必须选择有正式营业执照的可同时容纳150人左右用餐的社会餐厅或酒店，餐厅环境好，正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元/人/餐，至少12菜一汤，荤素对半，主食（米饭、馒头、面）管饱，必备茶水餐巾纸、餐后果盘。</w:t>
      </w:r>
    </w:p>
    <w:p w14:paraId="6FB37903">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6、导游服务：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要求每辆车配导游2人。拟派导游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导游人员资格证书》，服务态度好，讲解到位，优秀热情，上下车有搀扶，安排工作人员在老干部入住后检查每一个房间设施是否完整；晚上22:00采购人与服务商双方各派不低于2名工作人员进行查房。如遇活动时间顺延，确保出行人员全部到位。</w:t>
      </w:r>
    </w:p>
    <w:p w14:paraId="5C5E717D">
      <w:pPr>
        <w:pStyle w:val="4"/>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7、医护服务：</w:t>
      </w:r>
      <w:r>
        <w:rPr>
          <w:rFonts w:hint="eastAsia" w:asciiTheme="minorEastAsia" w:hAnsiTheme="minorEastAsia" w:eastAsiaTheme="minorEastAsia" w:cstheme="minorEastAsia"/>
          <w:color w:val="auto"/>
          <w:szCs w:val="21"/>
          <w:lang w:eastAsia="zh-CN"/>
        </w:rPr>
        <w:t>采购人</w:t>
      </w:r>
      <w:r>
        <w:rPr>
          <w:rFonts w:hint="eastAsia" w:asciiTheme="minorEastAsia" w:hAnsiTheme="minorEastAsia" w:eastAsiaTheme="minorEastAsia" w:cstheme="minorEastAsia"/>
          <w:color w:val="auto"/>
          <w:szCs w:val="21"/>
          <w:lang w:val="en-US" w:eastAsia="zh-CN"/>
        </w:rPr>
        <w:t>单位</w:t>
      </w:r>
      <w:r>
        <w:rPr>
          <w:rFonts w:hint="eastAsia" w:asciiTheme="minorEastAsia" w:hAnsiTheme="minorEastAsia" w:eastAsiaTheme="minorEastAsia" w:cstheme="minorEastAsia"/>
          <w:color w:val="auto"/>
          <w:szCs w:val="21"/>
          <w:lang w:eastAsia="zh-CN"/>
        </w:rPr>
        <w:t>提供医护服务，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随队医生携带非处方外用药品的医疗箱和基本的药品；</w:t>
      </w:r>
    </w:p>
    <w:p w14:paraId="6034B622">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8、每批团队出行，需要配备资深领队随行，具有较强的组织协调能力和现场处理突发事件的能力。</w:t>
      </w:r>
    </w:p>
    <w:p w14:paraId="70123904">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9、人性化服务：团队出行必须做到导游及车辆上门车接车送，上下车有搀扶，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对于行动不便的老干部持续特别关注，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让每一位老干部出行无忧；</w:t>
      </w:r>
    </w:p>
    <w:p w14:paraId="437F6DA7">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10、车辆行驶中要就近安排休息和上卫生间，遇到特殊游客要耐心、温馨服务。称呼上要有尊称。</w:t>
      </w:r>
    </w:p>
    <w:p w14:paraId="180FC56C">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11、保险：提供旅行社责任险及旅游者人身安全意外险，包含在报价内。</w:t>
      </w:r>
    </w:p>
    <w:p w14:paraId="0719E473">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12、结算要求：做好团队统计工作，制定专门的名单统计表和汇总表。清楚体现门票减免情况。本项目采购预算为结算价格的上限金额。</w:t>
      </w:r>
    </w:p>
    <w:p w14:paraId="00E59C81">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13、48小时以上临时取消不得收取车、导、保险损失，48小时以内取消，按照实际发生收取相应的车、导、保险损失。动车票的取消损失（票面损失和手续费）按照国家规定执行。</w:t>
      </w:r>
    </w:p>
    <w:p w14:paraId="198EF559">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14、意见征集：每团至少两份团队意见单，团队出行结束后一周内要对支部负责人进行满意度调查回访。</w:t>
      </w:r>
    </w:p>
    <w:p w14:paraId="5DABB9ED">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15、能够按照每个支部的要求，在规定时间内不限次数完成出行任务。</w:t>
      </w:r>
    </w:p>
    <w:p w14:paraId="556AE936">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16、接待报价要求一价全含，不购物、不自费，不允许有隐形消费。</w:t>
      </w:r>
    </w:p>
    <w:p w14:paraId="2A98AA9D">
      <w:pPr>
        <w:pStyle w:val="6"/>
        <w:keepNext w:val="0"/>
        <w:keepLines w:val="0"/>
        <w:pageBreakBefore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eastAsia" w:ascii="宋体" w:hAnsi="宋体"/>
          <w:b/>
          <w:bCs/>
          <w:color w:val="auto"/>
          <w:spacing w:val="11"/>
          <w:sz w:val="21"/>
          <w:szCs w:val="21"/>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17、如遇线路选择不在以上报价内，由甲乙双方根据市场变化共同商定，签订补充协议、合同等手续。</w:t>
      </w:r>
    </w:p>
    <w:p w14:paraId="0ACAF719">
      <w:pPr>
        <w:keepNext w:val="0"/>
        <w:keepLines w:val="0"/>
        <w:pageBreakBefore w:val="0"/>
        <w:widowControl w:val="0"/>
        <w:kinsoku/>
        <w:wordWrap/>
        <w:overflowPunct/>
        <w:topLinePunct w:val="0"/>
        <w:autoSpaceDE/>
        <w:autoSpaceDN/>
        <w:bidi w:val="0"/>
        <w:adjustRightInd/>
        <w:snapToGrid/>
        <w:spacing w:line="480" w:lineRule="exact"/>
        <w:ind w:left="105" w:firstLine="466" w:firstLineChars="200"/>
        <w:textAlignment w:val="auto"/>
        <w:rPr>
          <w:rFonts w:hint="eastAsia" w:ascii="宋体" w:hAnsi="宋体" w:eastAsia="宋体"/>
          <w:b/>
          <w:bCs/>
          <w:color w:val="auto"/>
          <w:spacing w:val="11"/>
          <w:sz w:val="21"/>
          <w:szCs w:val="21"/>
          <w:lang w:eastAsia="zh-CN"/>
        </w:rPr>
      </w:pPr>
      <w:r>
        <w:rPr>
          <w:rFonts w:hint="eastAsia" w:ascii="宋体" w:hAnsi="宋体"/>
          <w:b/>
          <w:bCs/>
          <w:color w:val="auto"/>
          <w:spacing w:val="11"/>
          <w:sz w:val="21"/>
          <w:szCs w:val="21"/>
        </w:rPr>
        <w:t>3.2.</w:t>
      </w:r>
      <w:r>
        <w:rPr>
          <w:rFonts w:hint="eastAsia" w:ascii="宋体" w:hAnsi="宋体"/>
          <w:b/>
          <w:bCs/>
          <w:color w:val="auto"/>
          <w:spacing w:val="11"/>
          <w:sz w:val="21"/>
          <w:szCs w:val="21"/>
          <w:lang w:val="en-US" w:eastAsia="zh-CN"/>
        </w:rPr>
        <w:t>3</w:t>
      </w:r>
      <w:r>
        <w:rPr>
          <w:rFonts w:hint="eastAsia" w:ascii="宋体" w:hAnsi="宋体"/>
          <w:b/>
          <w:bCs/>
          <w:color w:val="auto"/>
          <w:spacing w:val="11"/>
          <w:sz w:val="21"/>
          <w:szCs w:val="21"/>
        </w:rPr>
        <w:t>服务要求</w:t>
      </w:r>
      <w:r>
        <w:rPr>
          <w:rFonts w:hint="eastAsia" w:ascii="宋体" w:hAnsi="宋体"/>
          <w:b/>
          <w:bCs/>
          <w:color w:val="auto"/>
          <w:spacing w:val="11"/>
          <w:sz w:val="21"/>
          <w:szCs w:val="21"/>
          <w:lang w:eastAsia="zh-CN"/>
        </w:rPr>
        <w:t>：</w:t>
      </w:r>
    </w:p>
    <w:p w14:paraId="59E8BC66">
      <w:pPr>
        <w:keepNext w:val="0"/>
        <w:keepLines w:val="0"/>
        <w:pageBreakBefore w:val="0"/>
        <w:widowControl w:val="0"/>
        <w:kinsoku/>
        <w:wordWrap/>
        <w:overflowPunct/>
        <w:topLinePunct w:val="0"/>
        <w:autoSpaceDE/>
        <w:autoSpaceDN/>
        <w:bidi w:val="0"/>
        <w:adjustRightInd/>
        <w:snapToGrid/>
        <w:spacing w:line="480" w:lineRule="exact"/>
        <w:ind w:left="105" w:firstLine="420" w:firstLineChars="200"/>
        <w:textAlignment w:val="auto"/>
        <w:rPr>
          <w:rFonts w:hint="eastAsia" w:ascii="宋体" w:hAnsi="宋体"/>
          <w:b/>
          <w:bCs/>
          <w:color w:val="auto"/>
          <w:spacing w:val="11"/>
          <w:sz w:val="21"/>
          <w:szCs w:val="21"/>
        </w:rPr>
      </w:pPr>
      <w:r>
        <w:rPr>
          <w:rFonts w:ascii="宋体" w:hAnsi="宋体"/>
          <w:color w:val="auto"/>
          <w:szCs w:val="21"/>
        </w:rPr>
        <w:t>采购包1：</w:t>
      </w:r>
    </w:p>
    <w:tbl>
      <w:tblPr>
        <w:tblStyle w:val="8"/>
        <w:tblpPr w:leftFromText="180" w:rightFromText="180" w:vertAnchor="text" w:horzAnchor="page" w:tblpX="1737" w:tblpY="482"/>
        <w:tblOverlap w:val="never"/>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988"/>
        <w:gridCol w:w="682"/>
        <w:gridCol w:w="690"/>
        <w:gridCol w:w="2910"/>
        <w:gridCol w:w="913"/>
        <w:gridCol w:w="887"/>
      </w:tblGrid>
      <w:tr w14:paraId="3ED6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shd w:val="clear" w:color="auto" w:fill="FFFFFF"/>
            <w:vAlign w:val="center"/>
          </w:tcPr>
          <w:p w14:paraId="4BF96845">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序号</w:t>
            </w:r>
          </w:p>
        </w:tc>
        <w:tc>
          <w:tcPr>
            <w:tcW w:w="1988" w:type="dxa"/>
            <w:vAlign w:val="center"/>
          </w:tcPr>
          <w:p w14:paraId="57FE01D7">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线路</w:t>
            </w:r>
          </w:p>
        </w:tc>
        <w:tc>
          <w:tcPr>
            <w:tcW w:w="682" w:type="dxa"/>
            <w:vAlign w:val="center"/>
          </w:tcPr>
          <w:p w14:paraId="7BFBC5C4">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天数</w:t>
            </w:r>
          </w:p>
        </w:tc>
        <w:tc>
          <w:tcPr>
            <w:tcW w:w="690" w:type="dxa"/>
            <w:vAlign w:val="center"/>
          </w:tcPr>
          <w:p w14:paraId="2FF9E1E7">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交通</w:t>
            </w:r>
          </w:p>
        </w:tc>
        <w:tc>
          <w:tcPr>
            <w:tcW w:w="2910" w:type="dxa"/>
            <w:vAlign w:val="center"/>
          </w:tcPr>
          <w:p w14:paraId="011784D2">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行程</w:t>
            </w:r>
          </w:p>
        </w:tc>
        <w:tc>
          <w:tcPr>
            <w:tcW w:w="913" w:type="dxa"/>
            <w:vAlign w:val="center"/>
          </w:tcPr>
          <w:p w14:paraId="29758C7B">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餐食及住宿</w:t>
            </w:r>
          </w:p>
        </w:tc>
        <w:tc>
          <w:tcPr>
            <w:tcW w:w="887" w:type="dxa"/>
            <w:vAlign w:val="center"/>
          </w:tcPr>
          <w:p w14:paraId="4845521B">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最高限价</w:t>
            </w:r>
            <w:r>
              <w:rPr>
                <w:rFonts w:hint="eastAsia"/>
                <w:color w:val="auto"/>
                <w:szCs w:val="21"/>
                <w:lang w:eastAsia="zh-CN"/>
              </w:rPr>
              <w:t>（</w:t>
            </w:r>
            <w:r>
              <w:rPr>
                <w:rFonts w:hint="eastAsia"/>
                <w:color w:val="auto"/>
                <w:szCs w:val="21"/>
                <w:lang w:val="en-US" w:eastAsia="zh-CN"/>
              </w:rPr>
              <w:t>元/人</w:t>
            </w:r>
            <w:r>
              <w:rPr>
                <w:rFonts w:hint="eastAsia"/>
                <w:color w:val="auto"/>
                <w:szCs w:val="21"/>
                <w:lang w:eastAsia="zh-CN"/>
              </w:rPr>
              <w:t>）</w:t>
            </w:r>
          </w:p>
        </w:tc>
      </w:tr>
      <w:tr w14:paraId="09E8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shd w:val="clear" w:color="auto" w:fill="FFFFFF"/>
            <w:vAlign w:val="center"/>
          </w:tcPr>
          <w:p w14:paraId="17FE47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bookmarkStart w:id="1" w:name="OLE_LINK41" w:colFirst="0" w:colLast="6"/>
            <w:r>
              <w:rPr>
                <w:rFonts w:hint="eastAsia"/>
                <w:color w:val="auto"/>
                <w:szCs w:val="21"/>
              </w:rPr>
              <w:t>1</w:t>
            </w:r>
          </w:p>
        </w:tc>
        <w:tc>
          <w:tcPr>
            <w:tcW w:w="1988" w:type="dxa"/>
          </w:tcPr>
          <w:p w14:paraId="4E400DD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西北人民革命大学旧址</w:t>
            </w:r>
            <w:r>
              <w:rPr>
                <w:rFonts w:hint="eastAsia"/>
                <w:color w:val="auto"/>
                <w:szCs w:val="21"/>
                <w:lang w:val="en-US" w:eastAsia="zh-CN"/>
              </w:rPr>
              <w:t>+秦汉博物馆</w:t>
            </w:r>
          </w:p>
        </w:tc>
        <w:tc>
          <w:tcPr>
            <w:tcW w:w="682" w:type="dxa"/>
          </w:tcPr>
          <w:p w14:paraId="60B503D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1日</w:t>
            </w:r>
          </w:p>
        </w:tc>
        <w:tc>
          <w:tcPr>
            <w:tcW w:w="690" w:type="dxa"/>
          </w:tcPr>
          <w:p w14:paraId="22ECD2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大巴</w:t>
            </w:r>
          </w:p>
        </w:tc>
        <w:tc>
          <w:tcPr>
            <w:tcW w:w="2910" w:type="dxa"/>
          </w:tcPr>
          <w:p w14:paraId="543C91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早上出发，参观西北人民革命大学旧址，中餐后参与秦汉博物馆后结束行程</w:t>
            </w:r>
          </w:p>
        </w:tc>
        <w:tc>
          <w:tcPr>
            <w:tcW w:w="913" w:type="dxa"/>
          </w:tcPr>
          <w:p w14:paraId="5B4A36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一正餐</w:t>
            </w:r>
          </w:p>
        </w:tc>
        <w:tc>
          <w:tcPr>
            <w:tcW w:w="887" w:type="dxa"/>
          </w:tcPr>
          <w:p w14:paraId="312B83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320</w:t>
            </w:r>
          </w:p>
        </w:tc>
      </w:tr>
      <w:tr w14:paraId="04CA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shd w:val="clear" w:color="auto" w:fill="FFFFFF"/>
            <w:vAlign w:val="center"/>
          </w:tcPr>
          <w:p w14:paraId="479952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2</w:t>
            </w:r>
          </w:p>
        </w:tc>
        <w:tc>
          <w:tcPr>
            <w:tcW w:w="1988" w:type="dxa"/>
          </w:tcPr>
          <w:p w14:paraId="24EC15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红军过境纪念馆+美陂湖</w:t>
            </w:r>
          </w:p>
        </w:tc>
        <w:tc>
          <w:tcPr>
            <w:tcW w:w="682" w:type="dxa"/>
          </w:tcPr>
          <w:p w14:paraId="0769C0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1日</w:t>
            </w:r>
          </w:p>
        </w:tc>
        <w:tc>
          <w:tcPr>
            <w:tcW w:w="690" w:type="dxa"/>
          </w:tcPr>
          <w:p w14:paraId="7BB3B31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大巴</w:t>
            </w:r>
          </w:p>
        </w:tc>
        <w:tc>
          <w:tcPr>
            <w:tcW w:w="2910" w:type="dxa"/>
          </w:tcPr>
          <w:p w14:paraId="6B6AA80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早上出发，参观红军过境馆，午餐后游览美陂湖后结束行程</w:t>
            </w:r>
          </w:p>
        </w:tc>
        <w:tc>
          <w:tcPr>
            <w:tcW w:w="913" w:type="dxa"/>
          </w:tcPr>
          <w:p w14:paraId="4B927C5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一正餐</w:t>
            </w:r>
          </w:p>
        </w:tc>
        <w:tc>
          <w:tcPr>
            <w:tcW w:w="887" w:type="dxa"/>
          </w:tcPr>
          <w:p w14:paraId="1CAC847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320</w:t>
            </w:r>
          </w:p>
        </w:tc>
      </w:tr>
      <w:tr w14:paraId="5257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shd w:val="clear" w:color="auto" w:fill="FFFFFF"/>
            <w:vAlign w:val="center"/>
          </w:tcPr>
          <w:p w14:paraId="52EE63E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1988" w:type="dxa"/>
          </w:tcPr>
          <w:p w14:paraId="015450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安吴青训班纪念馆+郑国渠</w:t>
            </w:r>
          </w:p>
        </w:tc>
        <w:tc>
          <w:tcPr>
            <w:tcW w:w="682" w:type="dxa"/>
          </w:tcPr>
          <w:p w14:paraId="7B2EC9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1日</w:t>
            </w:r>
          </w:p>
        </w:tc>
        <w:tc>
          <w:tcPr>
            <w:tcW w:w="690" w:type="dxa"/>
          </w:tcPr>
          <w:p w14:paraId="43558D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大巴</w:t>
            </w:r>
          </w:p>
        </w:tc>
        <w:tc>
          <w:tcPr>
            <w:tcW w:w="2910" w:type="dxa"/>
          </w:tcPr>
          <w:p w14:paraId="3CBBA7E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早上出发，参观安吴青训班，午餐后参观郑国渠结束行程</w:t>
            </w:r>
          </w:p>
        </w:tc>
        <w:tc>
          <w:tcPr>
            <w:tcW w:w="913" w:type="dxa"/>
          </w:tcPr>
          <w:p w14:paraId="458146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一正餐</w:t>
            </w:r>
          </w:p>
        </w:tc>
        <w:tc>
          <w:tcPr>
            <w:tcW w:w="887" w:type="dxa"/>
          </w:tcPr>
          <w:p w14:paraId="0324DA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350</w:t>
            </w:r>
          </w:p>
        </w:tc>
      </w:tr>
      <w:tr w14:paraId="28D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shd w:val="clear" w:color="auto" w:fill="FFFFFF"/>
            <w:vAlign w:val="center"/>
          </w:tcPr>
          <w:p w14:paraId="4262EE2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w:t>
            </w:r>
          </w:p>
        </w:tc>
        <w:tc>
          <w:tcPr>
            <w:tcW w:w="1988" w:type="dxa"/>
          </w:tcPr>
          <w:p w14:paraId="2EB5EF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秦岭植物园+秦岭保护架</w:t>
            </w:r>
          </w:p>
        </w:tc>
        <w:tc>
          <w:tcPr>
            <w:tcW w:w="682" w:type="dxa"/>
          </w:tcPr>
          <w:p w14:paraId="04714F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1日</w:t>
            </w:r>
          </w:p>
        </w:tc>
        <w:tc>
          <w:tcPr>
            <w:tcW w:w="690" w:type="dxa"/>
          </w:tcPr>
          <w:p w14:paraId="7A58ADC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大巴</w:t>
            </w:r>
          </w:p>
        </w:tc>
        <w:tc>
          <w:tcPr>
            <w:tcW w:w="2910" w:type="dxa"/>
          </w:tcPr>
          <w:p w14:paraId="09D59C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早上出发</w:t>
            </w:r>
            <w:r>
              <w:rPr>
                <w:rFonts w:hint="eastAsia"/>
                <w:color w:val="auto"/>
                <w:szCs w:val="21"/>
                <w:lang w:val="en-US" w:eastAsia="zh-CN"/>
              </w:rPr>
              <w:t>秦岭植物园</w:t>
            </w:r>
            <w:r>
              <w:rPr>
                <w:rFonts w:hint="eastAsia"/>
                <w:color w:val="auto"/>
                <w:szCs w:val="21"/>
                <w:lang w:eastAsia="zh-CN"/>
              </w:rPr>
              <w:t>，午餐后</w:t>
            </w:r>
            <w:r>
              <w:rPr>
                <w:rFonts w:hint="eastAsia"/>
                <w:color w:val="auto"/>
                <w:szCs w:val="21"/>
                <w:lang w:val="en-US" w:eastAsia="zh-CN"/>
              </w:rPr>
              <w:t>游览保护架后结束行程</w:t>
            </w:r>
          </w:p>
        </w:tc>
        <w:tc>
          <w:tcPr>
            <w:tcW w:w="913" w:type="dxa"/>
          </w:tcPr>
          <w:p w14:paraId="2DEF3CB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一正餐</w:t>
            </w:r>
          </w:p>
        </w:tc>
        <w:tc>
          <w:tcPr>
            <w:tcW w:w="887" w:type="dxa"/>
          </w:tcPr>
          <w:p w14:paraId="5A4458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320</w:t>
            </w:r>
          </w:p>
        </w:tc>
      </w:tr>
      <w:tr w14:paraId="5EBC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0" w:type="dxa"/>
            <w:shd w:val="clear" w:color="auto" w:fill="FFFFFF"/>
            <w:vAlign w:val="center"/>
          </w:tcPr>
          <w:p w14:paraId="6619136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w:t>
            </w:r>
          </w:p>
        </w:tc>
        <w:tc>
          <w:tcPr>
            <w:tcW w:w="1988" w:type="dxa"/>
          </w:tcPr>
          <w:p w14:paraId="29849E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秦岭保护架+国家版本馆</w:t>
            </w:r>
          </w:p>
        </w:tc>
        <w:tc>
          <w:tcPr>
            <w:tcW w:w="682" w:type="dxa"/>
          </w:tcPr>
          <w:p w14:paraId="16B0B2B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1日</w:t>
            </w:r>
          </w:p>
        </w:tc>
        <w:tc>
          <w:tcPr>
            <w:tcW w:w="690" w:type="dxa"/>
          </w:tcPr>
          <w:p w14:paraId="604BC0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大巴</w:t>
            </w:r>
          </w:p>
        </w:tc>
        <w:tc>
          <w:tcPr>
            <w:tcW w:w="2910" w:type="dxa"/>
          </w:tcPr>
          <w:p w14:paraId="056EDD3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早上出发参观秦岭保护架，午餐后参观国家版本馆后结束行程</w:t>
            </w:r>
          </w:p>
        </w:tc>
        <w:tc>
          <w:tcPr>
            <w:tcW w:w="913" w:type="dxa"/>
          </w:tcPr>
          <w:p w14:paraId="4E0B0E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一正餐</w:t>
            </w:r>
          </w:p>
        </w:tc>
        <w:tc>
          <w:tcPr>
            <w:tcW w:w="887" w:type="dxa"/>
          </w:tcPr>
          <w:p w14:paraId="29494BF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320</w:t>
            </w:r>
          </w:p>
        </w:tc>
      </w:tr>
      <w:tr w14:paraId="714D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0" w:type="dxa"/>
            <w:shd w:val="clear" w:color="auto" w:fill="FFFFFF"/>
            <w:vAlign w:val="center"/>
          </w:tcPr>
          <w:p w14:paraId="1B8EC4F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color w:val="auto"/>
                <w:szCs w:val="21"/>
                <w:lang w:val="en-US" w:eastAsia="zh-CN"/>
              </w:rPr>
            </w:pPr>
            <w:r>
              <w:rPr>
                <w:rFonts w:hint="eastAsia"/>
                <w:color w:val="auto"/>
                <w:szCs w:val="21"/>
                <w:lang w:val="en-US" w:eastAsia="zh-CN"/>
              </w:rPr>
              <w:t>6</w:t>
            </w:r>
          </w:p>
        </w:tc>
        <w:tc>
          <w:tcPr>
            <w:tcW w:w="1988" w:type="dxa"/>
          </w:tcPr>
          <w:p w14:paraId="3E695C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auto"/>
                <w:szCs w:val="21"/>
                <w:lang w:val="en-US" w:eastAsia="zh-CN"/>
              </w:rPr>
            </w:pPr>
            <w:r>
              <w:rPr>
                <w:rFonts w:hint="eastAsia"/>
                <w:color w:val="auto"/>
                <w:szCs w:val="21"/>
                <w:lang w:val="en-US" w:eastAsia="zh-CN"/>
              </w:rPr>
              <w:t>新貌一日游</w:t>
            </w:r>
          </w:p>
        </w:tc>
        <w:tc>
          <w:tcPr>
            <w:tcW w:w="682" w:type="dxa"/>
            <w:vAlign w:val="center"/>
          </w:tcPr>
          <w:p w14:paraId="31D869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auto"/>
                <w:szCs w:val="21"/>
                <w:lang w:val="en-US" w:eastAsia="zh-CN"/>
              </w:rPr>
            </w:pPr>
            <w:r>
              <w:rPr>
                <w:rFonts w:hint="eastAsia"/>
                <w:color w:val="auto"/>
                <w:szCs w:val="21"/>
                <w:lang w:val="en-US" w:eastAsia="zh-CN"/>
              </w:rPr>
              <w:t>1日</w:t>
            </w:r>
          </w:p>
        </w:tc>
        <w:tc>
          <w:tcPr>
            <w:tcW w:w="690" w:type="dxa"/>
            <w:vAlign w:val="center"/>
          </w:tcPr>
          <w:p w14:paraId="6F86BB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auto"/>
                <w:szCs w:val="21"/>
                <w:lang w:eastAsia="zh-CN"/>
              </w:rPr>
            </w:pPr>
            <w:r>
              <w:rPr>
                <w:rFonts w:hint="eastAsia"/>
                <w:color w:val="auto"/>
                <w:szCs w:val="21"/>
                <w:lang w:eastAsia="zh-CN"/>
              </w:rPr>
              <w:t>大巴</w:t>
            </w:r>
          </w:p>
        </w:tc>
        <w:tc>
          <w:tcPr>
            <w:tcW w:w="2910" w:type="dxa"/>
            <w:vAlign w:val="center"/>
          </w:tcPr>
          <w:p w14:paraId="66C963F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auto"/>
                <w:szCs w:val="21"/>
                <w:lang w:val="en-US" w:eastAsia="zh-CN"/>
              </w:rPr>
            </w:pPr>
            <w:r>
              <w:rPr>
                <w:rFonts w:hint="eastAsia"/>
                <w:color w:val="auto"/>
                <w:szCs w:val="21"/>
                <w:lang w:val="en-US" w:eastAsia="zh-CN"/>
              </w:rPr>
              <w:t>西安新貌环线观光</w:t>
            </w:r>
          </w:p>
        </w:tc>
        <w:tc>
          <w:tcPr>
            <w:tcW w:w="913" w:type="dxa"/>
            <w:vAlign w:val="center"/>
          </w:tcPr>
          <w:p w14:paraId="6CACC1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auto"/>
                <w:szCs w:val="21"/>
                <w:lang w:eastAsia="zh-CN"/>
              </w:rPr>
            </w:pPr>
            <w:r>
              <w:rPr>
                <w:rFonts w:hint="eastAsia"/>
                <w:color w:val="auto"/>
                <w:szCs w:val="21"/>
                <w:lang w:eastAsia="zh-CN"/>
              </w:rPr>
              <w:t>一正餐</w:t>
            </w:r>
          </w:p>
        </w:tc>
        <w:tc>
          <w:tcPr>
            <w:tcW w:w="887" w:type="dxa"/>
            <w:vAlign w:val="center"/>
          </w:tcPr>
          <w:p w14:paraId="2BD9B7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auto"/>
                <w:szCs w:val="21"/>
                <w:lang w:val="en-US" w:eastAsia="zh-CN"/>
              </w:rPr>
            </w:pPr>
            <w:r>
              <w:rPr>
                <w:rFonts w:hint="eastAsia"/>
                <w:color w:val="auto"/>
                <w:szCs w:val="21"/>
                <w:lang w:val="en-US" w:eastAsia="zh-CN"/>
              </w:rPr>
              <w:t>360</w:t>
            </w:r>
          </w:p>
        </w:tc>
      </w:tr>
      <w:tr w14:paraId="64E3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shd w:val="clear" w:color="auto" w:fill="FFFFFF"/>
            <w:vAlign w:val="center"/>
          </w:tcPr>
          <w:p w14:paraId="53BF72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7</w:t>
            </w:r>
          </w:p>
        </w:tc>
        <w:tc>
          <w:tcPr>
            <w:tcW w:w="1988" w:type="dxa"/>
            <w:vAlign w:val="center"/>
          </w:tcPr>
          <w:p w14:paraId="258742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蔡伦纸文化博物馆+华阳古镇+红二十五军纪念馆</w:t>
            </w:r>
          </w:p>
        </w:tc>
        <w:tc>
          <w:tcPr>
            <w:tcW w:w="682" w:type="dxa"/>
            <w:vAlign w:val="center"/>
          </w:tcPr>
          <w:p w14:paraId="5F3051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r>
              <w:rPr>
                <w:rFonts w:hint="eastAsia"/>
                <w:color w:val="auto"/>
                <w:szCs w:val="21"/>
              </w:rPr>
              <w:t>日</w:t>
            </w:r>
          </w:p>
        </w:tc>
        <w:tc>
          <w:tcPr>
            <w:tcW w:w="690" w:type="dxa"/>
            <w:vAlign w:val="center"/>
          </w:tcPr>
          <w:p w14:paraId="28FD82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大巴</w:t>
            </w:r>
          </w:p>
        </w:tc>
        <w:tc>
          <w:tcPr>
            <w:tcW w:w="2910" w:type="dxa"/>
            <w:vAlign w:val="center"/>
          </w:tcPr>
          <w:p w14:paraId="1D89E46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早上出发，午餐后参观蔡伦纸文化博物馆，随后参观华阳古镇，晚餐，安排入住。第二天早餐后参观二十五军纪念馆，中餐后返回。</w:t>
            </w:r>
          </w:p>
        </w:tc>
        <w:tc>
          <w:tcPr>
            <w:tcW w:w="913" w:type="dxa"/>
            <w:vAlign w:val="center"/>
          </w:tcPr>
          <w:p w14:paraId="1BBAE5E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eastAsia="zh-CN"/>
              </w:rPr>
              <w:t>一住宿一早三正餐</w:t>
            </w:r>
          </w:p>
        </w:tc>
        <w:tc>
          <w:tcPr>
            <w:tcW w:w="887" w:type="dxa"/>
            <w:vAlign w:val="center"/>
          </w:tcPr>
          <w:p w14:paraId="33D7E4F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780</w:t>
            </w:r>
          </w:p>
        </w:tc>
      </w:tr>
      <w:tr w14:paraId="7315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shd w:val="clear" w:color="auto" w:fill="FFFFFF"/>
            <w:vAlign w:val="center"/>
          </w:tcPr>
          <w:p w14:paraId="7E7C5E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8</w:t>
            </w:r>
          </w:p>
        </w:tc>
        <w:tc>
          <w:tcPr>
            <w:tcW w:w="1988" w:type="dxa"/>
            <w:vAlign w:val="center"/>
          </w:tcPr>
          <w:p w14:paraId="234F67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棣花古镇+商县革命纪念馆+闯王寨+金丝峡</w:t>
            </w:r>
          </w:p>
        </w:tc>
        <w:tc>
          <w:tcPr>
            <w:tcW w:w="682" w:type="dxa"/>
            <w:vAlign w:val="center"/>
          </w:tcPr>
          <w:p w14:paraId="301A65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r>
              <w:rPr>
                <w:rFonts w:hint="eastAsia"/>
                <w:color w:val="auto"/>
                <w:szCs w:val="21"/>
              </w:rPr>
              <w:t>日</w:t>
            </w:r>
          </w:p>
        </w:tc>
        <w:tc>
          <w:tcPr>
            <w:tcW w:w="690" w:type="dxa"/>
            <w:vAlign w:val="center"/>
          </w:tcPr>
          <w:p w14:paraId="3D0C6D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大巴</w:t>
            </w:r>
          </w:p>
        </w:tc>
        <w:tc>
          <w:tcPr>
            <w:tcW w:w="2910" w:type="dxa"/>
            <w:vAlign w:val="center"/>
          </w:tcPr>
          <w:p w14:paraId="094F06E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早上出发，游览棣花古镇，中餐后参观商县革命纪念馆，随后游览闯王寨，随后晚餐入住，第二天游览金丝峡，中餐后返回。</w:t>
            </w:r>
          </w:p>
        </w:tc>
        <w:tc>
          <w:tcPr>
            <w:tcW w:w="913" w:type="dxa"/>
            <w:vAlign w:val="center"/>
          </w:tcPr>
          <w:p w14:paraId="4A8B206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eastAsia="zh-CN"/>
              </w:rPr>
              <w:t>一住宿一早三正餐</w:t>
            </w:r>
          </w:p>
        </w:tc>
        <w:tc>
          <w:tcPr>
            <w:tcW w:w="887" w:type="dxa"/>
            <w:vAlign w:val="center"/>
          </w:tcPr>
          <w:p w14:paraId="19E50F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780</w:t>
            </w:r>
          </w:p>
        </w:tc>
      </w:tr>
      <w:tr w14:paraId="1630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shd w:val="clear" w:color="auto" w:fill="FFFFFF"/>
            <w:vAlign w:val="center"/>
          </w:tcPr>
          <w:p w14:paraId="7FF612A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9</w:t>
            </w:r>
          </w:p>
        </w:tc>
        <w:tc>
          <w:tcPr>
            <w:tcW w:w="1988" w:type="dxa"/>
            <w:vAlign w:val="center"/>
          </w:tcPr>
          <w:p w14:paraId="667FDB2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金米村+终南山寨+牛背梁</w:t>
            </w:r>
          </w:p>
        </w:tc>
        <w:tc>
          <w:tcPr>
            <w:tcW w:w="682" w:type="dxa"/>
            <w:vAlign w:val="center"/>
          </w:tcPr>
          <w:p w14:paraId="6851E59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r>
              <w:rPr>
                <w:rFonts w:hint="eastAsia"/>
                <w:color w:val="auto"/>
                <w:szCs w:val="21"/>
              </w:rPr>
              <w:t>日</w:t>
            </w:r>
          </w:p>
        </w:tc>
        <w:tc>
          <w:tcPr>
            <w:tcW w:w="690" w:type="dxa"/>
            <w:vAlign w:val="center"/>
          </w:tcPr>
          <w:p w14:paraId="5DB68B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大巴</w:t>
            </w:r>
          </w:p>
        </w:tc>
        <w:tc>
          <w:tcPr>
            <w:tcW w:w="2910" w:type="dxa"/>
            <w:vAlign w:val="center"/>
          </w:tcPr>
          <w:p w14:paraId="1752DA2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早上出发，参观金米村，中餐后，游览终南山寨，随后晚餐入住，第二天，游览牛背梁国家森林公园，中餐后返回。</w:t>
            </w:r>
          </w:p>
        </w:tc>
        <w:tc>
          <w:tcPr>
            <w:tcW w:w="913" w:type="dxa"/>
            <w:vAlign w:val="center"/>
          </w:tcPr>
          <w:p w14:paraId="3435BB4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eastAsia="zh-CN"/>
              </w:rPr>
              <w:t>一住宿一早三正餐</w:t>
            </w:r>
          </w:p>
        </w:tc>
        <w:tc>
          <w:tcPr>
            <w:tcW w:w="887" w:type="dxa"/>
            <w:vAlign w:val="center"/>
          </w:tcPr>
          <w:p w14:paraId="5E443A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760</w:t>
            </w:r>
          </w:p>
        </w:tc>
      </w:tr>
      <w:tr w14:paraId="0306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shd w:val="clear" w:color="auto" w:fill="FFFFFF"/>
            <w:vAlign w:val="center"/>
          </w:tcPr>
          <w:p w14:paraId="1F5C95E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p>
        </w:tc>
        <w:tc>
          <w:tcPr>
            <w:tcW w:w="1988" w:type="dxa"/>
            <w:vAlign w:val="center"/>
          </w:tcPr>
          <w:p w14:paraId="63EC27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壶口瀑布</w:t>
            </w:r>
            <w:r>
              <w:rPr>
                <w:rFonts w:hint="eastAsia"/>
                <w:color w:val="auto"/>
                <w:szCs w:val="21"/>
                <w:lang w:val="en-US" w:eastAsia="zh-CN"/>
              </w:rPr>
              <w:t>+乾坤湾+梁家河</w:t>
            </w:r>
          </w:p>
        </w:tc>
        <w:tc>
          <w:tcPr>
            <w:tcW w:w="682" w:type="dxa"/>
            <w:vAlign w:val="center"/>
          </w:tcPr>
          <w:p w14:paraId="448B73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r>
              <w:rPr>
                <w:rFonts w:hint="eastAsia"/>
                <w:color w:val="auto"/>
                <w:szCs w:val="21"/>
              </w:rPr>
              <w:t>日</w:t>
            </w:r>
          </w:p>
        </w:tc>
        <w:tc>
          <w:tcPr>
            <w:tcW w:w="690" w:type="dxa"/>
            <w:vAlign w:val="center"/>
          </w:tcPr>
          <w:p w14:paraId="67E82C5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大巴</w:t>
            </w:r>
          </w:p>
        </w:tc>
        <w:tc>
          <w:tcPr>
            <w:tcW w:w="2910" w:type="dxa"/>
            <w:vAlign w:val="center"/>
          </w:tcPr>
          <w:p w14:paraId="0795C73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早上出发前往壶口瀑布，中餐后游览壶口瀑布，随后游览乾坤湾，晚餐入住，第二天早餐后游览梁家河景区，中餐后返回。</w:t>
            </w:r>
          </w:p>
        </w:tc>
        <w:tc>
          <w:tcPr>
            <w:tcW w:w="913" w:type="dxa"/>
            <w:vAlign w:val="center"/>
          </w:tcPr>
          <w:p w14:paraId="51ADAB1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eastAsia="zh-CN"/>
              </w:rPr>
              <w:t>一住宿一早三正餐</w:t>
            </w:r>
          </w:p>
        </w:tc>
        <w:tc>
          <w:tcPr>
            <w:tcW w:w="887" w:type="dxa"/>
            <w:vAlign w:val="center"/>
          </w:tcPr>
          <w:p w14:paraId="3BF75C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790</w:t>
            </w:r>
          </w:p>
        </w:tc>
      </w:tr>
      <w:tr w14:paraId="22D8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shd w:val="clear" w:color="auto" w:fill="FFFFFF"/>
            <w:vAlign w:val="center"/>
          </w:tcPr>
          <w:p w14:paraId="571B91E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11</w:t>
            </w:r>
          </w:p>
        </w:tc>
        <w:tc>
          <w:tcPr>
            <w:tcW w:w="1988" w:type="dxa"/>
            <w:vAlign w:val="center"/>
          </w:tcPr>
          <w:p w14:paraId="1A21FE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司马迁祠+梁带村芮国遗址博物馆+韩城古城+党家村</w:t>
            </w:r>
          </w:p>
        </w:tc>
        <w:tc>
          <w:tcPr>
            <w:tcW w:w="682" w:type="dxa"/>
            <w:vAlign w:val="center"/>
          </w:tcPr>
          <w:p w14:paraId="19D551E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r>
              <w:rPr>
                <w:rFonts w:hint="eastAsia"/>
                <w:color w:val="auto"/>
                <w:szCs w:val="21"/>
              </w:rPr>
              <w:t>日</w:t>
            </w:r>
          </w:p>
        </w:tc>
        <w:tc>
          <w:tcPr>
            <w:tcW w:w="690" w:type="dxa"/>
            <w:vAlign w:val="center"/>
          </w:tcPr>
          <w:p w14:paraId="0E5151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大巴</w:t>
            </w:r>
          </w:p>
        </w:tc>
        <w:tc>
          <w:tcPr>
            <w:tcW w:w="2910" w:type="dxa"/>
            <w:vAlign w:val="center"/>
          </w:tcPr>
          <w:p w14:paraId="3CCDD28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早上出发，参观司马迁祠，中餐后参观梁带村芮国遗址博物馆，随后参观韩城古城，随后晚餐入住，第二天早餐后参观党家村，中餐后返回。</w:t>
            </w:r>
          </w:p>
        </w:tc>
        <w:tc>
          <w:tcPr>
            <w:tcW w:w="913" w:type="dxa"/>
            <w:vAlign w:val="center"/>
          </w:tcPr>
          <w:p w14:paraId="21A12D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eastAsia="zh-CN"/>
              </w:rPr>
              <w:t>一住宿一早三正餐</w:t>
            </w:r>
          </w:p>
        </w:tc>
        <w:tc>
          <w:tcPr>
            <w:tcW w:w="887" w:type="dxa"/>
            <w:vAlign w:val="center"/>
          </w:tcPr>
          <w:p w14:paraId="08F66A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760</w:t>
            </w:r>
          </w:p>
        </w:tc>
      </w:tr>
      <w:bookmarkEnd w:id="0"/>
      <w:bookmarkEnd w:id="1"/>
    </w:tbl>
    <w:p w14:paraId="24AD6776">
      <w:pPr>
        <w:keepNext w:val="0"/>
        <w:keepLines w:val="0"/>
        <w:pageBreakBefore w:val="0"/>
        <w:widowControl w:val="0"/>
        <w:kinsoku/>
        <w:wordWrap/>
        <w:overflowPunct/>
        <w:topLinePunct w:val="0"/>
        <w:autoSpaceDE/>
        <w:autoSpaceDN/>
        <w:bidi w:val="0"/>
        <w:adjustRightInd/>
        <w:snapToGrid/>
        <w:spacing w:line="480" w:lineRule="exact"/>
        <w:ind w:left="105" w:right="105" w:firstLine="420" w:firstLineChars="200"/>
        <w:textAlignment w:val="auto"/>
        <w:rPr>
          <w:rFonts w:ascii="宋体" w:hAnsi="宋体"/>
          <w:color w:val="auto"/>
          <w:szCs w:val="21"/>
        </w:rPr>
      </w:pPr>
      <w:r>
        <w:rPr>
          <w:rFonts w:ascii="宋体" w:hAnsi="宋体"/>
          <w:color w:val="auto"/>
          <w:szCs w:val="21"/>
        </w:rPr>
        <w:t>供应商报价不允许超过标的金额</w:t>
      </w:r>
    </w:p>
    <w:p w14:paraId="54EAB5A7">
      <w:pPr>
        <w:keepNext w:val="0"/>
        <w:keepLines w:val="0"/>
        <w:pageBreakBefore w:val="0"/>
        <w:widowControl w:val="0"/>
        <w:kinsoku/>
        <w:wordWrap/>
        <w:overflowPunct/>
        <w:topLinePunct w:val="0"/>
        <w:autoSpaceDE/>
        <w:autoSpaceDN/>
        <w:bidi w:val="0"/>
        <w:adjustRightInd/>
        <w:snapToGrid/>
        <w:spacing w:line="480" w:lineRule="exact"/>
        <w:ind w:left="105" w:right="105" w:firstLine="420" w:firstLineChars="200"/>
        <w:textAlignment w:val="auto"/>
        <w:rPr>
          <w:rFonts w:ascii="宋体" w:hAnsi="宋体"/>
          <w:color w:val="auto"/>
          <w:szCs w:val="21"/>
        </w:rPr>
      </w:pPr>
      <w:r>
        <w:rPr>
          <w:rFonts w:ascii="宋体" w:hAnsi="宋体"/>
          <w:color w:val="auto"/>
          <w:szCs w:val="21"/>
        </w:rPr>
        <w:t>（招单价的）供应商报价不允许超过标的单价</w:t>
      </w:r>
    </w:p>
    <w:p w14:paraId="62AA5B9C">
      <w:pPr>
        <w:keepNext w:val="0"/>
        <w:keepLines w:val="0"/>
        <w:pageBreakBefore w:val="0"/>
        <w:widowControl w:val="0"/>
        <w:kinsoku/>
        <w:wordWrap/>
        <w:overflowPunct/>
        <w:topLinePunct w:val="0"/>
        <w:autoSpaceDE/>
        <w:autoSpaceDN/>
        <w:bidi w:val="0"/>
        <w:adjustRightInd/>
        <w:snapToGrid/>
        <w:spacing w:line="480" w:lineRule="exact"/>
        <w:ind w:firstLine="426" w:firstLineChars="200"/>
        <w:textAlignment w:val="auto"/>
        <w:rPr>
          <w:rFonts w:ascii="宋体" w:hAnsi="宋体" w:cs="宋体"/>
          <w:color w:val="auto"/>
          <w:spacing w:val="1"/>
          <w:szCs w:val="21"/>
        </w:rPr>
      </w:pPr>
      <w:r>
        <w:rPr>
          <w:rFonts w:ascii="宋体" w:hAnsi="宋体" w:cs="宋体"/>
          <w:b/>
          <w:color w:val="auto"/>
          <w:spacing w:val="1"/>
          <w:szCs w:val="21"/>
        </w:rPr>
        <w:t>标的名称：（</w:t>
      </w:r>
      <w:r>
        <w:rPr>
          <w:rFonts w:hint="eastAsia" w:ascii="宋体" w:hAnsi="宋体" w:eastAsia="宋体" w:cs="宋体"/>
          <w:color w:val="auto"/>
          <w:sz w:val="21"/>
          <w:szCs w:val="21"/>
          <w:u w:val="none"/>
          <w:lang w:eastAsia="zh-CN"/>
        </w:rPr>
        <w:t>西安市龙首村军休所军休干部实践研学活动采购项目</w:t>
      </w:r>
      <w:r>
        <w:rPr>
          <w:rFonts w:hint="eastAsia" w:ascii="宋体" w:hAnsi="宋体" w:cs="宋体"/>
          <w:color w:val="auto"/>
          <w:szCs w:val="21"/>
        </w:rPr>
        <w:t>）</w:t>
      </w:r>
      <w:r>
        <w:rPr>
          <w:rFonts w:ascii="宋体" w:hAnsi="宋体" w:cs="宋体"/>
          <w:color w:val="auto"/>
          <w:spacing w:val="1"/>
          <w:szCs w:val="21"/>
        </w:rPr>
        <w:t>。</w:t>
      </w:r>
    </w:p>
    <w:p w14:paraId="68E868C6">
      <w:pPr>
        <w:keepNext w:val="0"/>
        <w:keepLines w:val="0"/>
        <w:pageBreakBefore w:val="0"/>
        <w:kinsoku/>
        <w:wordWrap/>
        <w:overflowPunct/>
        <w:topLinePunct w:val="0"/>
        <w:autoSpaceDE/>
        <w:autoSpaceDN/>
        <w:bidi w:val="0"/>
        <w:adjustRightInd/>
        <w:snapToGrid/>
        <w:spacing w:line="480" w:lineRule="exact"/>
        <w:ind w:firstLine="466" w:firstLineChars="200"/>
        <w:textAlignment w:val="auto"/>
        <w:rPr>
          <w:rFonts w:ascii="宋体" w:hAnsi="宋体"/>
          <w:b/>
          <w:bCs/>
          <w:color w:val="auto"/>
          <w:spacing w:val="11"/>
          <w:sz w:val="21"/>
          <w:szCs w:val="21"/>
        </w:rPr>
      </w:pPr>
      <w:r>
        <w:rPr>
          <w:rFonts w:hint="eastAsia" w:ascii="宋体" w:hAnsi="宋体"/>
          <w:b/>
          <w:bCs/>
          <w:color w:val="auto"/>
          <w:spacing w:val="11"/>
          <w:sz w:val="21"/>
          <w:szCs w:val="21"/>
        </w:rPr>
        <w:t>3.2.</w:t>
      </w:r>
      <w:r>
        <w:rPr>
          <w:rFonts w:hint="eastAsia" w:ascii="宋体" w:hAnsi="宋体"/>
          <w:b/>
          <w:bCs/>
          <w:color w:val="auto"/>
          <w:spacing w:val="11"/>
          <w:sz w:val="21"/>
          <w:szCs w:val="21"/>
          <w:lang w:val="en-US" w:eastAsia="zh-CN"/>
        </w:rPr>
        <w:t>4</w:t>
      </w:r>
      <w:r>
        <w:rPr>
          <w:rFonts w:hint="eastAsia" w:ascii="宋体" w:hAnsi="宋体"/>
          <w:b/>
          <w:bCs/>
          <w:color w:val="auto"/>
          <w:spacing w:val="11"/>
          <w:sz w:val="21"/>
          <w:szCs w:val="21"/>
        </w:rPr>
        <w:t>人员配置要求</w:t>
      </w:r>
    </w:p>
    <w:p w14:paraId="385A541A">
      <w:pPr>
        <w:keepNext w:val="0"/>
        <w:keepLines w:val="0"/>
        <w:pageBreakBefore w:val="0"/>
        <w:kinsoku/>
        <w:wordWrap/>
        <w:overflowPunct/>
        <w:topLinePunct w:val="0"/>
        <w:autoSpaceDE/>
        <w:autoSpaceDN/>
        <w:bidi w:val="0"/>
        <w:adjustRightInd/>
        <w:snapToGrid/>
        <w:spacing w:line="480" w:lineRule="exact"/>
        <w:ind w:left="11" w:right="-199" w:firstLine="420" w:firstLineChars="200"/>
        <w:textAlignment w:val="auto"/>
        <w:rPr>
          <w:rFonts w:hint="eastAsia" w:ascii="Times New Roman" w:hAnsi="Times New Roman" w:eastAsia="宋体" w:cs="Times New Roman"/>
          <w:color w:val="auto"/>
          <w:szCs w:val="21"/>
        </w:rPr>
      </w:pPr>
      <w:r>
        <w:rPr>
          <w:rFonts w:hint="eastAsia" w:ascii="宋体" w:hAnsi="宋体"/>
          <w:color w:val="auto"/>
          <w:szCs w:val="21"/>
        </w:rPr>
        <w:t>采购包1：</w:t>
      </w:r>
      <w:r>
        <w:rPr>
          <w:rFonts w:hint="eastAsia" w:ascii="宋体" w:hAnsi="宋体" w:eastAsia="宋体" w:cs="宋体"/>
          <w:color w:val="auto"/>
          <w:szCs w:val="21"/>
        </w:rPr>
        <w:t>需按</w:t>
      </w:r>
      <w:r>
        <w:rPr>
          <w:rFonts w:hint="eastAsia" w:ascii="宋体" w:hAnsi="宋体" w:cs="宋体"/>
          <w:color w:val="auto"/>
          <w:szCs w:val="21"/>
          <w:lang w:eastAsia="zh-CN"/>
        </w:rPr>
        <w:t>采购人</w:t>
      </w:r>
      <w:r>
        <w:rPr>
          <w:rFonts w:hint="eastAsia" w:ascii="宋体" w:hAnsi="宋体" w:eastAsia="宋体" w:cs="宋体"/>
          <w:color w:val="auto"/>
          <w:szCs w:val="21"/>
        </w:rPr>
        <w:t>要求</w:t>
      </w:r>
      <w:r>
        <w:rPr>
          <w:rFonts w:hint="eastAsia" w:ascii="宋体" w:hAnsi="宋体" w:cs="宋体"/>
          <w:color w:val="auto"/>
          <w:szCs w:val="21"/>
          <w:lang w:eastAsia="zh-CN"/>
        </w:rPr>
        <w:t>投入人员</w:t>
      </w:r>
      <w:r>
        <w:rPr>
          <w:rFonts w:hint="eastAsia" w:ascii="宋体" w:hAnsi="宋体" w:eastAsia="宋体" w:cs="宋体"/>
          <w:color w:val="auto"/>
          <w:szCs w:val="21"/>
        </w:rPr>
        <w:t>完成本项目。</w:t>
      </w:r>
    </w:p>
    <w:p w14:paraId="035FDF52">
      <w:pPr>
        <w:keepNext w:val="0"/>
        <w:keepLines w:val="0"/>
        <w:pageBreakBefore w:val="0"/>
        <w:kinsoku/>
        <w:wordWrap/>
        <w:overflowPunct/>
        <w:topLinePunct w:val="0"/>
        <w:autoSpaceDE/>
        <w:autoSpaceDN/>
        <w:bidi w:val="0"/>
        <w:adjustRightInd/>
        <w:snapToGrid/>
        <w:spacing w:line="480" w:lineRule="exact"/>
        <w:ind w:left="105" w:firstLine="526"/>
        <w:textAlignment w:val="auto"/>
        <w:rPr>
          <w:rFonts w:ascii="宋体" w:hAnsi="宋体"/>
          <w:b/>
          <w:bCs/>
          <w:color w:val="auto"/>
          <w:spacing w:val="11"/>
          <w:sz w:val="21"/>
          <w:szCs w:val="21"/>
        </w:rPr>
      </w:pPr>
      <w:r>
        <w:rPr>
          <w:rFonts w:hint="eastAsia" w:ascii="宋体" w:hAnsi="宋体"/>
          <w:b/>
          <w:bCs/>
          <w:color w:val="auto"/>
          <w:spacing w:val="11"/>
          <w:sz w:val="21"/>
          <w:szCs w:val="21"/>
        </w:rPr>
        <w:t>3.2.</w:t>
      </w:r>
      <w:r>
        <w:rPr>
          <w:rFonts w:hint="eastAsia" w:ascii="宋体" w:hAnsi="宋体"/>
          <w:b/>
          <w:bCs/>
          <w:color w:val="auto"/>
          <w:spacing w:val="11"/>
          <w:sz w:val="21"/>
          <w:szCs w:val="21"/>
          <w:lang w:val="en-US" w:eastAsia="zh-CN"/>
        </w:rPr>
        <w:t>5</w:t>
      </w:r>
      <w:r>
        <w:rPr>
          <w:rFonts w:hint="eastAsia" w:ascii="宋体" w:hAnsi="宋体"/>
          <w:b/>
          <w:bCs/>
          <w:color w:val="auto"/>
          <w:spacing w:val="11"/>
          <w:sz w:val="21"/>
          <w:szCs w:val="21"/>
        </w:rPr>
        <w:t>设施设备要求</w:t>
      </w:r>
    </w:p>
    <w:p w14:paraId="0D7D03DF">
      <w:pPr>
        <w:keepNext w:val="0"/>
        <w:keepLines w:val="0"/>
        <w:pageBreakBefore w:val="0"/>
        <w:kinsoku/>
        <w:wordWrap/>
        <w:overflowPunct/>
        <w:topLinePunct w:val="0"/>
        <w:autoSpaceDE/>
        <w:autoSpaceDN/>
        <w:bidi w:val="0"/>
        <w:adjustRightInd/>
        <w:snapToGrid/>
        <w:spacing w:line="480" w:lineRule="exact"/>
        <w:ind w:left="11" w:right="-199" w:firstLine="420" w:firstLineChars="200"/>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color w:val="auto"/>
          <w:szCs w:val="21"/>
        </w:rPr>
        <w:t>采购包1：</w:t>
      </w:r>
      <w:r>
        <w:rPr>
          <w:rFonts w:hint="eastAsia" w:ascii="宋体" w:hAnsi="宋体" w:eastAsia="宋体" w:cs="Times New Roman"/>
          <w:b w:val="0"/>
          <w:bCs w:val="0"/>
          <w:color w:val="auto"/>
          <w:kern w:val="2"/>
          <w:sz w:val="21"/>
          <w:szCs w:val="21"/>
          <w:lang w:val="en-US" w:eastAsia="zh-CN" w:bidi="ar-SA"/>
        </w:rPr>
        <w:t>服务方根据项目采购项目特性及要求，自行配置投入履行合同所必需的各类设施设备（不限于专业设备、辅助设备、工具等）及场所，保证项目顺利实施。</w:t>
      </w:r>
    </w:p>
    <w:p w14:paraId="753AF3C1">
      <w:pPr>
        <w:pStyle w:val="10"/>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ascii="宋体" w:hAnsi="宋体"/>
          <w:b/>
          <w:color w:val="auto"/>
          <w:sz w:val="21"/>
          <w:szCs w:val="21"/>
        </w:rPr>
      </w:pPr>
      <w:r>
        <w:rPr>
          <w:rFonts w:ascii="宋体" w:hAnsi="宋体"/>
          <w:b/>
          <w:color w:val="auto"/>
          <w:sz w:val="21"/>
          <w:szCs w:val="21"/>
        </w:rPr>
        <w:t>3.</w:t>
      </w:r>
      <w:r>
        <w:rPr>
          <w:rFonts w:hint="eastAsia" w:ascii="宋体" w:hAnsi="宋体"/>
          <w:b/>
          <w:color w:val="auto"/>
          <w:sz w:val="21"/>
          <w:szCs w:val="21"/>
        </w:rPr>
        <w:t>3</w:t>
      </w:r>
      <w:r>
        <w:rPr>
          <w:rFonts w:ascii="宋体" w:hAnsi="宋体"/>
          <w:b/>
          <w:color w:val="auto"/>
          <w:sz w:val="21"/>
          <w:szCs w:val="21"/>
        </w:rPr>
        <w:t>商务要求（说明：由采购人依据项目具体需求制定）</w:t>
      </w:r>
    </w:p>
    <w:p w14:paraId="32CDB9EB">
      <w:pPr>
        <w:keepNext w:val="0"/>
        <w:keepLines w:val="0"/>
        <w:pageBreakBefore w:val="0"/>
        <w:kinsoku/>
        <w:wordWrap/>
        <w:overflowPunct/>
        <w:topLinePunct w:val="0"/>
        <w:autoSpaceDE/>
        <w:autoSpaceDN/>
        <w:bidi w:val="0"/>
        <w:adjustRightInd/>
        <w:snapToGrid/>
        <w:spacing w:line="480" w:lineRule="exact"/>
        <w:ind w:left="105" w:firstLine="526"/>
        <w:textAlignment w:val="auto"/>
        <w:rPr>
          <w:rFonts w:ascii="宋体" w:hAnsi="宋体"/>
          <w:b/>
          <w:bCs/>
          <w:color w:val="auto"/>
          <w:spacing w:val="11"/>
          <w:sz w:val="21"/>
          <w:szCs w:val="21"/>
        </w:rPr>
      </w:pPr>
      <w:r>
        <w:rPr>
          <w:rFonts w:ascii="宋体" w:hAnsi="宋体"/>
          <w:b/>
          <w:bCs/>
          <w:color w:val="auto"/>
          <w:spacing w:val="11"/>
          <w:sz w:val="21"/>
          <w:szCs w:val="21"/>
        </w:rPr>
        <w:t>3.3.1服务期限</w:t>
      </w:r>
    </w:p>
    <w:p w14:paraId="6D1AA3C3">
      <w:pPr>
        <w:pStyle w:val="11"/>
        <w:keepNext w:val="0"/>
        <w:keepLines w:val="0"/>
        <w:pageBreakBefore w:val="0"/>
        <w:kinsoku/>
        <w:wordWrap/>
        <w:overflowPunct/>
        <w:topLinePunct w:val="0"/>
        <w:autoSpaceDE/>
        <w:autoSpaceDN/>
        <w:bidi w:val="0"/>
        <w:adjustRightInd/>
        <w:snapToGrid/>
        <w:spacing w:line="480" w:lineRule="exact"/>
        <w:ind w:firstLine="630" w:firstLineChars="300"/>
        <w:textAlignment w:val="auto"/>
        <w:rPr>
          <w:rFonts w:asciiTheme="minorEastAsia" w:hAnsiTheme="minorEastAsia" w:cstheme="minorEastAsia"/>
          <w:color w:val="auto"/>
          <w:sz w:val="21"/>
          <w:szCs w:val="21"/>
          <w:u w:val="none"/>
        </w:rPr>
      </w:pPr>
      <w:r>
        <w:rPr>
          <w:rFonts w:hint="eastAsia" w:ascii="宋体" w:hAnsi="宋体"/>
          <w:color w:val="auto"/>
          <w:sz w:val="21"/>
          <w:szCs w:val="21"/>
        </w:rPr>
        <w:t>采购包1：</w:t>
      </w:r>
      <w:bookmarkStart w:id="2" w:name="OLE_LINK34"/>
      <w:bookmarkStart w:id="3" w:name="OLE_LINK24"/>
      <w:r>
        <w:rPr>
          <w:rFonts w:asciiTheme="minorEastAsia" w:hAnsiTheme="minorEastAsia" w:eastAsiaTheme="minorEastAsia" w:cstheme="minorEastAsia"/>
          <w:color w:val="auto"/>
          <w:sz w:val="21"/>
          <w:szCs w:val="21"/>
          <w:u w:val="none"/>
        </w:rPr>
        <w:t>合同签订之日起至截止日期2025年12月31日止（如遇特殊情况，截止日期相应顺延。</w:t>
      </w:r>
      <w:bookmarkEnd w:id="2"/>
    </w:p>
    <w:bookmarkEnd w:id="3"/>
    <w:p w14:paraId="68F701E6">
      <w:pPr>
        <w:keepNext w:val="0"/>
        <w:keepLines w:val="0"/>
        <w:pageBreakBefore w:val="0"/>
        <w:kinsoku/>
        <w:wordWrap/>
        <w:overflowPunct/>
        <w:topLinePunct w:val="0"/>
        <w:autoSpaceDE/>
        <w:autoSpaceDN/>
        <w:bidi w:val="0"/>
        <w:adjustRightInd/>
        <w:snapToGrid/>
        <w:spacing w:line="480" w:lineRule="exact"/>
        <w:ind w:left="105" w:firstLine="526"/>
        <w:textAlignment w:val="auto"/>
        <w:rPr>
          <w:rFonts w:ascii="宋体" w:hAnsi="宋体"/>
          <w:b/>
          <w:bCs/>
          <w:color w:val="auto"/>
          <w:spacing w:val="11"/>
          <w:sz w:val="21"/>
          <w:szCs w:val="21"/>
        </w:rPr>
      </w:pPr>
      <w:r>
        <w:rPr>
          <w:rFonts w:ascii="宋体" w:hAnsi="宋体"/>
          <w:b/>
          <w:bCs/>
          <w:color w:val="auto"/>
          <w:spacing w:val="11"/>
          <w:sz w:val="21"/>
          <w:szCs w:val="21"/>
        </w:rPr>
        <w:t>3.3.2服务地点</w:t>
      </w:r>
    </w:p>
    <w:p w14:paraId="7ADE95FC">
      <w:pPr>
        <w:keepNext w:val="0"/>
        <w:keepLines w:val="0"/>
        <w:pageBreakBefore w:val="0"/>
        <w:kinsoku/>
        <w:wordWrap/>
        <w:overflowPunct/>
        <w:topLinePunct w:val="0"/>
        <w:autoSpaceDE/>
        <w:autoSpaceDN/>
        <w:bidi w:val="0"/>
        <w:adjustRightInd/>
        <w:snapToGrid/>
        <w:spacing w:line="480" w:lineRule="exact"/>
        <w:ind w:firstLine="630" w:firstLineChars="300"/>
        <w:textAlignment w:val="auto"/>
        <w:rPr>
          <w:color w:val="auto"/>
          <w:szCs w:val="21"/>
        </w:rPr>
      </w:pPr>
      <w:r>
        <w:rPr>
          <w:rFonts w:hint="eastAsia" w:ascii="宋体" w:hAnsi="宋体"/>
          <w:color w:val="auto"/>
          <w:szCs w:val="21"/>
        </w:rPr>
        <w:t>采购包1：</w:t>
      </w:r>
      <w:bookmarkStart w:id="4" w:name="OLE_LINK25"/>
      <w:r>
        <w:rPr>
          <w:color w:val="auto"/>
          <w:szCs w:val="21"/>
        </w:rPr>
        <w:t>按采购人</w:t>
      </w:r>
      <w:r>
        <w:rPr>
          <w:rFonts w:hint="eastAsia"/>
          <w:color w:val="auto"/>
          <w:szCs w:val="21"/>
          <w:lang w:eastAsia="zh-CN"/>
        </w:rPr>
        <w:t>确定的线路</w:t>
      </w:r>
      <w:r>
        <w:rPr>
          <w:color w:val="auto"/>
          <w:szCs w:val="21"/>
        </w:rPr>
        <w:t>。</w:t>
      </w:r>
      <w:bookmarkEnd w:id="4"/>
    </w:p>
    <w:p w14:paraId="25A89CD3">
      <w:pPr>
        <w:keepNext w:val="0"/>
        <w:keepLines w:val="0"/>
        <w:pageBreakBefore w:val="0"/>
        <w:kinsoku/>
        <w:wordWrap/>
        <w:overflowPunct/>
        <w:topLinePunct w:val="0"/>
        <w:autoSpaceDE/>
        <w:autoSpaceDN/>
        <w:bidi w:val="0"/>
        <w:adjustRightInd/>
        <w:snapToGrid/>
        <w:spacing w:line="480" w:lineRule="exact"/>
        <w:ind w:left="105" w:firstLine="526"/>
        <w:textAlignment w:val="auto"/>
        <w:rPr>
          <w:rFonts w:ascii="宋体" w:hAnsi="宋体"/>
          <w:b/>
          <w:bCs/>
          <w:color w:val="auto"/>
          <w:spacing w:val="11"/>
          <w:sz w:val="21"/>
          <w:szCs w:val="21"/>
        </w:rPr>
      </w:pPr>
      <w:r>
        <w:rPr>
          <w:rFonts w:ascii="宋体" w:hAnsi="宋体"/>
          <w:b/>
          <w:bCs/>
          <w:color w:val="auto"/>
          <w:spacing w:val="11"/>
          <w:sz w:val="21"/>
          <w:szCs w:val="21"/>
        </w:rPr>
        <w:t>3.3.3考核（验收）标准和方法</w:t>
      </w:r>
    </w:p>
    <w:p w14:paraId="524460CB">
      <w:pPr>
        <w:pStyle w:val="11"/>
        <w:keepNext w:val="0"/>
        <w:keepLines w:val="0"/>
        <w:pageBreakBefore w:val="0"/>
        <w:kinsoku/>
        <w:wordWrap/>
        <w:overflowPunct/>
        <w:topLinePunct w:val="0"/>
        <w:autoSpaceDE/>
        <w:autoSpaceDN/>
        <w:bidi w:val="0"/>
        <w:adjustRightInd/>
        <w:snapToGrid/>
        <w:spacing w:line="480" w:lineRule="exact"/>
        <w:ind w:firstLine="630" w:firstLineChars="300"/>
        <w:textAlignment w:val="auto"/>
        <w:rPr>
          <w:color w:val="auto"/>
          <w:sz w:val="21"/>
          <w:szCs w:val="21"/>
        </w:rPr>
      </w:pPr>
      <w:r>
        <w:rPr>
          <w:rFonts w:hint="eastAsia" w:ascii="宋体" w:hAnsi="宋体"/>
          <w:color w:val="auto"/>
          <w:sz w:val="21"/>
          <w:szCs w:val="21"/>
        </w:rPr>
        <w:t>采购包1：</w:t>
      </w:r>
      <w:bookmarkStart w:id="5" w:name="OLE_LINK27"/>
      <w:bookmarkStart w:id="6" w:name="OLE_LINK37"/>
      <w:r>
        <w:rPr>
          <w:rFonts w:hint="eastAsia" w:asciiTheme="minorEastAsia" w:hAnsiTheme="minorEastAsia" w:eastAsiaTheme="minorEastAsia" w:cstheme="minorEastAsia"/>
          <w:color w:val="auto"/>
          <w:sz w:val="21"/>
          <w:szCs w:val="21"/>
        </w:rPr>
        <w:t>由采购人进行验收填写验收单。其内容包括是否按照采购人要求进行服务、是否在规定时间内服务完毕</w:t>
      </w:r>
      <w:r>
        <w:rPr>
          <w:rFonts w:hint="eastAsia"/>
          <w:color w:val="auto"/>
          <w:sz w:val="21"/>
          <w:szCs w:val="21"/>
          <w:lang w:eastAsia="zh-CN"/>
        </w:rPr>
        <w:t>，活动结束后</w:t>
      </w:r>
      <w:r>
        <w:rPr>
          <w:rFonts w:hint="eastAsia"/>
          <w:color w:val="auto"/>
          <w:sz w:val="21"/>
          <w:szCs w:val="21"/>
          <w:lang w:eastAsia="zh-CN"/>
        </w:rPr>
        <w:t>每团填写</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团队意见单，团队出行结束后一周内要对支部负责人进行满意度调查回访</w:t>
      </w:r>
      <w:r>
        <w:rPr>
          <w:rFonts w:hint="eastAsia" w:asciiTheme="minorEastAsia" w:hAnsiTheme="minorEastAsia" w:cstheme="minorEastAsia"/>
          <w:i w:val="0"/>
          <w:iCs w:val="0"/>
          <w:color w:val="auto"/>
          <w:kern w:val="0"/>
          <w:sz w:val="21"/>
          <w:szCs w:val="21"/>
          <w:highlight w:val="none"/>
          <w:u w:val="none"/>
          <w:lang w:val="en-US" w:eastAsia="zh-CN" w:bidi="ar"/>
        </w:rPr>
        <w:t>。</w:t>
      </w:r>
      <w:bookmarkEnd w:id="5"/>
    </w:p>
    <w:bookmarkEnd w:id="6"/>
    <w:p w14:paraId="43EC56FA">
      <w:pPr>
        <w:keepNext w:val="0"/>
        <w:keepLines w:val="0"/>
        <w:pageBreakBefore w:val="0"/>
        <w:kinsoku/>
        <w:wordWrap/>
        <w:overflowPunct/>
        <w:topLinePunct w:val="0"/>
        <w:autoSpaceDE/>
        <w:autoSpaceDN/>
        <w:bidi w:val="0"/>
        <w:adjustRightInd/>
        <w:snapToGrid/>
        <w:spacing w:line="480" w:lineRule="exact"/>
        <w:ind w:left="105" w:firstLine="526"/>
        <w:textAlignment w:val="auto"/>
        <w:rPr>
          <w:rFonts w:ascii="宋体" w:hAnsi="宋体"/>
          <w:b/>
          <w:bCs/>
          <w:color w:val="auto"/>
          <w:spacing w:val="11"/>
          <w:sz w:val="21"/>
          <w:szCs w:val="21"/>
        </w:rPr>
      </w:pPr>
      <w:r>
        <w:rPr>
          <w:rFonts w:ascii="宋体" w:hAnsi="宋体"/>
          <w:b/>
          <w:bCs/>
          <w:color w:val="auto"/>
          <w:spacing w:val="11"/>
          <w:sz w:val="21"/>
          <w:szCs w:val="21"/>
        </w:rPr>
        <w:t>3.3.4支付方式</w:t>
      </w:r>
    </w:p>
    <w:p w14:paraId="332B673C">
      <w:pPr>
        <w:keepNext w:val="0"/>
        <w:keepLines w:val="0"/>
        <w:pageBreakBefore w:val="0"/>
        <w:kinsoku/>
        <w:wordWrap/>
        <w:overflowPunct/>
        <w:topLinePunct w:val="0"/>
        <w:autoSpaceDE/>
        <w:autoSpaceDN/>
        <w:bidi w:val="0"/>
        <w:adjustRightInd/>
        <w:snapToGrid/>
        <w:spacing w:line="480" w:lineRule="exact"/>
        <w:ind w:firstLine="630" w:firstLineChars="300"/>
        <w:textAlignment w:val="auto"/>
        <w:rPr>
          <w:color w:val="auto"/>
          <w:szCs w:val="21"/>
        </w:rPr>
      </w:pPr>
      <w:r>
        <w:rPr>
          <w:rFonts w:hint="eastAsia" w:ascii="宋体" w:hAnsi="宋体"/>
          <w:color w:val="auto"/>
          <w:szCs w:val="21"/>
        </w:rPr>
        <w:t>采购包1：</w:t>
      </w:r>
      <w:r>
        <w:rPr>
          <w:rFonts w:hint="eastAsia"/>
          <w:color w:val="auto"/>
          <w:szCs w:val="21"/>
          <w:lang w:eastAsia="zh-CN"/>
        </w:rPr>
        <w:t>全额支付</w:t>
      </w:r>
      <w:r>
        <w:rPr>
          <w:color w:val="auto"/>
          <w:szCs w:val="21"/>
        </w:rPr>
        <w:t>。</w:t>
      </w:r>
    </w:p>
    <w:p w14:paraId="031C2BD9">
      <w:pPr>
        <w:keepNext w:val="0"/>
        <w:keepLines w:val="0"/>
        <w:pageBreakBefore w:val="0"/>
        <w:kinsoku/>
        <w:wordWrap/>
        <w:overflowPunct/>
        <w:topLinePunct w:val="0"/>
        <w:autoSpaceDE/>
        <w:autoSpaceDN/>
        <w:bidi w:val="0"/>
        <w:adjustRightInd/>
        <w:snapToGrid/>
        <w:spacing w:line="480" w:lineRule="exact"/>
        <w:ind w:left="105" w:firstLine="526"/>
        <w:textAlignment w:val="auto"/>
        <w:rPr>
          <w:rFonts w:ascii="宋体" w:hAnsi="宋体"/>
          <w:b/>
          <w:bCs/>
          <w:color w:val="auto"/>
          <w:spacing w:val="11"/>
          <w:sz w:val="21"/>
          <w:szCs w:val="21"/>
        </w:rPr>
      </w:pPr>
      <w:r>
        <w:rPr>
          <w:rFonts w:ascii="宋体" w:hAnsi="宋体"/>
          <w:b/>
          <w:bCs/>
          <w:color w:val="auto"/>
          <w:spacing w:val="11"/>
          <w:sz w:val="21"/>
          <w:szCs w:val="21"/>
        </w:rPr>
        <w:t>3.3.5支付约定</w:t>
      </w:r>
    </w:p>
    <w:p w14:paraId="5366DD13">
      <w:pPr>
        <w:keepNext w:val="0"/>
        <w:keepLines w:val="0"/>
        <w:pageBreakBefore w:val="0"/>
        <w:widowControl w:val="0"/>
        <w:kinsoku/>
        <w:wordWrap/>
        <w:overflowPunct/>
        <w:topLinePunct w:val="0"/>
        <w:autoSpaceDE/>
        <w:autoSpaceDN/>
        <w:bidi w:val="0"/>
        <w:adjustRightInd/>
        <w:snapToGrid/>
        <w:spacing w:line="480" w:lineRule="exact"/>
        <w:ind w:left="11" w:right="-198" w:firstLine="630" w:firstLineChars="300"/>
        <w:textAlignment w:val="auto"/>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采购包1</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rPr>
        <w:t xml:space="preserve">付款条件说明： 按照批次据实结算，实际结算金额=活动人数x中标成交单价(按具体线路)，成交单价在服务期限内不可改变。每批次活动结束后，达到付款条件起 10 日内，支付每批次活动总金额的100%（以此为准） ，达到付款条件起 10 日内，支付合同总金额的 100.00%。 </w:t>
      </w:r>
    </w:p>
    <w:p w14:paraId="4E9CD73F">
      <w:pPr>
        <w:keepNext w:val="0"/>
        <w:keepLines w:val="0"/>
        <w:pageBreakBefore w:val="0"/>
        <w:kinsoku/>
        <w:wordWrap/>
        <w:overflowPunct/>
        <w:topLinePunct w:val="0"/>
        <w:autoSpaceDE/>
        <w:autoSpaceDN/>
        <w:bidi w:val="0"/>
        <w:adjustRightInd/>
        <w:snapToGrid/>
        <w:spacing w:line="480" w:lineRule="exact"/>
        <w:ind w:left="105" w:firstLine="526"/>
        <w:textAlignment w:val="auto"/>
        <w:rPr>
          <w:rFonts w:ascii="宋体" w:hAnsi="宋体"/>
          <w:b/>
          <w:bCs/>
          <w:color w:val="auto"/>
          <w:spacing w:val="11"/>
          <w:sz w:val="21"/>
          <w:szCs w:val="21"/>
        </w:rPr>
      </w:pPr>
      <w:r>
        <w:rPr>
          <w:rFonts w:ascii="宋体" w:hAnsi="宋体"/>
          <w:b/>
          <w:bCs/>
          <w:color w:val="auto"/>
          <w:spacing w:val="11"/>
          <w:sz w:val="21"/>
          <w:szCs w:val="21"/>
        </w:rPr>
        <w:t>3.3.6违约责任及解决争议的方法</w:t>
      </w:r>
    </w:p>
    <w:p w14:paraId="5471C7B9">
      <w:pPr>
        <w:pStyle w:val="11"/>
        <w:keepNext w:val="0"/>
        <w:keepLines w:val="0"/>
        <w:pageBreakBefore w:val="0"/>
        <w:kinsoku/>
        <w:wordWrap/>
        <w:overflowPunct/>
        <w:topLinePunct w:val="0"/>
        <w:autoSpaceDE/>
        <w:autoSpaceDN/>
        <w:bidi w:val="0"/>
        <w:adjustRightInd/>
        <w:snapToGrid/>
        <w:spacing w:line="480" w:lineRule="exact"/>
        <w:ind w:firstLine="630" w:firstLineChars="300"/>
        <w:textAlignment w:val="auto"/>
        <w:rPr>
          <w:rFonts w:ascii="宋体" w:hAnsi="宋体" w:cs="宋体"/>
          <w:color w:val="auto"/>
          <w:szCs w:val="21"/>
        </w:rPr>
      </w:pPr>
      <w:r>
        <w:rPr>
          <w:rFonts w:hint="eastAsia" w:ascii="宋体" w:hAnsi="宋体"/>
          <w:color w:val="auto"/>
          <w:sz w:val="21"/>
          <w:szCs w:val="21"/>
        </w:rPr>
        <w:t>采购包1：</w:t>
      </w:r>
      <w:bookmarkStart w:id="7" w:name="OLE_LINK38"/>
      <w:bookmarkStart w:id="8" w:name="OLE_LINK28"/>
      <w:r>
        <w:rPr>
          <w:rFonts w:hint="eastAsia" w:asciiTheme="minorEastAsia" w:hAnsiTheme="minorEastAsia" w:eastAsiaTheme="minorEastAsia" w:cstheme="minorEastAsia"/>
          <w:color w:val="auto"/>
          <w:sz w:val="21"/>
          <w:szCs w:val="21"/>
        </w:rPr>
        <w:t>1.按《中华人民共和国政府采购法》、《中华人民共和国民法典》中的相关条款执行。 2.未按合同或磋商文件要求提供服务或服务质量不能满足采购人技术要求，采购人有权终止合同，甚至对供应商违约行为进行追究。 3.供应商的响应文件为签订正式书面合同书不可分割的部分，供应商应履行相应的责任。</w:t>
      </w:r>
      <w:bookmarkEnd w:id="7"/>
    </w:p>
    <w:bookmarkEnd w:id="8"/>
    <w:p w14:paraId="5000C826">
      <w:pPr>
        <w:pStyle w:val="6"/>
        <w:keepNext w:val="0"/>
        <w:keepLines w:val="0"/>
        <w:pageBreakBefore w:val="0"/>
        <w:kinsoku/>
        <w:wordWrap/>
        <w:overflowPunct/>
        <w:topLinePunct w:val="0"/>
        <w:autoSpaceDE/>
        <w:autoSpaceDN/>
        <w:bidi w:val="0"/>
        <w:adjustRightInd/>
        <w:snapToGrid/>
        <w:spacing w:after="0" w:line="480" w:lineRule="exact"/>
        <w:ind w:firstLine="0" w:firstLineChars="0"/>
        <w:textAlignment w:val="auto"/>
        <w:rPr>
          <w:rFonts w:ascii="宋体" w:hAnsi="宋体"/>
          <w:b/>
          <w:color w:val="auto"/>
          <w:sz w:val="21"/>
          <w:szCs w:val="21"/>
        </w:rPr>
      </w:pPr>
      <w:r>
        <w:rPr>
          <w:rFonts w:ascii="宋体" w:hAnsi="宋体"/>
          <w:b/>
          <w:color w:val="auto"/>
          <w:sz w:val="21"/>
          <w:szCs w:val="21"/>
        </w:rPr>
        <w:t>3.</w:t>
      </w:r>
      <w:r>
        <w:rPr>
          <w:rFonts w:hint="eastAsia" w:ascii="宋体" w:hAnsi="宋体"/>
          <w:b/>
          <w:color w:val="auto"/>
          <w:sz w:val="21"/>
          <w:szCs w:val="21"/>
        </w:rPr>
        <w:t>4</w:t>
      </w:r>
      <w:r>
        <w:rPr>
          <w:rFonts w:ascii="宋体" w:hAnsi="宋体"/>
          <w:b/>
          <w:color w:val="auto"/>
          <w:sz w:val="21"/>
          <w:szCs w:val="21"/>
        </w:rPr>
        <w:t>其他要求</w:t>
      </w:r>
    </w:p>
    <w:p w14:paraId="5C9A2BB4">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rPr>
        <w:t>一、供应商的磋商报价是供应商响应磋商项目要求的全部工作内容的价格体现，包括供应商完成本项目所需的直接费、间接费、利润、税金及其它相关的一切费用；包括但不限于：人工费</w:t>
      </w:r>
      <w:r>
        <w:rPr>
          <w:rFonts w:hint="eastAsia" w:ascii="宋体" w:hAnsi="宋体" w:cs="宋体"/>
          <w:color w:val="auto"/>
          <w:szCs w:val="21"/>
          <w:highlight w:val="none"/>
          <w:u w:val="none"/>
          <w:lang w:eastAsia="zh-CN"/>
        </w:rPr>
        <w:t>、交通费、餐费、门票、景区交通</w:t>
      </w:r>
      <w:r>
        <w:rPr>
          <w:rFonts w:hint="eastAsia" w:ascii="宋体" w:hAnsi="宋体" w:cs="宋体"/>
          <w:color w:val="auto"/>
          <w:szCs w:val="21"/>
          <w:highlight w:val="none"/>
          <w:u w:val="none"/>
        </w:rPr>
        <w:t>费、保险费、风险费用、采购代理服务费、利润和税金等全部费用；在提供服务的过程中的任何遗漏，均由成交供应商免费提供，采购人将不再支付任何费用。</w:t>
      </w:r>
      <w:r>
        <w:rPr>
          <w:rFonts w:hint="eastAsia" w:ascii="宋体" w:hAnsi="宋体" w:cs="宋体"/>
          <w:color w:val="auto"/>
          <w:szCs w:val="21"/>
          <w:highlight w:val="none"/>
          <w:u w:val="none"/>
          <w:lang w:eastAsia="zh-CN"/>
        </w:rPr>
        <w:t>本项目所报的磋商报价为</w:t>
      </w:r>
      <w:r>
        <w:rPr>
          <w:rFonts w:hint="eastAsia" w:ascii="宋体" w:hAnsi="宋体" w:cs="宋体"/>
          <w:color w:val="auto"/>
          <w:szCs w:val="21"/>
          <w:highlight w:val="none"/>
          <w:u w:val="none"/>
          <w:lang w:val="en-US" w:eastAsia="zh-CN"/>
        </w:rPr>
        <w:t>11条线路的单价合计。</w:t>
      </w:r>
    </w:p>
    <w:p w14:paraId="53477554">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二、磋商有效期</w:t>
      </w:r>
    </w:p>
    <w:p w14:paraId="69B460A6">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1.出现特殊情况需要延长磋商有效期的，采购代理机构或采购人可于磋商有效期满之前，以书面形式通知所有供应商延长磋商有效期。</w:t>
      </w:r>
    </w:p>
    <w:p w14:paraId="53308365">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2.在磋商有效期内，供应商撤销响应文件的，应承担磋商文件和法律规定的责任。</w:t>
      </w:r>
    </w:p>
    <w:p w14:paraId="0710352D">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3.成交供应商的磋商有效期自动延长至合同终止为止。</w:t>
      </w:r>
    </w:p>
    <w:p w14:paraId="79EBC416">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三、合格供应商少于3家的处理</w:t>
      </w:r>
    </w:p>
    <w:p w14:paraId="5000F7DB">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1.若出现合格供应商少于3家时，采购人应依法重新组织采购活动。</w:t>
      </w:r>
    </w:p>
    <w:p w14:paraId="406A2C34">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w:t>
      </w:r>
    </w:p>
    <w:p w14:paraId="240FA1C8">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五、恶意质疑、投诉的法律后果</w:t>
      </w:r>
    </w:p>
    <w:p w14:paraId="7DF4D72F">
      <w:pPr>
        <w:keepNext w:val="0"/>
        <w:keepLines w:val="0"/>
        <w:pageBreakBefore w:val="0"/>
        <w:kinsoku/>
        <w:wordWrap/>
        <w:overflowPunct/>
        <w:topLinePunct w:val="0"/>
        <w:autoSpaceDE/>
        <w:autoSpaceDN/>
        <w:bidi w:val="0"/>
        <w:adjustRightInd/>
        <w:snapToGrid/>
        <w:spacing w:line="480" w:lineRule="exact"/>
        <w:ind w:left="384"/>
        <w:textAlignment w:val="auto"/>
        <w:rPr>
          <w:rFonts w:ascii="宋体" w:hAnsi="宋体" w:cs="宋体"/>
          <w:color w:val="auto"/>
          <w:szCs w:val="21"/>
          <w:highlight w:val="none"/>
          <w:u w:val="none"/>
        </w:rPr>
      </w:pPr>
      <w:r>
        <w:rPr>
          <w:rFonts w:hint="eastAsia" w:ascii="宋体" w:hAnsi="宋体" w:cs="宋体"/>
          <w:color w:val="auto"/>
          <w:szCs w:val="21"/>
          <w:highlight w:val="none"/>
          <w:u w:val="none"/>
        </w:rPr>
        <w:t>对捏造事实诬告陷害他人、诽谤他人的法律适用：</w:t>
      </w:r>
    </w:p>
    <w:p w14:paraId="3C466A78">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（1）《中华人民共和国刑法》第243条【诬告陷害罪】捏造事实诬告陷害他人，意图使他人受刑事追究，情节严重的，处三年以下有期徒刑、拘役或者管制；造成严重后果的，处三年以上十年以下有期徒刑。</w:t>
      </w:r>
    </w:p>
    <w:p w14:paraId="645D2A81">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（2）《中华人民共和国刑法》第246条【侮辱罪、诽谤罪】以暴力或者其他方法公然侮辱他人或者捏造事实诽谤他人，情节严重的，处三年以下有期徒刑、拘役、管制或者剥夺政治权利。</w:t>
      </w:r>
      <w:bookmarkStart w:id="9" w:name="_GoBack"/>
      <w:bookmarkEnd w:id="9"/>
    </w:p>
    <w:p w14:paraId="0B832B17">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color w:val="auto"/>
        </w:rPr>
      </w:pPr>
      <w:r>
        <w:rPr>
          <w:rFonts w:hint="eastAsia" w:asciiTheme="minorEastAsia" w:hAnsiTheme="minorEastAsia" w:eastAsiaTheme="minorEastAsia" w:cstheme="minorEastAsia"/>
          <w:color w:val="auto"/>
          <w:sz w:val="21"/>
          <w:szCs w:val="21"/>
          <w:highlight w:val="none"/>
          <w:lang w:eastAsia="zh-CN"/>
        </w:rPr>
        <w:t>六、参与本项目采购的供应商应通过陕西省政府采购综合管理平台的项目电子化交易系统在线实施响应、磋商、报价等操作，磋商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单元2层10201室招标一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D651A"/>
    <w:rsid w:val="324D651A"/>
    <w:rsid w:val="37C5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spacing w:before="156" w:beforeLines="50" w:line="480" w:lineRule="auto"/>
      <w:ind w:firstLine="419" w:firstLineChars="149"/>
      <w:jc w:val="left"/>
    </w:pPr>
  </w:style>
  <w:style w:type="paragraph" w:styleId="3">
    <w:name w:val="toc 4"/>
    <w:basedOn w:val="1"/>
    <w:next w:val="1"/>
    <w:unhideWhenUsed/>
    <w:qFormat/>
    <w:uiPriority w:val="39"/>
    <w:pPr>
      <w:ind w:left="1260" w:leftChars="600"/>
    </w:pPr>
  </w:style>
  <w:style w:type="paragraph" w:styleId="4">
    <w:name w:val="annotation text"/>
    <w:basedOn w:val="1"/>
    <w:semiHidden/>
    <w:unhideWhenUsed/>
    <w:qFormat/>
    <w:uiPriority w:val="99"/>
    <w:pPr>
      <w:jc w:val="left"/>
    </w:pPr>
  </w:style>
  <w:style w:type="paragraph" w:styleId="5">
    <w:name w:val="Body Text"/>
    <w:basedOn w:val="1"/>
    <w:next w:val="1"/>
    <w:unhideWhenUsed/>
    <w:qFormat/>
    <w:uiPriority w:val="99"/>
    <w:pPr>
      <w:spacing w:after="120"/>
    </w:pPr>
  </w:style>
  <w:style w:type="paragraph" w:styleId="6">
    <w:name w:val="Body Text First Indent"/>
    <w:basedOn w:val="5"/>
    <w:unhideWhenUsed/>
    <w:qFormat/>
    <w:uiPriority w:val="99"/>
    <w:pPr>
      <w:ind w:firstLine="420" w:firstLineChars="1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首行缩进:  2 字符"/>
    <w:basedOn w:val="1"/>
    <w:qFormat/>
    <w:uiPriority w:val="0"/>
    <w:pPr>
      <w:spacing w:line="336" w:lineRule="auto"/>
      <w:ind w:firstLine="420" w:firstLineChars="200"/>
    </w:pPr>
    <w:rPr>
      <w:rFonts w:cs="宋体"/>
      <w:bCs/>
      <w:color w:val="FF0000"/>
      <w:szCs w:val="21"/>
    </w:r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2025-05-28T09:50:00Z</dcterms:created>
  <dc:creator>代理公司</dc:creator>
  <cp:lastModifiedBy>代理公司</cp:lastModifiedBy>
  <dcterms:modified xsi:type="dcterms:W3CDTF">2025-05-28T09:53:37Z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BA619BB6A7C4461DA61D4145F836EDEE_11</vt:lpwstr>
  </property>
  <property fmtid="{D5CDD505-2E9C-101B-9397-08002B2CF9AE}" pid="4" name="KSOTemplateDocerSaveRecord">
    <vt:lpwstr>eyJoZGlkIjoiNTU4MTg4NzM5MmMxMzE3OTU5ZTE4YzVhNTk4NDcwY2UiLCJ1c2VySWQiOiIyMjY0NTY0NzgifQ==</vt:lpwstr>
  </property>
</Properties>
</file>