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C9F5E">
      <w:pPr>
        <w:spacing w:line="360" w:lineRule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一、技术、服务标准和要求：</w:t>
      </w:r>
    </w:p>
    <w:p w14:paraId="636DCDD0">
      <w:pPr>
        <w:spacing w:line="360" w:lineRule="auto"/>
        <w:ind w:firstLine="560" w:firstLineChars="200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次改造主要包括三部分内容：一是在凤渭路与秦汉大道、白庙村等两处平面交叉口增设交通信号灯及三火灯；二是秦王一桥护栏擦洗翻新及增设机非分隔护栏，秦王一桥全长2.3公里，放置2道机非分隔护栏，共计约4.8公里；三是对局部区域提升改造，总改造面积约44537平方米，其中增加绿化种植面积约43006平方米，硬化面积约1531平方米。</w:t>
      </w:r>
    </w:p>
    <w:p w14:paraId="710968FA">
      <w:pPr>
        <w:spacing w:line="360" w:lineRule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针对本项目的施工，必须达到国家及行业现行技术规范标准，符合国家及行业验收合格标准：</w:t>
      </w:r>
    </w:p>
    <w:p w14:paraId="2019D4AC">
      <w:pPr>
        <w:spacing w:line="360" w:lineRule="auto"/>
        <w:ind w:firstLine="560" w:firstLineChars="200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工程质量符合国家现行有关施工质量验收规范要求“合格”标准</w:t>
      </w:r>
    </w:p>
    <w:p w14:paraId="4E713E5E">
      <w:pPr>
        <w:spacing w:line="360" w:lineRule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三、针对本项目的其他技术服务要求：</w:t>
      </w:r>
    </w:p>
    <w:p w14:paraId="4DD85AAB">
      <w:pPr>
        <w:ind w:firstLine="560" w:firstLineChars="200"/>
        <w:outlineLvl w:val="1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详见初步设计图纸</w:t>
      </w:r>
    </w:p>
    <w:p w14:paraId="43D8BE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2025-05-28T10:15:52Z</dcterms:created>
  <dc:creator>Administrator</dc:creator>
  <cp:lastModifiedBy>解攀飞</cp:lastModifiedBy>
  <dcterms:modified xsi:type="dcterms:W3CDTF">2025-05-28T10:17:19Z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eyJoZGlkIjoiMmUyZjIyZDBjZWJiYWE0YjE2YzFiNWRlZTZkNjkwNTYiLCJ1c2VySWQiOiIzMzQ5MzQyODAifQ==</vt:lpwstr>
  </property>
  <property fmtid="{D5CDD505-2E9C-101B-9397-08002B2CF9AE}" pid="4" name="ICV">
    <vt:lpwstr>37D92873C3894E2EA656AFD83096C9AB_12</vt:lpwstr>
  </property>
</Properties>
</file>