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E6401">
      <w:pPr>
        <w:spacing w:line="520" w:lineRule="exact"/>
        <w:rPr>
          <w:rFonts w:hint="default" w:ascii="仿宋" w:hAnsi="仿宋" w:eastAsia="仿宋" w:cs="仿宋"/>
          <w:sz w:val="28"/>
          <w:szCs w:val="28"/>
          <w:lang w:val="en-US" w:eastAsia="zh-CN"/>
        </w:rPr>
      </w:pPr>
      <w:bookmarkStart w:id="0" w:name="_Toc682"/>
      <w:r>
        <w:rPr>
          <w:rFonts w:hint="eastAsia" w:ascii="仿宋" w:hAnsi="仿宋" w:cs="仿宋"/>
          <w:b/>
          <w:bCs/>
          <w:sz w:val="28"/>
          <w:szCs w:val="28"/>
        </w:rPr>
        <w:t>采购项目编号：</w:t>
      </w:r>
      <w:r>
        <w:rPr>
          <w:rFonts w:hint="eastAsia" w:ascii="仿宋" w:hAnsi="仿宋" w:cs="仿宋"/>
          <w:sz w:val="28"/>
          <w:szCs w:val="28"/>
          <w:lang w:val="en-US" w:eastAsia="zh-CN"/>
        </w:rPr>
        <w:t>TZ</w:t>
      </w:r>
      <w:r>
        <w:rPr>
          <w:rFonts w:hint="eastAsia" w:ascii="仿宋" w:hAnsi="仿宋" w:cs="仿宋"/>
          <w:sz w:val="28"/>
          <w:szCs w:val="28"/>
        </w:rPr>
        <w:t>CS-202</w:t>
      </w:r>
      <w:r>
        <w:rPr>
          <w:rFonts w:hint="eastAsia" w:ascii="仿宋" w:hAnsi="仿宋" w:cs="仿宋"/>
          <w:sz w:val="28"/>
          <w:szCs w:val="28"/>
          <w:lang w:val="en-US" w:eastAsia="zh-CN"/>
        </w:rPr>
        <w:t>5</w:t>
      </w:r>
      <w:r>
        <w:rPr>
          <w:rFonts w:hint="eastAsia" w:ascii="仿宋" w:hAnsi="仿宋" w:cs="仿宋"/>
          <w:sz w:val="28"/>
          <w:szCs w:val="28"/>
        </w:rPr>
        <w:t>-0</w:t>
      </w:r>
      <w:r>
        <w:rPr>
          <w:rFonts w:hint="eastAsia" w:ascii="仿宋" w:hAnsi="仿宋" w:cs="仿宋"/>
          <w:sz w:val="28"/>
          <w:szCs w:val="28"/>
          <w:lang w:val="en-US" w:eastAsia="zh-CN"/>
        </w:rPr>
        <w:t>20</w:t>
      </w:r>
    </w:p>
    <w:p w14:paraId="1CC04046">
      <w:pPr>
        <w:pStyle w:val="4"/>
        <w:rPr>
          <w:sz w:val="24"/>
          <w:szCs w:val="24"/>
        </w:rPr>
      </w:pPr>
    </w:p>
    <w:p w14:paraId="35D72737">
      <w:pPr>
        <w:jc w:val="center"/>
        <w:rPr>
          <w:b w:val="0"/>
          <w:bCs w:val="0"/>
          <w:sz w:val="24"/>
          <w:szCs w:val="24"/>
        </w:rPr>
      </w:pPr>
    </w:p>
    <w:p w14:paraId="66AE9EAB">
      <w:pPr>
        <w:jc w:val="center"/>
        <w:rPr>
          <w:rFonts w:hint="eastAsia" w:ascii="仿宋" w:hAnsi="仿宋" w:eastAsia="仿宋" w:cs="仿宋"/>
          <w:b/>
          <w:bCs/>
          <w:sz w:val="24"/>
          <w:szCs w:val="24"/>
          <w:lang w:val="en-US" w:eastAsia="zh-CN"/>
        </w:rPr>
      </w:pPr>
    </w:p>
    <w:p w14:paraId="23C20E37">
      <w:pPr>
        <w:jc w:val="center"/>
        <w:rPr>
          <w:rFonts w:hint="eastAsia" w:ascii="仿宋" w:hAnsi="仿宋" w:eastAsia="仿宋" w:cs="仿宋"/>
          <w:b/>
          <w:bCs/>
          <w:sz w:val="24"/>
          <w:szCs w:val="24"/>
          <w:lang w:val="en-US" w:eastAsia="zh-CN"/>
        </w:rPr>
      </w:pPr>
    </w:p>
    <w:p w14:paraId="07F92B2A">
      <w:pPr>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“一中心五区域”敬老院房屋安全性鉴定及房屋检测服务项目</w:t>
      </w:r>
      <w:r>
        <w:rPr>
          <w:rFonts w:hint="eastAsia" w:ascii="仿宋" w:hAnsi="仿宋" w:eastAsia="仿宋" w:cs="仿宋"/>
          <w:b/>
          <w:bCs/>
          <w:sz w:val="40"/>
          <w:szCs w:val="40"/>
        </w:rPr>
        <w:t>竞争性磋商文件</w:t>
      </w:r>
    </w:p>
    <w:p w14:paraId="2997AAFF">
      <w:pPr>
        <w:jc w:val="center"/>
        <w:rPr>
          <w:rFonts w:ascii="仿宋" w:hAnsi="仿宋" w:cs="仿宋"/>
          <w:b/>
          <w:bCs/>
          <w:sz w:val="24"/>
          <w:szCs w:val="24"/>
        </w:rPr>
      </w:pPr>
    </w:p>
    <w:p w14:paraId="586E8D72">
      <w:pPr>
        <w:jc w:val="center"/>
        <w:rPr>
          <w:rFonts w:ascii="仿宋" w:hAnsi="仿宋" w:cs="仿宋"/>
          <w:b/>
          <w:bCs/>
          <w:sz w:val="24"/>
          <w:szCs w:val="24"/>
        </w:rPr>
      </w:pPr>
    </w:p>
    <w:p w14:paraId="549DCC40">
      <w:pPr>
        <w:jc w:val="center"/>
        <w:rPr>
          <w:rFonts w:ascii="仿宋" w:hAnsi="仿宋" w:cs="仿宋"/>
          <w:b/>
          <w:bCs/>
          <w:sz w:val="24"/>
          <w:szCs w:val="24"/>
        </w:rPr>
      </w:pPr>
    </w:p>
    <w:p w14:paraId="77DAAD80">
      <w:pPr>
        <w:jc w:val="center"/>
        <w:rPr>
          <w:rFonts w:ascii="仿宋" w:hAnsi="仿宋" w:cs="仿宋"/>
          <w:sz w:val="24"/>
          <w:szCs w:val="24"/>
        </w:rPr>
      </w:pPr>
      <w:r>
        <w:rPr>
          <w:rFonts w:hint="eastAsia" w:ascii="仿宋" w:hAnsi="仿宋" w:eastAsia="仿宋" w:cs="仿宋"/>
          <w:sz w:val="24"/>
          <w:szCs w:val="24"/>
        </w:rPr>
        <w:drawing>
          <wp:anchor distT="0" distB="0" distL="114300" distR="114300" simplePos="0" relativeHeight="251661312" behindDoc="0" locked="0" layoutInCell="1" allowOverlap="1">
            <wp:simplePos x="0" y="0"/>
            <wp:positionH relativeFrom="column">
              <wp:posOffset>1654175</wp:posOffset>
            </wp:positionH>
            <wp:positionV relativeFrom="paragraph">
              <wp:posOffset>81915</wp:posOffset>
            </wp:positionV>
            <wp:extent cx="2321560" cy="2018030"/>
            <wp:effectExtent l="0" t="0" r="2540" b="1270"/>
            <wp:wrapSquare wrapText="bothSides"/>
            <wp:docPr id="1" name="图片 1" descr="说明: 1612406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1612406220(1)"/>
                    <pic:cNvPicPr>
                      <a:picLocks noChangeAspect="1"/>
                    </pic:cNvPicPr>
                  </pic:nvPicPr>
                  <pic:blipFill>
                    <a:blip r:embed="rId11"/>
                    <a:srcRect l="31851" t="6070" r="28838" b="69025"/>
                    <a:stretch>
                      <a:fillRect/>
                    </a:stretch>
                  </pic:blipFill>
                  <pic:spPr>
                    <a:xfrm>
                      <a:off x="0" y="0"/>
                      <a:ext cx="2321560" cy="2018030"/>
                    </a:xfrm>
                    <a:prstGeom prst="rect">
                      <a:avLst/>
                    </a:prstGeom>
                    <a:noFill/>
                    <a:ln>
                      <a:noFill/>
                    </a:ln>
                  </pic:spPr>
                </pic:pic>
              </a:graphicData>
            </a:graphic>
          </wp:anchor>
        </w:drawing>
      </w:r>
    </w:p>
    <w:p w14:paraId="575701E2">
      <w:pPr>
        <w:rPr>
          <w:rFonts w:ascii="仿宋" w:hAnsi="仿宋" w:cs="仿宋"/>
          <w:sz w:val="24"/>
          <w:szCs w:val="24"/>
        </w:rPr>
      </w:pPr>
    </w:p>
    <w:p w14:paraId="2B6B94ED">
      <w:pPr>
        <w:rPr>
          <w:rFonts w:ascii="仿宋" w:hAnsi="仿宋" w:cs="仿宋"/>
          <w:sz w:val="24"/>
          <w:szCs w:val="24"/>
        </w:rPr>
      </w:pPr>
    </w:p>
    <w:p w14:paraId="58F38C84">
      <w:pPr>
        <w:rPr>
          <w:rFonts w:ascii="仿宋" w:hAnsi="仿宋" w:cs="仿宋"/>
          <w:sz w:val="24"/>
          <w:szCs w:val="24"/>
        </w:rPr>
      </w:pPr>
    </w:p>
    <w:p w14:paraId="23A2058C">
      <w:pPr>
        <w:rPr>
          <w:rFonts w:ascii="仿宋" w:hAnsi="仿宋" w:cs="仿宋"/>
          <w:sz w:val="24"/>
          <w:szCs w:val="24"/>
        </w:rPr>
      </w:pPr>
    </w:p>
    <w:p w14:paraId="45F06D3B">
      <w:pPr>
        <w:ind w:firstLine="689" w:firstLineChars="286"/>
        <w:rPr>
          <w:rFonts w:ascii="宋体" w:hAnsi="宋体"/>
          <w:b/>
          <w:color w:val="000000"/>
          <w:sz w:val="24"/>
          <w:szCs w:val="24"/>
        </w:rPr>
      </w:pPr>
    </w:p>
    <w:p w14:paraId="6481AEFF">
      <w:pPr>
        <w:ind w:firstLine="689" w:firstLineChars="286"/>
        <w:rPr>
          <w:rFonts w:ascii="宋体" w:hAnsi="宋体"/>
          <w:b/>
          <w:color w:val="000000"/>
          <w:sz w:val="24"/>
          <w:szCs w:val="24"/>
        </w:rPr>
      </w:pPr>
    </w:p>
    <w:p w14:paraId="2207328E">
      <w:pPr>
        <w:ind w:firstLine="689" w:firstLineChars="286"/>
        <w:rPr>
          <w:rFonts w:ascii="宋体" w:hAnsi="宋体"/>
          <w:b/>
          <w:color w:val="000000"/>
          <w:sz w:val="24"/>
          <w:szCs w:val="24"/>
        </w:rPr>
      </w:pPr>
    </w:p>
    <w:p w14:paraId="76CF3D70">
      <w:pPr>
        <w:spacing w:line="520" w:lineRule="exact"/>
        <w:ind w:firstLine="1446" w:firstLineChars="600"/>
        <w:jc w:val="left"/>
        <w:rPr>
          <w:rFonts w:hint="eastAsia" w:ascii="宋体" w:hAnsi="宋体"/>
          <w:b/>
          <w:color w:val="000000"/>
          <w:sz w:val="24"/>
          <w:szCs w:val="24"/>
        </w:rPr>
      </w:pPr>
    </w:p>
    <w:p w14:paraId="547FD91D">
      <w:pPr>
        <w:spacing w:line="520" w:lineRule="exact"/>
        <w:ind w:firstLine="1446" w:firstLineChars="600"/>
        <w:jc w:val="left"/>
        <w:rPr>
          <w:rFonts w:hint="eastAsia" w:ascii="宋体" w:hAnsi="宋体"/>
          <w:b/>
          <w:color w:val="000000"/>
          <w:sz w:val="24"/>
          <w:szCs w:val="24"/>
        </w:rPr>
      </w:pPr>
    </w:p>
    <w:p w14:paraId="23E5E90D">
      <w:pPr>
        <w:spacing w:line="520" w:lineRule="exact"/>
        <w:ind w:firstLine="1446" w:firstLineChars="600"/>
        <w:jc w:val="left"/>
        <w:rPr>
          <w:rFonts w:hint="eastAsia" w:ascii="宋体" w:hAnsi="宋体"/>
          <w:b/>
          <w:color w:val="000000"/>
          <w:sz w:val="24"/>
          <w:szCs w:val="24"/>
        </w:rPr>
      </w:pPr>
    </w:p>
    <w:p w14:paraId="5EC3A616">
      <w:pPr>
        <w:spacing w:line="520" w:lineRule="exact"/>
        <w:ind w:firstLine="1446" w:firstLineChars="600"/>
        <w:jc w:val="left"/>
        <w:rPr>
          <w:rFonts w:hint="eastAsia" w:ascii="宋体" w:hAnsi="宋体"/>
          <w:b/>
          <w:color w:val="000000"/>
          <w:sz w:val="24"/>
          <w:szCs w:val="24"/>
        </w:rPr>
      </w:pPr>
    </w:p>
    <w:p w14:paraId="65DD50A9">
      <w:pPr>
        <w:spacing w:line="520" w:lineRule="exact"/>
        <w:ind w:firstLine="1446" w:firstLineChars="600"/>
        <w:jc w:val="left"/>
        <w:rPr>
          <w:rFonts w:hint="eastAsia" w:ascii="宋体" w:hAnsi="宋体"/>
          <w:b/>
          <w:color w:val="000000"/>
          <w:sz w:val="24"/>
          <w:szCs w:val="24"/>
        </w:rPr>
      </w:pPr>
    </w:p>
    <w:p w14:paraId="11757F9C">
      <w:pPr>
        <w:spacing w:line="520" w:lineRule="exact"/>
        <w:ind w:firstLine="1446" w:firstLineChars="600"/>
        <w:jc w:val="left"/>
        <w:rPr>
          <w:rFonts w:hint="eastAsia" w:ascii="宋体" w:hAnsi="宋体"/>
          <w:b/>
          <w:color w:val="000000"/>
          <w:sz w:val="24"/>
          <w:szCs w:val="24"/>
        </w:rPr>
      </w:pPr>
    </w:p>
    <w:p w14:paraId="2C9803CA">
      <w:pPr>
        <w:spacing w:line="520" w:lineRule="exact"/>
        <w:jc w:val="center"/>
        <w:rPr>
          <w:rFonts w:hint="eastAsia" w:ascii="仿宋" w:hAnsi="仿宋" w:cs="仿宋"/>
          <w:b/>
          <w:bCs/>
          <w:color w:val="000000"/>
          <w:sz w:val="32"/>
          <w:szCs w:val="32"/>
          <w:lang w:eastAsia="zh-CN"/>
        </w:rPr>
      </w:pPr>
      <w:r>
        <w:rPr>
          <w:rFonts w:hint="eastAsia" w:ascii="宋体" w:hAnsi="宋体"/>
          <w:b/>
          <w:color w:val="000000"/>
          <w:sz w:val="32"/>
          <w:szCs w:val="32"/>
        </w:rPr>
        <w:t>采购人：</w:t>
      </w:r>
      <w:r>
        <w:rPr>
          <w:rFonts w:hint="eastAsia" w:ascii="仿宋" w:hAnsi="仿宋" w:cs="仿宋"/>
          <w:b/>
          <w:bCs/>
          <w:sz w:val="32"/>
          <w:szCs w:val="32"/>
          <w:lang w:eastAsia="zh-CN"/>
        </w:rPr>
        <w:t>宁陕县人力资源社会保障和民政局</w:t>
      </w:r>
    </w:p>
    <w:p w14:paraId="599C1068">
      <w:pPr>
        <w:pStyle w:val="4"/>
        <w:jc w:val="center"/>
        <w:rPr>
          <w:rFonts w:hint="eastAsia" w:eastAsia="仿宋"/>
          <w:b/>
          <w:bCs/>
          <w:sz w:val="32"/>
          <w:szCs w:val="32"/>
          <w:lang w:eastAsia="zh-CN"/>
        </w:rPr>
      </w:pPr>
      <w:r>
        <w:rPr>
          <w:rFonts w:hint="eastAsia" w:ascii="宋体" w:hAnsi="宋体"/>
          <w:b/>
          <w:color w:val="000000"/>
          <w:sz w:val="32"/>
          <w:szCs w:val="32"/>
        </w:rPr>
        <w:t>采购代理机构：</w:t>
      </w:r>
      <w:r>
        <w:rPr>
          <w:rFonts w:hint="eastAsia" w:ascii="仿宋" w:hAnsi="仿宋" w:cs="仿宋"/>
          <w:b/>
          <w:bCs/>
          <w:sz w:val="32"/>
          <w:szCs w:val="32"/>
          <w:lang w:val="en-US" w:eastAsia="zh-CN"/>
        </w:rPr>
        <w:t>同正项目管理有限公司</w:t>
      </w:r>
    </w:p>
    <w:p w14:paraId="7A214CF5">
      <w:pPr>
        <w:jc w:val="center"/>
        <w:rPr>
          <w:rFonts w:hint="eastAsia"/>
          <w:sz w:val="24"/>
          <w:szCs w:val="24"/>
        </w:rPr>
      </w:pPr>
      <w:r>
        <w:rPr>
          <w:rFonts w:hint="eastAsia" w:ascii="仿宋" w:hAnsi="仿宋" w:cs="仿宋"/>
          <w:b/>
          <w:bCs/>
          <w:sz w:val="32"/>
          <w:szCs w:val="32"/>
        </w:rPr>
        <w:t>二〇二</w:t>
      </w:r>
      <w:r>
        <w:rPr>
          <w:rFonts w:hint="eastAsia" w:ascii="仿宋" w:hAnsi="仿宋" w:cs="仿宋"/>
          <w:b/>
          <w:bCs/>
          <w:sz w:val="32"/>
          <w:szCs w:val="32"/>
          <w:lang w:val="en-US" w:eastAsia="zh-CN"/>
        </w:rPr>
        <w:t>五</w:t>
      </w:r>
      <w:r>
        <w:rPr>
          <w:rFonts w:hint="eastAsia" w:ascii="仿宋" w:hAnsi="仿宋" w:cs="仿宋"/>
          <w:b/>
          <w:bCs/>
          <w:sz w:val="32"/>
          <w:szCs w:val="32"/>
        </w:rPr>
        <w:t>年</w:t>
      </w:r>
      <w:r>
        <w:rPr>
          <w:rFonts w:hint="eastAsia" w:ascii="仿宋" w:hAnsi="仿宋" w:cs="仿宋"/>
          <w:b/>
          <w:bCs/>
          <w:sz w:val="32"/>
          <w:szCs w:val="32"/>
          <w:lang w:val="en-US" w:eastAsia="zh-CN"/>
        </w:rPr>
        <w:t>五</w:t>
      </w:r>
      <w:r>
        <w:rPr>
          <w:rFonts w:hint="eastAsia" w:ascii="仿宋" w:hAnsi="仿宋" w:cs="仿宋"/>
          <w:b/>
          <w:bCs/>
          <w:sz w:val="32"/>
          <w:szCs w:val="32"/>
        </w:rPr>
        <w:t>月</w:t>
      </w:r>
    </w:p>
    <w:sdt>
      <w:sdtPr>
        <w:rPr>
          <w:rFonts w:ascii="宋体" w:hAnsi="宋体" w:eastAsia="宋体"/>
          <w:sz w:val="28"/>
          <w:szCs w:val="28"/>
        </w:rPr>
        <w:id w:val="147461607"/>
        <w:docPartObj>
          <w:docPartGallery w:val="Table of Contents"/>
          <w:docPartUnique/>
        </w:docPartObj>
      </w:sdtPr>
      <w:sdtEndPr>
        <w:rPr>
          <w:rFonts w:ascii="宋体" w:hAnsi="宋体" w:eastAsia="宋体"/>
          <w:sz w:val="24"/>
          <w:szCs w:val="24"/>
        </w:rPr>
      </w:sdtEndPr>
      <w:sdtContent>
        <w:p w14:paraId="3FF00310">
          <w:pPr>
            <w:pStyle w:val="4"/>
            <w:jc w:val="center"/>
            <w:rPr>
              <w:rFonts w:ascii="仿宋" w:hAnsi="仿宋" w:cs="仿宋"/>
              <w:b/>
              <w:bCs/>
              <w:sz w:val="28"/>
              <w:szCs w:val="28"/>
            </w:rPr>
          </w:pPr>
          <w:r>
            <w:rPr>
              <w:rFonts w:hint="eastAsia" w:ascii="仿宋" w:hAnsi="仿宋" w:cs="仿宋"/>
              <w:b/>
              <w:bCs/>
              <w:sz w:val="28"/>
              <w:szCs w:val="28"/>
            </w:rPr>
            <w:t>目   录</w:t>
          </w:r>
        </w:p>
        <w:p w14:paraId="025FA61C">
          <w:pPr>
            <w:pStyle w:val="4"/>
            <w:rPr>
              <w:sz w:val="28"/>
              <w:szCs w:val="28"/>
            </w:rPr>
          </w:pPr>
        </w:p>
        <w:p w14:paraId="2556E8D1">
          <w:pPr>
            <w:pStyle w:val="10"/>
            <w:tabs>
              <w:tab w:val="right" w:leader="dot" w:pos="9360"/>
            </w:tabs>
            <w:rPr>
              <w:sz w:val="28"/>
              <w:szCs w:val="28"/>
            </w:rPr>
          </w:pPr>
          <w:r>
            <w:rPr>
              <w:rFonts w:hint="eastAsia" w:ascii="仿宋" w:hAnsi="仿宋" w:cs="仿宋"/>
              <w:sz w:val="28"/>
              <w:szCs w:val="28"/>
            </w:rPr>
            <w:fldChar w:fldCharType="begin"/>
          </w:r>
          <w:r>
            <w:rPr>
              <w:rFonts w:hint="eastAsia" w:ascii="仿宋" w:hAnsi="仿宋" w:cs="仿宋"/>
              <w:sz w:val="28"/>
              <w:szCs w:val="28"/>
            </w:rPr>
            <w:instrText xml:space="preserve">TOC \o "1-3" \h \u </w:instrText>
          </w:r>
          <w:r>
            <w:rPr>
              <w:rFonts w:hint="eastAsia" w:ascii="仿宋" w:hAnsi="仿宋" w:cs="仿宋"/>
              <w:sz w:val="28"/>
              <w:szCs w:val="28"/>
            </w:rPr>
            <w:fldChar w:fldCharType="separate"/>
          </w:r>
          <w:r>
            <w:rPr>
              <w:sz w:val="28"/>
              <w:szCs w:val="28"/>
            </w:rPr>
            <w:fldChar w:fldCharType="begin"/>
          </w:r>
          <w:r>
            <w:rPr>
              <w:sz w:val="28"/>
              <w:szCs w:val="28"/>
            </w:rPr>
            <w:instrText xml:space="preserve"> HYPERLINK \l "_Toc24041" </w:instrText>
          </w:r>
          <w:r>
            <w:rPr>
              <w:sz w:val="28"/>
              <w:szCs w:val="28"/>
            </w:rPr>
            <w:fldChar w:fldCharType="separate"/>
          </w:r>
          <w:r>
            <w:rPr>
              <w:rFonts w:hint="eastAsia"/>
              <w:sz w:val="28"/>
              <w:szCs w:val="28"/>
            </w:rPr>
            <w:t>第一部分  竞争性磋商公告</w:t>
          </w:r>
          <w:r>
            <w:rPr>
              <w:sz w:val="28"/>
              <w:szCs w:val="28"/>
            </w:rPr>
            <w:tab/>
          </w:r>
          <w:r>
            <w:rPr>
              <w:rFonts w:hint="eastAsia"/>
              <w:sz w:val="28"/>
              <w:szCs w:val="28"/>
              <w:lang w:val="en-US" w:eastAsia="zh-CN"/>
            </w:rPr>
            <w:t>1</w:t>
          </w:r>
          <w:r>
            <w:rPr>
              <w:sz w:val="28"/>
              <w:szCs w:val="28"/>
            </w:rPr>
            <w:fldChar w:fldCharType="end"/>
          </w:r>
        </w:p>
        <w:p w14:paraId="2A753E96">
          <w:pPr>
            <w:pStyle w:val="10"/>
            <w:tabs>
              <w:tab w:val="right" w:leader="dot" w:pos="9360"/>
            </w:tabs>
            <w:rPr>
              <w:sz w:val="28"/>
              <w:szCs w:val="28"/>
            </w:rPr>
          </w:pPr>
          <w:r>
            <w:rPr>
              <w:sz w:val="28"/>
              <w:szCs w:val="28"/>
            </w:rPr>
            <w:fldChar w:fldCharType="begin"/>
          </w:r>
          <w:r>
            <w:rPr>
              <w:sz w:val="28"/>
              <w:szCs w:val="28"/>
            </w:rPr>
            <w:instrText xml:space="preserve"> HYPERLINK \l "_Toc17924" </w:instrText>
          </w:r>
          <w:r>
            <w:rPr>
              <w:sz w:val="28"/>
              <w:szCs w:val="28"/>
            </w:rPr>
            <w:fldChar w:fldCharType="separate"/>
          </w:r>
          <w:r>
            <w:rPr>
              <w:rFonts w:hint="eastAsia"/>
              <w:sz w:val="28"/>
              <w:szCs w:val="28"/>
            </w:rPr>
            <w:t>第二部分  竞争性磋商须知</w:t>
          </w:r>
          <w:r>
            <w:rPr>
              <w:sz w:val="28"/>
              <w:szCs w:val="28"/>
            </w:rPr>
            <w:tab/>
          </w:r>
          <w:r>
            <w:rPr>
              <w:rFonts w:hint="eastAsia"/>
              <w:sz w:val="28"/>
              <w:szCs w:val="28"/>
              <w:lang w:val="en-US" w:eastAsia="zh-CN"/>
            </w:rPr>
            <w:t>5</w:t>
          </w:r>
          <w:r>
            <w:rPr>
              <w:sz w:val="28"/>
              <w:szCs w:val="28"/>
            </w:rPr>
            <w:fldChar w:fldCharType="end"/>
          </w:r>
        </w:p>
        <w:p w14:paraId="7DA07511">
          <w:pPr>
            <w:pStyle w:val="10"/>
            <w:tabs>
              <w:tab w:val="right" w:leader="dot" w:pos="9360"/>
            </w:tabs>
            <w:rPr>
              <w:rFonts w:hint="eastAsia" w:eastAsia="仿宋"/>
              <w:sz w:val="28"/>
              <w:szCs w:val="28"/>
              <w:lang w:val="en-US" w:eastAsia="zh-CN"/>
            </w:rPr>
          </w:pPr>
          <w:r>
            <w:rPr>
              <w:sz w:val="28"/>
              <w:szCs w:val="28"/>
            </w:rPr>
            <w:fldChar w:fldCharType="begin"/>
          </w:r>
          <w:r>
            <w:rPr>
              <w:sz w:val="28"/>
              <w:szCs w:val="28"/>
            </w:rPr>
            <w:instrText xml:space="preserve"> HYPERLINK \l "_Toc7581" </w:instrText>
          </w:r>
          <w:r>
            <w:rPr>
              <w:sz w:val="28"/>
              <w:szCs w:val="28"/>
            </w:rPr>
            <w:fldChar w:fldCharType="separate"/>
          </w:r>
          <w:r>
            <w:rPr>
              <w:sz w:val="28"/>
              <w:szCs w:val="28"/>
            </w:rPr>
            <w:t>第三</w:t>
          </w:r>
          <w:r>
            <w:rPr>
              <w:rFonts w:hint="eastAsia"/>
              <w:sz w:val="28"/>
              <w:szCs w:val="28"/>
            </w:rPr>
            <w:t xml:space="preserve">部分  </w:t>
          </w:r>
          <w:r>
            <w:rPr>
              <w:sz w:val="28"/>
              <w:szCs w:val="28"/>
            </w:rPr>
            <w:t>商务合同条款</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9</w:t>
          </w:r>
        </w:p>
        <w:p w14:paraId="24560BE0">
          <w:pPr>
            <w:pStyle w:val="10"/>
            <w:tabs>
              <w:tab w:val="right" w:leader="dot" w:pos="9360"/>
            </w:tabs>
            <w:rPr>
              <w:rFonts w:hint="eastAsia" w:eastAsia="仿宋"/>
              <w:sz w:val="28"/>
              <w:szCs w:val="28"/>
              <w:lang w:val="en-US" w:eastAsia="zh-CN"/>
            </w:rPr>
          </w:pPr>
          <w:r>
            <w:rPr>
              <w:sz w:val="28"/>
              <w:szCs w:val="28"/>
            </w:rPr>
            <w:fldChar w:fldCharType="begin"/>
          </w:r>
          <w:r>
            <w:rPr>
              <w:sz w:val="28"/>
              <w:szCs w:val="28"/>
            </w:rPr>
            <w:instrText xml:space="preserve"> HYPERLINK \l "_Toc4545" </w:instrText>
          </w:r>
          <w:r>
            <w:rPr>
              <w:sz w:val="28"/>
              <w:szCs w:val="28"/>
            </w:rPr>
            <w:fldChar w:fldCharType="separate"/>
          </w:r>
          <w:r>
            <w:rPr>
              <w:sz w:val="28"/>
              <w:szCs w:val="28"/>
            </w:rPr>
            <w:t>第四</w:t>
          </w:r>
          <w:r>
            <w:rPr>
              <w:rFonts w:hint="eastAsia"/>
              <w:sz w:val="28"/>
              <w:szCs w:val="28"/>
            </w:rPr>
            <w:t xml:space="preserve">部分  </w:t>
          </w:r>
          <w:r>
            <w:rPr>
              <w:sz w:val="28"/>
              <w:szCs w:val="28"/>
            </w:rPr>
            <w:t>采购内容与要求</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2</w:t>
          </w:r>
        </w:p>
        <w:p w14:paraId="0F661BC8">
          <w:pPr>
            <w:pStyle w:val="10"/>
            <w:tabs>
              <w:tab w:val="right" w:leader="dot" w:pos="9360"/>
            </w:tabs>
            <w:rPr>
              <w:sz w:val="28"/>
              <w:szCs w:val="28"/>
            </w:rPr>
          </w:pPr>
          <w:r>
            <w:rPr>
              <w:sz w:val="28"/>
              <w:szCs w:val="28"/>
            </w:rPr>
            <w:fldChar w:fldCharType="begin"/>
          </w:r>
          <w:r>
            <w:rPr>
              <w:sz w:val="28"/>
              <w:szCs w:val="28"/>
            </w:rPr>
            <w:instrText xml:space="preserve"> HYPERLINK \l "_Toc1144" </w:instrText>
          </w:r>
          <w:r>
            <w:rPr>
              <w:sz w:val="28"/>
              <w:szCs w:val="28"/>
            </w:rPr>
            <w:fldChar w:fldCharType="separate"/>
          </w:r>
          <w:r>
            <w:rPr>
              <w:sz w:val="28"/>
              <w:szCs w:val="28"/>
            </w:rPr>
            <w:t>第五</w:t>
          </w:r>
          <w:r>
            <w:rPr>
              <w:rFonts w:hint="eastAsia"/>
              <w:sz w:val="28"/>
              <w:szCs w:val="28"/>
            </w:rPr>
            <w:t xml:space="preserve">部分  </w:t>
          </w:r>
          <w:r>
            <w:rPr>
              <w:sz w:val="28"/>
              <w:szCs w:val="28"/>
            </w:rPr>
            <w:t>磋商响应文件基本格式</w:t>
          </w:r>
          <w:r>
            <w:rPr>
              <w:sz w:val="28"/>
              <w:szCs w:val="28"/>
            </w:rPr>
            <w:tab/>
          </w:r>
          <w:r>
            <w:rPr>
              <w:sz w:val="28"/>
              <w:szCs w:val="28"/>
            </w:rPr>
            <w:fldChar w:fldCharType="begin"/>
          </w:r>
          <w:r>
            <w:rPr>
              <w:sz w:val="28"/>
              <w:szCs w:val="28"/>
            </w:rPr>
            <w:instrText xml:space="preserve"> PAGEREF _Toc1144 \h </w:instrText>
          </w:r>
          <w:r>
            <w:rPr>
              <w:sz w:val="28"/>
              <w:szCs w:val="28"/>
            </w:rPr>
            <w:fldChar w:fldCharType="separate"/>
          </w:r>
          <w:r>
            <w:rPr>
              <w:sz w:val="28"/>
              <w:szCs w:val="28"/>
            </w:rPr>
            <w:t>2</w:t>
          </w:r>
          <w:r>
            <w:rPr>
              <w:rFonts w:hint="eastAsia"/>
              <w:sz w:val="28"/>
              <w:szCs w:val="28"/>
              <w:lang w:val="en-US" w:eastAsia="zh-CN"/>
            </w:rPr>
            <w:t>5</w:t>
          </w:r>
          <w:r>
            <w:rPr>
              <w:sz w:val="28"/>
              <w:szCs w:val="28"/>
            </w:rPr>
            <w:fldChar w:fldCharType="end"/>
          </w:r>
          <w:r>
            <w:rPr>
              <w:sz w:val="28"/>
              <w:szCs w:val="28"/>
            </w:rPr>
            <w:fldChar w:fldCharType="end"/>
          </w:r>
        </w:p>
        <w:p w14:paraId="4D4B5B6E">
          <w:pPr>
            <w:pStyle w:val="10"/>
            <w:tabs>
              <w:tab w:val="right" w:leader="dot" w:pos="9360"/>
            </w:tabs>
            <w:rPr>
              <w:rFonts w:hint="default" w:eastAsia="仿宋"/>
              <w:sz w:val="28"/>
              <w:szCs w:val="28"/>
              <w:lang w:val="en-US" w:eastAsia="zh-CN"/>
            </w:rPr>
          </w:pPr>
          <w:r>
            <w:rPr>
              <w:sz w:val="28"/>
              <w:szCs w:val="28"/>
            </w:rPr>
            <w:fldChar w:fldCharType="begin"/>
          </w:r>
          <w:r>
            <w:rPr>
              <w:sz w:val="28"/>
              <w:szCs w:val="28"/>
            </w:rPr>
            <w:instrText xml:space="preserve"> HYPERLINK \l "_Toc16157" </w:instrText>
          </w:r>
          <w:r>
            <w:rPr>
              <w:sz w:val="28"/>
              <w:szCs w:val="28"/>
            </w:rPr>
            <w:fldChar w:fldCharType="separate"/>
          </w:r>
          <w:r>
            <w:rPr>
              <w:sz w:val="28"/>
              <w:szCs w:val="28"/>
            </w:rPr>
            <w:t>第六</w:t>
          </w:r>
          <w:r>
            <w:rPr>
              <w:rFonts w:hint="eastAsia"/>
              <w:sz w:val="28"/>
              <w:szCs w:val="28"/>
            </w:rPr>
            <w:t xml:space="preserve">部分  </w:t>
          </w:r>
          <w:r>
            <w:rPr>
              <w:sz w:val="28"/>
              <w:szCs w:val="28"/>
            </w:rPr>
            <w:t>投标文件封装格式</w:t>
          </w:r>
          <w:r>
            <w:rPr>
              <w:sz w:val="28"/>
              <w:szCs w:val="28"/>
            </w:rPr>
            <w:tab/>
          </w:r>
          <w:r>
            <w:rPr>
              <w:rFonts w:hint="eastAsia"/>
              <w:sz w:val="28"/>
              <w:szCs w:val="28"/>
              <w:lang w:val="en-US" w:eastAsia="zh-CN"/>
            </w:rPr>
            <w:t>4</w:t>
          </w:r>
          <w:r>
            <w:rPr>
              <w:sz w:val="28"/>
              <w:szCs w:val="28"/>
            </w:rPr>
            <w:fldChar w:fldCharType="end"/>
          </w:r>
          <w:r>
            <w:rPr>
              <w:rFonts w:hint="eastAsia"/>
              <w:sz w:val="28"/>
              <w:szCs w:val="28"/>
              <w:lang w:val="en-US" w:eastAsia="zh-CN"/>
            </w:rPr>
            <w:t>3</w:t>
          </w:r>
        </w:p>
        <w:p w14:paraId="3ABFC508">
          <w:pPr>
            <w:rPr>
              <w:sz w:val="24"/>
              <w:szCs w:val="24"/>
            </w:rPr>
          </w:pPr>
          <w:r>
            <w:rPr>
              <w:rFonts w:hint="eastAsia" w:ascii="仿宋" w:hAnsi="仿宋" w:cs="仿宋"/>
              <w:sz w:val="28"/>
              <w:szCs w:val="28"/>
            </w:rPr>
            <w:fldChar w:fldCharType="end"/>
          </w:r>
        </w:p>
      </w:sdtContent>
    </w:sdt>
    <w:p w14:paraId="200607EA">
      <w:pPr>
        <w:pStyle w:val="2"/>
        <w:spacing w:before="120" w:after="120"/>
        <w:jc w:val="center"/>
        <w:rPr>
          <w:sz w:val="24"/>
          <w:szCs w:val="24"/>
        </w:rPr>
        <w:sectPr>
          <w:pgSz w:w="11905" w:h="16838"/>
          <w:pgMar w:top="1417" w:right="1417" w:bottom="1440" w:left="1417" w:header="811" w:footer="1020" w:gutter="0"/>
          <w:cols w:space="0" w:num="1"/>
          <w:titlePg/>
          <w:rtlGutter w:val="0"/>
          <w:docGrid w:linePitch="326" w:charSpace="0"/>
        </w:sectPr>
      </w:pPr>
    </w:p>
    <w:bookmarkEnd w:id="0"/>
    <w:p w14:paraId="512CABE3">
      <w:pPr>
        <w:pStyle w:val="2"/>
        <w:keepNext w:val="0"/>
        <w:keepLines/>
        <w:pageBreakBefore/>
        <w:kinsoku/>
        <w:overflowPunct/>
        <w:topLinePunct w:val="0"/>
        <w:autoSpaceDE/>
        <w:autoSpaceDN/>
        <w:bidi w:val="0"/>
        <w:adjustRightInd/>
        <w:snapToGrid w:val="0"/>
        <w:spacing w:before="156" w:beforeLines="50" w:after="156" w:afterLines="50" w:line="420" w:lineRule="exact"/>
        <w:jc w:val="center"/>
        <w:rPr>
          <w:rFonts w:hint="eastAsia" w:ascii="仿宋" w:hAnsi="仿宋" w:eastAsia="仿宋" w:cs="仿宋"/>
          <w:bCs/>
          <w:sz w:val="32"/>
          <w:szCs w:val="32"/>
        </w:rPr>
      </w:pPr>
      <w:r>
        <w:rPr>
          <w:rFonts w:hint="eastAsia" w:ascii="仿宋" w:hAnsi="仿宋" w:eastAsia="仿宋" w:cs="仿宋"/>
          <w:bCs/>
          <w:sz w:val="32"/>
          <w:szCs w:val="32"/>
          <w:lang w:eastAsia="zh-CN"/>
        </w:rPr>
        <w:t>“一中心五区域”敬老院房屋安全性鉴定及房屋检测服务项目竞</w:t>
      </w:r>
      <w:r>
        <w:rPr>
          <w:rFonts w:hint="eastAsia" w:ascii="仿宋" w:hAnsi="仿宋" w:eastAsia="仿宋" w:cs="仿宋"/>
          <w:bCs/>
          <w:sz w:val="32"/>
          <w:szCs w:val="32"/>
        </w:rPr>
        <w:t>争性磋商公告</w:t>
      </w:r>
    </w:p>
    <w:p w14:paraId="56E4C265">
      <w:pPr>
        <w:keepNext w:val="0"/>
        <w:keepLines w:val="0"/>
        <w:pageBreakBefore w:val="0"/>
        <w:kinsoku/>
        <w:wordWrap/>
        <w:overflowPunct/>
        <w:topLinePunct w:val="0"/>
        <w:autoSpaceDE/>
        <w:autoSpaceDN/>
        <w:bidi w:val="0"/>
        <w:adjustRightInd/>
        <w:spacing w:line="420" w:lineRule="exact"/>
        <w:textAlignment w:val="baseline"/>
        <w:outlineLvl w:val="5"/>
        <w:rPr>
          <w:rFonts w:hint="eastAsia" w:ascii="仿宋" w:hAnsi="仿宋" w:eastAsia="仿宋" w:cs="仿宋"/>
          <w:color w:val="333333"/>
          <w:sz w:val="22"/>
          <w:szCs w:val="22"/>
        </w:rPr>
      </w:pPr>
      <w:r>
        <w:rPr>
          <w:rFonts w:hint="eastAsia" w:ascii="仿宋" w:hAnsi="仿宋" w:eastAsia="仿宋" w:cs="仿宋"/>
          <w:b/>
          <w:bCs/>
          <w:color w:val="333333"/>
          <w:sz w:val="24"/>
          <w:szCs w:val="18"/>
        </w:rPr>
        <w:t>项</w:t>
      </w:r>
      <w:r>
        <w:rPr>
          <w:rFonts w:hint="eastAsia" w:ascii="仿宋" w:hAnsi="仿宋" w:eastAsia="仿宋" w:cs="仿宋"/>
          <w:b/>
          <w:bCs/>
          <w:color w:val="333333"/>
          <w:sz w:val="22"/>
          <w:szCs w:val="22"/>
        </w:rPr>
        <w:t>目概况</w:t>
      </w:r>
    </w:p>
    <w:p w14:paraId="21027B41">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color w:val="000000"/>
          <w:sz w:val="22"/>
          <w:szCs w:val="22"/>
        </w:rPr>
        <w:t xml:space="preserve">  </w:t>
      </w:r>
      <w:r>
        <w:rPr>
          <w:rFonts w:hint="eastAsia" w:ascii="仿宋" w:hAnsi="仿宋" w:eastAsia="仿宋" w:cs="仿宋"/>
          <w:color w:val="000000"/>
          <w:sz w:val="24"/>
          <w:szCs w:val="24"/>
        </w:rPr>
        <w:t xml:space="preserve"> “一中心五区域”敬老院房屋安全性鉴定及房屋检测服务项目</w:t>
      </w:r>
      <w:r>
        <w:rPr>
          <w:rFonts w:hint="eastAsia" w:ascii="仿宋" w:hAnsi="仿宋" w:eastAsia="仿宋" w:cs="仿宋"/>
          <w:color w:val="333333"/>
          <w:sz w:val="24"/>
          <w:szCs w:val="24"/>
        </w:rPr>
        <w:t>采购项目的潜在供应商应在</w:t>
      </w:r>
      <w:r>
        <w:rPr>
          <w:rFonts w:hint="eastAsia" w:ascii="仿宋" w:hAnsi="仿宋" w:eastAsia="仿宋" w:cs="仿宋"/>
          <w:color w:val="000000"/>
          <w:sz w:val="24"/>
          <w:szCs w:val="24"/>
        </w:rPr>
        <w:t>宁陕县城关镇关池路23号东升府小区二号楼一层获取采</w:t>
      </w:r>
      <w:r>
        <w:rPr>
          <w:rFonts w:hint="eastAsia" w:ascii="仿宋" w:hAnsi="仿宋" w:eastAsia="仿宋" w:cs="仿宋"/>
          <w:color w:val="333333"/>
          <w:sz w:val="24"/>
          <w:szCs w:val="24"/>
        </w:rPr>
        <w:t>购文件，并于2025年05月</w:t>
      </w:r>
      <w:r>
        <w:rPr>
          <w:rFonts w:hint="eastAsia" w:ascii="仿宋" w:hAnsi="仿宋" w:eastAsia="仿宋" w:cs="仿宋"/>
          <w:color w:val="333333"/>
          <w:sz w:val="24"/>
          <w:szCs w:val="24"/>
          <w:lang w:val="en-US" w:eastAsia="zh-CN"/>
        </w:rPr>
        <w:t>2</w:t>
      </w:r>
      <w:r>
        <w:rPr>
          <w:rFonts w:hint="eastAsia" w:ascii="仿宋" w:hAnsi="仿宋" w:cs="仿宋"/>
          <w:color w:val="333333"/>
          <w:sz w:val="24"/>
          <w:szCs w:val="24"/>
          <w:lang w:val="en-US" w:eastAsia="zh-CN"/>
        </w:rPr>
        <w:t>6</w:t>
      </w:r>
      <w:r>
        <w:rPr>
          <w:rFonts w:hint="eastAsia" w:ascii="仿宋" w:hAnsi="仿宋" w:eastAsia="仿宋" w:cs="仿宋"/>
          <w:color w:val="333333"/>
          <w:sz w:val="24"/>
          <w:szCs w:val="24"/>
        </w:rPr>
        <w:t>日</w:t>
      </w:r>
      <w:r>
        <w:rPr>
          <w:rFonts w:hint="eastAsia" w:ascii="仿宋" w:hAnsi="仿宋" w:eastAsia="仿宋" w:cs="仿宋"/>
          <w:color w:val="000000" w:themeColor="text1"/>
          <w:sz w:val="24"/>
          <w:szCs w:val="24"/>
          <w:lang w:val="en-US" w:eastAsia="zh-CN"/>
          <w14:textFill>
            <w14:solidFill>
              <w14:schemeClr w14:val="tx1"/>
            </w14:solidFill>
          </w14:textFill>
        </w:rPr>
        <w:t>09</w:t>
      </w:r>
      <w:r>
        <w:rPr>
          <w:rFonts w:hint="eastAsia" w:ascii="仿宋" w:hAnsi="仿宋" w:eastAsia="仿宋" w:cs="仿宋"/>
          <w:color w:val="000000" w:themeColor="text1"/>
          <w:sz w:val="24"/>
          <w:szCs w:val="24"/>
          <w14:textFill>
            <w14:solidFill>
              <w14:schemeClr w14:val="tx1"/>
            </w14:solidFill>
          </w14:textFill>
        </w:rPr>
        <w:t>时00分（</w:t>
      </w:r>
      <w:r>
        <w:rPr>
          <w:rFonts w:hint="eastAsia" w:ascii="仿宋" w:hAnsi="仿宋" w:eastAsia="仿宋" w:cs="仿宋"/>
          <w:color w:val="333333"/>
          <w:sz w:val="24"/>
          <w:szCs w:val="24"/>
        </w:rPr>
        <w:t>北京时间）前提交响应文件。</w:t>
      </w:r>
    </w:p>
    <w:p w14:paraId="3C2017EE">
      <w:pPr>
        <w:keepNext w:val="0"/>
        <w:keepLines w:val="0"/>
        <w:pageBreakBefore w:val="0"/>
        <w:kinsoku/>
        <w:wordWrap/>
        <w:overflowPunct/>
        <w:topLinePunct w:val="0"/>
        <w:autoSpaceDE/>
        <w:autoSpaceDN/>
        <w:bidi w:val="0"/>
        <w:adjustRightInd/>
        <w:spacing w:line="420" w:lineRule="exact"/>
        <w:textAlignment w:val="baseline"/>
        <w:outlineLvl w:val="5"/>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b/>
          <w:bCs/>
          <w:color w:val="333333"/>
          <w:sz w:val="22"/>
          <w:szCs w:val="22"/>
        </w:rPr>
        <w:t xml:space="preserve">  一、项目基本情况</w:t>
      </w:r>
    </w:p>
    <w:p w14:paraId="6C1C32EC">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333333"/>
          <w:sz w:val="24"/>
          <w:szCs w:val="24"/>
        </w:rPr>
        <w:t>项目编号：</w:t>
      </w:r>
      <w:r>
        <w:rPr>
          <w:rFonts w:hint="eastAsia" w:ascii="仿宋" w:hAnsi="仿宋" w:eastAsia="仿宋" w:cs="仿宋"/>
          <w:color w:val="000000" w:themeColor="text1"/>
          <w:sz w:val="24"/>
          <w:szCs w:val="24"/>
          <w14:textFill>
            <w14:solidFill>
              <w14:schemeClr w14:val="tx1"/>
            </w14:solidFill>
          </w14:textFill>
        </w:rPr>
        <w:t>TZCS-2025-</w:t>
      </w:r>
      <w:r>
        <w:rPr>
          <w:rFonts w:hint="eastAsia" w:ascii="仿宋" w:hAnsi="仿宋" w:eastAsia="仿宋" w:cs="仿宋"/>
          <w:color w:val="000000" w:themeColor="text1"/>
          <w:sz w:val="24"/>
          <w:szCs w:val="24"/>
          <w:lang w:val="en-US" w:eastAsia="zh-CN"/>
          <w14:textFill>
            <w14:solidFill>
              <w14:schemeClr w14:val="tx1"/>
            </w14:solidFill>
          </w14:textFill>
        </w:rPr>
        <w:t>020</w:t>
      </w:r>
    </w:p>
    <w:p w14:paraId="40072CED">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项目名称：</w:t>
      </w:r>
      <w:r>
        <w:rPr>
          <w:rFonts w:hint="eastAsia" w:ascii="仿宋" w:hAnsi="仿宋" w:eastAsia="仿宋" w:cs="仿宋"/>
          <w:color w:val="000000"/>
          <w:sz w:val="24"/>
          <w:szCs w:val="24"/>
        </w:rPr>
        <w:t>“一中心五区域”敬老院房屋安全性鉴定及房屋检测服务项目</w:t>
      </w:r>
    </w:p>
    <w:p w14:paraId="6E536459">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采购方式：竞争性磋商</w:t>
      </w:r>
    </w:p>
    <w:p w14:paraId="103DABE3">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预算金额：</w:t>
      </w:r>
      <w:r>
        <w:rPr>
          <w:rFonts w:hint="eastAsia" w:ascii="仿宋" w:hAnsi="仿宋" w:eastAsia="仿宋" w:cs="仿宋"/>
          <w:sz w:val="24"/>
          <w:szCs w:val="24"/>
          <w:lang w:val="en-US" w:eastAsia="zh-CN"/>
        </w:rPr>
        <w:t>220000.00</w:t>
      </w:r>
      <w:r>
        <w:rPr>
          <w:rFonts w:hint="eastAsia" w:ascii="仿宋" w:hAnsi="仿宋" w:eastAsia="仿宋" w:cs="仿宋"/>
          <w:color w:val="333333"/>
          <w:sz w:val="24"/>
          <w:szCs w:val="24"/>
        </w:rPr>
        <w:t>元</w:t>
      </w:r>
    </w:p>
    <w:p w14:paraId="28F7D931">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采购需求：</w:t>
      </w:r>
    </w:p>
    <w:p w14:paraId="4753E958">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合同包1(</w:t>
      </w:r>
      <w:r>
        <w:rPr>
          <w:rFonts w:hint="eastAsia" w:ascii="仿宋" w:hAnsi="仿宋" w:eastAsia="仿宋" w:cs="仿宋"/>
          <w:color w:val="000000"/>
          <w:sz w:val="24"/>
          <w:szCs w:val="24"/>
        </w:rPr>
        <w:t>“一中心五区域”敬老院房屋安全性鉴定及房屋检测服务项目</w:t>
      </w:r>
      <w:r>
        <w:rPr>
          <w:rFonts w:hint="eastAsia" w:ascii="仿宋" w:hAnsi="仿宋" w:eastAsia="仿宋" w:cs="仿宋"/>
          <w:color w:val="333333"/>
          <w:sz w:val="24"/>
          <w:szCs w:val="24"/>
        </w:rPr>
        <w:t>)</w:t>
      </w:r>
    </w:p>
    <w:p w14:paraId="16C99C9E">
      <w:pPr>
        <w:keepNext w:val="0"/>
        <w:keepLines w:val="0"/>
        <w:pageBreakBefore w:val="0"/>
        <w:kinsoku/>
        <w:wordWrap/>
        <w:overflowPunct/>
        <w:topLinePunct w:val="0"/>
        <w:autoSpaceDE/>
        <w:autoSpaceDN/>
        <w:bidi w:val="0"/>
        <w:adjustRightInd/>
        <w:spacing w:line="420" w:lineRule="exact"/>
        <w:ind w:firstLine="480" w:firstLineChars="20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合同包预算金额：</w:t>
      </w:r>
    </w:p>
    <w:p w14:paraId="1A851C65">
      <w:pPr>
        <w:keepNext w:val="0"/>
        <w:keepLines w:val="0"/>
        <w:pageBreakBefore w:val="0"/>
        <w:kinsoku/>
        <w:wordWrap/>
        <w:overflowPunct/>
        <w:topLinePunct w:val="0"/>
        <w:autoSpaceDE/>
        <w:autoSpaceDN/>
        <w:bidi w:val="0"/>
        <w:adjustRightInd/>
        <w:spacing w:line="420" w:lineRule="exact"/>
        <w:ind w:firstLine="480" w:firstLineChars="20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合同包最高限价：</w:t>
      </w:r>
      <w:r>
        <w:rPr>
          <w:rFonts w:hint="eastAsia" w:ascii="仿宋" w:hAnsi="仿宋" w:eastAsia="仿宋" w:cs="仿宋"/>
          <w:color w:val="333333"/>
          <w:sz w:val="24"/>
          <w:szCs w:val="24"/>
          <w:lang w:val="en-US" w:eastAsia="zh-CN"/>
        </w:rPr>
        <w:t>220000.00</w:t>
      </w:r>
      <w:r>
        <w:rPr>
          <w:rFonts w:hint="eastAsia" w:ascii="仿宋" w:hAnsi="仿宋" w:eastAsia="仿宋" w:cs="仿宋"/>
          <w:color w:val="333333"/>
          <w:sz w:val="24"/>
          <w:szCs w:val="24"/>
        </w:rPr>
        <w:t>元</w:t>
      </w:r>
    </w:p>
    <w:tbl>
      <w:tblPr>
        <w:tblStyle w:val="17"/>
        <w:tblW w:w="909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22"/>
        <w:gridCol w:w="2124"/>
        <w:gridCol w:w="995"/>
        <w:gridCol w:w="1141"/>
        <w:gridCol w:w="1296"/>
        <w:gridCol w:w="1296"/>
      </w:tblGrid>
      <w:tr w14:paraId="7EEC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3" w:type="dxa"/>
          </w:tcPr>
          <w:p w14:paraId="11360E0F">
            <w:pPr>
              <w:keepNext w:val="0"/>
              <w:keepLines w:val="0"/>
              <w:pageBreakBefore w:val="0"/>
              <w:kinsoku/>
              <w:wordWrap/>
              <w:overflowPunct/>
              <w:topLinePunct w:val="0"/>
              <w:autoSpaceDE/>
              <w:autoSpaceDN/>
              <w:bidi w:val="0"/>
              <w:adjustRightInd/>
              <w:spacing w:line="420" w:lineRule="exact"/>
              <w:ind w:left="-470" w:leftChars="-168" w:firstLine="403" w:firstLineChars="168"/>
              <w:rPr>
                <w:rFonts w:hint="eastAsia" w:ascii="仿宋" w:hAnsi="仿宋" w:eastAsia="仿宋" w:cs="仿宋"/>
                <w:sz w:val="24"/>
                <w:szCs w:val="24"/>
              </w:rPr>
            </w:pPr>
            <w:r>
              <w:rPr>
                <w:rFonts w:hint="eastAsia" w:ascii="仿宋" w:hAnsi="仿宋" w:eastAsia="仿宋" w:cs="仿宋"/>
                <w:sz w:val="24"/>
                <w:szCs w:val="24"/>
              </w:rPr>
              <w:t>品目号</w:t>
            </w:r>
          </w:p>
        </w:tc>
        <w:tc>
          <w:tcPr>
            <w:tcW w:w="1122" w:type="dxa"/>
          </w:tcPr>
          <w:p w14:paraId="61C618BC">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品目名称</w:t>
            </w:r>
          </w:p>
        </w:tc>
        <w:tc>
          <w:tcPr>
            <w:tcW w:w="2124" w:type="dxa"/>
          </w:tcPr>
          <w:p w14:paraId="07AFC27C">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采购标的</w:t>
            </w:r>
          </w:p>
        </w:tc>
        <w:tc>
          <w:tcPr>
            <w:tcW w:w="995" w:type="dxa"/>
          </w:tcPr>
          <w:p w14:paraId="7CC4CEE2">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数量（单位）</w:t>
            </w:r>
          </w:p>
        </w:tc>
        <w:tc>
          <w:tcPr>
            <w:tcW w:w="1141" w:type="dxa"/>
          </w:tcPr>
          <w:p w14:paraId="2541AB04">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296" w:type="dxa"/>
          </w:tcPr>
          <w:p w14:paraId="634A761E">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品目预算（元）</w:t>
            </w:r>
          </w:p>
        </w:tc>
        <w:tc>
          <w:tcPr>
            <w:tcW w:w="1296" w:type="dxa"/>
          </w:tcPr>
          <w:p w14:paraId="3AA2498C">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最高限价（元）</w:t>
            </w:r>
          </w:p>
        </w:tc>
      </w:tr>
      <w:tr w14:paraId="2F05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123" w:type="dxa"/>
          </w:tcPr>
          <w:p w14:paraId="48A7E2D3">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1-1</w:t>
            </w:r>
          </w:p>
        </w:tc>
        <w:tc>
          <w:tcPr>
            <w:tcW w:w="1122" w:type="dxa"/>
          </w:tcPr>
          <w:p w14:paraId="2095783B">
            <w:pPr>
              <w:keepNext w:val="0"/>
              <w:keepLines w:val="0"/>
              <w:pageBreakBefore w:val="0"/>
              <w:widowControl/>
              <w:suppressLineNumbers w:val="0"/>
              <w:kinsoku/>
              <w:wordWrap/>
              <w:overflowPunct/>
              <w:topLinePunct w:val="0"/>
              <w:autoSpaceDE/>
              <w:autoSpaceDN/>
              <w:bidi w:val="0"/>
              <w:adjustRightInd/>
              <w:spacing w:line="420" w:lineRule="exact"/>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其他鉴证服务</w:t>
            </w:r>
          </w:p>
          <w:p w14:paraId="6BB5982F">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p>
        </w:tc>
        <w:tc>
          <w:tcPr>
            <w:tcW w:w="2124" w:type="dxa"/>
          </w:tcPr>
          <w:p w14:paraId="309C339E">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color w:val="000000"/>
                <w:sz w:val="24"/>
                <w:szCs w:val="24"/>
              </w:rPr>
              <w:t>“一中心五区域”敬老院房屋安全性鉴定及房屋检测服务项目</w:t>
            </w:r>
          </w:p>
        </w:tc>
        <w:tc>
          <w:tcPr>
            <w:tcW w:w="995" w:type="dxa"/>
          </w:tcPr>
          <w:p w14:paraId="737507A4">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1（项）</w:t>
            </w:r>
          </w:p>
        </w:tc>
        <w:tc>
          <w:tcPr>
            <w:tcW w:w="1141" w:type="dxa"/>
          </w:tcPr>
          <w:p w14:paraId="6BB31736">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详见采购文件</w:t>
            </w:r>
          </w:p>
        </w:tc>
        <w:tc>
          <w:tcPr>
            <w:tcW w:w="1296" w:type="dxa"/>
          </w:tcPr>
          <w:p w14:paraId="508E5D8A">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220000.00</w:t>
            </w:r>
          </w:p>
        </w:tc>
        <w:tc>
          <w:tcPr>
            <w:tcW w:w="1296" w:type="dxa"/>
          </w:tcPr>
          <w:p w14:paraId="00A758C5">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220000.00</w:t>
            </w:r>
          </w:p>
        </w:tc>
      </w:tr>
    </w:tbl>
    <w:p w14:paraId="2E72BE55">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本合同不</w:t>
      </w:r>
      <w:r>
        <w:rPr>
          <w:rFonts w:hint="eastAsia" w:ascii="仿宋" w:hAnsi="仿宋" w:eastAsia="仿宋" w:cs="仿宋"/>
          <w:sz w:val="24"/>
          <w:szCs w:val="24"/>
          <w:lang w:val="en-US" w:eastAsia="zh-CN"/>
        </w:rPr>
        <w:t>接受</w:t>
      </w:r>
      <w:r>
        <w:rPr>
          <w:rFonts w:hint="eastAsia" w:ascii="仿宋" w:hAnsi="仿宋" w:eastAsia="仿宋" w:cs="仿宋"/>
          <w:sz w:val="24"/>
          <w:szCs w:val="24"/>
        </w:rPr>
        <w:t>联合体投标</w:t>
      </w:r>
    </w:p>
    <w:p w14:paraId="7B1D536D">
      <w:pPr>
        <w:keepNext w:val="0"/>
        <w:keepLines w:val="0"/>
        <w:pageBreakBefore w:val="0"/>
        <w:kinsoku/>
        <w:wordWrap/>
        <w:overflowPunct/>
        <w:topLinePunct w:val="0"/>
        <w:autoSpaceDE/>
        <w:autoSpaceDN/>
        <w:bidi w:val="0"/>
        <w:adjustRightInd/>
        <w:spacing w:line="420" w:lineRule="exact"/>
        <w:rPr>
          <w:rFonts w:hint="eastAsia" w:ascii="仿宋" w:hAnsi="仿宋" w:eastAsia="仿宋" w:cs="仿宋"/>
          <w:sz w:val="24"/>
          <w:szCs w:val="24"/>
        </w:rPr>
      </w:pPr>
      <w:r>
        <w:rPr>
          <w:rFonts w:hint="eastAsia" w:ascii="仿宋" w:hAnsi="仿宋" w:eastAsia="仿宋" w:cs="仿宋"/>
          <w:sz w:val="24"/>
          <w:szCs w:val="24"/>
        </w:rPr>
        <w:t>合同履行期限：</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w:t>
      </w:r>
      <w:r>
        <w:rPr>
          <w:rFonts w:hint="eastAsia" w:ascii="仿宋" w:hAnsi="仿宋" w:eastAsia="仿宋" w:cs="仿宋"/>
          <w:sz w:val="24"/>
          <w:szCs w:val="24"/>
        </w:rPr>
        <w:t>历天</w:t>
      </w:r>
    </w:p>
    <w:p w14:paraId="58550802">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二、申请人的资格要求：</w:t>
      </w:r>
    </w:p>
    <w:p w14:paraId="51211DED">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1.满足《中华人民共和国政府采购法》第二十二条规定;</w:t>
      </w:r>
    </w:p>
    <w:p w14:paraId="7E85E7D5">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2.落实政府采购政策需满足的资格要求：</w:t>
      </w:r>
    </w:p>
    <w:p w14:paraId="721BD54E">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合同包1(</w:t>
      </w:r>
      <w:r>
        <w:rPr>
          <w:rFonts w:hint="eastAsia" w:ascii="仿宋" w:hAnsi="仿宋" w:eastAsia="仿宋" w:cs="仿宋"/>
          <w:color w:val="000000"/>
          <w:sz w:val="24"/>
          <w:szCs w:val="24"/>
        </w:rPr>
        <w:t>“一中心五区域”敬老院房屋安全性鉴定及房屋检测服务项目</w:t>
      </w:r>
      <w:r>
        <w:rPr>
          <w:rFonts w:hint="eastAsia" w:ascii="仿宋" w:hAnsi="仿宋" w:eastAsia="仿宋" w:cs="仿宋"/>
          <w:color w:val="333333"/>
          <w:sz w:val="24"/>
          <w:szCs w:val="24"/>
        </w:rPr>
        <w:t>)落实政府采购政策需满足的资格要求如下:</w:t>
      </w:r>
    </w:p>
    <w:p w14:paraId="2B00C2C8">
      <w:pPr>
        <w:keepNext w:val="0"/>
        <w:keepLines w:val="0"/>
        <w:pageBreakBefore w:val="0"/>
        <w:widowControl/>
        <w:shd w:val="clear" w:color="auto" w:fill="FFFFFF"/>
        <w:kinsoku/>
        <w:wordWrap/>
        <w:overflowPunct/>
        <w:topLinePunct w:val="0"/>
        <w:autoSpaceDE/>
        <w:autoSpaceDN/>
        <w:bidi w:val="0"/>
        <w:adjustRightInd/>
        <w:snapToGrid w:val="0"/>
        <w:spacing w:line="420" w:lineRule="exact"/>
        <w:ind w:firstLine="480" w:firstLineChars="200"/>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（1）《政府采购促进中小企业发展管理办法》（财库〔2020〕46号）；</w:t>
      </w:r>
    </w:p>
    <w:p w14:paraId="19A3E427">
      <w:pPr>
        <w:keepNext w:val="0"/>
        <w:keepLines w:val="0"/>
        <w:pageBreakBefore w:val="0"/>
        <w:widowControl/>
        <w:shd w:val="clear" w:color="auto" w:fill="FFFFFF"/>
        <w:kinsoku/>
        <w:wordWrap/>
        <w:overflowPunct/>
        <w:topLinePunct w:val="0"/>
        <w:autoSpaceDE/>
        <w:autoSpaceDN/>
        <w:bidi w:val="0"/>
        <w:adjustRightInd/>
        <w:snapToGrid w:val="0"/>
        <w:spacing w:line="420" w:lineRule="exact"/>
        <w:ind w:firstLine="480" w:firstLineChars="200"/>
        <w:textAlignment w:val="baseline"/>
        <w:rPr>
          <w:rFonts w:hint="eastAsia" w:ascii="仿宋" w:hAnsi="仿宋" w:eastAsia="仿宋" w:cs="仿宋"/>
          <w:color w:val="auto"/>
          <w:kern w:val="2"/>
          <w:sz w:val="24"/>
          <w:szCs w:val="24"/>
        </w:rPr>
      </w:pPr>
      <w:r>
        <w:rPr>
          <w:rFonts w:hint="eastAsia" w:ascii="仿宋" w:hAnsi="仿宋" w:eastAsia="仿宋" w:cs="仿宋"/>
          <w:color w:val="auto"/>
          <w:sz w:val="24"/>
          <w:szCs w:val="24"/>
        </w:rPr>
        <w:t>（2）《财</w:t>
      </w:r>
      <w:r>
        <w:rPr>
          <w:rFonts w:hint="eastAsia" w:ascii="仿宋" w:hAnsi="仿宋" w:eastAsia="仿宋" w:cs="仿宋"/>
          <w:color w:val="auto"/>
          <w:kern w:val="2"/>
          <w:sz w:val="24"/>
          <w:szCs w:val="24"/>
        </w:rPr>
        <w:t>政部司法部关于政府采购支持监狱企业发展有关问题的通知》（财库〔2014〕68号）；</w:t>
      </w:r>
    </w:p>
    <w:p w14:paraId="40CA5D67">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（3）《国务院办公厅关于建立政府强制采购节能产品制度的通知》（国发办〔2007〕51号）；</w:t>
      </w:r>
      <w:bookmarkStart w:id="17" w:name="_GoBack"/>
      <w:bookmarkEnd w:id="17"/>
    </w:p>
    <w:p w14:paraId="0A3293CB">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（4）《节能产品政府采购实施意见》（财库〔2004〕185号）；</w:t>
      </w:r>
    </w:p>
    <w:p w14:paraId="5DC6E1DE">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（5）《环境标志产品政府采购实施的意见》（财库〔2006〕90号）；</w:t>
      </w:r>
    </w:p>
    <w:p w14:paraId="06F75669">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（6）《三部门联合发布关于促进残疾人就业政府采购政策的通知》（财库〔2017〕141号）；</w:t>
      </w:r>
    </w:p>
    <w:p w14:paraId="655DC9DC">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（7）《财政部发展改革委生态环境部市场监管总局关于调整优化节能产品、环境标志产品政府采购执行机制的通知》（财库〔2019〕9号）；</w:t>
      </w:r>
    </w:p>
    <w:p w14:paraId="67C222A6">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（8）陕西省财政厅关于印发《陕西省中小企业政府采购信用融资办法》（陕财办采〔2018〕23号）；</w:t>
      </w:r>
    </w:p>
    <w:p w14:paraId="4B83A772">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（9）《财政部农业农村部国家乡村振兴局关于运用政府采购政策支持乡村产业振兴的通知》（财库〔2021〕19号）；</w:t>
      </w:r>
    </w:p>
    <w:p w14:paraId="705AE3A3">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（10）《财政部农业农村部国家乡村振兴局中华全国供销合作总社关于印发&lt;关于深入开展政府采购脱贫地区农副产品工作推进乡村产业振兴的实施意见&gt;的通知》（财库〔2021〕20号）；</w:t>
      </w:r>
    </w:p>
    <w:p w14:paraId="556C2859">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（11）《陕西省财政厅关于进一步加强政府绿色采购有关问题的通知》（陕财办采〔2021〕29号）；</w:t>
      </w:r>
    </w:p>
    <w:p w14:paraId="545A0A6E">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（12）《财政部关于在政府采购活动中落实平等对待内外资企业有关政策的通知》（财库〔2021〕35号）</w:t>
      </w:r>
      <w:r>
        <w:rPr>
          <w:rFonts w:hint="eastAsia" w:ascii="仿宋" w:hAnsi="仿宋" w:eastAsia="仿宋" w:cs="仿宋"/>
          <w:color w:val="auto"/>
          <w:kern w:val="2"/>
          <w:sz w:val="24"/>
          <w:szCs w:val="24"/>
          <w:lang w:eastAsia="zh-CN"/>
        </w:rPr>
        <w:t>；</w:t>
      </w:r>
    </w:p>
    <w:p w14:paraId="1B2D8A03">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（13）陕西省财政厅《关于加快推进我省中小企业政府采购信用融资工作的通知》（陕财办采〔2020〕15号）</w:t>
      </w:r>
      <w:r>
        <w:rPr>
          <w:rFonts w:hint="eastAsia" w:ascii="仿宋" w:hAnsi="仿宋" w:eastAsia="仿宋" w:cs="仿宋"/>
          <w:color w:val="auto"/>
          <w:kern w:val="2"/>
          <w:sz w:val="24"/>
          <w:szCs w:val="24"/>
          <w:lang w:eastAsia="zh-CN"/>
        </w:rPr>
        <w:t>；</w:t>
      </w:r>
    </w:p>
    <w:p w14:paraId="6042E78E">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（14）《关于进一步加大政府采购支持中小企业力度的通知》（财库〔2022〕19号）</w:t>
      </w:r>
      <w:r>
        <w:rPr>
          <w:rFonts w:hint="eastAsia" w:ascii="仿宋" w:hAnsi="仿宋" w:eastAsia="仿宋" w:cs="仿宋"/>
          <w:color w:val="auto"/>
          <w:kern w:val="2"/>
          <w:sz w:val="24"/>
          <w:szCs w:val="24"/>
          <w:lang w:eastAsia="zh-CN"/>
        </w:rPr>
        <w:t>；</w:t>
      </w:r>
    </w:p>
    <w:p w14:paraId="6A8DCDA2">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lang w:val="en-US" w:eastAsia="zh-CN"/>
        </w:rPr>
        <w:t>15</w:t>
      </w:r>
      <w:r>
        <w:rPr>
          <w:rFonts w:hint="eastAsia" w:ascii="仿宋" w:hAnsi="仿宋" w:eastAsia="仿宋" w:cs="仿宋"/>
          <w:color w:val="auto"/>
          <w:kern w:val="2"/>
          <w:sz w:val="24"/>
          <w:szCs w:val="24"/>
          <w:lang w:eastAsia="zh-CN"/>
        </w:rPr>
        <w:t>）《陕西省财政厅关于进一步优化政府采购营商环境有关事项的通知》（陕财办采〔2023</w:t>
      </w: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eastAsia="zh-CN"/>
        </w:rPr>
        <w:t>4号）；</w:t>
      </w:r>
    </w:p>
    <w:p w14:paraId="0EF395F0">
      <w:pPr>
        <w:pStyle w:val="12"/>
        <w:keepNext w:val="0"/>
        <w:keepLines w:val="0"/>
        <w:pageBreakBefore w:val="0"/>
        <w:kinsoku/>
        <w:wordWrap/>
        <w:overflowPunct/>
        <w:topLinePunct w:val="0"/>
        <w:autoSpaceDE/>
        <w:autoSpaceDN/>
        <w:bidi w:val="0"/>
        <w:adjustRightInd/>
        <w:snapToGrid w:val="0"/>
        <w:spacing w:before="0" w:beforeAutospacing="0" w:after="0" w:afterAutospacing="0" w:line="42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kern w:val="2"/>
          <w:sz w:val="24"/>
          <w:szCs w:val="24"/>
        </w:rPr>
        <w:t>（</w:t>
      </w:r>
      <w:r>
        <w:rPr>
          <w:rFonts w:hint="eastAsia" w:ascii="仿宋" w:hAnsi="仿宋" w:eastAsia="仿宋" w:cs="仿宋"/>
          <w:color w:val="auto"/>
          <w:kern w:val="2"/>
          <w:sz w:val="24"/>
          <w:szCs w:val="24"/>
          <w:lang w:val="en-US" w:eastAsia="zh-CN"/>
        </w:rPr>
        <w:t>16</w:t>
      </w:r>
      <w:r>
        <w:rPr>
          <w:rFonts w:hint="eastAsia" w:ascii="仿宋" w:hAnsi="仿宋" w:eastAsia="仿宋" w:cs="仿宋"/>
          <w:color w:val="auto"/>
          <w:kern w:val="2"/>
          <w:sz w:val="24"/>
          <w:szCs w:val="24"/>
        </w:rPr>
        <w:t>）其他需要落实的政府采购政策，详见竞争性磋商文件</w:t>
      </w:r>
      <w:r>
        <w:rPr>
          <w:rFonts w:hint="eastAsia" w:ascii="仿宋" w:hAnsi="仿宋" w:eastAsia="仿宋" w:cs="仿宋"/>
          <w:color w:val="auto"/>
          <w:sz w:val="24"/>
          <w:szCs w:val="24"/>
        </w:rPr>
        <w:t>。</w:t>
      </w:r>
    </w:p>
    <w:p w14:paraId="4ED39CF1">
      <w:pPr>
        <w:keepNext w:val="0"/>
        <w:keepLines w:val="0"/>
        <w:pageBreakBefore w:val="0"/>
        <w:widowControl/>
        <w:shd w:val="clear" w:color="auto" w:fill="FFFFFF"/>
        <w:kinsoku/>
        <w:wordWrap/>
        <w:overflowPunct/>
        <w:topLinePunct w:val="0"/>
        <w:autoSpaceDE/>
        <w:autoSpaceDN/>
        <w:bidi w:val="0"/>
        <w:adjustRightInd/>
        <w:snapToGrid w:val="0"/>
        <w:spacing w:line="420" w:lineRule="exact"/>
        <w:textAlignment w:val="baseline"/>
        <w:rPr>
          <w:rFonts w:hint="eastAsia" w:ascii="仿宋" w:hAnsi="仿宋" w:eastAsia="仿宋" w:cs="仿宋"/>
          <w:color w:val="auto"/>
          <w:sz w:val="24"/>
          <w:szCs w:val="24"/>
        </w:rPr>
      </w:pPr>
      <w:r>
        <w:rPr>
          <w:rFonts w:hint="eastAsia" w:ascii="仿宋" w:hAnsi="仿宋" w:eastAsia="仿宋" w:cs="仿宋"/>
          <w:color w:val="auto"/>
          <w:sz w:val="24"/>
          <w:szCs w:val="24"/>
        </w:rPr>
        <w:t>3.本项目的特定资格要求：</w:t>
      </w:r>
    </w:p>
    <w:p w14:paraId="31E72320">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01AB03D8">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（2）法定代表人参加投标时，提供本人身份证复印件；授权代表参加投标时，提供法定代表人授权书、被授权人身份证复印件；</w:t>
      </w:r>
    </w:p>
    <w:p w14:paraId="2FD114B2">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（3）供应商须具备省级或省级以上建设部门颁发的</w:t>
      </w:r>
      <w:r>
        <w:rPr>
          <w:rFonts w:hint="eastAsia" w:ascii="仿宋" w:hAnsi="仿宋" w:eastAsia="仿宋" w:cs="仿宋"/>
          <w:color w:val="auto"/>
          <w:sz w:val="24"/>
          <w:szCs w:val="24"/>
          <w:lang w:val="en-US" w:eastAsia="zh-CN"/>
        </w:rPr>
        <w:t>建设工程</w:t>
      </w:r>
      <w:r>
        <w:rPr>
          <w:rFonts w:hint="eastAsia" w:ascii="仿宋" w:hAnsi="仿宋" w:eastAsia="仿宋" w:cs="仿宋"/>
          <w:color w:val="auto"/>
          <w:sz w:val="24"/>
          <w:szCs w:val="24"/>
        </w:rPr>
        <w:t>质量检测</w:t>
      </w:r>
      <w:r>
        <w:rPr>
          <w:rFonts w:hint="eastAsia" w:ascii="仿宋" w:hAnsi="仿宋" w:eastAsia="仿宋" w:cs="仿宋"/>
          <w:color w:val="auto"/>
          <w:sz w:val="24"/>
          <w:szCs w:val="24"/>
          <w:lang w:val="en-US" w:eastAsia="zh-CN"/>
        </w:rPr>
        <w:t>机构</w:t>
      </w:r>
      <w:r>
        <w:rPr>
          <w:rFonts w:hint="eastAsia" w:ascii="仿宋" w:hAnsi="仿宋" w:eastAsia="仿宋" w:cs="仿宋"/>
          <w:color w:val="auto"/>
          <w:sz w:val="24"/>
          <w:szCs w:val="24"/>
        </w:rPr>
        <w:t>证书（</w:t>
      </w:r>
      <w:r>
        <w:rPr>
          <w:rFonts w:hint="eastAsia" w:ascii="仿宋" w:hAnsi="仿宋" w:eastAsia="仿宋" w:cs="仿宋"/>
          <w:color w:val="auto"/>
          <w:sz w:val="24"/>
          <w:szCs w:val="24"/>
          <w:lang w:val="en-US" w:eastAsia="zh-CN"/>
        </w:rPr>
        <w:t>检测范围含地基基础工程检测、主体结构工程现场检测、钢结构工程检测、设备安装工程检测、建筑节能检测、室内环境检测和见证取样检测</w:t>
      </w:r>
      <w:r>
        <w:rPr>
          <w:rFonts w:hint="eastAsia" w:ascii="仿宋" w:hAnsi="仿宋" w:eastAsia="仿宋" w:cs="仿宋"/>
          <w:color w:val="auto"/>
          <w:sz w:val="24"/>
          <w:szCs w:val="24"/>
        </w:rPr>
        <w:t>），同时具有质量技术监督部门颁发的</w:t>
      </w:r>
      <w:r>
        <w:rPr>
          <w:rFonts w:hint="eastAsia" w:ascii="仿宋" w:hAnsi="仿宋" w:eastAsia="仿宋" w:cs="仿宋"/>
          <w:color w:val="auto"/>
          <w:sz w:val="24"/>
          <w:szCs w:val="24"/>
          <w:lang w:val="en-US" w:eastAsia="zh-CN"/>
        </w:rPr>
        <w:t>检测</w:t>
      </w:r>
      <w:r>
        <w:rPr>
          <w:rFonts w:hint="eastAsia" w:ascii="仿宋" w:hAnsi="仿宋" w:cs="仿宋"/>
          <w:color w:val="auto"/>
          <w:sz w:val="24"/>
          <w:szCs w:val="24"/>
          <w:lang w:val="en-US" w:eastAsia="zh-CN"/>
        </w:rPr>
        <w:t>检验</w:t>
      </w:r>
      <w:r>
        <w:rPr>
          <w:rFonts w:hint="eastAsia" w:ascii="仿宋" w:hAnsi="仿宋" w:eastAsia="仿宋" w:cs="仿宋"/>
          <w:color w:val="auto"/>
          <w:sz w:val="24"/>
          <w:szCs w:val="24"/>
          <w:lang w:val="en-US" w:eastAsia="zh-CN"/>
        </w:rPr>
        <w:t>机构资质认定</w:t>
      </w:r>
      <w:r>
        <w:rPr>
          <w:rFonts w:hint="eastAsia" w:ascii="仿宋" w:hAnsi="仿宋" w:eastAsia="仿宋" w:cs="仿宋"/>
          <w:color w:val="auto"/>
          <w:sz w:val="24"/>
          <w:szCs w:val="24"/>
        </w:rPr>
        <w:t>（CMA）证书；</w:t>
      </w:r>
    </w:p>
    <w:p w14:paraId="394FBE27">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（4）税收缴纳证明：提供截止开标时间12个月以内已缴纳的至少一个月的纳税证明或完税证明（任意税种），依法免税的单位应提供相关证明材料；</w:t>
      </w:r>
    </w:p>
    <w:p w14:paraId="47751AF3">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（5）社会保障资金缴纳证明：提供截止开标时间12个月以内已缴存的至少一个月的社会保障资金缴存单据或社保机构开具的社会保险参保缴费情况证明，依法不需要缴纳社会保障资金的单位应提供相关证明材料；</w:t>
      </w:r>
    </w:p>
    <w:p w14:paraId="1123057D">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（6）参加本次政府采购活动前三年内在经营活动中没有重大违纪，以及未被列入失信被执行人、重大税收违法案件当事人名单、政府采购严重违法失信行为记录名单的书面声明；</w:t>
      </w:r>
    </w:p>
    <w:p w14:paraId="32DF3A5E">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114288A8">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（8）本项目为专门面向中小企业项目，本项目采购标的对应的中小企业划分标准所属行业为：建筑</w:t>
      </w:r>
      <w:r>
        <w:rPr>
          <w:rFonts w:hint="eastAsia" w:ascii="仿宋" w:hAnsi="仿宋" w:eastAsia="仿宋" w:cs="仿宋"/>
          <w:color w:val="auto"/>
          <w:sz w:val="24"/>
          <w:szCs w:val="24"/>
          <w:lang w:val="en-US" w:eastAsia="zh-CN"/>
        </w:rPr>
        <w:t>工程</w:t>
      </w:r>
      <w:r>
        <w:rPr>
          <w:rFonts w:hint="eastAsia" w:ascii="仿宋" w:hAnsi="仿宋" w:eastAsia="仿宋" w:cs="仿宋"/>
          <w:color w:val="auto"/>
          <w:sz w:val="24"/>
          <w:szCs w:val="24"/>
        </w:rPr>
        <w:t>业；</w:t>
      </w:r>
    </w:p>
    <w:p w14:paraId="62C0967A">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三、获取采购文件</w:t>
      </w:r>
    </w:p>
    <w:p w14:paraId="1159A75B">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时间：2025年05月</w:t>
      </w:r>
      <w:r>
        <w:rPr>
          <w:rFonts w:hint="eastAsia" w:ascii="仿宋" w:hAnsi="仿宋" w:cs="仿宋"/>
          <w:color w:val="333333"/>
          <w:sz w:val="24"/>
          <w:szCs w:val="24"/>
          <w:lang w:val="en-US" w:eastAsia="zh-CN"/>
        </w:rPr>
        <w:t>14</w:t>
      </w:r>
      <w:r>
        <w:rPr>
          <w:rFonts w:hint="eastAsia" w:ascii="仿宋" w:hAnsi="仿宋" w:eastAsia="仿宋" w:cs="仿宋"/>
          <w:color w:val="333333"/>
          <w:sz w:val="24"/>
          <w:szCs w:val="24"/>
        </w:rPr>
        <w:t>日 至 2025年05月</w:t>
      </w:r>
      <w:r>
        <w:rPr>
          <w:rFonts w:hint="eastAsia" w:ascii="仿宋" w:hAnsi="仿宋" w:cs="仿宋"/>
          <w:color w:val="333333"/>
          <w:sz w:val="24"/>
          <w:szCs w:val="24"/>
          <w:lang w:val="en-US" w:eastAsia="zh-CN"/>
        </w:rPr>
        <w:t>20</w:t>
      </w:r>
      <w:r>
        <w:rPr>
          <w:rFonts w:hint="eastAsia" w:ascii="仿宋" w:hAnsi="仿宋" w:eastAsia="仿宋" w:cs="仿宋"/>
          <w:color w:val="333333"/>
          <w:sz w:val="24"/>
          <w:szCs w:val="24"/>
        </w:rPr>
        <w:t>日 ，每天上午 08:00:00 至 12:00:00 ，下午 </w:t>
      </w:r>
      <w:r>
        <w:rPr>
          <w:rFonts w:hint="eastAsia" w:ascii="仿宋" w:hAnsi="仿宋" w:eastAsia="仿宋" w:cs="仿宋"/>
          <w:color w:val="333333"/>
          <w:sz w:val="24"/>
          <w:szCs w:val="24"/>
          <w:lang w:val="en-US" w:eastAsia="zh-CN"/>
        </w:rPr>
        <w:t>14</w:t>
      </w:r>
      <w:r>
        <w:rPr>
          <w:rFonts w:hint="eastAsia" w:ascii="仿宋" w:hAnsi="仿宋" w:eastAsia="仿宋" w:cs="仿宋"/>
          <w:color w:val="333333"/>
          <w:sz w:val="24"/>
          <w:szCs w:val="24"/>
        </w:rPr>
        <w:t>:00:00 至 18:00:00 （北京时间）</w:t>
      </w:r>
    </w:p>
    <w:p w14:paraId="4C795289">
      <w:pPr>
        <w:keepNext w:val="0"/>
        <w:keepLines w:val="0"/>
        <w:pageBreakBefore w:val="0"/>
        <w:kinsoku/>
        <w:wordWrap/>
        <w:overflowPunct/>
        <w:topLinePunct w:val="0"/>
        <w:autoSpaceDE/>
        <w:autoSpaceDN/>
        <w:bidi w:val="0"/>
        <w:adjustRightInd/>
        <w:spacing w:line="420" w:lineRule="exact"/>
        <w:ind w:firstLine="480" w:firstLineChars="200"/>
        <w:rPr>
          <w:rFonts w:hint="eastAsia" w:ascii="仿宋" w:hAnsi="仿宋" w:eastAsia="仿宋" w:cs="仿宋"/>
          <w:sz w:val="24"/>
          <w:szCs w:val="24"/>
        </w:rPr>
      </w:pPr>
      <w:r>
        <w:rPr>
          <w:rFonts w:hint="eastAsia" w:ascii="仿宋" w:hAnsi="仿宋" w:eastAsia="仿宋" w:cs="仿宋"/>
          <w:color w:val="333333"/>
          <w:sz w:val="24"/>
          <w:szCs w:val="24"/>
        </w:rPr>
        <w:t>途径：</w:t>
      </w:r>
      <w:r>
        <w:rPr>
          <w:rFonts w:hint="eastAsia" w:ascii="仿宋" w:hAnsi="仿宋" w:eastAsia="仿宋" w:cs="仿宋"/>
          <w:color w:val="000000"/>
          <w:sz w:val="24"/>
          <w:szCs w:val="24"/>
        </w:rPr>
        <w:t>宁陕县城关镇关池路23号东升府小区二号楼一层</w:t>
      </w:r>
    </w:p>
    <w:p w14:paraId="46704792">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方式：</w:t>
      </w:r>
      <w:r>
        <w:rPr>
          <w:rFonts w:hint="eastAsia" w:ascii="仿宋" w:hAnsi="仿宋" w:eastAsia="仿宋" w:cs="仿宋"/>
          <w:color w:val="333333"/>
          <w:sz w:val="24"/>
          <w:szCs w:val="24"/>
          <w:lang w:val="en-US" w:eastAsia="zh-CN"/>
        </w:rPr>
        <w:t>现场获取</w:t>
      </w:r>
    </w:p>
    <w:p w14:paraId="5C7677DD">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FF0000"/>
          <w:sz w:val="24"/>
          <w:szCs w:val="24"/>
        </w:rPr>
      </w:pPr>
      <w:r>
        <w:rPr>
          <w:rFonts w:hint="eastAsia" w:ascii="仿宋" w:hAnsi="仿宋" w:eastAsia="仿宋" w:cs="仿宋"/>
          <w:color w:val="333333"/>
          <w:sz w:val="24"/>
          <w:szCs w:val="24"/>
        </w:rPr>
        <w:t>售价</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300</w:t>
      </w:r>
      <w:r>
        <w:rPr>
          <w:rFonts w:hint="eastAsia" w:ascii="仿宋" w:hAnsi="仿宋" w:eastAsia="仿宋" w:cs="仿宋"/>
          <w:color w:val="000000" w:themeColor="text1"/>
          <w:sz w:val="24"/>
          <w:szCs w:val="24"/>
          <w14:textFill>
            <w14:solidFill>
              <w14:schemeClr w14:val="tx1"/>
            </w14:solidFill>
          </w14:textFill>
        </w:rPr>
        <w:t>元</w:t>
      </w:r>
    </w:p>
    <w:p w14:paraId="47E15298">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四、响应文件提交</w:t>
      </w:r>
    </w:p>
    <w:p w14:paraId="2A2A6DFB">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截止时间：2025年05月</w:t>
      </w:r>
      <w:r>
        <w:rPr>
          <w:rFonts w:hint="eastAsia" w:ascii="仿宋" w:hAnsi="仿宋" w:eastAsia="仿宋" w:cs="仿宋"/>
          <w:color w:val="333333"/>
          <w:sz w:val="24"/>
          <w:szCs w:val="24"/>
          <w:lang w:val="en-US" w:eastAsia="zh-CN"/>
        </w:rPr>
        <w:t>2</w:t>
      </w:r>
      <w:r>
        <w:rPr>
          <w:rFonts w:hint="eastAsia" w:ascii="仿宋" w:hAnsi="仿宋" w:cs="仿宋"/>
          <w:color w:val="333333"/>
          <w:sz w:val="24"/>
          <w:szCs w:val="24"/>
          <w:lang w:val="en-US" w:eastAsia="zh-CN"/>
        </w:rPr>
        <w:t>6</w:t>
      </w:r>
      <w:r>
        <w:rPr>
          <w:rFonts w:hint="eastAsia" w:ascii="仿宋" w:hAnsi="仿宋" w:eastAsia="仿宋" w:cs="仿宋"/>
          <w:color w:val="000000" w:themeColor="text1"/>
          <w:sz w:val="24"/>
          <w:szCs w:val="24"/>
          <w14:textFill>
            <w14:solidFill>
              <w14:schemeClr w14:val="tx1"/>
            </w14:solidFill>
          </w14:textFill>
        </w:rPr>
        <w:t>日 09时00分00秒 </w:t>
      </w:r>
      <w:r>
        <w:rPr>
          <w:rFonts w:hint="eastAsia" w:ascii="仿宋" w:hAnsi="仿宋" w:eastAsia="仿宋" w:cs="仿宋"/>
          <w:color w:val="333333"/>
          <w:sz w:val="24"/>
          <w:szCs w:val="24"/>
        </w:rPr>
        <w:t>（北京时间）</w:t>
      </w:r>
    </w:p>
    <w:p w14:paraId="38CA0B14">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地点：</w:t>
      </w:r>
      <w:r>
        <w:rPr>
          <w:rFonts w:hint="eastAsia" w:ascii="仿宋" w:hAnsi="仿宋" w:eastAsia="仿宋" w:cs="仿宋"/>
          <w:color w:val="000000"/>
          <w:sz w:val="24"/>
          <w:szCs w:val="24"/>
        </w:rPr>
        <w:t>宁陕县城关镇关池路23号东升府小区二号楼一层</w:t>
      </w:r>
    </w:p>
    <w:p w14:paraId="3A17D063">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五、开启</w:t>
      </w:r>
    </w:p>
    <w:p w14:paraId="3EA242CD">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时间： 2025年05月</w:t>
      </w:r>
      <w:r>
        <w:rPr>
          <w:rFonts w:hint="eastAsia" w:ascii="仿宋" w:hAnsi="仿宋" w:eastAsia="仿宋" w:cs="仿宋"/>
          <w:color w:val="333333"/>
          <w:sz w:val="24"/>
          <w:szCs w:val="24"/>
          <w:lang w:val="en-US" w:eastAsia="zh-CN"/>
        </w:rPr>
        <w:t>2</w:t>
      </w:r>
      <w:r>
        <w:rPr>
          <w:rFonts w:hint="eastAsia" w:ascii="仿宋" w:hAnsi="仿宋" w:cs="仿宋"/>
          <w:color w:val="333333"/>
          <w:sz w:val="24"/>
          <w:szCs w:val="24"/>
          <w:lang w:val="en-US" w:eastAsia="zh-CN"/>
        </w:rPr>
        <w:t>6</w:t>
      </w:r>
      <w:r>
        <w:rPr>
          <w:rFonts w:hint="eastAsia" w:ascii="仿宋" w:hAnsi="仿宋" w:eastAsia="仿宋" w:cs="仿宋"/>
          <w:color w:val="333333"/>
          <w:sz w:val="24"/>
          <w:szCs w:val="24"/>
        </w:rPr>
        <w:t>日</w:t>
      </w:r>
      <w:r>
        <w:rPr>
          <w:rFonts w:hint="eastAsia" w:ascii="仿宋" w:hAnsi="仿宋" w:eastAsia="仿宋" w:cs="仿宋"/>
          <w:color w:val="000000" w:themeColor="text1"/>
          <w:sz w:val="24"/>
          <w:szCs w:val="24"/>
          <w14:textFill>
            <w14:solidFill>
              <w14:schemeClr w14:val="tx1"/>
            </w14:solidFill>
          </w14:textFill>
        </w:rPr>
        <w:t xml:space="preserve"> 09时00分00秒 </w:t>
      </w:r>
      <w:r>
        <w:rPr>
          <w:rFonts w:hint="eastAsia" w:ascii="仿宋" w:hAnsi="仿宋" w:eastAsia="仿宋" w:cs="仿宋"/>
          <w:color w:val="333333"/>
          <w:sz w:val="24"/>
          <w:szCs w:val="24"/>
        </w:rPr>
        <w:t>（北京时间）</w:t>
      </w:r>
    </w:p>
    <w:p w14:paraId="71E98E55">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地点：</w:t>
      </w:r>
      <w:r>
        <w:rPr>
          <w:rFonts w:hint="eastAsia" w:ascii="仿宋" w:hAnsi="仿宋" w:eastAsia="仿宋" w:cs="仿宋"/>
          <w:color w:val="000000"/>
          <w:sz w:val="24"/>
          <w:szCs w:val="24"/>
        </w:rPr>
        <w:t>宁陕县城关镇关池路23号东升府小区二号楼一层</w:t>
      </w:r>
    </w:p>
    <w:p w14:paraId="2806473F">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六、公告期限</w:t>
      </w:r>
    </w:p>
    <w:p w14:paraId="13E7F2D0">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自本公告发布之日起</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个工作日。</w:t>
      </w:r>
    </w:p>
    <w:p w14:paraId="445ACE82">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七、其他补充事宜</w:t>
      </w:r>
    </w:p>
    <w:p w14:paraId="6C536783">
      <w:pPr>
        <w:keepNext w:val="0"/>
        <w:keepLines w:val="0"/>
        <w:pageBreakBefore w:val="0"/>
        <w:kinsoku/>
        <w:wordWrap/>
        <w:overflowPunct/>
        <w:topLinePunct w:val="0"/>
        <w:autoSpaceDE/>
        <w:autoSpaceDN/>
        <w:bidi w:val="0"/>
        <w:adjustRightInd/>
        <w:spacing w:line="420" w:lineRule="exact"/>
        <w:ind w:firstLine="480" w:firstLineChars="200"/>
        <w:textAlignment w:val="baseline"/>
        <w:outlineLvl w:val="3"/>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潜在供应商获取竞争性磋商文件时需出示获取人身份证原件，并提交供应商出具的对获取人的介绍信原件（加盖公章）以及获取人身份证复印件（加盖公章），本项目竞争性磋商文件不提供邮寄，须现场现金购买，售后不退。  </w:t>
      </w:r>
    </w:p>
    <w:p w14:paraId="5870D615">
      <w:pPr>
        <w:keepNext w:val="0"/>
        <w:keepLines w:val="0"/>
        <w:pageBreakBefore w:val="0"/>
        <w:kinsoku/>
        <w:wordWrap/>
        <w:overflowPunct/>
        <w:topLinePunct w:val="0"/>
        <w:autoSpaceDE/>
        <w:autoSpaceDN/>
        <w:bidi w:val="0"/>
        <w:adjustRightInd/>
        <w:spacing w:line="420" w:lineRule="exact"/>
        <w:ind w:firstLine="480" w:firstLineChars="200"/>
        <w:textAlignment w:val="baseline"/>
        <w:outlineLvl w:val="3"/>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2、本次采购落实政府采购政策：（1）《政府采购促进中小企业发展管理办法》（财库〔2020〕46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农业农村部国家乡村振兴局关于运用政府采购政策支持乡村产业振兴的通知》（财库〔2021〕19号）；（6）《财政部农业农村部国家乡村振兴局中华全国供销合作总社关于印发&lt;关于深入开展政府采购脱贫地区农副产品工作推进乡村产业振兴的实施意见&gt;的通知》（财库〔2021〕20号）；（7）《陕西省财政厅关于进一步加强政府绿色采购有关问题的通知》（陕财办采〔2021〕29号）；（8）《财政部关于在政府采购活动中落实平等对待内外资企业有关政策的通知》（财库〔2021〕35号）；（9）陕西省财政厅《关于加快推进我省中小企业政府采购信用融资工作的通知》（陕财办采〔2020〕15号）；（10）《关于进一步加大政府采购支持中小企业力度的通知》（财库〔2022〕19号）；（11）《陕西省财政厅、中国人民银行西安分行关于深入推进政府采购信用融资业务的通知》 陕财办采〔2023〕5号；（12）按相关规定需要落实的其他政府采购政策。</w:t>
      </w:r>
    </w:p>
    <w:p w14:paraId="2A12F9BF">
      <w:pPr>
        <w:keepNext w:val="0"/>
        <w:keepLines w:val="0"/>
        <w:pageBreakBefore w:val="0"/>
        <w:kinsoku/>
        <w:wordWrap/>
        <w:overflowPunct/>
        <w:topLinePunct w:val="0"/>
        <w:autoSpaceDE/>
        <w:autoSpaceDN/>
        <w:bidi w:val="0"/>
        <w:adjustRightInd/>
        <w:spacing w:line="420" w:lineRule="exact"/>
        <w:textAlignment w:val="baseline"/>
        <w:outlineLvl w:val="3"/>
        <w:rPr>
          <w:rFonts w:hint="eastAsia" w:ascii="仿宋" w:hAnsi="仿宋" w:eastAsia="仿宋" w:cs="仿宋"/>
          <w:color w:val="333333"/>
          <w:sz w:val="22"/>
          <w:szCs w:val="22"/>
        </w:rPr>
      </w:pPr>
      <w:r>
        <w:rPr>
          <w:rFonts w:hint="eastAsia" w:ascii="仿宋" w:hAnsi="仿宋" w:eastAsia="仿宋" w:cs="仿宋"/>
          <w:b/>
          <w:bCs/>
          <w:color w:val="333333"/>
          <w:sz w:val="22"/>
          <w:szCs w:val="22"/>
        </w:rPr>
        <w:t>八、对本次招标提出询问，请按以下方式联系。</w:t>
      </w:r>
    </w:p>
    <w:p w14:paraId="3503D799">
      <w:pPr>
        <w:keepNext w:val="0"/>
        <w:keepLines w:val="0"/>
        <w:pageBreakBefore w:val="0"/>
        <w:kinsoku/>
        <w:wordWrap/>
        <w:overflowPunct/>
        <w:topLinePunct w:val="0"/>
        <w:autoSpaceDE/>
        <w:autoSpaceDN/>
        <w:bidi w:val="0"/>
        <w:adjustRightInd/>
        <w:spacing w:line="420" w:lineRule="exact"/>
        <w:textAlignment w:val="baseline"/>
        <w:outlineLvl w:val="5"/>
        <w:rPr>
          <w:rFonts w:hint="eastAsia" w:ascii="仿宋" w:hAnsi="仿宋" w:eastAsia="仿宋" w:cs="仿宋"/>
          <w:color w:val="333333"/>
          <w:sz w:val="24"/>
          <w:szCs w:val="24"/>
        </w:rPr>
      </w:pPr>
      <w:r>
        <w:rPr>
          <w:rFonts w:hint="eastAsia" w:ascii="仿宋" w:hAnsi="仿宋" w:eastAsia="仿宋" w:cs="仿宋"/>
          <w:color w:val="333333"/>
          <w:sz w:val="24"/>
          <w:szCs w:val="24"/>
        </w:rPr>
        <w:t>1.采购人信息</w:t>
      </w:r>
    </w:p>
    <w:p w14:paraId="6F72DFCC">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名称：宁陕县人力资源社会保障和民政局</w:t>
      </w:r>
    </w:p>
    <w:p w14:paraId="25007F6F">
      <w:pPr>
        <w:keepNext w:val="0"/>
        <w:keepLines w:val="0"/>
        <w:pageBreakBefore w:val="0"/>
        <w:kinsoku/>
        <w:wordWrap/>
        <w:overflowPunct/>
        <w:topLinePunct w:val="0"/>
        <w:autoSpaceDE/>
        <w:autoSpaceDN/>
        <w:bidi w:val="0"/>
        <w:adjustRightInd/>
        <w:spacing w:line="4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color w:val="333333"/>
          <w:sz w:val="24"/>
          <w:szCs w:val="24"/>
        </w:rPr>
        <w:t>地址</w:t>
      </w:r>
      <w:r>
        <w:rPr>
          <w:rFonts w:hint="eastAsia" w:ascii="仿宋" w:hAnsi="仿宋" w:eastAsia="仿宋" w:cs="仿宋"/>
          <w:color w:val="000000"/>
          <w:sz w:val="24"/>
          <w:szCs w:val="24"/>
        </w:rPr>
        <w:t>：安康市宁陕县</w:t>
      </w:r>
      <w:r>
        <w:rPr>
          <w:rFonts w:hint="eastAsia" w:ascii="仿宋" w:hAnsi="仿宋" w:eastAsia="仿宋" w:cs="仿宋"/>
          <w:color w:val="000000"/>
          <w:sz w:val="24"/>
          <w:szCs w:val="24"/>
          <w:lang w:val="en-US" w:eastAsia="zh-CN"/>
        </w:rPr>
        <w:t>文化大厦11楼</w:t>
      </w:r>
    </w:p>
    <w:p w14:paraId="1F259593">
      <w:pPr>
        <w:keepNext w:val="0"/>
        <w:keepLines w:val="0"/>
        <w:pageBreakBefore w:val="0"/>
        <w:kinsoku/>
        <w:wordWrap/>
        <w:overflowPunct/>
        <w:topLinePunct w:val="0"/>
        <w:autoSpaceDE/>
        <w:autoSpaceDN/>
        <w:bidi w:val="0"/>
        <w:adjustRightIn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333333"/>
          <w:sz w:val="24"/>
          <w:szCs w:val="24"/>
        </w:rPr>
        <w:t>联系方式：</w:t>
      </w:r>
      <w:r>
        <w:rPr>
          <w:rFonts w:hint="eastAsia" w:ascii="仿宋" w:hAnsi="仿宋" w:eastAsia="仿宋" w:cs="仿宋"/>
          <w:color w:val="000000"/>
          <w:sz w:val="24"/>
          <w:szCs w:val="24"/>
        </w:rPr>
        <w:t>15191568168</w:t>
      </w:r>
    </w:p>
    <w:p w14:paraId="7FE7F07B">
      <w:pPr>
        <w:keepNext w:val="0"/>
        <w:keepLines w:val="0"/>
        <w:pageBreakBefore w:val="0"/>
        <w:kinsoku/>
        <w:wordWrap/>
        <w:overflowPunct/>
        <w:topLinePunct w:val="0"/>
        <w:autoSpaceDE/>
        <w:autoSpaceDN/>
        <w:bidi w:val="0"/>
        <w:adjustRightInd/>
        <w:spacing w:line="420" w:lineRule="exact"/>
        <w:textAlignment w:val="baseline"/>
        <w:outlineLvl w:val="5"/>
        <w:rPr>
          <w:rFonts w:hint="eastAsia" w:ascii="仿宋" w:hAnsi="仿宋" w:eastAsia="仿宋" w:cs="仿宋"/>
          <w:color w:val="333333"/>
          <w:sz w:val="24"/>
          <w:szCs w:val="24"/>
        </w:rPr>
      </w:pPr>
      <w:r>
        <w:rPr>
          <w:rFonts w:hint="eastAsia" w:ascii="仿宋" w:hAnsi="仿宋" w:eastAsia="仿宋" w:cs="仿宋"/>
          <w:color w:val="333333"/>
          <w:sz w:val="24"/>
          <w:szCs w:val="24"/>
        </w:rPr>
        <w:t>2.采购代理机构信息</w:t>
      </w:r>
    </w:p>
    <w:p w14:paraId="000194DA">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名称：同正项目管理有限公司</w:t>
      </w:r>
    </w:p>
    <w:p w14:paraId="7EFC2A46">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000000"/>
          <w:sz w:val="24"/>
          <w:szCs w:val="24"/>
        </w:rPr>
      </w:pPr>
      <w:r>
        <w:rPr>
          <w:rFonts w:hint="eastAsia" w:ascii="仿宋" w:hAnsi="仿宋" w:eastAsia="仿宋" w:cs="仿宋"/>
          <w:color w:val="333333"/>
          <w:sz w:val="24"/>
          <w:szCs w:val="24"/>
        </w:rPr>
        <w:t>地址：</w:t>
      </w:r>
      <w:r>
        <w:rPr>
          <w:rFonts w:hint="eastAsia" w:ascii="仿宋" w:hAnsi="仿宋" w:eastAsia="仿宋" w:cs="仿宋"/>
          <w:color w:val="000000"/>
          <w:sz w:val="24"/>
          <w:szCs w:val="24"/>
        </w:rPr>
        <w:t>宁陕县城关镇关池路23号东升府小区二号楼一层</w:t>
      </w:r>
    </w:p>
    <w:p w14:paraId="4AEC56A1">
      <w:pPr>
        <w:keepNext w:val="0"/>
        <w:keepLines w:val="0"/>
        <w:pageBreakBefore w:val="0"/>
        <w:kinsoku/>
        <w:wordWrap/>
        <w:overflowPunct/>
        <w:topLinePunct w:val="0"/>
        <w:autoSpaceDE/>
        <w:autoSpaceDN/>
        <w:bidi w:val="0"/>
        <w:adjustRightInd/>
        <w:spacing w:line="420" w:lineRule="exact"/>
        <w:ind w:firstLine="480"/>
        <w:textAlignment w:val="baseline"/>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联系方式：</w:t>
      </w:r>
      <w:r>
        <w:rPr>
          <w:rFonts w:hint="eastAsia" w:ascii="仿宋" w:hAnsi="仿宋" w:cs="仿宋"/>
          <w:color w:val="333333"/>
          <w:sz w:val="24"/>
          <w:szCs w:val="24"/>
          <w:lang w:val="en-US" w:eastAsia="zh-CN"/>
        </w:rPr>
        <w:t>17349169996</w:t>
      </w:r>
    </w:p>
    <w:p w14:paraId="67C42A9D">
      <w:pPr>
        <w:keepNext w:val="0"/>
        <w:keepLines w:val="0"/>
        <w:pageBreakBefore w:val="0"/>
        <w:kinsoku/>
        <w:wordWrap/>
        <w:overflowPunct/>
        <w:topLinePunct w:val="0"/>
        <w:autoSpaceDE/>
        <w:autoSpaceDN/>
        <w:bidi w:val="0"/>
        <w:adjustRightInd/>
        <w:spacing w:line="420" w:lineRule="exact"/>
        <w:textAlignment w:val="baseline"/>
        <w:outlineLvl w:val="5"/>
        <w:rPr>
          <w:rFonts w:hint="eastAsia" w:ascii="仿宋" w:hAnsi="仿宋" w:eastAsia="仿宋" w:cs="仿宋"/>
          <w:color w:val="333333"/>
          <w:sz w:val="24"/>
          <w:szCs w:val="24"/>
        </w:rPr>
      </w:pPr>
      <w:r>
        <w:rPr>
          <w:rFonts w:hint="eastAsia" w:ascii="仿宋" w:hAnsi="仿宋" w:eastAsia="仿宋" w:cs="仿宋"/>
          <w:color w:val="333333"/>
          <w:sz w:val="24"/>
          <w:szCs w:val="24"/>
        </w:rPr>
        <w:t>3.项目联系方式 </w:t>
      </w:r>
    </w:p>
    <w:p w14:paraId="6BA3B7DA">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项目联系人：</w:t>
      </w:r>
      <w:r>
        <w:rPr>
          <w:rFonts w:hint="eastAsia" w:ascii="仿宋" w:hAnsi="仿宋" w:eastAsia="仿宋" w:cs="仿宋"/>
          <w:color w:val="333333"/>
          <w:sz w:val="24"/>
          <w:szCs w:val="24"/>
          <w:lang w:val="en-US" w:eastAsia="zh-CN"/>
        </w:rPr>
        <w:t>徐</w:t>
      </w:r>
      <w:r>
        <w:rPr>
          <w:rFonts w:hint="eastAsia" w:ascii="仿宋" w:hAnsi="仿宋" w:eastAsia="仿宋" w:cs="仿宋"/>
          <w:color w:val="333333"/>
          <w:sz w:val="24"/>
          <w:szCs w:val="24"/>
        </w:rPr>
        <w:t>工</w:t>
      </w:r>
    </w:p>
    <w:p w14:paraId="02D118D7">
      <w:pPr>
        <w:keepNext w:val="0"/>
        <w:keepLines w:val="0"/>
        <w:pageBreakBefore w:val="0"/>
        <w:kinsoku/>
        <w:wordWrap/>
        <w:overflowPunct/>
        <w:topLinePunct w:val="0"/>
        <w:autoSpaceDE/>
        <w:autoSpaceDN/>
        <w:bidi w:val="0"/>
        <w:adjustRightInd/>
        <w:spacing w:line="420" w:lineRule="exact"/>
        <w:ind w:firstLine="480"/>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电话：</w:t>
      </w:r>
      <w:r>
        <w:rPr>
          <w:rFonts w:hint="eastAsia" w:ascii="仿宋" w:hAnsi="仿宋" w:cs="仿宋"/>
          <w:color w:val="333333"/>
          <w:sz w:val="24"/>
          <w:szCs w:val="24"/>
          <w:lang w:val="en-US" w:eastAsia="zh-CN"/>
        </w:rPr>
        <w:t>17349169996</w:t>
      </w:r>
    </w:p>
    <w:p w14:paraId="2AB2A049">
      <w:pPr>
        <w:keepNext w:val="0"/>
        <w:keepLines w:val="0"/>
        <w:pageBreakBefore w:val="0"/>
        <w:kinsoku/>
        <w:wordWrap/>
        <w:overflowPunct/>
        <w:topLinePunct w:val="0"/>
        <w:autoSpaceDE/>
        <w:autoSpaceDN/>
        <w:bidi w:val="0"/>
        <w:adjustRightInd/>
        <w:spacing w:line="420" w:lineRule="exact"/>
        <w:ind w:firstLine="480"/>
        <w:jc w:val="right"/>
        <w:textAlignment w:val="baseline"/>
        <w:rPr>
          <w:rFonts w:hint="eastAsia" w:ascii="仿宋" w:hAnsi="仿宋" w:eastAsia="仿宋" w:cs="仿宋"/>
          <w:color w:val="333333"/>
          <w:sz w:val="24"/>
          <w:szCs w:val="24"/>
        </w:rPr>
      </w:pPr>
      <w:r>
        <w:rPr>
          <w:rFonts w:hint="eastAsia" w:ascii="仿宋" w:hAnsi="仿宋" w:eastAsia="仿宋" w:cs="仿宋"/>
          <w:color w:val="333333"/>
          <w:sz w:val="24"/>
          <w:szCs w:val="24"/>
        </w:rPr>
        <w:t>同正项目管理有限公司</w:t>
      </w:r>
    </w:p>
    <w:p w14:paraId="21BBE27F">
      <w:pPr>
        <w:keepNext w:val="0"/>
        <w:keepLines w:val="0"/>
        <w:pageBreakBefore w:val="0"/>
        <w:kinsoku/>
        <w:wordWrap/>
        <w:overflowPunct/>
        <w:topLinePunct w:val="0"/>
        <w:autoSpaceDE/>
        <w:autoSpaceDN/>
        <w:bidi w:val="0"/>
        <w:adjustRightInd/>
        <w:spacing w:line="420" w:lineRule="exact"/>
        <w:ind w:firstLine="480"/>
        <w:jc w:val="right"/>
        <w:textAlignment w:val="baseline"/>
        <w:rPr>
          <w:rFonts w:hint="eastAsia" w:ascii="仿宋" w:hAnsi="仿宋" w:eastAsia="仿宋" w:cs="仿宋"/>
          <w:color w:val="333333"/>
          <w:sz w:val="28"/>
          <w:szCs w:val="28"/>
        </w:rPr>
      </w:pPr>
      <w:r>
        <w:rPr>
          <w:rFonts w:hint="eastAsia" w:ascii="仿宋" w:hAnsi="仿宋" w:eastAsia="仿宋" w:cs="仿宋"/>
          <w:color w:val="333333"/>
          <w:sz w:val="24"/>
          <w:szCs w:val="24"/>
        </w:rPr>
        <w:t>2025年05月</w:t>
      </w:r>
      <w:r>
        <w:rPr>
          <w:rFonts w:hint="eastAsia" w:ascii="仿宋" w:hAnsi="仿宋" w:cs="仿宋"/>
          <w:color w:val="333333"/>
          <w:sz w:val="24"/>
          <w:szCs w:val="24"/>
          <w:lang w:val="en-US" w:eastAsia="zh-CN"/>
        </w:rPr>
        <w:t>13</w:t>
      </w:r>
      <w:r>
        <w:rPr>
          <w:rFonts w:hint="eastAsia" w:ascii="仿宋" w:hAnsi="仿宋" w:eastAsia="仿宋" w:cs="仿宋"/>
          <w:color w:val="333333"/>
          <w:sz w:val="24"/>
          <w:szCs w:val="24"/>
        </w:rPr>
        <w:t>日</w:t>
      </w:r>
    </w:p>
    <w:p w14:paraId="3EED5660">
      <w:pPr>
        <w:pStyle w:val="23"/>
        <w:rPr>
          <w:rFonts w:hint="eastAsia" w:ascii="仿宋" w:hAnsi="仿宋" w:eastAsia="仿宋" w:cs="仿宋"/>
          <w:sz w:val="28"/>
          <w:szCs w:val="28"/>
        </w:rPr>
      </w:pPr>
    </w:p>
    <w:p w14:paraId="7FF02940">
      <w:pPr>
        <w:pStyle w:val="23"/>
        <w:rPr>
          <w:rFonts w:hint="eastAsia" w:ascii="仿宋" w:hAnsi="仿宋" w:eastAsia="仿宋" w:cs="仿宋"/>
          <w:sz w:val="24"/>
          <w:szCs w:val="24"/>
        </w:rPr>
      </w:pPr>
    </w:p>
    <w:p w14:paraId="559D5109">
      <w:pPr>
        <w:rPr>
          <w:rFonts w:hint="eastAsia"/>
          <w:sz w:val="24"/>
          <w:szCs w:val="24"/>
        </w:rPr>
      </w:pPr>
      <w:bookmarkStart w:id="1" w:name="_Toc17924"/>
      <w:bookmarkStart w:id="2" w:name="_Toc19802"/>
    </w:p>
    <w:p w14:paraId="670267E1">
      <w:pPr>
        <w:rPr>
          <w:rFonts w:hint="eastAsia"/>
          <w:sz w:val="24"/>
          <w:szCs w:val="24"/>
        </w:rPr>
      </w:pPr>
    </w:p>
    <w:p w14:paraId="7A67E054">
      <w:pPr>
        <w:pStyle w:val="2"/>
        <w:spacing w:before="120" w:after="120"/>
        <w:jc w:val="center"/>
        <w:rPr>
          <w:sz w:val="24"/>
          <w:szCs w:val="24"/>
        </w:rPr>
      </w:pPr>
      <w:r>
        <w:rPr>
          <w:rFonts w:hint="eastAsia"/>
          <w:sz w:val="24"/>
          <w:szCs w:val="24"/>
        </w:rPr>
        <w:t>第二部分  竞争性磋商须知</w:t>
      </w:r>
      <w:bookmarkEnd w:id="1"/>
      <w:bookmarkEnd w:id="2"/>
    </w:p>
    <w:p w14:paraId="59B501EE">
      <w:pPr>
        <w:ind w:firstLine="480" w:firstLineChars="200"/>
        <w:rPr>
          <w:sz w:val="24"/>
          <w:szCs w:val="24"/>
        </w:rPr>
      </w:pPr>
      <w:r>
        <w:rPr>
          <w:rFonts w:hint="eastAsia"/>
          <w:sz w:val="24"/>
          <w:szCs w:val="24"/>
        </w:rPr>
        <w:t>一、名词解释</w:t>
      </w:r>
    </w:p>
    <w:p w14:paraId="71880209">
      <w:pPr>
        <w:ind w:firstLine="480" w:firstLineChars="200"/>
        <w:rPr>
          <w:rFonts w:hint="eastAsia" w:ascii="仿宋" w:hAnsi="仿宋" w:cs="仿宋"/>
          <w:sz w:val="24"/>
          <w:szCs w:val="24"/>
          <w:lang w:eastAsia="zh-CN"/>
        </w:rPr>
      </w:pPr>
      <w:r>
        <w:rPr>
          <w:rFonts w:hint="eastAsia"/>
          <w:sz w:val="24"/>
          <w:szCs w:val="24"/>
        </w:rPr>
        <w:t>1、采 购 人</w:t>
      </w:r>
      <w:r>
        <w:rPr>
          <w:rFonts w:hint="eastAsia"/>
          <w:sz w:val="24"/>
          <w:szCs w:val="24"/>
          <w:lang w:eastAsia="zh-CN"/>
        </w:rPr>
        <w:t>：</w:t>
      </w:r>
      <w:r>
        <w:rPr>
          <w:rFonts w:hint="eastAsia" w:ascii="仿宋" w:hAnsi="仿宋" w:cs="仿宋"/>
          <w:sz w:val="24"/>
          <w:szCs w:val="24"/>
          <w:lang w:eastAsia="zh-CN"/>
        </w:rPr>
        <w:t>宁陕县人力资源社会保障和民政局</w:t>
      </w:r>
    </w:p>
    <w:p w14:paraId="09DEDCEE">
      <w:pPr>
        <w:ind w:firstLine="480" w:firstLineChars="200"/>
        <w:rPr>
          <w:sz w:val="24"/>
          <w:szCs w:val="24"/>
        </w:rPr>
      </w:pPr>
      <w:r>
        <w:rPr>
          <w:rFonts w:hint="eastAsia"/>
          <w:sz w:val="24"/>
          <w:szCs w:val="24"/>
        </w:rPr>
        <w:t>2、监督机构：宁陕县财政局</w:t>
      </w:r>
    </w:p>
    <w:p w14:paraId="416E0689">
      <w:pPr>
        <w:ind w:firstLine="480" w:firstLineChars="200"/>
        <w:rPr>
          <w:rFonts w:hint="eastAsia" w:ascii="仿宋" w:hAnsi="仿宋" w:cs="仿宋"/>
          <w:sz w:val="24"/>
          <w:szCs w:val="24"/>
        </w:rPr>
      </w:pPr>
      <w:r>
        <w:rPr>
          <w:rFonts w:hint="eastAsia"/>
          <w:sz w:val="24"/>
          <w:szCs w:val="24"/>
        </w:rPr>
        <w:t>3、采购代理机构：</w:t>
      </w:r>
      <w:r>
        <w:rPr>
          <w:rFonts w:hint="eastAsia" w:ascii="仿宋" w:hAnsi="仿宋" w:cs="仿宋"/>
          <w:sz w:val="24"/>
          <w:szCs w:val="24"/>
          <w:lang w:val="en-US" w:eastAsia="zh-CN"/>
        </w:rPr>
        <w:t>同正项目管理有限公司</w:t>
      </w:r>
      <w:r>
        <w:rPr>
          <w:rFonts w:hint="eastAsia" w:ascii="仿宋" w:hAnsi="仿宋" w:cs="仿宋"/>
          <w:sz w:val="24"/>
          <w:szCs w:val="24"/>
        </w:rPr>
        <w:t xml:space="preserve">  </w:t>
      </w:r>
    </w:p>
    <w:p w14:paraId="32214944">
      <w:pPr>
        <w:ind w:firstLine="480" w:firstLineChars="200"/>
        <w:rPr>
          <w:sz w:val="24"/>
          <w:szCs w:val="24"/>
        </w:rPr>
      </w:pPr>
      <w:r>
        <w:rPr>
          <w:rFonts w:hint="eastAsia"/>
          <w:sz w:val="24"/>
          <w:szCs w:val="24"/>
        </w:rPr>
        <w:t>4、供应商：响应磋商并且符合磋商采购文件规定资格条件和参加磋商竞争的法人、其他组织或者自然人</w:t>
      </w:r>
    </w:p>
    <w:p w14:paraId="5FD1B13A">
      <w:pPr>
        <w:ind w:firstLine="480" w:firstLineChars="200"/>
        <w:rPr>
          <w:sz w:val="24"/>
          <w:szCs w:val="24"/>
        </w:rPr>
      </w:pPr>
      <w:r>
        <w:rPr>
          <w:rFonts w:hint="eastAsia"/>
          <w:sz w:val="24"/>
          <w:szCs w:val="24"/>
        </w:rPr>
        <w:t>二、磋商文件及要求</w:t>
      </w:r>
    </w:p>
    <w:p w14:paraId="2B5F1A9B">
      <w:pPr>
        <w:ind w:firstLine="480" w:firstLineChars="200"/>
        <w:rPr>
          <w:sz w:val="24"/>
          <w:szCs w:val="24"/>
        </w:rPr>
      </w:pPr>
      <w:r>
        <w:rPr>
          <w:rFonts w:hint="eastAsia"/>
          <w:sz w:val="24"/>
          <w:szCs w:val="24"/>
        </w:rPr>
        <w:t>1、磋商文件组成：磋商文件是根据本项目的特点和采购人的实际需求编制，包括以下内容：</w:t>
      </w:r>
    </w:p>
    <w:p w14:paraId="634F422D">
      <w:pPr>
        <w:ind w:firstLine="480" w:firstLineChars="200"/>
        <w:rPr>
          <w:sz w:val="24"/>
          <w:szCs w:val="24"/>
        </w:rPr>
      </w:pPr>
      <w:r>
        <w:rPr>
          <w:rFonts w:hint="eastAsia"/>
          <w:sz w:val="24"/>
          <w:szCs w:val="24"/>
        </w:rPr>
        <w:t>1-1、竞争性磋商公告</w:t>
      </w:r>
    </w:p>
    <w:p w14:paraId="7902E506">
      <w:pPr>
        <w:ind w:firstLine="480" w:firstLineChars="200"/>
        <w:rPr>
          <w:sz w:val="24"/>
          <w:szCs w:val="24"/>
        </w:rPr>
      </w:pPr>
      <w:r>
        <w:rPr>
          <w:rFonts w:hint="eastAsia"/>
          <w:sz w:val="24"/>
          <w:szCs w:val="24"/>
        </w:rPr>
        <w:t>1-2、竞争性磋商须知</w:t>
      </w:r>
    </w:p>
    <w:p w14:paraId="42270E87">
      <w:pPr>
        <w:ind w:firstLine="480" w:firstLineChars="200"/>
        <w:rPr>
          <w:sz w:val="24"/>
          <w:szCs w:val="24"/>
        </w:rPr>
      </w:pPr>
      <w:r>
        <w:rPr>
          <w:rFonts w:hint="eastAsia"/>
          <w:sz w:val="24"/>
          <w:szCs w:val="24"/>
        </w:rPr>
        <w:t>1-3、磋商内容及要求</w:t>
      </w:r>
    </w:p>
    <w:p w14:paraId="4A20F003">
      <w:pPr>
        <w:ind w:firstLine="480" w:firstLineChars="200"/>
        <w:rPr>
          <w:sz w:val="24"/>
          <w:szCs w:val="24"/>
        </w:rPr>
      </w:pPr>
      <w:r>
        <w:rPr>
          <w:rFonts w:hint="eastAsia"/>
          <w:sz w:val="24"/>
          <w:szCs w:val="24"/>
        </w:rPr>
        <w:t>1-4、合同草案条款</w:t>
      </w:r>
    </w:p>
    <w:p w14:paraId="7F95C69E">
      <w:pPr>
        <w:ind w:firstLine="480" w:firstLineChars="200"/>
        <w:rPr>
          <w:sz w:val="24"/>
          <w:szCs w:val="24"/>
        </w:rPr>
      </w:pPr>
      <w:r>
        <w:rPr>
          <w:rFonts w:hint="eastAsia"/>
          <w:sz w:val="24"/>
          <w:szCs w:val="24"/>
        </w:rPr>
        <w:t>1-5、响应文件格式</w:t>
      </w:r>
    </w:p>
    <w:p w14:paraId="2F8D53E4">
      <w:pPr>
        <w:ind w:firstLine="480" w:firstLineChars="200"/>
        <w:rPr>
          <w:sz w:val="24"/>
          <w:szCs w:val="24"/>
        </w:rPr>
      </w:pPr>
      <w:r>
        <w:rPr>
          <w:rFonts w:hint="eastAsia"/>
          <w:sz w:val="24"/>
          <w:szCs w:val="24"/>
        </w:rPr>
        <w:t>2、磋商文件的获取：各供应商应从采购代理机构购买磋商文件，磋商文件一经售出，一律不退，仅作为本次磋商使用。</w:t>
      </w:r>
    </w:p>
    <w:p w14:paraId="1B59006C">
      <w:pPr>
        <w:ind w:firstLine="480" w:firstLineChars="200"/>
        <w:rPr>
          <w:sz w:val="24"/>
          <w:szCs w:val="24"/>
        </w:rPr>
      </w:pPr>
      <w:r>
        <w:rPr>
          <w:rFonts w:hint="eastAsia"/>
          <w:sz w:val="24"/>
          <w:szCs w:val="24"/>
        </w:rPr>
        <w:t>3、采购代理机构可对已发出的磋商文件进行必要的澄清或者修改，澄清或者修改的内容可能影响响应文件编制的，澄清或修改的内容应以书面形式在提交首次响应文件截止时间至少五日前通知所有获取磋商文件的供应商，不足五日应延长至五日。澄清或者修改内容在政府采购发布媒体上发布更正公告，且作为磋商文件的组成部分。</w:t>
      </w:r>
    </w:p>
    <w:p w14:paraId="490401D8">
      <w:pPr>
        <w:ind w:firstLine="480" w:firstLineChars="200"/>
        <w:rPr>
          <w:sz w:val="24"/>
          <w:szCs w:val="24"/>
        </w:rPr>
      </w:pPr>
      <w:r>
        <w:rPr>
          <w:rFonts w:hint="eastAsia"/>
          <w:sz w:val="24"/>
          <w:szCs w:val="24"/>
        </w:rPr>
        <w:t>4、对采购活动事项有疑问或有质疑的供应商，应在磋商截止时间两个工作日前，以书面形式提出。采购代理机构将予以答复，涉及变更或修正内容在政府采购发布媒体上发布更正公告，并以书面形式通知所有磋商文件收受人，且作为磋商文件的组成部分。</w:t>
      </w:r>
    </w:p>
    <w:p w14:paraId="211BCEF0">
      <w:pPr>
        <w:ind w:firstLine="480" w:firstLineChars="200"/>
        <w:rPr>
          <w:sz w:val="24"/>
          <w:szCs w:val="24"/>
        </w:rPr>
      </w:pPr>
      <w:r>
        <w:rPr>
          <w:rFonts w:hint="eastAsia"/>
          <w:sz w:val="24"/>
          <w:szCs w:val="24"/>
        </w:rPr>
        <w:t>5、磋商文件的解释权归采购代理机构。</w:t>
      </w:r>
    </w:p>
    <w:p w14:paraId="19A27830">
      <w:pPr>
        <w:ind w:firstLine="480" w:firstLineChars="200"/>
        <w:rPr>
          <w:sz w:val="24"/>
          <w:szCs w:val="24"/>
        </w:rPr>
      </w:pPr>
      <w:r>
        <w:rPr>
          <w:rFonts w:hint="eastAsia"/>
          <w:sz w:val="24"/>
          <w:szCs w:val="24"/>
        </w:rPr>
        <w:t>三、磋商及响应文件</w:t>
      </w:r>
    </w:p>
    <w:p w14:paraId="7FB7B2C2">
      <w:pPr>
        <w:rPr>
          <w:sz w:val="24"/>
          <w:szCs w:val="24"/>
        </w:rPr>
      </w:pPr>
      <w:r>
        <w:rPr>
          <w:rFonts w:hint="eastAsia" w:ascii="仿宋" w:hAnsi="仿宋" w:cs="仿宋"/>
          <w:sz w:val="24"/>
          <w:szCs w:val="24"/>
        </w:rPr>
        <w:t>1、</w:t>
      </w:r>
      <w:r>
        <w:rPr>
          <w:rFonts w:ascii="仿宋" w:hAnsi="仿宋" w:cs="仿宋"/>
          <w:sz w:val="24"/>
          <w:szCs w:val="24"/>
        </w:rPr>
        <w:t>满足《中华人民共和国政府采购法》第二十二条规定</w:t>
      </w:r>
    </w:p>
    <w:p w14:paraId="647136CA">
      <w:pPr>
        <w:pStyle w:val="12"/>
        <w:spacing w:before="0" w:beforeAutospacing="0" w:after="0" w:afterAutospacing="0"/>
        <w:rPr>
          <w:rFonts w:ascii="仿宋" w:hAnsi="仿宋" w:cs="仿宋"/>
          <w:kern w:val="2"/>
          <w:sz w:val="24"/>
          <w:szCs w:val="24"/>
        </w:rPr>
      </w:pPr>
      <w:r>
        <w:rPr>
          <w:rFonts w:hint="eastAsia" w:ascii="仿宋" w:hAnsi="仿宋" w:eastAsia="仿宋" w:cs="仿宋"/>
          <w:kern w:val="2"/>
          <w:sz w:val="24"/>
          <w:szCs w:val="24"/>
          <w:lang w:val="en-US" w:eastAsia="zh-CN" w:bidi="ar-SA"/>
        </w:rPr>
        <w:t>2、本项目的特定资格要求</w:t>
      </w:r>
      <w:r>
        <w:rPr>
          <w:rFonts w:ascii="仿宋" w:hAnsi="仿宋" w:cs="仿宋"/>
          <w:kern w:val="2"/>
          <w:sz w:val="24"/>
          <w:szCs w:val="24"/>
        </w:rPr>
        <w:t>：</w:t>
      </w:r>
    </w:p>
    <w:p w14:paraId="5CEB1140">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78015216">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（2）法定代表人参加投标时，提供本人身份证复印件；授权代表参加投标时，提供法定代表人授权书、被授权人身份证复印件；</w:t>
      </w:r>
    </w:p>
    <w:p w14:paraId="7644FE7D">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ascii="仿宋" w:hAnsi="仿宋" w:eastAsia="仿宋" w:cs="仿宋"/>
          <w:color w:val="auto"/>
          <w:sz w:val="24"/>
          <w:szCs w:val="24"/>
        </w:rPr>
      </w:pPr>
      <w:r>
        <w:rPr>
          <w:rFonts w:hint="eastAsia" w:hAnsi="宋体" w:cs="宋体"/>
          <w:color w:val="auto"/>
          <w:szCs w:val="24"/>
        </w:rPr>
        <w:t>（3）</w:t>
      </w:r>
      <w:r>
        <w:rPr>
          <w:rFonts w:hint="eastAsia" w:ascii="仿宋" w:hAnsi="仿宋" w:eastAsia="仿宋" w:cs="仿宋"/>
          <w:color w:val="auto"/>
          <w:sz w:val="24"/>
          <w:szCs w:val="24"/>
        </w:rPr>
        <w:t>供应商须具备省级或省级以上建设部门颁发的</w:t>
      </w:r>
      <w:r>
        <w:rPr>
          <w:rFonts w:hint="eastAsia" w:ascii="仿宋" w:hAnsi="仿宋" w:eastAsia="仿宋" w:cs="仿宋"/>
          <w:color w:val="auto"/>
          <w:sz w:val="24"/>
          <w:szCs w:val="24"/>
          <w:lang w:val="en-US" w:eastAsia="zh-CN"/>
        </w:rPr>
        <w:t>建设工程</w:t>
      </w:r>
      <w:r>
        <w:rPr>
          <w:rFonts w:hint="eastAsia" w:ascii="仿宋" w:hAnsi="仿宋" w:eastAsia="仿宋" w:cs="仿宋"/>
          <w:color w:val="auto"/>
          <w:sz w:val="24"/>
          <w:szCs w:val="24"/>
        </w:rPr>
        <w:t>质量检测</w:t>
      </w:r>
      <w:r>
        <w:rPr>
          <w:rFonts w:hint="eastAsia" w:ascii="仿宋" w:hAnsi="仿宋" w:eastAsia="仿宋" w:cs="仿宋"/>
          <w:color w:val="auto"/>
          <w:sz w:val="24"/>
          <w:szCs w:val="24"/>
          <w:lang w:val="en-US" w:eastAsia="zh-CN"/>
        </w:rPr>
        <w:t>机构</w:t>
      </w:r>
      <w:r>
        <w:rPr>
          <w:rFonts w:hint="eastAsia" w:ascii="仿宋" w:hAnsi="仿宋" w:eastAsia="仿宋" w:cs="仿宋"/>
          <w:color w:val="auto"/>
          <w:sz w:val="24"/>
          <w:szCs w:val="24"/>
        </w:rPr>
        <w:t>证书（</w:t>
      </w:r>
      <w:r>
        <w:rPr>
          <w:rFonts w:hint="eastAsia" w:ascii="仿宋" w:hAnsi="仿宋" w:eastAsia="仿宋" w:cs="仿宋"/>
          <w:color w:val="auto"/>
          <w:sz w:val="24"/>
          <w:szCs w:val="24"/>
          <w:lang w:val="en-US" w:eastAsia="zh-CN"/>
        </w:rPr>
        <w:t>检测范围含地基基础工程检测、主体结构工程现场检测、钢结构工程检测、设备安装工程检测、建筑节能检测、室内环境检测和见证取样检测</w:t>
      </w:r>
      <w:r>
        <w:rPr>
          <w:rFonts w:hint="eastAsia" w:ascii="仿宋" w:hAnsi="仿宋" w:eastAsia="仿宋" w:cs="仿宋"/>
          <w:color w:val="auto"/>
          <w:sz w:val="24"/>
          <w:szCs w:val="24"/>
        </w:rPr>
        <w:t>），同时具有质量技术监督部门颁发的</w:t>
      </w:r>
      <w:r>
        <w:rPr>
          <w:rFonts w:hint="eastAsia" w:ascii="仿宋" w:hAnsi="仿宋" w:eastAsia="仿宋" w:cs="仿宋"/>
          <w:color w:val="auto"/>
          <w:sz w:val="24"/>
          <w:szCs w:val="24"/>
          <w:lang w:val="en-US" w:eastAsia="zh-CN"/>
        </w:rPr>
        <w:t>检测</w:t>
      </w:r>
      <w:r>
        <w:rPr>
          <w:rFonts w:hint="eastAsia" w:ascii="仿宋" w:hAnsi="仿宋" w:cs="仿宋"/>
          <w:color w:val="auto"/>
          <w:sz w:val="24"/>
          <w:szCs w:val="24"/>
          <w:lang w:val="en-US" w:eastAsia="zh-CN"/>
        </w:rPr>
        <w:t>检验</w:t>
      </w:r>
      <w:r>
        <w:rPr>
          <w:rFonts w:hint="eastAsia" w:ascii="仿宋" w:hAnsi="仿宋" w:eastAsia="仿宋" w:cs="仿宋"/>
          <w:color w:val="auto"/>
          <w:sz w:val="24"/>
          <w:szCs w:val="24"/>
          <w:lang w:val="en-US" w:eastAsia="zh-CN"/>
        </w:rPr>
        <w:t>机构资质认定</w:t>
      </w:r>
      <w:r>
        <w:rPr>
          <w:rFonts w:hint="eastAsia" w:ascii="仿宋" w:hAnsi="仿宋" w:eastAsia="仿宋" w:cs="仿宋"/>
          <w:color w:val="auto"/>
          <w:sz w:val="24"/>
          <w:szCs w:val="24"/>
        </w:rPr>
        <w:t>（CMA）证书；</w:t>
      </w:r>
    </w:p>
    <w:p w14:paraId="45CA73A4">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（4）税收缴纳证明：提供截止开标时间12个月以内已缴纳的至少一个月的纳税证明或完税证明（任意税种），依法免税的单位应提供相关证明材料；</w:t>
      </w:r>
    </w:p>
    <w:p w14:paraId="048C0AE4">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（5）社会保障资金缴纳证明：提供截止开标时间12个月以内已缴存的至少一个月的社会保障资金缴存单据或社保机构开具的社会保险参保缴费情况证明，依法不需要缴纳社会保障资金的单位应提供相关证明材料；</w:t>
      </w:r>
    </w:p>
    <w:p w14:paraId="59742FC2">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（6）参加本次政府采购活动前三年内在经营活动中没有重大违纪，以及未被列入失信被执行人、重大税收违法案件当事人名单、政府采购严重违法失信行为记录名单的书面声明；</w:t>
      </w:r>
    </w:p>
    <w:p w14:paraId="6958D5BB">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（7）供应商通过“信用中国”网站（www.creditchina.gov.cn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p w14:paraId="0FEC4DF3">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hAnsi="宋体" w:cs="宋体"/>
          <w:color w:val="auto"/>
          <w:szCs w:val="24"/>
        </w:rPr>
      </w:pPr>
      <w:r>
        <w:rPr>
          <w:rFonts w:hint="eastAsia" w:hAnsi="宋体" w:cs="宋体"/>
          <w:color w:val="auto"/>
          <w:szCs w:val="24"/>
        </w:rPr>
        <w:t>（8）本项目为专门面向中小企业项目，本项目采购标的对应的中小企业划分标准所属行业为：建筑</w:t>
      </w:r>
      <w:r>
        <w:rPr>
          <w:rFonts w:hint="eastAsia" w:cs="宋体"/>
          <w:color w:val="auto"/>
          <w:szCs w:val="24"/>
          <w:lang w:val="en-US" w:eastAsia="zh-CN"/>
        </w:rPr>
        <w:t>工程</w:t>
      </w:r>
      <w:r>
        <w:rPr>
          <w:rFonts w:hint="eastAsia" w:hAnsi="宋体" w:cs="宋体"/>
          <w:color w:val="auto"/>
          <w:szCs w:val="24"/>
        </w:rPr>
        <w:t>业；</w:t>
      </w:r>
    </w:p>
    <w:p w14:paraId="0D9E6D4A">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ind w:firstLine="480" w:firstLineChars="200"/>
        <w:textAlignment w:val="auto"/>
        <w:rPr>
          <w:rFonts w:hint="eastAsia"/>
        </w:rPr>
      </w:pPr>
      <w:r>
        <w:rPr>
          <w:rFonts w:hint="eastAsia" w:hAnsi="宋体" w:cs="宋体"/>
          <w:color w:val="auto"/>
          <w:szCs w:val="24"/>
        </w:rPr>
        <w:t>（</w:t>
      </w:r>
      <w:r>
        <w:rPr>
          <w:rFonts w:hint="eastAsia" w:cs="宋体"/>
          <w:color w:val="auto"/>
          <w:szCs w:val="24"/>
          <w:lang w:val="en-US" w:eastAsia="zh-CN"/>
        </w:rPr>
        <w:t>9</w:t>
      </w:r>
      <w:r>
        <w:rPr>
          <w:rFonts w:hint="eastAsia" w:hAnsi="宋体" w:cs="宋体"/>
          <w:color w:val="auto"/>
          <w:szCs w:val="24"/>
        </w:rPr>
        <w:t>）本项目不接受联合体投标。</w:t>
      </w:r>
    </w:p>
    <w:p w14:paraId="50075B5A">
      <w:pPr>
        <w:ind w:firstLine="480" w:firstLineChars="200"/>
        <w:rPr>
          <w:sz w:val="24"/>
          <w:szCs w:val="24"/>
        </w:rPr>
      </w:pPr>
      <w:r>
        <w:rPr>
          <w:rFonts w:hint="eastAsia"/>
          <w:sz w:val="24"/>
          <w:szCs w:val="24"/>
        </w:rPr>
        <w:t>以上为供应商必备要求，各供应商在响应文件中附加盖供应商红色公章的复印件，在评审过程中由磋商小组进行评审，无效或缺项将被视为无效文件。</w:t>
      </w:r>
    </w:p>
    <w:p w14:paraId="52C57661">
      <w:pPr>
        <w:ind w:firstLine="480" w:firstLineChars="200"/>
        <w:rPr>
          <w:sz w:val="24"/>
          <w:szCs w:val="24"/>
        </w:rPr>
      </w:pPr>
      <w:r>
        <w:rPr>
          <w:rFonts w:hint="eastAsia"/>
          <w:sz w:val="24"/>
          <w:szCs w:val="24"/>
        </w:rPr>
        <w:t>3、限制磋商的供应商</w:t>
      </w:r>
    </w:p>
    <w:p w14:paraId="630E6570">
      <w:pPr>
        <w:ind w:firstLine="480" w:firstLineChars="200"/>
        <w:rPr>
          <w:sz w:val="24"/>
          <w:szCs w:val="24"/>
        </w:rPr>
      </w:pPr>
      <w:r>
        <w:rPr>
          <w:rFonts w:hint="eastAsia"/>
          <w:sz w:val="24"/>
          <w:szCs w:val="24"/>
        </w:rPr>
        <w:t>3-1、供应商单位负责人为同一人或者存在直接控股、管理关系的不同供应商，不得参加同一项目同一包号的政府采购活动。</w:t>
      </w:r>
    </w:p>
    <w:p w14:paraId="660AD6E7">
      <w:pPr>
        <w:ind w:firstLine="480" w:firstLineChars="200"/>
        <w:rPr>
          <w:sz w:val="24"/>
          <w:szCs w:val="24"/>
        </w:rPr>
      </w:pPr>
      <w:r>
        <w:rPr>
          <w:rFonts w:hint="eastAsia"/>
          <w:sz w:val="24"/>
          <w:szCs w:val="24"/>
        </w:rPr>
        <w:t>3-2、除单一来源采购项目外，为采购项目提供整体设计、规范编制或者项目管理、监理、检测等服务的供应商，不得再参加同一项目同一包号的其他采购活动。</w:t>
      </w:r>
    </w:p>
    <w:p w14:paraId="68C7E44A">
      <w:pPr>
        <w:ind w:firstLine="480" w:firstLineChars="200"/>
        <w:rPr>
          <w:sz w:val="24"/>
          <w:szCs w:val="24"/>
        </w:rPr>
      </w:pPr>
      <w:r>
        <w:rPr>
          <w:rFonts w:hint="eastAsia"/>
          <w:sz w:val="24"/>
          <w:szCs w:val="24"/>
        </w:rPr>
        <w:t>4、本次采购项目不接受联合体磋商。</w:t>
      </w:r>
    </w:p>
    <w:p w14:paraId="0168E7D6">
      <w:pPr>
        <w:ind w:firstLine="480" w:firstLineChars="200"/>
        <w:rPr>
          <w:sz w:val="24"/>
          <w:szCs w:val="24"/>
        </w:rPr>
      </w:pPr>
      <w:r>
        <w:rPr>
          <w:rFonts w:hint="eastAsia"/>
          <w:sz w:val="24"/>
          <w:szCs w:val="24"/>
        </w:rPr>
        <w:t>5、响应文件的编制</w:t>
      </w:r>
    </w:p>
    <w:p w14:paraId="64BE7E0B">
      <w:pPr>
        <w:ind w:firstLine="480" w:firstLineChars="200"/>
        <w:rPr>
          <w:sz w:val="24"/>
          <w:szCs w:val="24"/>
        </w:rPr>
      </w:pPr>
      <w:r>
        <w:rPr>
          <w:rFonts w:hint="eastAsia"/>
          <w:sz w:val="24"/>
          <w:szCs w:val="24"/>
        </w:rPr>
        <w:t>5-1、供应商可参照采购代理机构提供的磋商响应文件格式编制，正本一份，副本一份，并各自装订成册，每套响应文件须清楚地标明“正本”或“副本”，一旦正本与副本不符，以正本为准。</w:t>
      </w:r>
    </w:p>
    <w:p w14:paraId="395EFEB8">
      <w:pPr>
        <w:ind w:firstLine="480" w:firstLineChars="200"/>
        <w:rPr>
          <w:sz w:val="24"/>
          <w:szCs w:val="24"/>
        </w:rPr>
      </w:pPr>
      <w:r>
        <w:rPr>
          <w:rFonts w:hint="eastAsia"/>
          <w:sz w:val="24"/>
          <w:szCs w:val="24"/>
        </w:rPr>
        <w:t>5-2、供应商在编制响应文件时，应依据磋商文件的要求，对磋商文件作出实质性的响应，内容应包括：</w:t>
      </w:r>
    </w:p>
    <w:p w14:paraId="5FEEA9B5">
      <w:pPr>
        <w:ind w:firstLine="480" w:firstLineChars="200"/>
        <w:rPr>
          <w:sz w:val="24"/>
          <w:szCs w:val="24"/>
        </w:rPr>
      </w:pPr>
      <w:r>
        <w:rPr>
          <w:rFonts w:hint="eastAsia"/>
          <w:sz w:val="24"/>
          <w:szCs w:val="24"/>
        </w:rPr>
        <w:t>5-2-1、对磋商响应函格式中内容的响应。</w:t>
      </w:r>
    </w:p>
    <w:p w14:paraId="56337007">
      <w:pPr>
        <w:ind w:firstLine="480" w:firstLineChars="200"/>
        <w:rPr>
          <w:sz w:val="24"/>
          <w:szCs w:val="24"/>
        </w:rPr>
      </w:pPr>
      <w:r>
        <w:rPr>
          <w:rFonts w:hint="eastAsia"/>
          <w:sz w:val="24"/>
          <w:szCs w:val="24"/>
        </w:rPr>
        <w:t>5-2-2、首次磋商报价一览表和分项报价表。报价货币用人民币，单位为元，精确到分。</w:t>
      </w:r>
    </w:p>
    <w:p w14:paraId="5814E34C">
      <w:pPr>
        <w:ind w:firstLine="480" w:firstLineChars="200"/>
        <w:rPr>
          <w:sz w:val="24"/>
          <w:szCs w:val="24"/>
        </w:rPr>
      </w:pPr>
      <w:r>
        <w:rPr>
          <w:rFonts w:hint="eastAsia"/>
          <w:sz w:val="24"/>
          <w:szCs w:val="24"/>
        </w:rPr>
        <w:t>5-2-3、供应商须出具的合格供应商证明文件，证明参加磋商供应商是响应本项目磋商的合格供应商。</w:t>
      </w:r>
    </w:p>
    <w:p w14:paraId="5D8A0269">
      <w:pPr>
        <w:ind w:firstLine="480" w:firstLineChars="200"/>
        <w:rPr>
          <w:sz w:val="24"/>
          <w:szCs w:val="24"/>
        </w:rPr>
      </w:pPr>
      <w:r>
        <w:rPr>
          <w:rFonts w:hint="eastAsia"/>
          <w:sz w:val="24"/>
          <w:szCs w:val="24"/>
        </w:rPr>
        <w:t>5-2-4、供应商为本次竞争性磋商活动编制的实施方案，具有履行合同所必须的设备和专业技术能力，配备了相应的商务和技术人员，项目在组织实施、财务保证、售后服务及技术支持等方面保障措施。</w:t>
      </w:r>
    </w:p>
    <w:p w14:paraId="06212BCC">
      <w:pPr>
        <w:ind w:firstLine="480" w:firstLineChars="200"/>
        <w:rPr>
          <w:sz w:val="24"/>
          <w:szCs w:val="24"/>
        </w:rPr>
      </w:pPr>
      <w:r>
        <w:rPr>
          <w:rFonts w:hint="eastAsia"/>
          <w:sz w:val="24"/>
          <w:szCs w:val="24"/>
        </w:rPr>
        <w:t>5-2-5、供应商提供相应技术能力证明，证明其供应经验及能力，以及为采购活动提供的合理化建议。</w:t>
      </w:r>
    </w:p>
    <w:p w14:paraId="20066F08">
      <w:pPr>
        <w:ind w:firstLine="480" w:firstLineChars="200"/>
        <w:rPr>
          <w:sz w:val="24"/>
          <w:szCs w:val="24"/>
        </w:rPr>
      </w:pPr>
      <w:r>
        <w:rPr>
          <w:rFonts w:hint="eastAsia"/>
          <w:sz w:val="24"/>
          <w:szCs w:val="24"/>
        </w:rPr>
        <w:t>5-2-6、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14:paraId="1CA58976">
      <w:pPr>
        <w:ind w:firstLine="480" w:firstLineChars="200"/>
        <w:rPr>
          <w:sz w:val="24"/>
          <w:szCs w:val="24"/>
        </w:rPr>
      </w:pPr>
      <w:r>
        <w:rPr>
          <w:rFonts w:hint="eastAsia"/>
          <w:sz w:val="24"/>
          <w:szCs w:val="24"/>
        </w:rPr>
        <w:t>5-3、响应文件的正本和所有的副本均需打印或用不褪色蓝（黑）墨水（汁）书写，统一装订、标码，在每一页的正下方清楚标明第几页、共多少页等字样。</w:t>
      </w:r>
    </w:p>
    <w:p w14:paraId="319D1EAB">
      <w:pPr>
        <w:ind w:firstLine="480" w:firstLineChars="200"/>
        <w:rPr>
          <w:sz w:val="24"/>
          <w:szCs w:val="24"/>
        </w:rPr>
      </w:pPr>
      <w:r>
        <w:rPr>
          <w:rFonts w:hint="eastAsia"/>
          <w:sz w:val="24"/>
          <w:szCs w:val="24"/>
        </w:rPr>
        <w:t>5-4、响应文件正本必须加盖供应商单位公章和法定代表人（或其授权代表人）签字或盖章，副本可以为正本的复印件。</w:t>
      </w:r>
    </w:p>
    <w:p w14:paraId="36B6AD19">
      <w:pPr>
        <w:ind w:firstLine="480" w:firstLineChars="200"/>
        <w:rPr>
          <w:sz w:val="24"/>
          <w:szCs w:val="24"/>
        </w:rPr>
      </w:pPr>
      <w:r>
        <w:rPr>
          <w:rFonts w:hint="eastAsia"/>
          <w:sz w:val="24"/>
          <w:szCs w:val="24"/>
        </w:rPr>
        <w:t>5-5、响应文件不得行间插字、涂改和增删，如有修改错漏处，必须由供应商法定代表人（或其授权代表人）签字或盖章。</w:t>
      </w:r>
    </w:p>
    <w:p w14:paraId="07BF9F62">
      <w:pPr>
        <w:ind w:firstLine="480" w:firstLineChars="200"/>
        <w:rPr>
          <w:sz w:val="24"/>
          <w:szCs w:val="24"/>
        </w:rPr>
      </w:pPr>
      <w:r>
        <w:rPr>
          <w:rFonts w:hint="eastAsia"/>
          <w:sz w:val="24"/>
          <w:szCs w:val="24"/>
        </w:rPr>
        <w:t>6、响应报价要求</w:t>
      </w:r>
    </w:p>
    <w:p w14:paraId="0961C8AC">
      <w:pPr>
        <w:ind w:firstLine="480" w:firstLineChars="200"/>
        <w:rPr>
          <w:sz w:val="24"/>
          <w:szCs w:val="24"/>
        </w:rPr>
      </w:pPr>
      <w:r>
        <w:rPr>
          <w:rFonts w:hint="eastAsia"/>
          <w:sz w:val="24"/>
          <w:szCs w:val="24"/>
        </w:rPr>
        <w:t>6-1、供应商应按照磋商文件规定的产品和服务要求，责任范围和合同条件进行报价，各供应商须在响应文件中的报价表上按要求标明各项分类报价、总价、工期等项，任何有选择的报价采购代理机构不予接受。</w:t>
      </w:r>
    </w:p>
    <w:p w14:paraId="659EEE09">
      <w:pPr>
        <w:ind w:firstLine="480" w:firstLineChars="200"/>
        <w:rPr>
          <w:sz w:val="24"/>
          <w:szCs w:val="24"/>
        </w:rPr>
      </w:pPr>
      <w:r>
        <w:rPr>
          <w:rFonts w:hint="eastAsia"/>
          <w:sz w:val="24"/>
          <w:szCs w:val="24"/>
        </w:rPr>
        <w:t>6-2、响应报价是完成磋商内容所需的全部费用，包括国家按现行税收政策征收的一切税费等及其它相关的所有费用。</w:t>
      </w:r>
    </w:p>
    <w:p w14:paraId="1A75CD96">
      <w:pPr>
        <w:ind w:firstLine="480" w:firstLineChars="200"/>
        <w:rPr>
          <w:sz w:val="24"/>
          <w:szCs w:val="24"/>
        </w:rPr>
      </w:pPr>
      <w:r>
        <w:rPr>
          <w:rFonts w:hint="eastAsia"/>
          <w:sz w:val="24"/>
          <w:szCs w:val="24"/>
        </w:rPr>
        <w:t>6-3、首次响应报价随响应文件提交，最后响应报价在磋商后提交。各供应商应在响应前在最后响应报价表加盖公章，磋商后，填写价格，法定代表人或其授权代表人签字或盖章。</w:t>
      </w:r>
    </w:p>
    <w:p w14:paraId="056160BD">
      <w:pPr>
        <w:ind w:firstLine="480" w:firstLineChars="200"/>
        <w:rPr>
          <w:sz w:val="24"/>
          <w:szCs w:val="24"/>
        </w:rPr>
      </w:pPr>
      <w:r>
        <w:rPr>
          <w:rFonts w:hint="eastAsia"/>
          <w:sz w:val="24"/>
          <w:szCs w:val="24"/>
        </w:rPr>
        <w:t>6-4、最后响应报价，在采购内容无实质性变更下，不得高于首次响应报价。对于差异较大的报价，须作出明确的说明。</w:t>
      </w:r>
    </w:p>
    <w:p w14:paraId="5B673BF9">
      <w:pPr>
        <w:ind w:firstLine="480" w:firstLineChars="200"/>
        <w:rPr>
          <w:sz w:val="24"/>
          <w:szCs w:val="24"/>
        </w:rPr>
      </w:pPr>
      <w:r>
        <w:rPr>
          <w:rFonts w:hint="eastAsia"/>
          <w:sz w:val="24"/>
          <w:szCs w:val="24"/>
        </w:rPr>
        <w:t>6-5、凡因供应商对磋商文件阅读不深、理解不透、误解、疏漏、或因市场行情了解不清造成的后果和风险均由供应商自行负责。</w:t>
      </w:r>
    </w:p>
    <w:p w14:paraId="1295A3E7">
      <w:pPr>
        <w:ind w:firstLine="480" w:firstLineChars="200"/>
        <w:rPr>
          <w:sz w:val="24"/>
          <w:szCs w:val="24"/>
        </w:rPr>
      </w:pPr>
      <w:r>
        <w:rPr>
          <w:rFonts w:hint="eastAsia"/>
          <w:sz w:val="24"/>
          <w:szCs w:val="24"/>
        </w:rPr>
        <w:t>6-6、磋商过程中所产生的一切费用由供应商自行承担。</w:t>
      </w:r>
    </w:p>
    <w:p w14:paraId="4D1D84B9">
      <w:pPr>
        <w:ind w:firstLine="480" w:firstLineChars="200"/>
        <w:rPr>
          <w:sz w:val="24"/>
          <w:szCs w:val="24"/>
        </w:rPr>
      </w:pPr>
      <w:r>
        <w:rPr>
          <w:rFonts w:hint="eastAsia"/>
          <w:sz w:val="24"/>
          <w:szCs w:val="24"/>
        </w:rPr>
        <w:t>6-7、磋商报价超出采购预算的供应商不进入磋商程序。</w:t>
      </w:r>
    </w:p>
    <w:p w14:paraId="5A8C1805">
      <w:pPr>
        <w:ind w:firstLine="480" w:firstLineChars="200"/>
        <w:rPr>
          <w:sz w:val="24"/>
          <w:szCs w:val="24"/>
        </w:rPr>
      </w:pPr>
      <w:r>
        <w:rPr>
          <w:rFonts w:hint="eastAsia"/>
          <w:sz w:val="24"/>
          <w:szCs w:val="24"/>
        </w:rPr>
        <w:t>7</w:t>
      </w:r>
      <w:r>
        <w:rPr>
          <w:sz w:val="24"/>
          <w:szCs w:val="24"/>
        </w:rPr>
        <w:t>、响应文件有效期</w:t>
      </w:r>
    </w:p>
    <w:p w14:paraId="751A5437">
      <w:pPr>
        <w:ind w:firstLine="480" w:firstLineChars="200"/>
        <w:rPr>
          <w:sz w:val="24"/>
          <w:szCs w:val="24"/>
        </w:rPr>
      </w:pPr>
      <w:r>
        <w:rPr>
          <w:rFonts w:hint="eastAsia"/>
          <w:sz w:val="24"/>
          <w:szCs w:val="24"/>
        </w:rPr>
        <w:t>7</w:t>
      </w:r>
      <w:r>
        <w:rPr>
          <w:sz w:val="24"/>
          <w:szCs w:val="24"/>
        </w:rPr>
        <w:t>-1、响应文件有效期为自磋商之日起</w:t>
      </w:r>
      <w:r>
        <w:rPr>
          <w:rFonts w:hint="eastAsia"/>
          <w:sz w:val="24"/>
          <w:szCs w:val="24"/>
        </w:rPr>
        <w:t>九十</w:t>
      </w:r>
      <w:r>
        <w:rPr>
          <w:sz w:val="24"/>
          <w:szCs w:val="24"/>
        </w:rPr>
        <w:t>（</w:t>
      </w:r>
      <w:r>
        <w:rPr>
          <w:rFonts w:hint="eastAsia"/>
          <w:sz w:val="24"/>
          <w:szCs w:val="24"/>
        </w:rPr>
        <w:t>9</w:t>
      </w:r>
      <w:r>
        <w:rPr>
          <w:sz w:val="24"/>
          <w:szCs w:val="24"/>
        </w:rPr>
        <w:t>0）个日历日，在有效期内响应文件对供应商具有法律约束力，以保证采购人完成评审、确定成交供应商以及合同签订事项。成交供应商的响应文件有效期自动延长至合同执行完毕。</w:t>
      </w:r>
    </w:p>
    <w:p w14:paraId="0D128EF5">
      <w:pPr>
        <w:ind w:firstLine="480" w:firstLineChars="200"/>
        <w:rPr>
          <w:sz w:val="24"/>
          <w:szCs w:val="24"/>
        </w:rPr>
      </w:pPr>
      <w:r>
        <w:rPr>
          <w:rFonts w:hint="eastAsia"/>
          <w:sz w:val="24"/>
          <w:szCs w:val="24"/>
        </w:rPr>
        <w:t>7</w:t>
      </w:r>
      <w:r>
        <w:rPr>
          <w:sz w:val="24"/>
          <w:szCs w:val="24"/>
        </w:rPr>
        <w:t>-2、特殊情况需延长有效期的，采购代理机构可于有效期届满之前，要求供应商同意延长有效期，采购代理机构的要求与供应商的答复均应为书面形式。供应商拒绝延长的，其磋商响应文件在原有效期期届满后将不再有效；供应商同意延长的，</w:t>
      </w:r>
      <w:r>
        <w:rPr>
          <w:rFonts w:hint="eastAsia"/>
          <w:sz w:val="24"/>
          <w:szCs w:val="24"/>
        </w:rPr>
        <w:t>将</w:t>
      </w:r>
      <w:r>
        <w:rPr>
          <w:sz w:val="24"/>
          <w:szCs w:val="24"/>
        </w:rPr>
        <w:t>不允许修改或撤回响应文件。</w:t>
      </w:r>
    </w:p>
    <w:p w14:paraId="7E5AB67D">
      <w:pPr>
        <w:ind w:firstLine="480" w:firstLineChars="200"/>
        <w:rPr>
          <w:sz w:val="24"/>
          <w:szCs w:val="24"/>
        </w:rPr>
      </w:pPr>
      <w:r>
        <w:rPr>
          <w:sz w:val="24"/>
          <w:szCs w:val="24"/>
        </w:rPr>
        <w:t>四、响应文件的密封和提交</w:t>
      </w:r>
    </w:p>
    <w:p w14:paraId="55461289">
      <w:pPr>
        <w:ind w:firstLine="480" w:firstLineChars="200"/>
        <w:rPr>
          <w:sz w:val="24"/>
          <w:szCs w:val="24"/>
        </w:rPr>
      </w:pPr>
      <w:r>
        <w:rPr>
          <w:sz w:val="24"/>
          <w:szCs w:val="24"/>
        </w:rPr>
        <w:t>1、响应文件密封</w:t>
      </w:r>
    </w:p>
    <w:p w14:paraId="613B8666">
      <w:pPr>
        <w:spacing w:line="500" w:lineRule="exact"/>
        <w:ind w:firstLine="600" w:firstLineChars="250"/>
        <w:rPr>
          <w:rFonts w:ascii="仿宋" w:hAnsi="仿宋" w:cs="仿宋"/>
          <w:sz w:val="24"/>
          <w:szCs w:val="24"/>
        </w:rPr>
      </w:pPr>
      <w:r>
        <w:rPr>
          <w:sz w:val="24"/>
          <w:szCs w:val="24"/>
        </w:rPr>
        <w:t>1-1、</w:t>
      </w:r>
      <w:r>
        <w:rPr>
          <w:rFonts w:hint="eastAsia" w:ascii="仿宋" w:hAnsi="仿宋" w:cs="仿宋"/>
          <w:sz w:val="24"/>
          <w:szCs w:val="24"/>
        </w:rPr>
        <w:t>投标时，投标人应自行将投标文件密封完好。封袋上应写明项目名称、编号、投标人名称及“正本”、“副本”字样，并在密封条接缝处加盖单位公章（鲜章）和法定代表人或被授权代表签字（并盖章）；</w:t>
      </w:r>
    </w:p>
    <w:p w14:paraId="28055BFF">
      <w:pPr>
        <w:spacing w:line="500" w:lineRule="exact"/>
        <w:ind w:firstLine="600" w:firstLineChars="250"/>
        <w:rPr>
          <w:rFonts w:ascii="Times New Roman" w:hAnsi="Times New Roman" w:cs="Times New Roman"/>
          <w:sz w:val="24"/>
          <w:szCs w:val="24"/>
        </w:rPr>
      </w:pPr>
      <w:r>
        <w:rPr>
          <w:rFonts w:hint="eastAsia"/>
          <w:sz w:val="24"/>
          <w:szCs w:val="24"/>
        </w:rPr>
        <w:t>1-2</w:t>
      </w:r>
      <w:r>
        <w:rPr>
          <w:rFonts w:hint="eastAsia" w:ascii="仿宋" w:hAnsi="仿宋" w:cs="仿宋"/>
          <w:sz w:val="24"/>
          <w:szCs w:val="24"/>
        </w:rPr>
        <w:t>、投标文件一律采用书籍（胶装）方式装订。投标文件共二份，其中正本一份，副本一份</w:t>
      </w:r>
      <w:r>
        <w:rPr>
          <w:rFonts w:hint="eastAsia" w:ascii="仿宋" w:hAnsi="仿宋" w:cs="仿宋"/>
          <w:sz w:val="24"/>
          <w:szCs w:val="24"/>
          <w:lang w:eastAsia="zh-CN"/>
        </w:rPr>
        <w:t>，</w:t>
      </w:r>
      <w:r>
        <w:rPr>
          <w:rFonts w:hint="eastAsia" w:ascii="仿宋" w:hAnsi="仿宋" w:cs="仿宋"/>
          <w:sz w:val="24"/>
          <w:szCs w:val="24"/>
          <w:lang w:val="en-US" w:eastAsia="zh-CN"/>
        </w:rPr>
        <w:t>电子版一份</w:t>
      </w:r>
      <w:r>
        <w:rPr>
          <w:rFonts w:hint="eastAsia" w:ascii="仿宋" w:hAnsi="仿宋" w:cs="仿宋"/>
          <w:sz w:val="24"/>
          <w:szCs w:val="24"/>
        </w:rPr>
        <w:t>。投标文件的正本和副本均须A4纸打印。正、副本分别装订成册，分别单独密封</w:t>
      </w:r>
      <w:r>
        <w:rPr>
          <w:rFonts w:hint="eastAsia" w:ascii="仿宋" w:hAnsi="仿宋" w:cs="仿宋"/>
          <w:sz w:val="24"/>
          <w:szCs w:val="24"/>
          <w:lang w:eastAsia="zh-CN"/>
        </w:rPr>
        <w:t>，</w:t>
      </w:r>
      <w:r>
        <w:rPr>
          <w:rFonts w:hint="eastAsia" w:ascii="仿宋" w:hAnsi="仿宋" w:cs="仿宋"/>
          <w:sz w:val="24"/>
          <w:szCs w:val="24"/>
          <w:lang w:val="en-US" w:eastAsia="zh-CN"/>
        </w:rPr>
        <w:t>电子版与正本一起密封</w:t>
      </w:r>
      <w:r>
        <w:rPr>
          <w:rFonts w:hint="eastAsia" w:ascii="仿宋" w:hAnsi="仿宋" w:cs="仿宋"/>
          <w:sz w:val="24"/>
          <w:szCs w:val="24"/>
        </w:rPr>
        <w:t>。各标袋上</w:t>
      </w:r>
      <w:r>
        <w:rPr>
          <w:rFonts w:hint="eastAsia" w:ascii="Times New Roman" w:hAnsi="Times New Roman" w:cs="Times New Roman"/>
          <w:sz w:val="24"/>
          <w:szCs w:val="24"/>
        </w:rPr>
        <w:t>注明“开标时启封”字样。如果正本与副本不符，以正本为准。</w:t>
      </w:r>
    </w:p>
    <w:p w14:paraId="745AF5D0">
      <w:pPr>
        <w:spacing w:line="500" w:lineRule="exact"/>
        <w:ind w:firstLine="600" w:firstLineChars="250"/>
        <w:rPr>
          <w:sz w:val="24"/>
          <w:szCs w:val="24"/>
        </w:rPr>
      </w:pPr>
      <w:r>
        <w:rPr>
          <w:rFonts w:ascii="Times New Roman" w:hAnsi="Times New Roman" w:cs="Times New Roman"/>
          <w:sz w:val="24"/>
          <w:szCs w:val="24"/>
        </w:rPr>
        <w:t>1-3、响应文件未按要求密封和加写标记，采购代理机构对误投或过早启封的响应文件概不负责。</w:t>
      </w:r>
    </w:p>
    <w:p w14:paraId="3B7912D4">
      <w:pPr>
        <w:spacing w:line="500" w:lineRule="exact"/>
        <w:ind w:firstLine="482" w:firstLineChars="200"/>
        <w:rPr>
          <w:rFonts w:ascii="仿宋" w:hAnsi="仿宋" w:cs="仿宋"/>
          <w:b/>
          <w:bCs/>
          <w:sz w:val="24"/>
          <w:szCs w:val="24"/>
        </w:rPr>
      </w:pPr>
      <w:r>
        <w:rPr>
          <w:rFonts w:hint="eastAsia" w:ascii="仿宋" w:hAnsi="仿宋" w:cs="仿宋"/>
          <w:b/>
          <w:bCs/>
          <w:sz w:val="24"/>
          <w:szCs w:val="24"/>
        </w:rPr>
        <w:t>注：对未按上述要求和方式制作、装订、密封和签章的投标文件，按无效投标文件处理。</w:t>
      </w:r>
    </w:p>
    <w:p w14:paraId="4CD37169">
      <w:pPr>
        <w:ind w:firstLine="480" w:firstLineChars="200"/>
        <w:rPr>
          <w:sz w:val="24"/>
          <w:szCs w:val="24"/>
        </w:rPr>
      </w:pPr>
      <w:r>
        <w:rPr>
          <w:sz w:val="24"/>
          <w:szCs w:val="24"/>
        </w:rPr>
        <w:t>2、响应文件提交</w:t>
      </w:r>
    </w:p>
    <w:p w14:paraId="24911CC2">
      <w:pPr>
        <w:ind w:firstLine="480" w:firstLineChars="200"/>
        <w:rPr>
          <w:sz w:val="24"/>
          <w:szCs w:val="24"/>
        </w:rPr>
      </w:pPr>
      <w:r>
        <w:rPr>
          <w:sz w:val="24"/>
          <w:szCs w:val="24"/>
        </w:rPr>
        <w:t>2-1、供应商应在磋商文件要求提交响应文件的截止时间前将响应文件密封送达磋商地点，递交并办理签收手续。</w:t>
      </w:r>
    </w:p>
    <w:p w14:paraId="74B93FAB">
      <w:pPr>
        <w:ind w:firstLine="480" w:firstLineChars="200"/>
        <w:rPr>
          <w:sz w:val="24"/>
          <w:szCs w:val="24"/>
        </w:rPr>
      </w:pPr>
      <w:r>
        <w:rPr>
          <w:sz w:val="24"/>
          <w:szCs w:val="24"/>
        </w:rPr>
        <w:t>2-2、在磋商文件要求提交响应文件的截止时间之后送达的响应文件，为无效文件，采购代理机构应当拒绝接收。</w:t>
      </w:r>
    </w:p>
    <w:p w14:paraId="6A2FC330">
      <w:pPr>
        <w:ind w:firstLine="480" w:firstLineChars="200"/>
        <w:rPr>
          <w:sz w:val="24"/>
          <w:szCs w:val="24"/>
        </w:rPr>
      </w:pPr>
      <w:r>
        <w:rPr>
          <w:sz w:val="24"/>
          <w:szCs w:val="24"/>
        </w:rPr>
        <w:t>2-3、供应商在磋商文件递交截止时间前，可以对所提交的响应文件进行补充、修改或者撤回，并书面通知采购代理机构。补充、修改的内容应当按磋商文件要求签署、盖章，并作为响应文件的组成部分。补充、修改的内容与响应文件不一致的，以补充、修改的内容为准。</w:t>
      </w:r>
    </w:p>
    <w:p w14:paraId="6F915D95">
      <w:pPr>
        <w:ind w:firstLine="480" w:firstLineChars="200"/>
        <w:rPr>
          <w:rFonts w:ascii="仿宋" w:hAnsi="仿宋" w:cs="仿宋"/>
          <w:sz w:val="24"/>
          <w:szCs w:val="24"/>
        </w:rPr>
      </w:pPr>
      <w:r>
        <w:rPr>
          <w:rFonts w:hint="eastAsia"/>
          <w:sz w:val="24"/>
          <w:szCs w:val="24"/>
        </w:rPr>
        <w:t>3、</w:t>
      </w:r>
      <w:r>
        <w:rPr>
          <w:rFonts w:hint="eastAsia" w:ascii="仿宋" w:hAnsi="仿宋" w:cs="仿宋"/>
          <w:sz w:val="24"/>
          <w:szCs w:val="24"/>
        </w:rPr>
        <w:t>投标文件的有效性：</w:t>
      </w:r>
    </w:p>
    <w:p w14:paraId="1778EA60">
      <w:pPr>
        <w:ind w:firstLine="480" w:firstLineChars="200"/>
        <w:rPr>
          <w:rFonts w:ascii="仿宋" w:hAnsi="仿宋" w:cs="仿宋"/>
          <w:sz w:val="24"/>
          <w:szCs w:val="24"/>
        </w:rPr>
      </w:pPr>
      <w:r>
        <w:rPr>
          <w:rFonts w:hint="eastAsia" w:ascii="仿宋" w:hAnsi="仿宋" w:cs="仿宋"/>
          <w:sz w:val="24"/>
          <w:szCs w:val="24"/>
        </w:rPr>
        <w:t>a、开标时，投标文件出现下列情形之一的，应当作为无效投标文件，不得进入评标：</w:t>
      </w:r>
    </w:p>
    <w:p w14:paraId="74466649">
      <w:pPr>
        <w:ind w:firstLine="480" w:firstLineChars="200"/>
        <w:rPr>
          <w:rFonts w:ascii="仿宋" w:hAnsi="仿宋" w:cs="仿宋"/>
          <w:sz w:val="24"/>
          <w:szCs w:val="24"/>
        </w:rPr>
      </w:pPr>
      <w:r>
        <w:rPr>
          <w:rFonts w:hint="eastAsia" w:ascii="仿宋" w:hAnsi="仿宋" w:cs="仿宋"/>
          <w:sz w:val="24"/>
          <w:szCs w:val="24"/>
        </w:rPr>
        <w:t>（1）投标人未经过正常渠道购买招标文件的；</w:t>
      </w:r>
    </w:p>
    <w:p w14:paraId="1AF35DB2">
      <w:pPr>
        <w:ind w:firstLine="480" w:firstLineChars="200"/>
        <w:rPr>
          <w:rFonts w:ascii="仿宋" w:hAnsi="仿宋" w:cs="仿宋"/>
          <w:sz w:val="24"/>
          <w:szCs w:val="24"/>
        </w:rPr>
      </w:pPr>
      <w:r>
        <w:rPr>
          <w:rFonts w:hint="eastAsia" w:ascii="仿宋" w:hAnsi="仿宋" w:cs="仿宋"/>
          <w:sz w:val="24"/>
          <w:szCs w:val="24"/>
        </w:rPr>
        <w:t>（2）投标文件、投标文件封面、投标函未加盖投标人公章，或未经法定代表人或其授权代表签字或盖章的；</w:t>
      </w:r>
    </w:p>
    <w:p w14:paraId="2D24A89A">
      <w:pPr>
        <w:ind w:firstLine="480" w:firstLineChars="200"/>
        <w:rPr>
          <w:rFonts w:ascii="仿宋" w:hAnsi="仿宋" w:cs="仿宋"/>
          <w:sz w:val="24"/>
          <w:szCs w:val="24"/>
        </w:rPr>
      </w:pPr>
      <w:r>
        <w:rPr>
          <w:rFonts w:hint="eastAsia" w:ascii="仿宋" w:hAnsi="仿宋" w:cs="仿宋"/>
          <w:sz w:val="24"/>
          <w:szCs w:val="24"/>
        </w:rPr>
        <w:t>（3）投标文件没有法定代表人授权书（法人直接投标除外）或授权书的合法性或有效性不符合招标文件规定的；</w:t>
      </w:r>
    </w:p>
    <w:p w14:paraId="0A65551F">
      <w:pPr>
        <w:ind w:firstLine="480" w:firstLineChars="200"/>
        <w:rPr>
          <w:rFonts w:ascii="仿宋" w:hAnsi="仿宋" w:cs="仿宋"/>
          <w:sz w:val="24"/>
          <w:szCs w:val="24"/>
        </w:rPr>
      </w:pPr>
      <w:r>
        <w:rPr>
          <w:rFonts w:hint="eastAsia" w:ascii="仿宋" w:hAnsi="仿宋" w:cs="仿宋"/>
          <w:sz w:val="24"/>
          <w:szCs w:val="24"/>
        </w:rPr>
        <w:t>（</w:t>
      </w:r>
      <w:r>
        <w:rPr>
          <w:rFonts w:ascii="仿宋" w:hAnsi="仿宋" w:cs="仿宋"/>
          <w:sz w:val="24"/>
          <w:szCs w:val="24"/>
        </w:rPr>
        <w:t>4</w:t>
      </w:r>
      <w:r>
        <w:rPr>
          <w:rFonts w:hint="eastAsia" w:ascii="仿宋" w:hAnsi="仿宋" w:cs="仿宋"/>
          <w:sz w:val="24"/>
          <w:szCs w:val="24"/>
        </w:rPr>
        <w:t>）投标文件未按招标文件规定要求密封、装订、递交、签署、盖章的,无投标有效期或有效期达不到招标文件要求的；</w:t>
      </w:r>
    </w:p>
    <w:p w14:paraId="3E5114F5">
      <w:pPr>
        <w:ind w:firstLine="480" w:firstLineChars="200"/>
        <w:rPr>
          <w:rFonts w:ascii="仿宋" w:hAnsi="仿宋" w:cs="仿宋"/>
          <w:sz w:val="24"/>
          <w:szCs w:val="24"/>
        </w:rPr>
      </w:pPr>
      <w:r>
        <w:rPr>
          <w:rFonts w:hint="eastAsia" w:ascii="仿宋" w:hAnsi="仿宋" w:cs="仿宋"/>
          <w:sz w:val="24"/>
          <w:szCs w:val="24"/>
        </w:rPr>
        <w:t>（</w:t>
      </w:r>
      <w:r>
        <w:rPr>
          <w:rFonts w:ascii="仿宋" w:hAnsi="仿宋" w:cs="仿宋"/>
          <w:sz w:val="24"/>
          <w:szCs w:val="24"/>
        </w:rPr>
        <w:t>5</w:t>
      </w:r>
      <w:r>
        <w:rPr>
          <w:rFonts w:hint="eastAsia" w:ascii="仿宋" w:hAnsi="仿宋" w:cs="仿宋"/>
          <w:sz w:val="24"/>
          <w:szCs w:val="24"/>
        </w:rPr>
        <w:t>）投标文件不具备招标文件中规定的资格要求的；</w:t>
      </w:r>
    </w:p>
    <w:p w14:paraId="4D5A3FBD">
      <w:pPr>
        <w:ind w:firstLine="480" w:firstLineChars="200"/>
        <w:rPr>
          <w:rFonts w:ascii="仿宋" w:hAnsi="仿宋" w:cs="仿宋"/>
          <w:sz w:val="24"/>
          <w:szCs w:val="24"/>
        </w:rPr>
      </w:pPr>
      <w:r>
        <w:rPr>
          <w:rFonts w:hint="eastAsia" w:ascii="仿宋" w:hAnsi="仿宋" w:cs="仿宋"/>
          <w:sz w:val="24"/>
          <w:szCs w:val="24"/>
        </w:rPr>
        <w:t>（</w:t>
      </w:r>
      <w:r>
        <w:rPr>
          <w:rFonts w:ascii="仿宋" w:hAnsi="仿宋" w:cs="仿宋"/>
          <w:sz w:val="24"/>
          <w:szCs w:val="24"/>
        </w:rPr>
        <w:t>6</w:t>
      </w:r>
      <w:r>
        <w:rPr>
          <w:rFonts w:hint="eastAsia" w:ascii="仿宋" w:hAnsi="仿宋" w:cs="仿宋"/>
          <w:sz w:val="24"/>
          <w:szCs w:val="24"/>
        </w:rPr>
        <w:t>）投标文件的关键内容字迹模糊、无法辨认的；</w:t>
      </w:r>
    </w:p>
    <w:p w14:paraId="48EB99F6">
      <w:pPr>
        <w:ind w:firstLine="480" w:firstLineChars="200"/>
        <w:rPr>
          <w:rFonts w:ascii="仿宋" w:hAnsi="仿宋" w:cs="仿宋"/>
          <w:sz w:val="24"/>
          <w:szCs w:val="24"/>
        </w:rPr>
      </w:pPr>
      <w:r>
        <w:rPr>
          <w:rFonts w:hint="eastAsia" w:ascii="仿宋" w:hAnsi="仿宋" w:cs="仿宋"/>
          <w:sz w:val="24"/>
          <w:szCs w:val="24"/>
        </w:rPr>
        <w:t>（</w:t>
      </w:r>
      <w:r>
        <w:rPr>
          <w:rFonts w:ascii="仿宋" w:hAnsi="仿宋" w:cs="仿宋"/>
          <w:sz w:val="24"/>
          <w:szCs w:val="24"/>
        </w:rPr>
        <w:t>7</w:t>
      </w:r>
      <w:r>
        <w:rPr>
          <w:rFonts w:hint="eastAsia" w:ascii="仿宋" w:hAnsi="仿宋" w:cs="仿宋"/>
          <w:sz w:val="24"/>
          <w:szCs w:val="24"/>
        </w:rPr>
        <w:t>）投标人名称或组织机构与投标报名时不一致的；</w:t>
      </w:r>
    </w:p>
    <w:p w14:paraId="7B32AD14">
      <w:pPr>
        <w:ind w:firstLine="480" w:firstLineChars="200"/>
        <w:rPr>
          <w:rFonts w:ascii="仿宋" w:hAnsi="仿宋" w:cs="仿宋"/>
          <w:sz w:val="24"/>
          <w:szCs w:val="24"/>
        </w:rPr>
      </w:pPr>
      <w:r>
        <w:rPr>
          <w:rFonts w:hint="eastAsia" w:ascii="仿宋" w:hAnsi="仿宋" w:cs="仿宋"/>
          <w:sz w:val="24"/>
          <w:szCs w:val="24"/>
        </w:rPr>
        <w:t>（</w:t>
      </w:r>
      <w:r>
        <w:rPr>
          <w:rFonts w:ascii="仿宋" w:hAnsi="仿宋" w:cs="仿宋"/>
          <w:sz w:val="24"/>
          <w:szCs w:val="24"/>
        </w:rPr>
        <w:t>8</w:t>
      </w:r>
      <w:r>
        <w:rPr>
          <w:rFonts w:hint="eastAsia" w:ascii="仿宋" w:hAnsi="仿宋" w:cs="仿宋"/>
          <w:sz w:val="24"/>
          <w:szCs w:val="24"/>
        </w:rPr>
        <w:t>）提供虚假证明（包括第三方提供的虚假证明），开具虚假资质，出现虚假应答，除按无效投标文件处理外，并进行相应的处罚；</w:t>
      </w:r>
    </w:p>
    <w:p w14:paraId="38306D9E">
      <w:pPr>
        <w:ind w:firstLine="480" w:firstLineChars="200"/>
        <w:rPr>
          <w:rFonts w:ascii="仿宋" w:hAnsi="仿宋" w:cs="仿宋"/>
          <w:sz w:val="24"/>
          <w:szCs w:val="24"/>
        </w:rPr>
      </w:pPr>
      <w:r>
        <w:rPr>
          <w:rFonts w:hint="eastAsia" w:ascii="仿宋" w:hAnsi="仿宋" w:cs="仿宋"/>
          <w:sz w:val="24"/>
          <w:szCs w:val="24"/>
        </w:rPr>
        <w:t>（</w:t>
      </w:r>
      <w:r>
        <w:rPr>
          <w:rFonts w:ascii="仿宋" w:hAnsi="仿宋" w:cs="仿宋"/>
          <w:sz w:val="24"/>
          <w:szCs w:val="24"/>
        </w:rPr>
        <w:t>9</w:t>
      </w:r>
      <w:r>
        <w:rPr>
          <w:rFonts w:hint="eastAsia" w:ascii="仿宋" w:hAnsi="仿宋" w:cs="仿宋"/>
          <w:sz w:val="24"/>
          <w:szCs w:val="24"/>
        </w:rPr>
        <w:t>）投标单位未按照招标文件格式及内容要求填写的或附加了采购人难以接受的条件或款项的；</w:t>
      </w:r>
    </w:p>
    <w:p w14:paraId="71747099">
      <w:pPr>
        <w:ind w:firstLine="480" w:firstLineChars="200"/>
        <w:rPr>
          <w:rFonts w:ascii="仿宋" w:hAnsi="仿宋" w:cs="仿宋"/>
          <w:sz w:val="24"/>
          <w:szCs w:val="24"/>
        </w:rPr>
      </w:pPr>
      <w:r>
        <w:rPr>
          <w:rFonts w:hint="eastAsia" w:ascii="仿宋" w:hAnsi="仿宋" w:cs="仿宋"/>
          <w:sz w:val="24"/>
          <w:szCs w:val="24"/>
        </w:rPr>
        <w:t>（1</w:t>
      </w:r>
      <w:r>
        <w:rPr>
          <w:rFonts w:ascii="仿宋" w:hAnsi="仿宋" w:cs="仿宋"/>
          <w:sz w:val="24"/>
          <w:szCs w:val="24"/>
        </w:rPr>
        <w:t>0</w:t>
      </w:r>
      <w:r>
        <w:rPr>
          <w:rFonts w:hint="eastAsia" w:ascii="仿宋" w:hAnsi="仿宋" w:cs="仿宋"/>
          <w:sz w:val="24"/>
          <w:szCs w:val="24"/>
        </w:rPr>
        <w:t xml:space="preserve">）对招标文件未做实质性响应或有重大缺项漏项,明显不符合技术规格、技术标准的要求的； </w:t>
      </w:r>
    </w:p>
    <w:p w14:paraId="5DD09AEC">
      <w:pPr>
        <w:ind w:firstLine="480" w:firstLineChars="200"/>
        <w:rPr>
          <w:rFonts w:ascii="仿宋" w:hAnsi="仿宋" w:cs="仿宋"/>
          <w:sz w:val="24"/>
          <w:szCs w:val="24"/>
        </w:rPr>
      </w:pPr>
      <w:r>
        <w:rPr>
          <w:rFonts w:hint="eastAsia" w:ascii="仿宋" w:hAnsi="仿宋" w:cs="仿宋"/>
          <w:sz w:val="24"/>
          <w:szCs w:val="24"/>
        </w:rPr>
        <w:t>（1</w:t>
      </w:r>
      <w:r>
        <w:rPr>
          <w:rFonts w:ascii="仿宋" w:hAnsi="仿宋" w:cs="仿宋"/>
          <w:sz w:val="24"/>
          <w:szCs w:val="24"/>
        </w:rPr>
        <w:t>1</w:t>
      </w:r>
      <w:r>
        <w:rPr>
          <w:rFonts w:hint="eastAsia" w:ascii="仿宋" w:hAnsi="仿宋" w:cs="仿宋"/>
          <w:sz w:val="24"/>
          <w:szCs w:val="24"/>
        </w:rPr>
        <w:t>）投标单位针对同一项目递交两份或多份内容不同的投标文件，未书面声明哪一份是有效的或出现选择性报价的；</w:t>
      </w:r>
    </w:p>
    <w:p w14:paraId="7D6E7E3D">
      <w:pPr>
        <w:ind w:firstLine="480" w:firstLineChars="200"/>
        <w:rPr>
          <w:rFonts w:ascii="仿宋" w:hAnsi="仿宋" w:cs="仿宋"/>
          <w:sz w:val="24"/>
          <w:szCs w:val="24"/>
        </w:rPr>
      </w:pPr>
      <w:r>
        <w:rPr>
          <w:rFonts w:hint="eastAsia" w:ascii="仿宋" w:hAnsi="仿宋" w:cs="仿宋"/>
          <w:sz w:val="24"/>
          <w:szCs w:val="24"/>
        </w:rPr>
        <w:t>（1</w:t>
      </w:r>
      <w:r>
        <w:rPr>
          <w:rFonts w:ascii="仿宋" w:hAnsi="仿宋" w:cs="仿宋"/>
          <w:sz w:val="24"/>
          <w:szCs w:val="24"/>
        </w:rPr>
        <w:t>2</w:t>
      </w:r>
      <w:r>
        <w:rPr>
          <w:rFonts w:hint="eastAsia" w:ascii="仿宋" w:hAnsi="仿宋" w:cs="仿宋"/>
          <w:sz w:val="24"/>
          <w:szCs w:val="24"/>
        </w:rPr>
        <w:t>）投标报价大于项目预算的或与市场价偏离较大的，低于成本的，形成不正当竞争的；</w:t>
      </w:r>
    </w:p>
    <w:p w14:paraId="149F1F42">
      <w:pPr>
        <w:ind w:firstLine="480" w:firstLineChars="200"/>
        <w:rPr>
          <w:rFonts w:ascii="仿宋" w:hAnsi="仿宋" w:cs="仿宋"/>
          <w:sz w:val="24"/>
          <w:szCs w:val="24"/>
        </w:rPr>
      </w:pPr>
      <w:r>
        <w:rPr>
          <w:rFonts w:hint="eastAsia" w:ascii="仿宋" w:hAnsi="仿宋" w:cs="仿宋"/>
          <w:sz w:val="24"/>
          <w:szCs w:val="24"/>
        </w:rPr>
        <w:t>（1</w:t>
      </w:r>
      <w:r>
        <w:rPr>
          <w:rFonts w:ascii="仿宋" w:hAnsi="仿宋" w:cs="仿宋"/>
          <w:sz w:val="24"/>
          <w:szCs w:val="24"/>
        </w:rPr>
        <w:t>3</w:t>
      </w:r>
      <w:r>
        <w:rPr>
          <w:rFonts w:hint="eastAsia" w:ascii="仿宋" w:hAnsi="仿宋" w:cs="仿宋"/>
          <w:sz w:val="24"/>
          <w:szCs w:val="24"/>
        </w:rPr>
        <w:t>）投标人有围标、串标现象，经查证属实的。</w:t>
      </w:r>
    </w:p>
    <w:p w14:paraId="4C21830E">
      <w:pPr>
        <w:ind w:firstLine="480" w:firstLineChars="200"/>
        <w:rPr>
          <w:rFonts w:ascii="仿宋" w:hAnsi="仿宋" w:cs="仿宋"/>
          <w:sz w:val="24"/>
          <w:szCs w:val="24"/>
        </w:rPr>
      </w:pPr>
      <w:r>
        <w:rPr>
          <w:rFonts w:hint="eastAsia" w:ascii="仿宋" w:hAnsi="仿宋" w:cs="仿宋"/>
          <w:sz w:val="24"/>
          <w:szCs w:val="24"/>
        </w:rPr>
        <w:t>有下列情形之一的，视为投标人串通投标，其投标无效：</w:t>
      </w:r>
    </w:p>
    <w:p w14:paraId="0EDDE6E7">
      <w:pPr>
        <w:ind w:firstLine="480" w:firstLineChars="200"/>
        <w:rPr>
          <w:rFonts w:ascii="仿宋" w:hAnsi="仿宋" w:cs="仿宋"/>
          <w:sz w:val="24"/>
          <w:szCs w:val="24"/>
        </w:rPr>
      </w:pPr>
      <w:r>
        <w:rPr>
          <w:rFonts w:hint="eastAsia" w:ascii="仿宋" w:hAnsi="仿宋" w:cs="仿宋"/>
          <w:sz w:val="24"/>
          <w:szCs w:val="24"/>
        </w:rPr>
        <w:t>（1）不同投标人的投标文件由同一单位或者个人编制；</w:t>
      </w:r>
    </w:p>
    <w:p w14:paraId="2BC7D7A6">
      <w:pPr>
        <w:ind w:firstLine="480" w:firstLineChars="200"/>
        <w:rPr>
          <w:rFonts w:ascii="仿宋" w:hAnsi="仿宋" w:cs="仿宋"/>
          <w:sz w:val="24"/>
          <w:szCs w:val="24"/>
        </w:rPr>
      </w:pPr>
      <w:r>
        <w:rPr>
          <w:rFonts w:hint="eastAsia" w:ascii="仿宋" w:hAnsi="仿宋" w:cs="仿宋"/>
          <w:sz w:val="24"/>
          <w:szCs w:val="24"/>
        </w:rPr>
        <w:t>（2）不同投标人委托同一单位或者个人办理投标事宜；</w:t>
      </w:r>
    </w:p>
    <w:p w14:paraId="0D3EA50A">
      <w:pPr>
        <w:ind w:firstLine="436" w:firstLineChars="200"/>
        <w:rPr>
          <w:rFonts w:ascii="仿宋" w:hAnsi="仿宋" w:cs="仿宋"/>
          <w:spacing w:val="-11"/>
          <w:sz w:val="24"/>
          <w:szCs w:val="24"/>
        </w:rPr>
      </w:pPr>
      <w:r>
        <w:rPr>
          <w:rFonts w:hint="eastAsia" w:ascii="仿宋" w:hAnsi="仿宋" w:cs="仿宋"/>
          <w:spacing w:val="-11"/>
          <w:sz w:val="24"/>
          <w:szCs w:val="24"/>
        </w:rPr>
        <w:t>（3）不同投标人的投标文件载明的项目管理成员或者联系人员为同一人；</w:t>
      </w:r>
    </w:p>
    <w:p w14:paraId="20B195C7">
      <w:pPr>
        <w:ind w:firstLine="480" w:firstLineChars="200"/>
        <w:rPr>
          <w:rFonts w:ascii="仿宋" w:hAnsi="仿宋" w:cs="仿宋"/>
          <w:sz w:val="24"/>
          <w:szCs w:val="24"/>
        </w:rPr>
      </w:pPr>
      <w:r>
        <w:rPr>
          <w:rFonts w:hint="eastAsia" w:ascii="仿宋" w:hAnsi="仿宋" w:cs="仿宋"/>
          <w:sz w:val="24"/>
          <w:szCs w:val="24"/>
        </w:rPr>
        <w:t>（4）不同投标人的投标文件异常一致或者投标报价呈规律性差异；</w:t>
      </w:r>
    </w:p>
    <w:p w14:paraId="4C09329F">
      <w:pPr>
        <w:ind w:firstLine="480" w:firstLineChars="200"/>
        <w:rPr>
          <w:rFonts w:ascii="仿宋" w:hAnsi="仿宋" w:cs="仿宋"/>
          <w:sz w:val="24"/>
          <w:szCs w:val="24"/>
        </w:rPr>
      </w:pPr>
      <w:r>
        <w:rPr>
          <w:rFonts w:hint="eastAsia" w:ascii="仿宋" w:hAnsi="仿宋" w:cs="仿宋"/>
          <w:sz w:val="24"/>
          <w:szCs w:val="24"/>
        </w:rPr>
        <w:t>（5）不同投标人的投标文件相互混装；</w:t>
      </w:r>
    </w:p>
    <w:p w14:paraId="347ECF37">
      <w:pPr>
        <w:ind w:firstLine="480" w:firstLineChars="200"/>
        <w:rPr>
          <w:rFonts w:ascii="仿宋" w:hAnsi="仿宋" w:cs="仿宋"/>
          <w:sz w:val="24"/>
          <w:szCs w:val="24"/>
        </w:rPr>
      </w:pPr>
      <w:r>
        <w:rPr>
          <w:rFonts w:hint="eastAsia" w:ascii="仿宋" w:hAnsi="仿宋" w:cs="仿宋"/>
          <w:sz w:val="24"/>
          <w:szCs w:val="24"/>
        </w:rPr>
        <w:t>（6）不同投标人的投标保证金从同一单位或者个人的账户转出。</w:t>
      </w:r>
    </w:p>
    <w:p w14:paraId="08055C65">
      <w:pPr>
        <w:ind w:firstLine="480" w:firstLineChars="200"/>
        <w:rPr>
          <w:rFonts w:ascii="仿宋" w:hAnsi="仿宋" w:cs="仿宋"/>
          <w:sz w:val="24"/>
          <w:szCs w:val="24"/>
        </w:rPr>
      </w:pPr>
      <w:r>
        <w:rPr>
          <w:rFonts w:hint="eastAsia" w:ascii="仿宋" w:hAnsi="仿宋" w:cs="仿宋"/>
          <w:sz w:val="24"/>
          <w:szCs w:val="24"/>
        </w:rPr>
        <w:t>（1</w:t>
      </w:r>
      <w:r>
        <w:rPr>
          <w:rFonts w:hint="eastAsia" w:ascii="仿宋" w:hAnsi="仿宋" w:cs="仿宋"/>
          <w:sz w:val="24"/>
          <w:szCs w:val="24"/>
          <w:lang w:val="en-US" w:eastAsia="zh-CN"/>
        </w:rPr>
        <w:t>4</w:t>
      </w:r>
      <w:r>
        <w:rPr>
          <w:rFonts w:hint="eastAsia" w:ascii="仿宋" w:hAnsi="仿宋" w:cs="仿宋"/>
          <w:sz w:val="24"/>
          <w:szCs w:val="24"/>
        </w:rPr>
        <w:t>）不符合现行法律法规和招标文件规定的其他实质性要求的。</w:t>
      </w:r>
    </w:p>
    <w:p w14:paraId="0C470C5A">
      <w:pPr>
        <w:ind w:firstLine="480" w:firstLineChars="200"/>
        <w:rPr>
          <w:rFonts w:ascii="仿宋" w:hAnsi="仿宋" w:cs="仿宋"/>
          <w:sz w:val="24"/>
          <w:szCs w:val="24"/>
        </w:rPr>
      </w:pPr>
      <w:r>
        <w:rPr>
          <w:rFonts w:hint="eastAsia" w:ascii="仿宋" w:hAnsi="仿宋" w:cs="仿宋"/>
          <w:sz w:val="24"/>
          <w:szCs w:val="24"/>
        </w:rPr>
        <w:t>b、</w:t>
      </w:r>
      <w:r>
        <w:rPr>
          <w:rFonts w:hint="eastAsia" w:ascii="仿宋" w:hAnsi="仿宋" w:cs="仿宋"/>
          <w:spacing w:val="-4"/>
          <w:sz w:val="24"/>
          <w:szCs w:val="24"/>
        </w:rPr>
        <w:t>投标文件的有效期：自开标之日起算90个日历日。</w:t>
      </w:r>
    </w:p>
    <w:p w14:paraId="793E2595">
      <w:pPr>
        <w:ind w:firstLine="480" w:firstLineChars="200"/>
        <w:rPr>
          <w:sz w:val="24"/>
          <w:szCs w:val="24"/>
        </w:rPr>
      </w:pPr>
      <w:r>
        <w:rPr>
          <w:sz w:val="24"/>
          <w:szCs w:val="24"/>
        </w:rPr>
        <w:t>五、磋商小组职责及义务</w:t>
      </w:r>
    </w:p>
    <w:p w14:paraId="449B49E7">
      <w:pPr>
        <w:ind w:firstLine="480" w:firstLineChars="200"/>
        <w:rPr>
          <w:sz w:val="24"/>
          <w:szCs w:val="24"/>
        </w:rPr>
      </w:pPr>
      <w:r>
        <w:rPr>
          <w:sz w:val="24"/>
          <w:szCs w:val="24"/>
        </w:rPr>
        <w:t>1、磋商小组组成：在磋商开始前，组建磋商小组，磋商小组由采购人代表及有关专家组成。</w:t>
      </w:r>
    </w:p>
    <w:p w14:paraId="4F1052E0">
      <w:pPr>
        <w:ind w:firstLine="480" w:firstLineChars="200"/>
        <w:rPr>
          <w:sz w:val="24"/>
          <w:szCs w:val="24"/>
        </w:rPr>
      </w:pPr>
      <w:r>
        <w:rPr>
          <w:sz w:val="24"/>
          <w:szCs w:val="24"/>
        </w:rPr>
        <w:t>2、磋商小组职责</w:t>
      </w:r>
    </w:p>
    <w:p w14:paraId="3410CCEB">
      <w:pPr>
        <w:ind w:firstLine="480" w:firstLineChars="200"/>
        <w:rPr>
          <w:sz w:val="24"/>
          <w:szCs w:val="24"/>
        </w:rPr>
      </w:pPr>
      <w:r>
        <w:rPr>
          <w:sz w:val="24"/>
          <w:szCs w:val="24"/>
        </w:rPr>
        <w:t>2-1、确认磋商文件。</w:t>
      </w:r>
    </w:p>
    <w:p w14:paraId="380B4885">
      <w:pPr>
        <w:ind w:firstLine="480" w:firstLineChars="200"/>
        <w:rPr>
          <w:sz w:val="24"/>
          <w:szCs w:val="24"/>
        </w:rPr>
      </w:pPr>
      <w:r>
        <w:rPr>
          <w:sz w:val="24"/>
          <w:szCs w:val="24"/>
        </w:rPr>
        <w:t>2-2、确定符合资质条件的供应商参加磋商。</w:t>
      </w:r>
    </w:p>
    <w:p w14:paraId="3132AD23">
      <w:pPr>
        <w:ind w:firstLine="480" w:firstLineChars="200"/>
        <w:rPr>
          <w:sz w:val="24"/>
          <w:szCs w:val="24"/>
        </w:rPr>
      </w:pPr>
      <w:r>
        <w:rPr>
          <w:sz w:val="24"/>
          <w:szCs w:val="24"/>
        </w:rPr>
        <w:t>2-3、审查供应商的响应文件并做出评价。</w:t>
      </w:r>
    </w:p>
    <w:p w14:paraId="6C376274">
      <w:pPr>
        <w:ind w:firstLine="480" w:firstLineChars="200"/>
        <w:rPr>
          <w:sz w:val="24"/>
          <w:szCs w:val="24"/>
        </w:rPr>
      </w:pPr>
      <w:r>
        <w:rPr>
          <w:sz w:val="24"/>
          <w:szCs w:val="24"/>
        </w:rPr>
        <w:t>2-4、要求供应商解释或者澄清其响应文件。</w:t>
      </w:r>
    </w:p>
    <w:p w14:paraId="745B3017">
      <w:pPr>
        <w:ind w:firstLine="480" w:firstLineChars="200"/>
        <w:rPr>
          <w:sz w:val="24"/>
          <w:szCs w:val="24"/>
        </w:rPr>
      </w:pPr>
      <w:r>
        <w:rPr>
          <w:sz w:val="24"/>
          <w:szCs w:val="24"/>
        </w:rPr>
        <w:t>2-5、编写评审报告。</w:t>
      </w:r>
    </w:p>
    <w:p w14:paraId="78C73E9C">
      <w:pPr>
        <w:ind w:firstLine="480" w:firstLineChars="200"/>
        <w:rPr>
          <w:sz w:val="24"/>
          <w:szCs w:val="24"/>
        </w:rPr>
      </w:pPr>
      <w:r>
        <w:rPr>
          <w:sz w:val="24"/>
          <w:szCs w:val="24"/>
        </w:rPr>
        <w:t>2-6、告知采购人或采购代理机构在评审过程中发现供应商违法违规行为。</w:t>
      </w:r>
    </w:p>
    <w:p w14:paraId="017A5B42">
      <w:pPr>
        <w:ind w:firstLine="480" w:firstLineChars="200"/>
        <w:rPr>
          <w:sz w:val="24"/>
          <w:szCs w:val="24"/>
        </w:rPr>
      </w:pPr>
      <w:r>
        <w:rPr>
          <w:sz w:val="24"/>
          <w:szCs w:val="24"/>
        </w:rPr>
        <w:t>3、磋商小组义务</w:t>
      </w:r>
    </w:p>
    <w:p w14:paraId="3D2FCA08">
      <w:pPr>
        <w:ind w:firstLine="480" w:firstLineChars="200"/>
        <w:rPr>
          <w:sz w:val="24"/>
          <w:szCs w:val="24"/>
        </w:rPr>
      </w:pPr>
      <w:r>
        <w:rPr>
          <w:sz w:val="24"/>
          <w:szCs w:val="24"/>
        </w:rPr>
        <w:t>3-1、遵纪守法、客观、公正、廉洁地履行职责；</w:t>
      </w:r>
    </w:p>
    <w:p w14:paraId="38ABE9CF">
      <w:pPr>
        <w:ind w:firstLine="480" w:firstLineChars="200"/>
        <w:rPr>
          <w:sz w:val="24"/>
          <w:szCs w:val="24"/>
        </w:rPr>
      </w:pPr>
      <w:r>
        <w:rPr>
          <w:sz w:val="24"/>
          <w:szCs w:val="24"/>
        </w:rPr>
        <w:t>3-2、根据磋商文件的规定独立进行评审，对个人的评审意见承担法律责任；</w:t>
      </w:r>
    </w:p>
    <w:p w14:paraId="4DA745DF">
      <w:pPr>
        <w:ind w:firstLine="480" w:firstLineChars="200"/>
        <w:rPr>
          <w:sz w:val="24"/>
          <w:szCs w:val="24"/>
        </w:rPr>
      </w:pPr>
      <w:r>
        <w:rPr>
          <w:sz w:val="24"/>
          <w:szCs w:val="24"/>
        </w:rPr>
        <w:t>3-3、参与评审报告的起草；</w:t>
      </w:r>
    </w:p>
    <w:p w14:paraId="4EED3EA4">
      <w:pPr>
        <w:ind w:firstLine="480" w:firstLineChars="200"/>
        <w:rPr>
          <w:sz w:val="24"/>
          <w:szCs w:val="24"/>
        </w:rPr>
      </w:pPr>
      <w:r>
        <w:rPr>
          <w:sz w:val="24"/>
          <w:szCs w:val="24"/>
        </w:rPr>
        <w:t>3-4、配合采购人、采购代理机构答复供应商提出的质疑；</w:t>
      </w:r>
    </w:p>
    <w:p w14:paraId="44190F21">
      <w:pPr>
        <w:ind w:firstLine="480" w:firstLineChars="200"/>
        <w:rPr>
          <w:sz w:val="24"/>
          <w:szCs w:val="24"/>
        </w:rPr>
      </w:pPr>
      <w:r>
        <w:rPr>
          <w:sz w:val="24"/>
          <w:szCs w:val="24"/>
        </w:rPr>
        <w:t>3-5、配合财政部门的投诉处理和监督检查工作。</w:t>
      </w:r>
    </w:p>
    <w:p w14:paraId="49BBA768">
      <w:pPr>
        <w:ind w:firstLine="480" w:firstLineChars="200"/>
        <w:rPr>
          <w:sz w:val="24"/>
          <w:szCs w:val="24"/>
        </w:rPr>
      </w:pPr>
      <w:r>
        <w:rPr>
          <w:sz w:val="24"/>
          <w:szCs w:val="24"/>
        </w:rPr>
        <w:t>3、确认磋商文件：磋商小组对磋商文件进行审阅，无异议进行签字确认；有异议进行修改，修改内容经采购人确认后，磋商小组以书面形式通知所有供应商。</w:t>
      </w:r>
    </w:p>
    <w:p w14:paraId="7549286D">
      <w:pPr>
        <w:ind w:firstLine="480" w:firstLineChars="200"/>
        <w:rPr>
          <w:sz w:val="24"/>
          <w:szCs w:val="24"/>
        </w:rPr>
      </w:pPr>
      <w:r>
        <w:rPr>
          <w:sz w:val="24"/>
          <w:szCs w:val="24"/>
        </w:rPr>
        <w:t>六、磋商程序</w:t>
      </w:r>
    </w:p>
    <w:p w14:paraId="750CEB3A">
      <w:pPr>
        <w:ind w:firstLine="480" w:firstLineChars="200"/>
        <w:rPr>
          <w:sz w:val="24"/>
          <w:szCs w:val="24"/>
        </w:rPr>
      </w:pPr>
      <w:r>
        <w:rPr>
          <w:sz w:val="24"/>
          <w:szCs w:val="24"/>
        </w:rPr>
        <w:t>1、磋商会议</w:t>
      </w:r>
    </w:p>
    <w:p w14:paraId="75C988A4">
      <w:pPr>
        <w:ind w:firstLine="480" w:firstLineChars="200"/>
        <w:rPr>
          <w:sz w:val="24"/>
          <w:szCs w:val="24"/>
        </w:rPr>
      </w:pPr>
      <w:r>
        <w:rPr>
          <w:sz w:val="24"/>
          <w:szCs w:val="24"/>
        </w:rPr>
        <w:t>1-1、在磋商文件规定的时间和地点，由采购代理机构组织磋商工作，供应商须委派代表参加，签名报到以证明其出席。</w:t>
      </w:r>
    </w:p>
    <w:p w14:paraId="41F981DA">
      <w:pPr>
        <w:ind w:firstLine="480" w:firstLineChars="200"/>
        <w:rPr>
          <w:sz w:val="24"/>
          <w:szCs w:val="24"/>
        </w:rPr>
      </w:pPr>
      <w:r>
        <w:rPr>
          <w:sz w:val="24"/>
          <w:szCs w:val="24"/>
        </w:rPr>
        <w:t>1-2、由供应商或其推荐的代表与采购监督人共同检查响应文件的密封情况，经检查无误后，签字确认。</w:t>
      </w:r>
    </w:p>
    <w:p w14:paraId="49D4972C">
      <w:pPr>
        <w:ind w:firstLine="480" w:firstLineChars="200"/>
        <w:rPr>
          <w:sz w:val="24"/>
          <w:szCs w:val="24"/>
        </w:rPr>
      </w:pPr>
      <w:r>
        <w:rPr>
          <w:sz w:val="24"/>
          <w:szCs w:val="24"/>
        </w:rPr>
        <w:t>1-3、采购代理机构工作人员按照顺序，将各供应商首次响应文件的份数等内容公布，无异议后，由供应商法定代表人或授权代表人和监督人签字确认。</w:t>
      </w:r>
    </w:p>
    <w:p w14:paraId="1F8EEA33">
      <w:pPr>
        <w:ind w:firstLine="480" w:firstLineChars="200"/>
        <w:rPr>
          <w:sz w:val="24"/>
          <w:szCs w:val="24"/>
        </w:rPr>
      </w:pPr>
      <w:r>
        <w:rPr>
          <w:sz w:val="24"/>
          <w:szCs w:val="24"/>
        </w:rPr>
        <w:t>1-4、磋商过程由采购代理机构指定专人记录。</w:t>
      </w:r>
    </w:p>
    <w:p w14:paraId="46789BF5">
      <w:pPr>
        <w:ind w:firstLine="480" w:firstLineChars="200"/>
        <w:rPr>
          <w:sz w:val="24"/>
          <w:szCs w:val="24"/>
        </w:rPr>
      </w:pPr>
      <w:r>
        <w:rPr>
          <w:sz w:val="24"/>
          <w:szCs w:val="24"/>
        </w:rPr>
        <w:t>响应文件评审</w:t>
      </w:r>
    </w:p>
    <w:p w14:paraId="005C4056">
      <w:pPr>
        <w:ind w:firstLine="480" w:firstLineChars="200"/>
        <w:rPr>
          <w:sz w:val="24"/>
          <w:szCs w:val="24"/>
        </w:rPr>
      </w:pPr>
      <w:r>
        <w:rPr>
          <w:sz w:val="24"/>
          <w:szCs w:val="24"/>
        </w:rPr>
        <w:t>2-1、响应文件的资格性审查：依据法律法规和响应文件的规定，对响应文件中的合格供应商证明文件、保证金等进行审查，以确认合格供应商具备相应资格。</w:t>
      </w:r>
    </w:p>
    <w:p w14:paraId="4CC849A1">
      <w:pPr>
        <w:ind w:firstLine="480" w:firstLineChars="200"/>
        <w:rPr>
          <w:sz w:val="24"/>
          <w:szCs w:val="24"/>
        </w:rPr>
      </w:pPr>
      <w:r>
        <w:rPr>
          <w:sz w:val="24"/>
          <w:szCs w:val="24"/>
        </w:rPr>
        <w:t>2-2、响应文件符合性审查：依据磋商文件的规定，对响应文件的有效性、完整性和对磋商文件的响应程度进行审查，以确定是否对磋商文件的实质性内容作出响应。</w:t>
      </w:r>
    </w:p>
    <w:p w14:paraId="6CB06911">
      <w:pPr>
        <w:ind w:firstLine="480" w:firstLineChars="200"/>
        <w:rPr>
          <w:sz w:val="24"/>
          <w:szCs w:val="24"/>
        </w:rPr>
      </w:pPr>
      <w:r>
        <w:rPr>
          <w:sz w:val="24"/>
          <w:szCs w:val="24"/>
        </w:rPr>
        <w:t>2-3、经过供应商及响应文件的资格性和符合性审查，出现下列情况者（但不限于），按无效文件处理。</w:t>
      </w:r>
    </w:p>
    <w:p w14:paraId="45ACE7AB">
      <w:pPr>
        <w:ind w:firstLine="480" w:firstLineChars="200"/>
        <w:rPr>
          <w:sz w:val="24"/>
          <w:szCs w:val="24"/>
        </w:rPr>
      </w:pPr>
      <w:r>
        <w:rPr>
          <w:sz w:val="24"/>
          <w:szCs w:val="24"/>
        </w:rPr>
        <w:t>2-3-1、供应商没有经过正常渠道购买磋商文件或供应商的名称与登记领取磋商文件单位的名称不符。</w:t>
      </w:r>
    </w:p>
    <w:p w14:paraId="689DAB33">
      <w:pPr>
        <w:ind w:firstLine="480" w:firstLineChars="200"/>
        <w:rPr>
          <w:sz w:val="24"/>
          <w:szCs w:val="24"/>
        </w:rPr>
      </w:pPr>
      <w:r>
        <w:rPr>
          <w:sz w:val="24"/>
          <w:szCs w:val="24"/>
        </w:rPr>
        <w:t>2-3-2、供应商的磋商报价超出采购预算的。</w:t>
      </w:r>
    </w:p>
    <w:p w14:paraId="3BDED820">
      <w:pPr>
        <w:ind w:firstLine="480" w:firstLineChars="200"/>
        <w:rPr>
          <w:sz w:val="24"/>
          <w:szCs w:val="24"/>
        </w:rPr>
      </w:pPr>
      <w:r>
        <w:rPr>
          <w:sz w:val="24"/>
          <w:szCs w:val="24"/>
        </w:rPr>
        <w:t>2-3-3、磋商响应文件中未提交法定代表人授权书（法定代表人直接参加磋商未按要求提交其有效身份证）或授权书的合法性或有效性不符合磋商文件规定。授权代表本单位证明的有效性或符合性不符合要求的。</w:t>
      </w:r>
    </w:p>
    <w:p w14:paraId="545B43B6">
      <w:pPr>
        <w:ind w:firstLine="480" w:firstLineChars="200"/>
        <w:rPr>
          <w:sz w:val="24"/>
          <w:szCs w:val="24"/>
        </w:rPr>
      </w:pPr>
      <w:r>
        <w:rPr>
          <w:sz w:val="24"/>
          <w:szCs w:val="24"/>
        </w:rPr>
        <w:t>2-3-4、合格供应商要求证明文件的有效性或符合性不符合要求的。</w:t>
      </w:r>
    </w:p>
    <w:p w14:paraId="0968E10E">
      <w:pPr>
        <w:ind w:firstLine="480" w:firstLineChars="200"/>
        <w:rPr>
          <w:sz w:val="24"/>
          <w:szCs w:val="24"/>
        </w:rPr>
      </w:pPr>
      <w:r>
        <w:rPr>
          <w:sz w:val="24"/>
          <w:szCs w:val="24"/>
        </w:rPr>
        <w:t>2-3-5、响应文件没有盖单位公章，无有效期或有效期达不到磋商文件的要求。</w:t>
      </w:r>
    </w:p>
    <w:p w14:paraId="4E7D256F">
      <w:pPr>
        <w:ind w:firstLine="480" w:firstLineChars="200"/>
        <w:rPr>
          <w:sz w:val="24"/>
          <w:szCs w:val="24"/>
        </w:rPr>
      </w:pPr>
      <w:r>
        <w:rPr>
          <w:sz w:val="24"/>
          <w:szCs w:val="24"/>
        </w:rPr>
        <w:t>2-3-6、响应文件对磋商文件的要求不一致，或附加了采购人难以接受的条件。</w:t>
      </w:r>
    </w:p>
    <w:p w14:paraId="60DD6379">
      <w:pPr>
        <w:ind w:firstLine="480" w:firstLineChars="200"/>
        <w:rPr>
          <w:sz w:val="24"/>
          <w:szCs w:val="24"/>
        </w:rPr>
      </w:pPr>
      <w:r>
        <w:rPr>
          <w:sz w:val="24"/>
          <w:szCs w:val="24"/>
        </w:rPr>
        <w:t>2-3-7、磋商内容出现漏项或数量与要求不符，出现重大负偏差。</w:t>
      </w:r>
    </w:p>
    <w:p w14:paraId="6DC6E892">
      <w:pPr>
        <w:ind w:firstLine="480" w:firstLineChars="200"/>
        <w:rPr>
          <w:sz w:val="24"/>
          <w:szCs w:val="24"/>
        </w:rPr>
      </w:pPr>
      <w:r>
        <w:rPr>
          <w:sz w:val="24"/>
          <w:szCs w:val="24"/>
        </w:rPr>
        <w:t>2-3-8、响应文件中技术指标达不到采购要求，降低了工程质量。</w:t>
      </w:r>
    </w:p>
    <w:p w14:paraId="2677C3D3">
      <w:pPr>
        <w:ind w:firstLine="480" w:firstLineChars="200"/>
        <w:rPr>
          <w:sz w:val="24"/>
          <w:szCs w:val="24"/>
        </w:rPr>
      </w:pPr>
      <w:r>
        <w:rPr>
          <w:sz w:val="24"/>
          <w:szCs w:val="24"/>
        </w:rPr>
        <w:t>2-3-9、响应报价与市场价偏离较大，低于成本，形成不正当竞争。</w:t>
      </w:r>
    </w:p>
    <w:p w14:paraId="1339723B">
      <w:pPr>
        <w:ind w:firstLine="480" w:firstLineChars="200"/>
        <w:rPr>
          <w:sz w:val="24"/>
          <w:szCs w:val="24"/>
        </w:rPr>
      </w:pPr>
      <w:r>
        <w:rPr>
          <w:sz w:val="24"/>
          <w:szCs w:val="24"/>
        </w:rPr>
        <w:t>2-3-10、提供虚假证明，开具虚假资质，出现虚假应答或故意隐瞒行为。</w:t>
      </w:r>
    </w:p>
    <w:p w14:paraId="11B3E439">
      <w:pPr>
        <w:ind w:firstLine="480" w:firstLineChars="200"/>
        <w:rPr>
          <w:sz w:val="24"/>
          <w:szCs w:val="24"/>
        </w:rPr>
      </w:pPr>
      <w:r>
        <w:rPr>
          <w:sz w:val="24"/>
          <w:szCs w:val="24"/>
        </w:rPr>
        <w:t>3、磋商：磋商小组所有成员集中与单一供应商分别进行磋商，并给所有参加磋商供应商平等的磋商机会。</w:t>
      </w:r>
    </w:p>
    <w:p w14:paraId="2A09B63E">
      <w:pPr>
        <w:ind w:firstLine="480" w:firstLineChars="200"/>
        <w:rPr>
          <w:sz w:val="24"/>
          <w:szCs w:val="24"/>
        </w:rPr>
      </w:pPr>
      <w:r>
        <w:rPr>
          <w:sz w:val="24"/>
          <w:szCs w:val="24"/>
        </w:rPr>
        <w:t>3-1、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或者授权代表签字或者加盖公章。澄清、说明或者更正不得超出响应范围，或者改变响应文件的实质性内容。</w:t>
      </w:r>
    </w:p>
    <w:p w14:paraId="47CF5340">
      <w:pPr>
        <w:ind w:firstLine="480" w:firstLineChars="200"/>
        <w:rPr>
          <w:sz w:val="24"/>
          <w:szCs w:val="24"/>
        </w:rPr>
      </w:pPr>
      <w:r>
        <w:rPr>
          <w:sz w:val="24"/>
          <w:szCs w:val="24"/>
        </w:rPr>
        <w:t>3-2、磋商过程中，磋商小组可以根据磋商文件和磋商情况实质性变动采购需求中的技术、服务要求以及合同草案条款，但不得变动磋商文件中的其他内容。实质性变动的内容，须经采购人代表确认，并成为磋商文件的有效组成部分。</w:t>
      </w:r>
    </w:p>
    <w:p w14:paraId="4D95AABD">
      <w:pPr>
        <w:ind w:firstLine="480" w:firstLineChars="200"/>
        <w:rPr>
          <w:sz w:val="24"/>
          <w:szCs w:val="24"/>
        </w:rPr>
      </w:pPr>
      <w:r>
        <w:rPr>
          <w:sz w:val="24"/>
          <w:szCs w:val="24"/>
        </w:rPr>
        <w:t>3-3、供应商应在磋商小组规定的时间内，以书面形式进行澄清、说明或者更正，并由法定代表人或者授权代表签字或者加盖公章。</w:t>
      </w:r>
    </w:p>
    <w:p w14:paraId="346EAFB5">
      <w:pPr>
        <w:ind w:firstLine="480" w:firstLineChars="200"/>
        <w:rPr>
          <w:sz w:val="24"/>
          <w:szCs w:val="24"/>
        </w:rPr>
      </w:pPr>
      <w:r>
        <w:rPr>
          <w:sz w:val="24"/>
          <w:szCs w:val="24"/>
        </w:rPr>
        <w:t>4、最后报价</w:t>
      </w:r>
    </w:p>
    <w:p w14:paraId="64862D12">
      <w:pPr>
        <w:ind w:firstLine="480" w:firstLineChars="200"/>
        <w:rPr>
          <w:sz w:val="24"/>
          <w:szCs w:val="24"/>
        </w:rPr>
      </w:pPr>
      <w:r>
        <w:rPr>
          <w:sz w:val="24"/>
          <w:szCs w:val="24"/>
        </w:rPr>
        <w:t>4-1、磋商结束后，提交最后报价的供应商不少于3家（财库【2015】124号规定除外）。磋商小组要求实质性响应的供应商在规定时间内提交最后报价，最后报价是供应商响应文件的有效组成部分。</w:t>
      </w:r>
    </w:p>
    <w:p w14:paraId="693C5E59">
      <w:pPr>
        <w:ind w:firstLine="480" w:firstLineChars="200"/>
        <w:rPr>
          <w:sz w:val="24"/>
          <w:szCs w:val="24"/>
        </w:rPr>
      </w:pPr>
      <w:r>
        <w:rPr>
          <w:sz w:val="24"/>
          <w:szCs w:val="24"/>
        </w:rPr>
        <w:t>4-2、最后报价应按报价的格式内容填写，并且同时提交最后响应报价表、最后报价明细表等内容。各供应商在提交响应文件时，最后报价</w:t>
      </w:r>
      <w:r>
        <w:rPr>
          <w:rFonts w:hint="eastAsia"/>
          <w:sz w:val="24"/>
          <w:szCs w:val="24"/>
        </w:rPr>
        <w:t>由</w:t>
      </w:r>
      <w:r>
        <w:rPr>
          <w:sz w:val="24"/>
          <w:szCs w:val="24"/>
        </w:rPr>
        <w:t>法定代表人或授权代表人签字。</w:t>
      </w:r>
    </w:p>
    <w:p w14:paraId="589BAD6E">
      <w:pPr>
        <w:ind w:firstLine="480" w:firstLineChars="200"/>
        <w:rPr>
          <w:sz w:val="24"/>
          <w:szCs w:val="24"/>
        </w:rPr>
      </w:pPr>
      <w:r>
        <w:rPr>
          <w:sz w:val="24"/>
          <w:szCs w:val="24"/>
        </w:rPr>
        <w:t>5、比较与评价</w:t>
      </w:r>
    </w:p>
    <w:p w14:paraId="53E2AAA5">
      <w:pPr>
        <w:ind w:firstLine="480" w:firstLineChars="200"/>
        <w:rPr>
          <w:sz w:val="24"/>
          <w:szCs w:val="24"/>
        </w:rPr>
      </w:pPr>
      <w:r>
        <w:rPr>
          <w:sz w:val="24"/>
          <w:szCs w:val="24"/>
        </w:rPr>
        <w:t>5-1、磋商小组在评审过程中，发现响应文件出现下列情况之一者，按以下原则修正：</w:t>
      </w:r>
    </w:p>
    <w:p w14:paraId="22D8B7DD">
      <w:pPr>
        <w:ind w:firstLine="480" w:firstLineChars="200"/>
        <w:rPr>
          <w:sz w:val="24"/>
          <w:szCs w:val="24"/>
        </w:rPr>
      </w:pPr>
      <w:r>
        <w:rPr>
          <w:sz w:val="24"/>
          <w:szCs w:val="24"/>
        </w:rPr>
        <w:t>5-1-1、大写金额与小写金额不一致的，以大写金额为准；</w:t>
      </w:r>
    </w:p>
    <w:p w14:paraId="7B1CB334">
      <w:pPr>
        <w:ind w:firstLine="480" w:firstLineChars="200"/>
        <w:rPr>
          <w:sz w:val="24"/>
          <w:szCs w:val="24"/>
        </w:rPr>
      </w:pPr>
      <w:r>
        <w:rPr>
          <w:sz w:val="24"/>
          <w:szCs w:val="24"/>
        </w:rPr>
        <w:t>5-1-2、总价金额与按单价汇总金额不一致的，以单价金额计算结果为准；</w:t>
      </w:r>
    </w:p>
    <w:p w14:paraId="34EB70CD">
      <w:pPr>
        <w:ind w:firstLine="480" w:firstLineChars="200"/>
        <w:rPr>
          <w:sz w:val="24"/>
          <w:szCs w:val="24"/>
        </w:rPr>
      </w:pPr>
      <w:r>
        <w:rPr>
          <w:sz w:val="24"/>
          <w:szCs w:val="24"/>
        </w:rPr>
        <w:t>5-1-3、单价金额小数点有明显错位的，应以总价为准，并修改单价；</w:t>
      </w:r>
    </w:p>
    <w:p w14:paraId="0E1FA90B">
      <w:pPr>
        <w:ind w:firstLine="480" w:firstLineChars="200"/>
        <w:rPr>
          <w:sz w:val="24"/>
          <w:szCs w:val="24"/>
        </w:rPr>
      </w:pPr>
      <w:r>
        <w:rPr>
          <w:sz w:val="24"/>
          <w:szCs w:val="24"/>
        </w:rPr>
        <w:t>5-1-4、对不同文字文本响应文件的解释发生异议的，以中文文本为准；</w:t>
      </w:r>
    </w:p>
    <w:p w14:paraId="092D9EF7">
      <w:pPr>
        <w:ind w:firstLine="480" w:firstLineChars="200"/>
        <w:rPr>
          <w:sz w:val="24"/>
          <w:szCs w:val="24"/>
        </w:rPr>
      </w:pPr>
      <w:r>
        <w:rPr>
          <w:sz w:val="24"/>
          <w:szCs w:val="24"/>
        </w:rPr>
        <w:t>5-1-5、文字与图表不一致的，以文字为准；</w:t>
      </w:r>
    </w:p>
    <w:p w14:paraId="2B200EC0">
      <w:pPr>
        <w:ind w:firstLine="480" w:firstLineChars="200"/>
        <w:rPr>
          <w:sz w:val="24"/>
          <w:szCs w:val="24"/>
        </w:rPr>
      </w:pPr>
      <w:r>
        <w:rPr>
          <w:sz w:val="24"/>
          <w:szCs w:val="24"/>
        </w:rPr>
        <w:t>5-1-6、正本与副本不一致的，以正本为准；</w:t>
      </w:r>
    </w:p>
    <w:p w14:paraId="20F8D34A">
      <w:pPr>
        <w:ind w:firstLine="480" w:firstLineChars="200"/>
        <w:rPr>
          <w:sz w:val="24"/>
          <w:szCs w:val="24"/>
        </w:rPr>
      </w:pPr>
      <w:r>
        <w:rPr>
          <w:sz w:val="24"/>
          <w:szCs w:val="24"/>
        </w:rPr>
        <w:t>5-1-7、响应文件的文字叙述与制造厂商的产品样本/检测报告不符时，以产品样本/检测报告为准。</w:t>
      </w:r>
    </w:p>
    <w:p w14:paraId="50043DBB">
      <w:pPr>
        <w:ind w:firstLine="480" w:firstLineChars="200"/>
        <w:rPr>
          <w:sz w:val="24"/>
          <w:szCs w:val="24"/>
        </w:rPr>
      </w:pPr>
      <w:r>
        <w:rPr>
          <w:sz w:val="24"/>
          <w:szCs w:val="24"/>
        </w:rPr>
        <w:t xml:space="preserve"> 5-2、按照磋商文件规定的评审方法和标准，对审查合格的文件进行商务和技术评审，综合比较和评价，最低报价不做为成交的唯一条件。</w:t>
      </w:r>
    </w:p>
    <w:p w14:paraId="165EEC95">
      <w:pPr>
        <w:ind w:firstLine="480" w:firstLineChars="200"/>
        <w:rPr>
          <w:sz w:val="24"/>
          <w:szCs w:val="24"/>
        </w:rPr>
      </w:pPr>
      <w:r>
        <w:rPr>
          <w:sz w:val="24"/>
          <w:szCs w:val="24"/>
        </w:rPr>
        <w:t xml:space="preserve"> 5-3、属于政府采购节能清单中的产品，在技术、服务等指标同等条件下，优先采购节能清单所列的节能产品、环境标志产品。</w:t>
      </w:r>
    </w:p>
    <w:p w14:paraId="78E80423">
      <w:pPr>
        <w:ind w:firstLine="480" w:firstLineChars="200"/>
        <w:rPr>
          <w:sz w:val="24"/>
          <w:szCs w:val="24"/>
        </w:rPr>
      </w:pPr>
      <w:r>
        <w:rPr>
          <w:sz w:val="24"/>
          <w:szCs w:val="24"/>
        </w:rPr>
        <w:t xml:space="preserve"> 6、评审程序：采取逐项分步评审方式，每一步评审不符合者，不进入下一步评审，全部评审合格的供应商进行最后的综合评审和打分，按最后得分由高向低排序，推荐成交候选单位。</w:t>
      </w:r>
    </w:p>
    <w:p w14:paraId="51D1FEB1">
      <w:pPr>
        <w:ind w:firstLine="480" w:firstLineChars="200"/>
        <w:rPr>
          <w:sz w:val="24"/>
          <w:szCs w:val="24"/>
        </w:rPr>
      </w:pPr>
      <w:r>
        <w:rPr>
          <w:rFonts w:hint="eastAsia"/>
          <w:sz w:val="24"/>
          <w:szCs w:val="24"/>
        </w:rPr>
        <w:t>7、评审方法：综合评分法（总计100分）</w:t>
      </w:r>
    </w:p>
    <w:p w14:paraId="1B7F936A">
      <w:pPr>
        <w:widowControl/>
        <w:adjustRightInd w:val="0"/>
        <w:snapToGrid w:val="0"/>
        <w:ind w:firstLine="480" w:firstLineChars="200"/>
        <w:rPr>
          <w:rFonts w:ascii="仿宋" w:hAnsi="仿宋" w:cs="仿宋"/>
          <w:bCs/>
          <w:color w:val="000000"/>
          <w:sz w:val="24"/>
          <w:szCs w:val="24"/>
        </w:rPr>
      </w:pPr>
      <w:r>
        <w:rPr>
          <w:rFonts w:hint="eastAsia" w:ascii="仿宋" w:hAnsi="仿宋" w:cs="仿宋"/>
          <w:sz w:val="24"/>
          <w:szCs w:val="24"/>
        </w:rPr>
        <w:t>（1）资质有效性评审：本次磋商所要求的必备资质证明文件，缺其中一项或某项达不到磋商要求，均按无效文件处理。</w:t>
      </w:r>
    </w:p>
    <w:tbl>
      <w:tblPr>
        <w:tblStyle w:val="16"/>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68"/>
        <w:gridCol w:w="2055"/>
        <w:gridCol w:w="6743"/>
      </w:tblGrid>
      <w:tr w14:paraId="67E3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4"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14:paraId="6F496F45">
            <w:pPr>
              <w:ind w:right="48" w:rightChars="17"/>
              <w:jc w:val="center"/>
              <w:rPr>
                <w:rFonts w:ascii="仿宋" w:hAnsi="仿宋" w:cs="仿宋"/>
                <w:bCs/>
                <w:sz w:val="24"/>
                <w:szCs w:val="24"/>
              </w:rPr>
            </w:pPr>
            <w:r>
              <w:rPr>
                <w:rFonts w:hint="eastAsia" w:ascii="仿宋" w:hAnsi="仿宋" w:cs="仿宋"/>
                <w:bCs/>
                <w:sz w:val="24"/>
                <w:szCs w:val="24"/>
              </w:rPr>
              <w:t>内容</w:t>
            </w:r>
          </w:p>
        </w:tc>
        <w:tc>
          <w:tcPr>
            <w:tcW w:w="2055" w:type="dxa"/>
            <w:tcBorders>
              <w:top w:val="single" w:color="auto" w:sz="4" w:space="0"/>
              <w:left w:val="single" w:color="auto" w:sz="4" w:space="0"/>
              <w:bottom w:val="single" w:color="auto" w:sz="4" w:space="0"/>
              <w:right w:val="single" w:color="auto" w:sz="4" w:space="0"/>
            </w:tcBorders>
            <w:vAlign w:val="center"/>
          </w:tcPr>
          <w:p w14:paraId="056B1E3A">
            <w:pPr>
              <w:ind w:right="48" w:rightChars="17"/>
              <w:jc w:val="center"/>
              <w:rPr>
                <w:rFonts w:ascii="仿宋" w:hAnsi="仿宋" w:cs="仿宋"/>
                <w:bCs/>
                <w:sz w:val="24"/>
                <w:szCs w:val="24"/>
              </w:rPr>
            </w:pPr>
            <w:r>
              <w:rPr>
                <w:rFonts w:hint="eastAsia" w:ascii="仿宋" w:hAnsi="仿宋" w:cs="仿宋"/>
                <w:bCs/>
                <w:sz w:val="24"/>
                <w:szCs w:val="24"/>
              </w:rPr>
              <w:t>审查因素</w:t>
            </w:r>
          </w:p>
        </w:tc>
        <w:tc>
          <w:tcPr>
            <w:tcW w:w="6743" w:type="dxa"/>
            <w:tcBorders>
              <w:top w:val="single" w:color="auto" w:sz="4" w:space="0"/>
              <w:left w:val="single" w:color="auto" w:sz="4" w:space="0"/>
              <w:bottom w:val="single" w:color="auto" w:sz="4" w:space="0"/>
              <w:right w:val="single" w:color="auto" w:sz="4" w:space="0"/>
            </w:tcBorders>
            <w:vAlign w:val="center"/>
          </w:tcPr>
          <w:p w14:paraId="69F2E178">
            <w:pPr>
              <w:ind w:right="48" w:rightChars="17"/>
              <w:jc w:val="center"/>
              <w:rPr>
                <w:rFonts w:ascii="仿宋" w:hAnsi="仿宋" w:cs="仿宋"/>
                <w:bCs/>
                <w:sz w:val="24"/>
                <w:szCs w:val="24"/>
              </w:rPr>
            </w:pPr>
            <w:r>
              <w:rPr>
                <w:rFonts w:hint="eastAsia" w:ascii="仿宋" w:hAnsi="仿宋" w:cs="仿宋"/>
                <w:bCs/>
                <w:sz w:val="24"/>
                <w:szCs w:val="24"/>
              </w:rPr>
              <w:t>审查标准</w:t>
            </w:r>
          </w:p>
        </w:tc>
      </w:tr>
      <w:tr w14:paraId="4442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79" w:hRule="atLeast"/>
          <w:jc w:val="center"/>
        </w:trPr>
        <w:tc>
          <w:tcPr>
            <w:tcW w:w="968" w:type="dxa"/>
            <w:vMerge w:val="restart"/>
            <w:tcBorders>
              <w:top w:val="single" w:color="auto" w:sz="4" w:space="0"/>
              <w:left w:val="single" w:color="auto" w:sz="4" w:space="0"/>
              <w:right w:val="single" w:color="auto" w:sz="4" w:space="0"/>
            </w:tcBorders>
            <w:vAlign w:val="center"/>
          </w:tcPr>
          <w:p w14:paraId="0B76CAC0">
            <w:pPr>
              <w:ind w:right="48" w:rightChars="17"/>
              <w:jc w:val="center"/>
              <w:rPr>
                <w:rFonts w:ascii="仿宋" w:hAnsi="仿宋" w:cs="仿宋"/>
                <w:bCs/>
                <w:sz w:val="24"/>
                <w:szCs w:val="24"/>
              </w:rPr>
            </w:pPr>
            <w:r>
              <w:rPr>
                <w:rFonts w:hint="eastAsia" w:ascii="仿宋" w:hAnsi="仿宋" w:cs="仿宋"/>
                <w:bCs/>
                <w:sz w:val="24"/>
                <w:szCs w:val="24"/>
              </w:rPr>
              <w:t>资格审查标准</w:t>
            </w:r>
          </w:p>
        </w:tc>
        <w:tc>
          <w:tcPr>
            <w:tcW w:w="2055" w:type="dxa"/>
            <w:tcBorders>
              <w:top w:val="single" w:color="auto" w:sz="4" w:space="0"/>
              <w:left w:val="single" w:color="auto" w:sz="4" w:space="0"/>
              <w:bottom w:val="single" w:color="auto" w:sz="4" w:space="0"/>
              <w:right w:val="single" w:color="auto" w:sz="4" w:space="0"/>
            </w:tcBorders>
            <w:vAlign w:val="center"/>
          </w:tcPr>
          <w:p w14:paraId="0ABE9ECA">
            <w:pPr>
              <w:widowControl/>
              <w:adjustRightInd w:val="0"/>
              <w:snapToGrid w:val="0"/>
              <w:spacing w:line="400" w:lineRule="exact"/>
              <w:ind w:right="48" w:rightChars="17"/>
              <w:jc w:val="center"/>
              <w:rPr>
                <w:rFonts w:ascii="仿宋" w:hAnsi="仿宋" w:cs="仿宋"/>
                <w:bCs/>
                <w:color w:val="000000"/>
                <w:sz w:val="24"/>
                <w:szCs w:val="24"/>
              </w:rPr>
            </w:pPr>
            <w:r>
              <w:rPr>
                <w:rFonts w:hint="eastAsia" w:ascii="仿宋" w:hAnsi="仿宋" w:cs="仿宋"/>
                <w:bCs/>
                <w:color w:val="000000"/>
                <w:sz w:val="24"/>
                <w:szCs w:val="24"/>
              </w:rPr>
              <w:t>有效的投标主体</w:t>
            </w:r>
          </w:p>
        </w:tc>
        <w:tc>
          <w:tcPr>
            <w:tcW w:w="6743" w:type="dxa"/>
            <w:tcBorders>
              <w:top w:val="single" w:color="auto" w:sz="4" w:space="0"/>
              <w:left w:val="single" w:color="auto" w:sz="4" w:space="0"/>
              <w:bottom w:val="single" w:color="auto" w:sz="4" w:space="0"/>
              <w:right w:val="single" w:color="auto" w:sz="4" w:space="0"/>
            </w:tcBorders>
            <w:vAlign w:val="center"/>
          </w:tcPr>
          <w:p w14:paraId="44B68F17">
            <w:pPr>
              <w:widowControl/>
              <w:adjustRightInd w:val="0"/>
              <w:snapToGrid w:val="0"/>
              <w:spacing w:line="400" w:lineRule="exact"/>
              <w:ind w:right="48" w:rightChars="17"/>
              <w:rPr>
                <w:rFonts w:ascii="仿宋" w:hAnsi="仿宋" w:cs="仿宋"/>
                <w:bCs/>
                <w:color w:val="000000"/>
                <w:sz w:val="24"/>
                <w:szCs w:val="24"/>
              </w:rPr>
            </w:pPr>
            <w:r>
              <w:rPr>
                <w:rFonts w:hint="eastAsia" w:ascii="仿宋" w:hAnsi="仿宋" w:cs="仿宋"/>
                <w:kern w:val="2"/>
                <w:sz w:val="24"/>
                <w:szCs w:val="24"/>
                <w:lang w:val="en-US" w:eastAsia="zh-CN"/>
              </w:rPr>
              <w:t>1.具有独立承担民事责任能力的法人、其他组织或自然人，提供合法有效的营业执照/事业单位法人证书/专业服务机构执业许可证/民办非企业单位登记证书等相关证明，自然人参与的提供其身份证明；</w:t>
            </w:r>
          </w:p>
        </w:tc>
      </w:tr>
      <w:tr w14:paraId="2A37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98" w:hRule="atLeast"/>
          <w:jc w:val="center"/>
        </w:trPr>
        <w:tc>
          <w:tcPr>
            <w:tcW w:w="968" w:type="dxa"/>
            <w:vMerge w:val="continue"/>
            <w:tcBorders>
              <w:left w:val="single" w:color="auto" w:sz="4" w:space="0"/>
              <w:right w:val="single" w:color="auto" w:sz="4" w:space="0"/>
            </w:tcBorders>
            <w:vAlign w:val="center"/>
          </w:tcPr>
          <w:p w14:paraId="1B2629D3">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6D4FB449">
            <w:pPr>
              <w:widowControl/>
              <w:adjustRightInd w:val="0"/>
              <w:snapToGrid w:val="0"/>
              <w:spacing w:line="400" w:lineRule="exact"/>
              <w:ind w:right="48" w:rightChars="17"/>
              <w:jc w:val="center"/>
              <w:rPr>
                <w:rFonts w:ascii="仿宋" w:hAnsi="仿宋" w:cs="仿宋"/>
                <w:bCs/>
                <w:color w:val="000000"/>
                <w:sz w:val="24"/>
                <w:szCs w:val="24"/>
              </w:rPr>
            </w:pPr>
            <w:r>
              <w:rPr>
                <w:rFonts w:hint="eastAsia" w:ascii="仿宋" w:hAnsi="仿宋" w:cs="仿宋"/>
                <w:bCs/>
                <w:color w:val="000000"/>
                <w:sz w:val="24"/>
                <w:szCs w:val="24"/>
              </w:rPr>
              <w:t>法定代表人授权书及身份证明</w:t>
            </w:r>
          </w:p>
        </w:tc>
        <w:tc>
          <w:tcPr>
            <w:tcW w:w="6743" w:type="dxa"/>
            <w:tcBorders>
              <w:top w:val="single" w:color="auto" w:sz="4" w:space="0"/>
              <w:left w:val="single" w:color="auto" w:sz="4" w:space="0"/>
              <w:bottom w:val="single" w:color="auto" w:sz="4" w:space="0"/>
              <w:right w:val="single" w:color="auto" w:sz="4" w:space="0"/>
            </w:tcBorders>
            <w:vAlign w:val="center"/>
          </w:tcPr>
          <w:p w14:paraId="69A8075E">
            <w:pPr>
              <w:widowControl/>
              <w:adjustRightInd w:val="0"/>
              <w:snapToGrid w:val="0"/>
              <w:spacing w:line="400" w:lineRule="exact"/>
              <w:ind w:right="48" w:rightChars="17"/>
              <w:rPr>
                <w:rFonts w:ascii="仿宋" w:hAnsi="仿宋" w:cs="仿宋"/>
                <w:bCs/>
                <w:color w:val="000000"/>
                <w:sz w:val="24"/>
                <w:szCs w:val="24"/>
              </w:rPr>
            </w:pPr>
            <w:r>
              <w:rPr>
                <w:rFonts w:hint="eastAsia" w:ascii="仿宋" w:hAnsi="仿宋" w:cs="仿宋"/>
                <w:bCs/>
                <w:color w:val="000000"/>
                <w:sz w:val="24"/>
                <w:szCs w:val="24"/>
              </w:rPr>
              <w:t>2、</w:t>
            </w:r>
            <w:r>
              <w:rPr>
                <w:rFonts w:hint="eastAsia" w:ascii="仿宋" w:hAnsi="仿宋" w:cs="仿宋"/>
                <w:kern w:val="2"/>
                <w:sz w:val="24"/>
                <w:szCs w:val="24"/>
              </w:rPr>
              <w:t>法定代表人参加投标时，提供本人身份证复印件；授权代表参加投标时，提供法定代表人授权书、被授权人身份证复印件；</w:t>
            </w:r>
          </w:p>
        </w:tc>
      </w:tr>
      <w:tr w14:paraId="597F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4" w:hRule="atLeast"/>
          <w:jc w:val="center"/>
        </w:trPr>
        <w:tc>
          <w:tcPr>
            <w:tcW w:w="968" w:type="dxa"/>
            <w:vMerge w:val="continue"/>
            <w:tcBorders>
              <w:left w:val="single" w:color="auto" w:sz="4" w:space="0"/>
              <w:right w:val="single" w:color="auto" w:sz="4" w:space="0"/>
            </w:tcBorders>
            <w:vAlign w:val="center"/>
          </w:tcPr>
          <w:p w14:paraId="23C8EB5A">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3C4A1CF0">
            <w:pPr>
              <w:widowControl/>
              <w:adjustRightInd w:val="0"/>
              <w:snapToGrid w:val="0"/>
              <w:spacing w:line="400" w:lineRule="exact"/>
              <w:ind w:right="48" w:rightChars="17"/>
              <w:jc w:val="center"/>
              <w:rPr>
                <w:rFonts w:ascii="仿宋" w:hAnsi="仿宋" w:cs="仿宋"/>
                <w:bCs/>
                <w:color w:val="000000"/>
                <w:sz w:val="24"/>
                <w:szCs w:val="24"/>
              </w:rPr>
            </w:pPr>
            <w:r>
              <w:rPr>
                <w:rFonts w:hint="eastAsia" w:ascii="仿宋" w:hAnsi="仿宋" w:cs="仿宋"/>
                <w:bCs/>
                <w:color w:val="000000"/>
                <w:sz w:val="24"/>
                <w:szCs w:val="24"/>
              </w:rPr>
              <w:t>资质证书</w:t>
            </w:r>
          </w:p>
        </w:tc>
        <w:tc>
          <w:tcPr>
            <w:tcW w:w="6743" w:type="dxa"/>
            <w:tcBorders>
              <w:top w:val="single" w:color="auto" w:sz="4" w:space="0"/>
              <w:left w:val="single" w:color="auto" w:sz="4" w:space="0"/>
              <w:bottom w:val="single" w:color="auto" w:sz="4" w:space="0"/>
              <w:right w:val="single" w:color="auto" w:sz="4" w:space="0"/>
            </w:tcBorders>
            <w:vAlign w:val="center"/>
          </w:tcPr>
          <w:p w14:paraId="0C18A500">
            <w:pPr>
              <w:pStyle w:val="12"/>
              <w:keepNext w:val="0"/>
              <w:keepLines w:val="0"/>
              <w:pageBreakBefore w:val="0"/>
              <w:widowControl/>
              <w:kinsoku/>
              <w:wordWrap/>
              <w:overflowPunct/>
              <w:topLinePunct w:val="0"/>
              <w:autoSpaceDE/>
              <w:autoSpaceDN/>
              <w:bidi w:val="0"/>
              <w:adjustRightInd/>
              <w:snapToGrid w:val="0"/>
              <w:spacing w:beforeAutospacing="0" w:afterAutospacing="0" w:line="420" w:lineRule="exact"/>
              <w:textAlignment w:val="auto"/>
              <w:rPr>
                <w:rFonts w:ascii="仿宋" w:hAnsi="仿宋" w:cs="仿宋"/>
                <w:bCs/>
                <w:color w:val="000000"/>
                <w:sz w:val="24"/>
                <w:szCs w:val="24"/>
              </w:rPr>
            </w:pPr>
            <w:r>
              <w:rPr>
                <w:rFonts w:hint="eastAsia" w:ascii="仿宋" w:hAnsi="仿宋" w:cs="仿宋"/>
                <w:bCs/>
                <w:color w:val="000000"/>
                <w:sz w:val="24"/>
                <w:szCs w:val="24"/>
              </w:rPr>
              <w:t>3、</w:t>
            </w:r>
            <w:r>
              <w:rPr>
                <w:rFonts w:hint="eastAsia" w:ascii="仿宋" w:hAnsi="仿宋" w:eastAsia="仿宋" w:cs="仿宋"/>
                <w:color w:val="auto"/>
                <w:sz w:val="24"/>
                <w:szCs w:val="24"/>
              </w:rPr>
              <w:t>供应商须具备省级或省级以上建设部门颁发的</w:t>
            </w:r>
            <w:r>
              <w:rPr>
                <w:rFonts w:hint="eastAsia" w:ascii="仿宋" w:hAnsi="仿宋" w:eastAsia="仿宋" w:cs="仿宋"/>
                <w:color w:val="auto"/>
                <w:sz w:val="24"/>
                <w:szCs w:val="24"/>
                <w:lang w:val="en-US" w:eastAsia="zh-CN"/>
              </w:rPr>
              <w:t>建设工程</w:t>
            </w:r>
            <w:r>
              <w:rPr>
                <w:rFonts w:hint="eastAsia" w:ascii="仿宋" w:hAnsi="仿宋" w:eastAsia="仿宋" w:cs="仿宋"/>
                <w:color w:val="auto"/>
                <w:sz w:val="24"/>
                <w:szCs w:val="24"/>
              </w:rPr>
              <w:t>质量检测</w:t>
            </w:r>
            <w:r>
              <w:rPr>
                <w:rFonts w:hint="eastAsia" w:ascii="仿宋" w:hAnsi="仿宋" w:eastAsia="仿宋" w:cs="仿宋"/>
                <w:color w:val="auto"/>
                <w:sz w:val="24"/>
                <w:szCs w:val="24"/>
                <w:lang w:val="en-US" w:eastAsia="zh-CN"/>
              </w:rPr>
              <w:t>机构</w:t>
            </w:r>
            <w:r>
              <w:rPr>
                <w:rFonts w:hint="eastAsia" w:ascii="仿宋" w:hAnsi="仿宋" w:eastAsia="仿宋" w:cs="仿宋"/>
                <w:color w:val="auto"/>
                <w:sz w:val="24"/>
                <w:szCs w:val="24"/>
              </w:rPr>
              <w:t>证书（</w:t>
            </w:r>
            <w:r>
              <w:rPr>
                <w:rFonts w:hint="eastAsia" w:ascii="仿宋" w:hAnsi="仿宋" w:eastAsia="仿宋" w:cs="仿宋"/>
                <w:color w:val="auto"/>
                <w:sz w:val="24"/>
                <w:szCs w:val="24"/>
                <w:lang w:val="en-US" w:eastAsia="zh-CN"/>
              </w:rPr>
              <w:t>检测范围含地基基础工程检测、主体结构工程现场检测、钢结构工程检测、设备安装工程检测、建筑节能检测、室内环境检测和见证取样检测</w:t>
            </w:r>
            <w:r>
              <w:rPr>
                <w:rFonts w:hint="eastAsia" w:ascii="仿宋" w:hAnsi="仿宋" w:eastAsia="仿宋" w:cs="仿宋"/>
                <w:color w:val="auto"/>
                <w:sz w:val="24"/>
                <w:szCs w:val="24"/>
              </w:rPr>
              <w:t>），同时具有质量技术监督部门颁发的</w:t>
            </w:r>
            <w:r>
              <w:rPr>
                <w:rFonts w:hint="eastAsia" w:ascii="仿宋" w:hAnsi="仿宋" w:eastAsia="仿宋" w:cs="仿宋"/>
                <w:color w:val="auto"/>
                <w:sz w:val="24"/>
                <w:szCs w:val="24"/>
                <w:lang w:val="en-US" w:eastAsia="zh-CN"/>
              </w:rPr>
              <w:t>检测</w:t>
            </w:r>
            <w:r>
              <w:rPr>
                <w:rFonts w:hint="eastAsia" w:ascii="仿宋" w:hAnsi="仿宋" w:cs="仿宋"/>
                <w:color w:val="auto"/>
                <w:sz w:val="24"/>
                <w:szCs w:val="24"/>
                <w:lang w:val="en-US" w:eastAsia="zh-CN"/>
              </w:rPr>
              <w:t>检验</w:t>
            </w:r>
            <w:r>
              <w:rPr>
                <w:rFonts w:hint="eastAsia" w:ascii="仿宋" w:hAnsi="仿宋" w:eastAsia="仿宋" w:cs="仿宋"/>
                <w:color w:val="auto"/>
                <w:sz w:val="24"/>
                <w:szCs w:val="24"/>
                <w:lang w:val="en-US" w:eastAsia="zh-CN"/>
              </w:rPr>
              <w:t>机构资质认定</w:t>
            </w:r>
            <w:r>
              <w:rPr>
                <w:rFonts w:hint="eastAsia" w:ascii="仿宋" w:hAnsi="仿宋" w:eastAsia="仿宋" w:cs="仿宋"/>
                <w:color w:val="auto"/>
                <w:sz w:val="24"/>
                <w:szCs w:val="24"/>
              </w:rPr>
              <w:t>（CMA）证书；</w:t>
            </w:r>
          </w:p>
        </w:tc>
      </w:tr>
      <w:tr w14:paraId="1386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6" w:hRule="atLeast"/>
          <w:jc w:val="center"/>
        </w:trPr>
        <w:tc>
          <w:tcPr>
            <w:tcW w:w="968" w:type="dxa"/>
            <w:vMerge w:val="continue"/>
            <w:tcBorders>
              <w:left w:val="single" w:color="auto" w:sz="4" w:space="0"/>
              <w:right w:val="single" w:color="auto" w:sz="4" w:space="0"/>
            </w:tcBorders>
            <w:vAlign w:val="center"/>
          </w:tcPr>
          <w:p w14:paraId="5B585E65">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0771F2CA">
            <w:pPr>
              <w:widowControl/>
              <w:adjustRightInd w:val="0"/>
              <w:snapToGrid w:val="0"/>
              <w:spacing w:line="400" w:lineRule="exact"/>
              <w:ind w:right="48" w:rightChars="17"/>
              <w:jc w:val="center"/>
              <w:rPr>
                <w:rFonts w:hint="eastAsia" w:ascii="仿宋" w:hAnsi="仿宋" w:eastAsia="仿宋" w:cs="仿宋"/>
                <w:bCs/>
                <w:color w:val="000000"/>
                <w:sz w:val="24"/>
                <w:szCs w:val="24"/>
                <w:lang w:val="en-US" w:eastAsia="zh-CN"/>
              </w:rPr>
            </w:pPr>
            <w:r>
              <w:rPr>
                <w:rFonts w:hint="eastAsia" w:ascii="仿宋" w:hAnsi="仿宋" w:cs="仿宋"/>
                <w:kern w:val="2"/>
                <w:sz w:val="24"/>
                <w:szCs w:val="24"/>
              </w:rPr>
              <w:t>税收缴纳证明</w:t>
            </w:r>
          </w:p>
        </w:tc>
        <w:tc>
          <w:tcPr>
            <w:tcW w:w="6743" w:type="dxa"/>
            <w:tcBorders>
              <w:top w:val="single" w:color="auto" w:sz="4" w:space="0"/>
              <w:left w:val="single" w:color="auto" w:sz="4" w:space="0"/>
              <w:bottom w:val="single" w:color="auto" w:sz="4" w:space="0"/>
              <w:right w:val="single" w:color="auto" w:sz="4" w:space="0"/>
            </w:tcBorders>
            <w:vAlign w:val="center"/>
          </w:tcPr>
          <w:p w14:paraId="03EC2B3A">
            <w:pPr>
              <w:pStyle w:val="12"/>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rPr>
                <w:rFonts w:hint="eastAsia" w:ascii="仿宋" w:hAnsi="仿宋" w:cs="仿宋"/>
                <w:bCs/>
                <w:color w:val="000000"/>
                <w:sz w:val="24"/>
                <w:szCs w:val="24"/>
              </w:rPr>
            </w:pPr>
            <w:r>
              <w:rPr>
                <w:rFonts w:hint="eastAsia" w:ascii="仿宋" w:hAnsi="仿宋" w:cs="仿宋"/>
                <w:kern w:val="2"/>
                <w:sz w:val="24"/>
                <w:szCs w:val="24"/>
                <w:lang w:val="en-US" w:eastAsia="zh-CN"/>
              </w:rPr>
              <w:t>4.</w:t>
            </w:r>
            <w:r>
              <w:rPr>
                <w:rFonts w:hint="eastAsia" w:ascii="仿宋" w:hAnsi="仿宋" w:cs="仿宋"/>
                <w:kern w:val="2"/>
                <w:sz w:val="24"/>
                <w:szCs w:val="24"/>
              </w:rPr>
              <w:t>提供截止开标时间12个月以内已缴纳的至少一个月的纳税证明或完税证明（任意税种），依法免税的单位应提供相关证明材料；</w:t>
            </w:r>
          </w:p>
        </w:tc>
      </w:tr>
      <w:tr w14:paraId="6D00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54" w:hRule="atLeast"/>
          <w:jc w:val="center"/>
        </w:trPr>
        <w:tc>
          <w:tcPr>
            <w:tcW w:w="968" w:type="dxa"/>
            <w:vMerge w:val="continue"/>
            <w:tcBorders>
              <w:left w:val="single" w:color="auto" w:sz="4" w:space="0"/>
              <w:right w:val="single" w:color="auto" w:sz="4" w:space="0"/>
            </w:tcBorders>
            <w:vAlign w:val="center"/>
          </w:tcPr>
          <w:p w14:paraId="0763FA0F">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65C0628B">
            <w:pPr>
              <w:widowControl/>
              <w:adjustRightInd w:val="0"/>
              <w:snapToGrid w:val="0"/>
              <w:spacing w:line="400" w:lineRule="exact"/>
              <w:ind w:right="48" w:rightChars="17"/>
              <w:jc w:val="center"/>
              <w:rPr>
                <w:rFonts w:hint="eastAsia" w:ascii="仿宋" w:hAnsi="仿宋" w:cs="仿宋"/>
                <w:bCs/>
                <w:color w:val="000000"/>
                <w:sz w:val="24"/>
                <w:szCs w:val="24"/>
              </w:rPr>
            </w:pPr>
            <w:r>
              <w:rPr>
                <w:rFonts w:hint="eastAsia" w:ascii="仿宋" w:hAnsi="仿宋" w:cs="仿宋"/>
                <w:kern w:val="2"/>
                <w:sz w:val="24"/>
                <w:szCs w:val="24"/>
              </w:rPr>
              <w:t>社会保障资金缴纳证明</w:t>
            </w:r>
          </w:p>
        </w:tc>
        <w:tc>
          <w:tcPr>
            <w:tcW w:w="6743" w:type="dxa"/>
            <w:tcBorders>
              <w:top w:val="single" w:color="auto" w:sz="4" w:space="0"/>
              <w:left w:val="single" w:color="auto" w:sz="4" w:space="0"/>
              <w:bottom w:val="single" w:color="auto" w:sz="4" w:space="0"/>
              <w:right w:val="single" w:color="auto" w:sz="4" w:space="0"/>
            </w:tcBorders>
            <w:vAlign w:val="center"/>
          </w:tcPr>
          <w:p w14:paraId="6AF718AE">
            <w:pPr>
              <w:widowControl/>
              <w:adjustRightInd w:val="0"/>
              <w:snapToGrid w:val="0"/>
              <w:spacing w:line="400" w:lineRule="exact"/>
              <w:ind w:right="48" w:rightChars="17"/>
              <w:rPr>
                <w:rFonts w:hint="eastAsia" w:ascii="仿宋" w:hAnsi="仿宋" w:cs="仿宋"/>
                <w:bCs/>
                <w:color w:val="000000"/>
                <w:sz w:val="24"/>
                <w:szCs w:val="24"/>
              </w:rPr>
            </w:pPr>
            <w:r>
              <w:rPr>
                <w:rFonts w:hint="eastAsia" w:ascii="仿宋" w:hAnsi="仿宋" w:cs="仿宋"/>
                <w:kern w:val="2"/>
                <w:sz w:val="24"/>
                <w:szCs w:val="24"/>
                <w:lang w:val="en-US" w:eastAsia="zh-CN"/>
              </w:rPr>
              <w:t>5.</w:t>
            </w:r>
            <w:r>
              <w:rPr>
                <w:rFonts w:hint="eastAsia" w:ascii="仿宋" w:hAnsi="仿宋" w:cs="仿宋"/>
                <w:kern w:val="2"/>
                <w:sz w:val="24"/>
                <w:szCs w:val="24"/>
              </w:rPr>
              <w:t>社会保障资金缴纳证明：提供截止开标时间12个月以内已缴存的至少一个月的社会保障资金缴存单据或社保机构开具的社会保险参保缴费情况证明，依法不需要缴纳社会保障资金的单位应提供相关证明材料；</w:t>
            </w:r>
          </w:p>
        </w:tc>
      </w:tr>
      <w:tr w14:paraId="31F6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2" w:hRule="atLeast"/>
          <w:jc w:val="center"/>
        </w:trPr>
        <w:tc>
          <w:tcPr>
            <w:tcW w:w="968" w:type="dxa"/>
            <w:vMerge w:val="continue"/>
            <w:tcBorders>
              <w:left w:val="single" w:color="auto" w:sz="4" w:space="0"/>
              <w:right w:val="single" w:color="auto" w:sz="4" w:space="0"/>
            </w:tcBorders>
            <w:vAlign w:val="center"/>
          </w:tcPr>
          <w:p w14:paraId="04057A6B">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465B63FE">
            <w:pPr>
              <w:spacing w:line="400" w:lineRule="exact"/>
              <w:jc w:val="center"/>
              <w:rPr>
                <w:rFonts w:ascii="仿宋" w:hAnsi="仿宋" w:cs="仿宋"/>
                <w:bCs/>
                <w:sz w:val="24"/>
                <w:szCs w:val="24"/>
              </w:rPr>
            </w:pPr>
            <w:r>
              <w:rPr>
                <w:rFonts w:hint="eastAsia" w:ascii="仿宋" w:hAnsi="仿宋" w:cs="仿宋"/>
                <w:bCs/>
                <w:sz w:val="24"/>
                <w:szCs w:val="24"/>
              </w:rPr>
              <w:t>无重大违法纪录的书面声明</w:t>
            </w:r>
          </w:p>
        </w:tc>
        <w:tc>
          <w:tcPr>
            <w:tcW w:w="6743" w:type="dxa"/>
            <w:tcBorders>
              <w:top w:val="single" w:color="auto" w:sz="4" w:space="0"/>
              <w:left w:val="single" w:color="auto" w:sz="4" w:space="0"/>
              <w:bottom w:val="single" w:color="auto" w:sz="4" w:space="0"/>
              <w:right w:val="single" w:color="auto" w:sz="4" w:space="0"/>
            </w:tcBorders>
            <w:vAlign w:val="center"/>
          </w:tcPr>
          <w:p w14:paraId="0B5E7721">
            <w:pPr>
              <w:spacing w:line="420" w:lineRule="exact"/>
              <w:rPr>
                <w:rFonts w:ascii="仿宋" w:hAnsi="仿宋" w:cs="仿宋"/>
                <w:bCs/>
                <w:sz w:val="24"/>
                <w:szCs w:val="24"/>
              </w:rPr>
            </w:pPr>
            <w:r>
              <w:rPr>
                <w:rFonts w:hint="eastAsia" w:ascii="仿宋" w:hAnsi="仿宋" w:cs="仿宋"/>
                <w:kern w:val="2"/>
                <w:sz w:val="24"/>
                <w:szCs w:val="24"/>
                <w:lang w:val="en-US" w:eastAsia="zh-CN"/>
              </w:rPr>
              <w:t>6.</w:t>
            </w:r>
            <w:r>
              <w:rPr>
                <w:rFonts w:hint="eastAsia" w:ascii="仿宋" w:hAnsi="仿宋" w:cs="仿宋"/>
                <w:kern w:val="2"/>
                <w:sz w:val="24"/>
                <w:szCs w:val="24"/>
              </w:rPr>
              <w:t>参加本次政府采购活动前三年内在经营活动中没有重大违纪，以及未被列入失信被执行人、重大税收违法案件当事人名单、政府采购严重违法失信行为记录名单的书面声明；</w:t>
            </w:r>
          </w:p>
        </w:tc>
      </w:tr>
      <w:tr w14:paraId="326B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13" w:hRule="atLeast"/>
          <w:jc w:val="center"/>
        </w:trPr>
        <w:tc>
          <w:tcPr>
            <w:tcW w:w="968" w:type="dxa"/>
            <w:vMerge w:val="continue"/>
            <w:tcBorders>
              <w:left w:val="single" w:color="auto" w:sz="4" w:space="0"/>
              <w:right w:val="single" w:color="auto" w:sz="4" w:space="0"/>
            </w:tcBorders>
            <w:vAlign w:val="center"/>
          </w:tcPr>
          <w:p w14:paraId="67BA37B7">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650FC399">
            <w:pPr>
              <w:ind w:right="48" w:rightChars="17"/>
              <w:jc w:val="center"/>
              <w:rPr>
                <w:rFonts w:ascii="仿宋" w:hAnsi="仿宋" w:cs="仿宋"/>
                <w:bCs/>
                <w:sz w:val="24"/>
                <w:szCs w:val="24"/>
              </w:rPr>
            </w:pPr>
            <w:r>
              <w:rPr>
                <w:rFonts w:hint="eastAsia" w:ascii="仿宋" w:hAnsi="仿宋" w:cs="仿宋"/>
                <w:bCs/>
                <w:sz w:val="24"/>
                <w:szCs w:val="24"/>
              </w:rPr>
              <w:t>主体信用查询记录</w:t>
            </w:r>
          </w:p>
        </w:tc>
        <w:tc>
          <w:tcPr>
            <w:tcW w:w="6743" w:type="dxa"/>
            <w:tcBorders>
              <w:top w:val="single" w:color="auto" w:sz="4" w:space="0"/>
              <w:left w:val="single" w:color="auto" w:sz="4" w:space="0"/>
              <w:bottom w:val="single" w:color="auto" w:sz="4" w:space="0"/>
              <w:right w:val="single" w:color="auto" w:sz="4" w:space="0"/>
            </w:tcBorders>
            <w:vAlign w:val="center"/>
          </w:tcPr>
          <w:p w14:paraId="0BFCE658">
            <w:pPr>
              <w:pStyle w:val="12"/>
              <w:widowControl/>
              <w:spacing w:beforeAutospacing="0" w:afterAutospacing="0"/>
              <w:rPr>
                <w:rFonts w:ascii="仿宋" w:hAnsi="仿宋" w:cs="仿宋"/>
                <w:bCs/>
                <w:sz w:val="24"/>
                <w:szCs w:val="24"/>
              </w:rPr>
            </w:pPr>
            <w:r>
              <w:rPr>
                <w:rFonts w:hint="eastAsia" w:ascii="仿宋" w:hAnsi="仿宋" w:cs="仿宋"/>
                <w:kern w:val="2"/>
                <w:sz w:val="24"/>
                <w:szCs w:val="24"/>
                <w:lang w:val="en-US" w:eastAsia="zh-CN"/>
              </w:rPr>
              <w:t>7.</w:t>
            </w:r>
            <w:r>
              <w:rPr>
                <w:rFonts w:hint="eastAsia" w:ascii="仿宋" w:hAnsi="仿宋" w:cs="仿宋"/>
                <w:kern w:val="2"/>
                <w:sz w:val="24"/>
                <w:szCs w:val="24"/>
              </w:rPr>
              <w:t>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p>
        </w:tc>
      </w:tr>
      <w:tr w14:paraId="54A5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7" w:hRule="atLeast"/>
          <w:jc w:val="center"/>
        </w:trPr>
        <w:tc>
          <w:tcPr>
            <w:tcW w:w="968" w:type="dxa"/>
            <w:vMerge w:val="continue"/>
            <w:tcBorders>
              <w:left w:val="single" w:color="auto" w:sz="4" w:space="0"/>
              <w:right w:val="single" w:color="auto" w:sz="4" w:space="0"/>
            </w:tcBorders>
            <w:vAlign w:val="center"/>
          </w:tcPr>
          <w:p w14:paraId="542F081A">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20864EB6">
            <w:pPr>
              <w:jc w:val="center"/>
              <w:rPr>
                <w:rFonts w:ascii="仿宋" w:hAnsi="仿宋" w:cs="仿宋"/>
                <w:bCs/>
                <w:sz w:val="24"/>
                <w:szCs w:val="24"/>
              </w:rPr>
            </w:pPr>
            <w:r>
              <w:rPr>
                <w:rFonts w:hint="eastAsia" w:ascii="仿宋" w:hAnsi="仿宋" w:cs="仿宋"/>
                <w:bCs/>
                <w:sz w:val="24"/>
                <w:szCs w:val="24"/>
              </w:rPr>
              <w:t>是否专门面向中小企业采购</w:t>
            </w:r>
          </w:p>
        </w:tc>
        <w:tc>
          <w:tcPr>
            <w:tcW w:w="6743" w:type="dxa"/>
            <w:tcBorders>
              <w:top w:val="single" w:color="auto" w:sz="4" w:space="0"/>
              <w:left w:val="single" w:color="auto" w:sz="4" w:space="0"/>
              <w:bottom w:val="single" w:color="auto" w:sz="4" w:space="0"/>
              <w:right w:val="single" w:color="auto" w:sz="4" w:space="0"/>
            </w:tcBorders>
            <w:vAlign w:val="center"/>
          </w:tcPr>
          <w:p w14:paraId="4B88798C">
            <w:pPr>
              <w:pStyle w:val="12"/>
              <w:widowControl/>
              <w:spacing w:beforeAutospacing="0" w:afterAutospacing="0"/>
              <w:rPr>
                <w:rFonts w:ascii="仿宋" w:hAnsi="仿宋" w:cs="仿宋"/>
                <w:bCs/>
                <w:sz w:val="24"/>
                <w:szCs w:val="24"/>
              </w:rPr>
            </w:pPr>
            <w:r>
              <w:rPr>
                <w:rFonts w:hint="eastAsia" w:ascii="仿宋" w:hAnsi="仿宋" w:cs="仿宋"/>
                <w:bCs/>
                <w:color w:val="000000"/>
                <w:sz w:val="24"/>
                <w:szCs w:val="24"/>
                <w:lang w:val="en-US" w:eastAsia="zh-CN"/>
              </w:rPr>
              <w:t>8</w:t>
            </w:r>
            <w:r>
              <w:rPr>
                <w:rFonts w:hint="eastAsia" w:ascii="仿宋" w:hAnsi="仿宋" w:cs="仿宋"/>
                <w:bCs/>
                <w:color w:val="000000"/>
                <w:sz w:val="24"/>
                <w:szCs w:val="24"/>
              </w:rPr>
              <w:t>、</w:t>
            </w:r>
            <w:r>
              <w:rPr>
                <w:rFonts w:hint="eastAsia" w:ascii="仿宋" w:hAnsi="仿宋" w:cs="仿宋"/>
                <w:kern w:val="2"/>
                <w:sz w:val="24"/>
                <w:szCs w:val="24"/>
              </w:rPr>
              <w:t>本项目为专门面向中小企业项目，本项目采购标的对应的中小企业划分标准所属行业为：建筑工程业；</w:t>
            </w:r>
          </w:p>
        </w:tc>
      </w:tr>
      <w:tr w14:paraId="7B5F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0" w:hRule="atLeast"/>
          <w:jc w:val="center"/>
        </w:trPr>
        <w:tc>
          <w:tcPr>
            <w:tcW w:w="968" w:type="dxa"/>
            <w:tcBorders>
              <w:left w:val="single" w:color="auto" w:sz="4" w:space="0"/>
              <w:right w:val="single" w:color="auto" w:sz="4" w:space="0"/>
            </w:tcBorders>
            <w:vAlign w:val="center"/>
          </w:tcPr>
          <w:p w14:paraId="466C4806">
            <w:pPr>
              <w:ind w:right="48" w:rightChars="17"/>
              <w:jc w:val="center"/>
              <w:rPr>
                <w:rFonts w:ascii="仿宋" w:hAnsi="仿宋" w:cs="仿宋"/>
                <w:bCs/>
                <w:sz w:val="24"/>
                <w:szCs w:val="24"/>
              </w:rPr>
            </w:pPr>
          </w:p>
        </w:tc>
        <w:tc>
          <w:tcPr>
            <w:tcW w:w="2055" w:type="dxa"/>
            <w:tcBorders>
              <w:top w:val="single" w:color="auto" w:sz="4" w:space="0"/>
              <w:left w:val="single" w:color="auto" w:sz="4" w:space="0"/>
              <w:bottom w:val="single" w:color="auto" w:sz="4" w:space="0"/>
              <w:right w:val="single" w:color="auto" w:sz="4" w:space="0"/>
            </w:tcBorders>
            <w:vAlign w:val="center"/>
          </w:tcPr>
          <w:p w14:paraId="7807369E">
            <w:pPr>
              <w:jc w:val="center"/>
              <w:rPr>
                <w:rFonts w:hint="eastAsia" w:ascii="仿宋" w:hAnsi="仿宋" w:cs="仿宋"/>
                <w:bCs/>
                <w:sz w:val="24"/>
                <w:szCs w:val="24"/>
              </w:rPr>
            </w:pPr>
            <w:r>
              <w:rPr>
                <w:rFonts w:hint="eastAsia" w:ascii="仿宋" w:hAnsi="仿宋" w:cs="仿宋"/>
                <w:bCs/>
                <w:sz w:val="24"/>
                <w:szCs w:val="24"/>
              </w:rPr>
              <w:t>不接受联合体</w:t>
            </w:r>
          </w:p>
        </w:tc>
        <w:tc>
          <w:tcPr>
            <w:tcW w:w="6743" w:type="dxa"/>
            <w:tcBorders>
              <w:top w:val="single" w:color="auto" w:sz="4" w:space="0"/>
              <w:left w:val="single" w:color="auto" w:sz="4" w:space="0"/>
              <w:bottom w:val="single" w:color="auto" w:sz="4" w:space="0"/>
              <w:right w:val="single" w:color="auto" w:sz="4" w:space="0"/>
            </w:tcBorders>
            <w:vAlign w:val="center"/>
          </w:tcPr>
          <w:p w14:paraId="4DFC4615">
            <w:pPr>
              <w:pStyle w:val="12"/>
              <w:widowControl/>
              <w:spacing w:beforeAutospacing="0" w:afterAutospacing="0"/>
              <w:rPr>
                <w:rFonts w:hint="eastAsia" w:ascii="仿宋" w:hAnsi="仿宋" w:cs="仿宋"/>
                <w:bCs/>
                <w:color w:val="000000"/>
                <w:sz w:val="24"/>
                <w:szCs w:val="24"/>
                <w:lang w:val="en-US" w:eastAsia="zh-CN"/>
              </w:rPr>
            </w:pPr>
            <w:r>
              <w:rPr>
                <w:rFonts w:hint="eastAsia" w:ascii="仿宋" w:hAnsi="仿宋" w:cs="仿宋"/>
                <w:bCs/>
                <w:color w:val="000000"/>
                <w:sz w:val="24"/>
                <w:szCs w:val="24"/>
                <w:lang w:val="en-US" w:eastAsia="zh-CN"/>
              </w:rPr>
              <w:t>9</w:t>
            </w:r>
            <w:r>
              <w:rPr>
                <w:rFonts w:hint="eastAsia" w:ascii="仿宋" w:hAnsi="仿宋" w:cs="仿宋"/>
                <w:bCs/>
                <w:color w:val="000000"/>
                <w:sz w:val="24"/>
                <w:szCs w:val="24"/>
              </w:rPr>
              <w:t>、</w:t>
            </w:r>
            <w:r>
              <w:rPr>
                <w:rFonts w:hint="eastAsia" w:ascii="仿宋" w:hAnsi="仿宋" w:cs="仿宋"/>
                <w:kern w:val="2"/>
                <w:sz w:val="24"/>
                <w:szCs w:val="24"/>
              </w:rPr>
              <w:t>本项目不接受联合体投标。</w:t>
            </w:r>
          </w:p>
        </w:tc>
      </w:tr>
    </w:tbl>
    <w:p w14:paraId="09D104D6">
      <w:pPr>
        <w:autoSpaceDE w:val="0"/>
        <w:autoSpaceDN w:val="0"/>
        <w:ind w:right="48" w:rightChars="17" w:firstLine="240" w:firstLineChars="100"/>
        <w:rPr>
          <w:rFonts w:ascii="仿宋" w:hAnsi="仿宋" w:cs="仿宋"/>
          <w:sz w:val="24"/>
          <w:szCs w:val="24"/>
        </w:rPr>
      </w:pPr>
      <w:r>
        <w:rPr>
          <w:rFonts w:hint="eastAsia" w:ascii="仿宋" w:hAnsi="仿宋" w:cs="仿宋"/>
          <w:sz w:val="24"/>
          <w:szCs w:val="24"/>
        </w:rPr>
        <w:t>（2）符合性评审：如发现与下列情况不一致的，其投标将按无效处理</w:t>
      </w:r>
      <w:r>
        <w:rPr>
          <w:rFonts w:hint="eastAsia" w:ascii="仿宋" w:hAnsi="仿宋" w:cs="仿宋"/>
          <w:b/>
          <w:bCs/>
          <w:sz w:val="24"/>
          <w:szCs w:val="24"/>
        </w:rPr>
        <w:t>：</w:t>
      </w:r>
    </w:p>
    <w:tbl>
      <w:tblPr>
        <w:tblStyle w:val="16"/>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10"/>
        <w:gridCol w:w="8837"/>
      </w:tblGrid>
      <w:tr w14:paraId="127D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1010" w:type="dxa"/>
            <w:tcBorders>
              <w:top w:val="single" w:color="auto" w:sz="4" w:space="0"/>
              <w:left w:val="single" w:color="auto" w:sz="4" w:space="0"/>
              <w:bottom w:val="single" w:color="auto" w:sz="4" w:space="0"/>
              <w:right w:val="single" w:color="auto" w:sz="4" w:space="0"/>
            </w:tcBorders>
            <w:vAlign w:val="center"/>
          </w:tcPr>
          <w:p w14:paraId="2BF07823">
            <w:pPr>
              <w:ind w:right="48" w:rightChars="17"/>
              <w:jc w:val="center"/>
              <w:rPr>
                <w:rFonts w:ascii="仿宋" w:hAnsi="仿宋" w:cs="仿宋"/>
                <w:b/>
                <w:sz w:val="24"/>
                <w:szCs w:val="24"/>
              </w:rPr>
            </w:pPr>
            <w:r>
              <w:rPr>
                <w:rFonts w:hint="eastAsia" w:ascii="仿宋" w:hAnsi="仿宋" w:cs="仿宋"/>
                <w:b/>
                <w:sz w:val="24"/>
                <w:szCs w:val="24"/>
              </w:rPr>
              <w:t>序号</w:t>
            </w:r>
          </w:p>
        </w:tc>
        <w:tc>
          <w:tcPr>
            <w:tcW w:w="8837" w:type="dxa"/>
            <w:tcBorders>
              <w:top w:val="single" w:color="auto" w:sz="4" w:space="0"/>
              <w:left w:val="single" w:color="auto" w:sz="4" w:space="0"/>
              <w:bottom w:val="single" w:color="auto" w:sz="4" w:space="0"/>
              <w:right w:val="single" w:color="auto" w:sz="4" w:space="0"/>
            </w:tcBorders>
            <w:vAlign w:val="center"/>
          </w:tcPr>
          <w:p w14:paraId="7B143A45">
            <w:pPr>
              <w:ind w:right="48" w:rightChars="17"/>
              <w:jc w:val="center"/>
              <w:rPr>
                <w:rFonts w:ascii="仿宋" w:hAnsi="仿宋" w:cs="仿宋"/>
                <w:b/>
                <w:sz w:val="24"/>
                <w:szCs w:val="24"/>
              </w:rPr>
            </w:pPr>
            <w:r>
              <w:rPr>
                <w:rFonts w:hint="eastAsia" w:ascii="仿宋" w:hAnsi="仿宋" w:cs="仿宋"/>
                <w:b/>
                <w:sz w:val="24"/>
                <w:szCs w:val="24"/>
              </w:rPr>
              <w:t>审查因素</w:t>
            </w:r>
          </w:p>
        </w:tc>
      </w:tr>
      <w:tr w14:paraId="5F36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 w:hRule="atLeast"/>
          <w:jc w:val="center"/>
        </w:trPr>
        <w:tc>
          <w:tcPr>
            <w:tcW w:w="1010" w:type="dxa"/>
            <w:tcBorders>
              <w:top w:val="single" w:color="auto" w:sz="4" w:space="0"/>
              <w:left w:val="single" w:color="auto" w:sz="4" w:space="0"/>
              <w:right w:val="single" w:color="auto" w:sz="4" w:space="0"/>
            </w:tcBorders>
            <w:vAlign w:val="center"/>
          </w:tcPr>
          <w:p w14:paraId="68293257">
            <w:pPr>
              <w:ind w:right="48" w:rightChars="17"/>
              <w:jc w:val="center"/>
              <w:rPr>
                <w:rFonts w:ascii="仿宋" w:hAnsi="仿宋" w:cs="仿宋"/>
                <w:bCs/>
                <w:sz w:val="24"/>
                <w:szCs w:val="24"/>
              </w:rPr>
            </w:pPr>
            <w:r>
              <w:rPr>
                <w:rFonts w:hint="eastAsia" w:ascii="仿宋" w:hAnsi="仿宋" w:cs="仿宋"/>
                <w:bCs/>
                <w:sz w:val="24"/>
                <w:szCs w:val="24"/>
              </w:rPr>
              <w:t>1</w:t>
            </w:r>
          </w:p>
        </w:tc>
        <w:tc>
          <w:tcPr>
            <w:tcW w:w="8837" w:type="dxa"/>
            <w:tcBorders>
              <w:top w:val="single" w:color="auto" w:sz="4" w:space="0"/>
              <w:left w:val="single" w:color="auto" w:sz="4" w:space="0"/>
              <w:bottom w:val="single" w:color="auto" w:sz="4" w:space="0"/>
              <w:right w:val="single" w:color="auto" w:sz="4" w:space="0"/>
            </w:tcBorders>
            <w:vAlign w:val="center"/>
          </w:tcPr>
          <w:p w14:paraId="476710E4">
            <w:pPr>
              <w:ind w:right="48" w:rightChars="17"/>
              <w:rPr>
                <w:rFonts w:ascii="仿宋" w:hAnsi="仿宋" w:cs="仿宋"/>
                <w:sz w:val="24"/>
                <w:szCs w:val="24"/>
              </w:rPr>
            </w:pPr>
            <w:r>
              <w:rPr>
                <w:rFonts w:hint="eastAsia" w:ascii="仿宋" w:hAnsi="仿宋" w:cs="仿宋"/>
                <w:sz w:val="24"/>
                <w:szCs w:val="24"/>
              </w:rPr>
              <w:t>投标文件项目名称、项目编号与磋商文件一致</w:t>
            </w:r>
          </w:p>
        </w:tc>
      </w:tr>
      <w:tr w14:paraId="0654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 w:hRule="atLeast"/>
          <w:jc w:val="center"/>
        </w:trPr>
        <w:tc>
          <w:tcPr>
            <w:tcW w:w="1010" w:type="dxa"/>
            <w:tcBorders>
              <w:top w:val="single" w:color="auto" w:sz="4" w:space="0"/>
              <w:left w:val="single" w:color="auto" w:sz="4" w:space="0"/>
              <w:right w:val="single" w:color="auto" w:sz="4" w:space="0"/>
            </w:tcBorders>
            <w:vAlign w:val="center"/>
          </w:tcPr>
          <w:p w14:paraId="141859CD">
            <w:pPr>
              <w:ind w:right="48" w:rightChars="17"/>
              <w:jc w:val="center"/>
              <w:rPr>
                <w:rFonts w:ascii="仿宋" w:hAnsi="仿宋" w:cs="仿宋"/>
                <w:bCs/>
                <w:sz w:val="24"/>
                <w:szCs w:val="24"/>
              </w:rPr>
            </w:pPr>
            <w:r>
              <w:rPr>
                <w:rFonts w:hint="eastAsia" w:ascii="仿宋" w:hAnsi="仿宋" w:cs="仿宋"/>
                <w:bCs/>
                <w:sz w:val="24"/>
                <w:szCs w:val="24"/>
              </w:rPr>
              <w:t>2</w:t>
            </w:r>
          </w:p>
        </w:tc>
        <w:tc>
          <w:tcPr>
            <w:tcW w:w="8837" w:type="dxa"/>
            <w:tcBorders>
              <w:top w:val="single" w:color="auto" w:sz="4" w:space="0"/>
              <w:left w:val="single" w:color="auto" w:sz="4" w:space="0"/>
              <w:bottom w:val="single" w:color="auto" w:sz="4" w:space="0"/>
              <w:right w:val="single" w:color="auto" w:sz="4" w:space="0"/>
            </w:tcBorders>
            <w:vAlign w:val="center"/>
          </w:tcPr>
          <w:p w14:paraId="79B1F694">
            <w:pPr>
              <w:ind w:right="48" w:rightChars="17"/>
              <w:rPr>
                <w:rFonts w:ascii="仿宋" w:hAnsi="仿宋" w:cs="仿宋"/>
                <w:b/>
                <w:sz w:val="24"/>
                <w:szCs w:val="24"/>
              </w:rPr>
            </w:pPr>
            <w:r>
              <w:rPr>
                <w:rFonts w:hint="eastAsia" w:ascii="仿宋" w:hAnsi="仿宋" w:cs="仿宋"/>
                <w:sz w:val="24"/>
                <w:szCs w:val="24"/>
              </w:rPr>
              <w:t>投标文件供应商公章、法定代表人签字及被授权人签字符合磋商文件要求</w:t>
            </w:r>
          </w:p>
        </w:tc>
      </w:tr>
      <w:tr w14:paraId="234C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4" w:hRule="atLeast"/>
          <w:jc w:val="center"/>
        </w:trPr>
        <w:tc>
          <w:tcPr>
            <w:tcW w:w="1010" w:type="dxa"/>
            <w:tcBorders>
              <w:left w:val="single" w:color="auto" w:sz="4" w:space="0"/>
              <w:right w:val="single" w:color="auto" w:sz="4" w:space="0"/>
            </w:tcBorders>
            <w:vAlign w:val="center"/>
          </w:tcPr>
          <w:p w14:paraId="0285CD7B">
            <w:pPr>
              <w:ind w:right="48" w:rightChars="17"/>
              <w:jc w:val="center"/>
              <w:rPr>
                <w:rFonts w:ascii="仿宋" w:hAnsi="仿宋" w:cs="仿宋"/>
                <w:bCs/>
                <w:sz w:val="24"/>
                <w:szCs w:val="24"/>
              </w:rPr>
            </w:pPr>
            <w:r>
              <w:rPr>
                <w:rFonts w:hint="eastAsia" w:ascii="仿宋" w:hAnsi="仿宋" w:cs="仿宋"/>
                <w:bCs/>
                <w:sz w:val="24"/>
                <w:szCs w:val="24"/>
              </w:rPr>
              <w:t>3</w:t>
            </w:r>
          </w:p>
        </w:tc>
        <w:tc>
          <w:tcPr>
            <w:tcW w:w="8837" w:type="dxa"/>
            <w:tcBorders>
              <w:top w:val="single" w:color="auto" w:sz="4" w:space="0"/>
              <w:left w:val="single" w:color="auto" w:sz="4" w:space="0"/>
              <w:bottom w:val="single" w:color="auto" w:sz="4" w:space="0"/>
              <w:right w:val="single" w:color="auto" w:sz="4" w:space="0"/>
            </w:tcBorders>
            <w:vAlign w:val="center"/>
          </w:tcPr>
          <w:p w14:paraId="525BF48B">
            <w:pPr>
              <w:ind w:right="48" w:rightChars="17"/>
              <w:rPr>
                <w:rFonts w:ascii="仿宋" w:hAnsi="仿宋" w:cs="仿宋"/>
                <w:sz w:val="24"/>
                <w:szCs w:val="24"/>
              </w:rPr>
            </w:pPr>
            <w:r>
              <w:rPr>
                <w:rFonts w:hint="eastAsia" w:ascii="仿宋" w:hAnsi="仿宋" w:cs="仿宋"/>
                <w:sz w:val="24"/>
                <w:szCs w:val="24"/>
              </w:rPr>
              <w:t>只能有一个有效报价</w:t>
            </w:r>
          </w:p>
        </w:tc>
      </w:tr>
      <w:tr w14:paraId="3D95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3" w:hRule="atLeast"/>
          <w:jc w:val="center"/>
        </w:trPr>
        <w:tc>
          <w:tcPr>
            <w:tcW w:w="1010" w:type="dxa"/>
            <w:tcBorders>
              <w:left w:val="single" w:color="auto" w:sz="4" w:space="0"/>
              <w:right w:val="single" w:color="auto" w:sz="4" w:space="0"/>
            </w:tcBorders>
            <w:vAlign w:val="center"/>
          </w:tcPr>
          <w:p w14:paraId="3AF9BB25">
            <w:pPr>
              <w:ind w:right="48" w:rightChars="17"/>
              <w:jc w:val="center"/>
              <w:rPr>
                <w:rFonts w:ascii="仿宋" w:hAnsi="仿宋" w:cs="仿宋"/>
                <w:bCs/>
                <w:sz w:val="24"/>
                <w:szCs w:val="24"/>
              </w:rPr>
            </w:pPr>
            <w:r>
              <w:rPr>
                <w:rFonts w:hint="eastAsia" w:ascii="仿宋" w:hAnsi="仿宋" w:cs="仿宋"/>
                <w:bCs/>
                <w:sz w:val="24"/>
                <w:szCs w:val="24"/>
              </w:rPr>
              <w:t>4</w:t>
            </w:r>
          </w:p>
        </w:tc>
        <w:tc>
          <w:tcPr>
            <w:tcW w:w="8837" w:type="dxa"/>
            <w:tcBorders>
              <w:top w:val="single" w:color="auto" w:sz="4" w:space="0"/>
              <w:left w:val="single" w:color="auto" w:sz="4" w:space="0"/>
              <w:bottom w:val="single" w:color="auto" w:sz="4" w:space="0"/>
              <w:right w:val="single" w:color="auto" w:sz="4" w:space="0"/>
            </w:tcBorders>
            <w:vAlign w:val="center"/>
          </w:tcPr>
          <w:p w14:paraId="204618B7">
            <w:pPr>
              <w:ind w:right="48" w:rightChars="17"/>
              <w:rPr>
                <w:rFonts w:ascii="仿宋" w:hAnsi="仿宋" w:cs="仿宋"/>
                <w:sz w:val="24"/>
                <w:szCs w:val="24"/>
              </w:rPr>
            </w:pPr>
            <w:r>
              <w:rPr>
                <w:rFonts w:ascii="仿宋" w:hAnsi="仿宋" w:cs="仿宋"/>
                <w:sz w:val="24"/>
                <w:szCs w:val="24"/>
              </w:rPr>
              <w:t>投标文件</w:t>
            </w:r>
            <w:r>
              <w:rPr>
                <w:rFonts w:hint="eastAsia" w:ascii="仿宋" w:hAnsi="仿宋" w:cs="仿宋"/>
                <w:sz w:val="24"/>
                <w:szCs w:val="24"/>
              </w:rPr>
              <w:t>工期</w:t>
            </w:r>
            <w:r>
              <w:rPr>
                <w:rFonts w:ascii="仿宋" w:hAnsi="仿宋" w:cs="仿宋"/>
                <w:sz w:val="24"/>
                <w:szCs w:val="24"/>
              </w:rPr>
              <w:t>及质保期符合磋商文件要求</w:t>
            </w:r>
          </w:p>
        </w:tc>
      </w:tr>
      <w:tr w14:paraId="7D0F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2" w:hRule="atLeast"/>
          <w:jc w:val="center"/>
        </w:trPr>
        <w:tc>
          <w:tcPr>
            <w:tcW w:w="1010" w:type="dxa"/>
            <w:tcBorders>
              <w:left w:val="single" w:color="auto" w:sz="4" w:space="0"/>
              <w:right w:val="single" w:color="auto" w:sz="4" w:space="0"/>
            </w:tcBorders>
            <w:vAlign w:val="center"/>
          </w:tcPr>
          <w:p w14:paraId="13CCE3A8">
            <w:pPr>
              <w:ind w:right="48" w:rightChars="17"/>
              <w:jc w:val="center"/>
              <w:rPr>
                <w:rFonts w:ascii="仿宋" w:hAnsi="仿宋" w:cs="仿宋"/>
                <w:sz w:val="24"/>
                <w:szCs w:val="24"/>
              </w:rPr>
            </w:pPr>
            <w:r>
              <w:rPr>
                <w:rFonts w:hint="eastAsia" w:ascii="仿宋" w:hAnsi="仿宋" w:cs="仿宋"/>
                <w:sz w:val="24"/>
                <w:szCs w:val="24"/>
              </w:rPr>
              <w:t>5</w:t>
            </w:r>
          </w:p>
        </w:tc>
        <w:tc>
          <w:tcPr>
            <w:tcW w:w="8837" w:type="dxa"/>
            <w:tcBorders>
              <w:top w:val="single" w:color="auto" w:sz="4" w:space="0"/>
              <w:left w:val="single" w:color="auto" w:sz="4" w:space="0"/>
              <w:bottom w:val="single" w:color="auto" w:sz="4" w:space="0"/>
              <w:right w:val="single" w:color="auto" w:sz="4" w:space="0"/>
            </w:tcBorders>
            <w:vAlign w:val="center"/>
          </w:tcPr>
          <w:p w14:paraId="2913B8D5">
            <w:pPr>
              <w:ind w:right="48" w:rightChars="17"/>
              <w:rPr>
                <w:rFonts w:ascii="仿宋" w:hAnsi="仿宋" w:cs="仿宋"/>
                <w:sz w:val="24"/>
                <w:szCs w:val="24"/>
              </w:rPr>
            </w:pPr>
            <w:r>
              <w:rPr>
                <w:rFonts w:hint="eastAsia" w:ascii="仿宋" w:hAnsi="仿宋" w:cs="仿宋"/>
                <w:sz w:val="24"/>
                <w:szCs w:val="24"/>
              </w:rPr>
              <w:t>投标有效期符合磋商文件要求</w:t>
            </w:r>
          </w:p>
        </w:tc>
      </w:tr>
      <w:tr w14:paraId="217D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7" w:hRule="atLeast"/>
          <w:jc w:val="center"/>
        </w:trPr>
        <w:tc>
          <w:tcPr>
            <w:tcW w:w="1010" w:type="dxa"/>
            <w:tcBorders>
              <w:left w:val="single" w:color="auto" w:sz="4" w:space="0"/>
              <w:right w:val="single" w:color="auto" w:sz="4" w:space="0"/>
            </w:tcBorders>
            <w:vAlign w:val="center"/>
          </w:tcPr>
          <w:p w14:paraId="0C623356">
            <w:pPr>
              <w:ind w:right="48" w:rightChars="17"/>
              <w:jc w:val="center"/>
              <w:rPr>
                <w:rFonts w:ascii="仿宋" w:hAnsi="仿宋" w:cs="仿宋"/>
                <w:sz w:val="24"/>
                <w:szCs w:val="24"/>
              </w:rPr>
            </w:pPr>
            <w:r>
              <w:rPr>
                <w:rFonts w:hint="eastAsia" w:ascii="仿宋" w:hAnsi="仿宋" w:cs="仿宋"/>
                <w:sz w:val="24"/>
                <w:szCs w:val="24"/>
              </w:rPr>
              <w:t>6</w:t>
            </w:r>
          </w:p>
        </w:tc>
        <w:tc>
          <w:tcPr>
            <w:tcW w:w="8837" w:type="dxa"/>
            <w:tcBorders>
              <w:top w:val="single" w:color="auto" w:sz="4" w:space="0"/>
              <w:left w:val="single" w:color="auto" w:sz="4" w:space="0"/>
              <w:bottom w:val="single" w:color="auto" w:sz="4" w:space="0"/>
              <w:right w:val="single" w:color="auto" w:sz="4" w:space="0"/>
            </w:tcBorders>
            <w:vAlign w:val="center"/>
          </w:tcPr>
          <w:p w14:paraId="4D5B4DD4">
            <w:pPr>
              <w:ind w:right="48" w:rightChars="17"/>
              <w:rPr>
                <w:rFonts w:ascii="仿宋" w:hAnsi="仿宋" w:cs="仿宋"/>
                <w:sz w:val="24"/>
                <w:szCs w:val="24"/>
              </w:rPr>
            </w:pPr>
            <w:r>
              <w:rPr>
                <w:rFonts w:hint="eastAsia" w:ascii="仿宋" w:hAnsi="仿宋" w:cs="仿宋"/>
                <w:sz w:val="24"/>
                <w:szCs w:val="24"/>
              </w:rPr>
              <w:t>投标文件按磋商文件要求逐条响应、无缺项</w:t>
            </w:r>
          </w:p>
        </w:tc>
      </w:tr>
      <w:tr w14:paraId="68C8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8" w:hRule="atLeast"/>
          <w:jc w:val="center"/>
        </w:trPr>
        <w:tc>
          <w:tcPr>
            <w:tcW w:w="1010" w:type="dxa"/>
            <w:tcBorders>
              <w:left w:val="single" w:color="auto" w:sz="4" w:space="0"/>
              <w:bottom w:val="single" w:color="auto" w:sz="4" w:space="0"/>
              <w:right w:val="single" w:color="auto" w:sz="4" w:space="0"/>
            </w:tcBorders>
            <w:vAlign w:val="center"/>
          </w:tcPr>
          <w:p w14:paraId="5FA5CE9E">
            <w:pPr>
              <w:ind w:right="48" w:rightChars="17"/>
              <w:jc w:val="center"/>
              <w:rPr>
                <w:rFonts w:ascii="仿宋" w:hAnsi="仿宋" w:cs="仿宋"/>
                <w:sz w:val="24"/>
                <w:szCs w:val="24"/>
              </w:rPr>
            </w:pPr>
            <w:r>
              <w:rPr>
                <w:rFonts w:hint="eastAsia" w:ascii="仿宋" w:hAnsi="仿宋" w:cs="仿宋"/>
                <w:sz w:val="24"/>
                <w:szCs w:val="24"/>
              </w:rPr>
              <w:t>7</w:t>
            </w:r>
          </w:p>
        </w:tc>
        <w:tc>
          <w:tcPr>
            <w:tcW w:w="8837" w:type="dxa"/>
            <w:tcBorders>
              <w:top w:val="single" w:color="auto" w:sz="4" w:space="0"/>
              <w:left w:val="single" w:color="auto" w:sz="4" w:space="0"/>
              <w:bottom w:val="single" w:color="auto" w:sz="4" w:space="0"/>
              <w:right w:val="single" w:color="auto" w:sz="4" w:space="0"/>
            </w:tcBorders>
            <w:vAlign w:val="center"/>
          </w:tcPr>
          <w:p w14:paraId="25AA9FB6">
            <w:pPr>
              <w:ind w:right="48" w:rightChars="17"/>
              <w:rPr>
                <w:rFonts w:ascii="仿宋" w:hAnsi="仿宋" w:cs="仿宋"/>
                <w:sz w:val="24"/>
                <w:szCs w:val="24"/>
              </w:rPr>
            </w:pPr>
            <w:r>
              <w:rPr>
                <w:rFonts w:hint="eastAsia" w:ascii="仿宋" w:hAnsi="仿宋" w:cs="仿宋"/>
                <w:sz w:val="24"/>
                <w:szCs w:val="24"/>
              </w:rPr>
              <w:t>磋商响应方案无严重漏项，系统缺陷，影响到该项目的实施</w:t>
            </w:r>
          </w:p>
        </w:tc>
      </w:tr>
      <w:tr w14:paraId="6044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0" w:hRule="atLeast"/>
          <w:jc w:val="center"/>
        </w:trPr>
        <w:tc>
          <w:tcPr>
            <w:tcW w:w="1010" w:type="dxa"/>
            <w:tcBorders>
              <w:left w:val="single" w:color="auto" w:sz="4" w:space="0"/>
              <w:right w:val="single" w:color="auto" w:sz="4" w:space="0"/>
            </w:tcBorders>
            <w:vAlign w:val="center"/>
          </w:tcPr>
          <w:p w14:paraId="5681E1A3">
            <w:pPr>
              <w:ind w:right="48" w:rightChars="17"/>
              <w:jc w:val="center"/>
              <w:rPr>
                <w:rFonts w:ascii="仿宋" w:hAnsi="仿宋" w:cs="仿宋"/>
                <w:sz w:val="24"/>
                <w:szCs w:val="24"/>
              </w:rPr>
            </w:pPr>
            <w:r>
              <w:rPr>
                <w:rFonts w:hint="eastAsia" w:ascii="仿宋" w:hAnsi="仿宋" w:cs="仿宋"/>
                <w:sz w:val="24"/>
                <w:szCs w:val="24"/>
              </w:rPr>
              <w:t>8</w:t>
            </w:r>
          </w:p>
        </w:tc>
        <w:tc>
          <w:tcPr>
            <w:tcW w:w="8837" w:type="dxa"/>
            <w:tcBorders>
              <w:top w:val="single" w:color="auto" w:sz="4" w:space="0"/>
              <w:left w:val="single" w:color="auto" w:sz="4" w:space="0"/>
              <w:bottom w:val="single" w:color="auto" w:sz="4" w:space="0"/>
              <w:right w:val="single" w:color="auto" w:sz="4" w:space="0"/>
            </w:tcBorders>
            <w:vAlign w:val="center"/>
          </w:tcPr>
          <w:p w14:paraId="106083F1">
            <w:pPr>
              <w:ind w:right="48" w:rightChars="17"/>
              <w:rPr>
                <w:rFonts w:ascii="仿宋" w:hAnsi="仿宋" w:cs="仿宋"/>
                <w:sz w:val="24"/>
                <w:szCs w:val="24"/>
              </w:rPr>
            </w:pPr>
            <w:r>
              <w:rPr>
                <w:rFonts w:hint="eastAsia" w:ascii="仿宋" w:hAnsi="仿宋" w:cs="仿宋"/>
                <w:sz w:val="24"/>
                <w:szCs w:val="24"/>
              </w:rPr>
              <w:t>投标文件构成和格式符合磋商文件要求</w:t>
            </w:r>
          </w:p>
        </w:tc>
      </w:tr>
      <w:tr w14:paraId="0003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6" w:hRule="atLeast"/>
          <w:jc w:val="center"/>
        </w:trPr>
        <w:tc>
          <w:tcPr>
            <w:tcW w:w="9847" w:type="dxa"/>
            <w:gridSpan w:val="2"/>
            <w:tcBorders>
              <w:left w:val="single" w:color="auto" w:sz="4" w:space="0"/>
              <w:bottom w:val="single" w:color="auto" w:sz="4" w:space="0"/>
              <w:right w:val="single" w:color="auto" w:sz="4" w:space="0"/>
            </w:tcBorders>
            <w:vAlign w:val="center"/>
          </w:tcPr>
          <w:p w14:paraId="4F6C8783">
            <w:pPr>
              <w:ind w:right="48" w:rightChars="17" w:firstLine="480" w:firstLineChars="200"/>
              <w:rPr>
                <w:rFonts w:ascii="仿宋" w:hAnsi="仿宋" w:cs="仿宋"/>
                <w:sz w:val="24"/>
                <w:szCs w:val="24"/>
              </w:rPr>
            </w:pPr>
            <w:r>
              <w:rPr>
                <w:rFonts w:hint="eastAsia" w:ascii="仿宋" w:hAnsi="仿宋" w:cs="仿宋"/>
                <w:sz w:val="24"/>
                <w:szCs w:val="24"/>
              </w:rPr>
              <w:t>备注：符合性审查不合格的投标单位不得进入下一评审环节。</w:t>
            </w:r>
          </w:p>
        </w:tc>
      </w:tr>
    </w:tbl>
    <w:p w14:paraId="57753D26">
      <w:pPr>
        <w:numPr>
          <w:ilvl w:val="0"/>
          <w:numId w:val="0"/>
        </w:numPr>
        <w:rPr>
          <w:rFonts w:hint="eastAsia"/>
          <w:sz w:val="24"/>
          <w:szCs w:val="24"/>
        </w:rPr>
      </w:pPr>
    </w:p>
    <w:p w14:paraId="6B5DCFFA">
      <w:pPr>
        <w:numPr>
          <w:ilvl w:val="0"/>
          <w:numId w:val="0"/>
        </w:numPr>
        <w:rPr>
          <w:rFonts w:hint="eastAsia"/>
          <w:sz w:val="24"/>
          <w:szCs w:val="24"/>
        </w:rPr>
      </w:pPr>
    </w:p>
    <w:p w14:paraId="4CE3945E">
      <w:pPr>
        <w:numPr>
          <w:ilvl w:val="0"/>
          <w:numId w:val="0"/>
        </w:numPr>
        <w:rPr>
          <w:rFonts w:hint="eastAsia"/>
          <w:sz w:val="24"/>
          <w:szCs w:val="24"/>
        </w:rPr>
      </w:pPr>
    </w:p>
    <w:p w14:paraId="4CA39C57">
      <w:pPr>
        <w:numPr>
          <w:ilvl w:val="0"/>
          <w:numId w:val="0"/>
        </w:numPr>
        <w:rPr>
          <w:rFonts w:hint="eastAsia"/>
          <w:sz w:val="24"/>
          <w:szCs w:val="24"/>
        </w:rPr>
      </w:pPr>
    </w:p>
    <w:p w14:paraId="2E72B793">
      <w:pPr>
        <w:numPr>
          <w:ilvl w:val="0"/>
          <w:numId w:val="0"/>
        </w:numPr>
        <w:rPr>
          <w:rFonts w:hint="eastAsia"/>
          <w:sz w:val="24"/>
          <w:szCs w:val="24"/>
        </w:rPr>
      </w:pPr>
    </w:p>
    <w:p w14:paraId="5889636D">
      <w:pPr>
        <w:numPr>
          <w:ilvl w:val="0"/>
          <w:numId w:val="0"/>
        </w:numPr>
        <w:rPr>
          <w:rFonts w:hint="eastAsia"/>
          <w:sz w:val="24"/>
          <w:szCs w:val="24"/>
        </w:rPr>
      </w:pPr>
    </w:p>
    <w:p w14:paraId="549E8E0D">
      <w:pPr>
        <w:numPr>
          <w:ilvl w:val="0"/>
          <w:numId w:val="0"/>
        </w:numPr>
        <w:rPr>
          <w:rFonts w:hint="eastAsia"/>
          <w:sz w:val="24"/>
          <w:szCs w:val="24"/>
        </w:rPr>
      </w:pPr>
    </w:p>
    <w:p w14:paraId="410B97BF">
      <w:pPr>
        <w:numPr>
          <w:ilvl w:val="0"/>
          <w:numId w:val="0"/>
        </w:numPr>
        <w:rPr>
          <w:rFonts w:hint="eastAsia"/>
          <w:sz w:val="24"/>
          <w:szCs w:val="24"/>
        </w:rPr>
      </w:pPr>
    </w:p>
    <w:p w14:paraId="09D662F3">
      <w:pPr>
        <w:numPr>
          <w:ilvl w:val="0"/>
          <w:numId w:val="1"/>
        </w:numPr>
        <w:ind w:firstLine="480" w:firstLineChars="200"/>
        <w:rPr>
          <w:rFonts w:hint="eastAsia"/>
          <w:sz w:val="24"/>
          <w:szCs w:val="24"/>
        </w:rPr>
      </w:pPr>
      <w:r>
        <w:rPr>
          <w:rFonts w:hint="eastAsia"/>
          <w:sz w:val="24"/>
          <w:szCs w:val="24"/>
        </w:rPr>
        <w:t>评审因素及权值：</w:t>
      </w:r>
    </w:p>
    <w:tbl>
      <w:tblPr>
        <w:tblStyle w:val="16"/>
        <w:tblW w:w="9488"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684"/>
        <w:gridCol w:w="885"/>
        <w:gridCol w:w="6075"/>
      </w:tblGrid>
      <w:tr w14:paraId="4620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2528" w:type="dxa"/>
            <w:gridSpan w:val="2"/>
            <w:vAlign w:val="center"/>
          </w:tcPr>
          <w:p w14:paraId="08F98D41">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评分因素</w:t>
            </w:r>
          </w:p>
        </w:tc>
        <w:tc>
          <w:tcPr>
            <w:tcW w:w="885" w:type="dxa"/>
            <w:vAlign w:val="center"/>
          </w:tcPr>
          <w:p w14:paraId="0D4C608D">
            <w:pPr>
              <w:pStyle w:val="22"/>
              <w:keepNext w:val="0"/>
              <w:keepLines w:val="0"/>
              <w:pageBreakBefore w:val="0"/>
              <w:widowControl w:val="0"/>
              <w:kinsoku/>
              <w:wordWrap/>
              <w:overflowPunct/>
              <w:topLinePunct w:val="0"/>
              <w:autoSpaceDE/>
              <w:autoSpaceDN/>
              <w:bidi w:val="0"/>
              <w:adjustRightInd/>
              <w:snapToGrid/>
              <w:spacing w:line="360" w:lineRule="exact"/>
              <w:ind w:left="120" w:right="91"/>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分值</w:t>
            </w:r>
          </w:p>
        </w:tc>
        <w:tc>
          <w:tcPr>
            <w:tcW w:w="6075" w:type="dxa"/>
            <w:vAlign w:val="center"/>
          </w:tcPr>
          <w:p w14:paraId="6C6FC6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评分标准</w:t>
            </w:r>
          </w:p>
        </w:tc>
      </w:tr>
      <w:tr w14:paraId="098F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trPr>
        <w:tc>
          <w:tcPr>
            <w:tcW w:w="2528" w:type="dxa"/>
            <w:gridSpan w:val="2"/>
            <w:vAlign w:val="center"/>
          </w:tcPr>
          <w:p w14:paraId="6B35DBBA">
            <w:pPr>
              <w:pStyle w:val="22"/>
              <w:keepNext w:val="0"/>
              <w:keepLines w:val="0"/>
              <w:pageBreakBefore w:val="0"/>
              <w:widowControl w:val="0"/>
              <w:kinsoku/>
              <w:wordWrap/>
              <w:overflowPunct/>
              <w:topLinePunct w:val="0"/>
              <w:autoSpaceDE/>
              <w:autoSpaceDN/>
              <w:bidi w:val="0"/>
              <w:adjustRightInd/>
              <w:snapToGrid/>
              <w:spacing w:line="360" w:lineRule="exact"/>
              <w:ind w:left="743" w:firstLine="232" w:firstLineChars="10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磋商报价</w:t>
            </w:r>
          </w:p>
        </w:tc>
        <w:tc>
          <w:tcPr>
            <w:tcW w:w="885" w:type="dxa"/>
          </w:tcPr>
          <w:p w14:paraId="391F29C0">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2217524D">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7872ED6E">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704951F2">
            <w:pPr>
              <w:pStyle w:val="22"/>
              <w:keepNext w:val="0"/>
              <w:keepLines w:val="0"/>
              <w:pageBreakBefore w:val="0"/>
              <w:widowControl w:val="0"/>
              <w:kinsoku/>
              <w:wordWrap/>
              <w:overflowPunct/>
              <w:topLinePunct w:val="0"/>
              <w:autoSpaceDE/>
              <w:autoSpaceDN/>
              <w:bidi w:val="0"/>
              <w:adjustRightInd/>
              <w:snapToGrid/>
              <w:spacing w:line="360" w:lineRule="exact"/>
              <w:ind w:right="91" w:firstLine="236" w:firstLineChars="10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lang w:val="en-US" w:eastAsia="zh-CN"/>
              </w:rPr>
              <w:t>15</w:t>
            </w:r>
            <w:r>
              <w:rPr>
                <w:rFonts w:hint="eastAsia" w:ascii="仿宋" w:hAnsi="仿宋" w:eastAsia="仿宋" w:cs="仿宋"/>
                <w:b w:val="0"/>
                <w:bCs w:val="0"/>
                <w:spacing w:val="-31"/>
                <w:sz w:val="24"/>
                <w:szCs w:val="24"/>
              </w:rPr>
              <w:t>分</w:t>
            </w:r>
          </w:p>
        </w:tc>
        <w:tc>
          <w:tcPr>
            <w:tcW w:w="6075" w:type="dxa"/>
          </w:tcPr>
          <w:p w14:paraId="66AF3C2F">
            <w:pPr>
              <w:pStyle w:val="22"/>
              <w:keepNext w:val="0"/>
              <w:keepLines w:val="0"/>
              <w:pageBreakBefore w:val="0"/>
              <w:widowControl w:val="0"/>
              <w:kinsoku/>
              <w:wordWrap/>
              <w:overflowPunct/>
              <w:topLinePunct w:val="0"/>
              <w:autoSpaceDE/>
              <w:autoSpaceDN/>
              <w:bidi w:val="0"/>
              <w:adjustRightInd/>
              <w:snapToGrid/>
              <w:spacing w:line="360" w:lineRule="exact"/>
              <w:ind w:left="150" w:right="112" w:firstLine="42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价格分采用低价优先法计算，即满足磋商文件要求且磋商价格最低的磋商报价为评审基准价，其价格分为满分。其他供应商的价格分统一按照下列公式计算：</w:t>
            </w:r>
          </w:p>
          <w:p w14:paraId="79B9E051">
            <w:pPr>
              <w:pStyle w:val="22"/>
              <w:keepNext w:val="0"/>
              <w:keepLines w:val="0"/>
              <w:pageBreakBefore w:val="0"/>
              <w:widowControl w:val="0"/>
              <w:kinsoku/>
              <w:wordWrap/>
              <w:overflowPunct/>
              <w:topLinePunct w:val="0"/>
              <w:autoSpaceDE/>
              <w:autoSpaceDN/>
              <w:bidi w:val="0"/>
              <w:adjustRightInd/>
              <w:snapToGrid/>
              <w:spacing w:line="360" w:lineRule="exact"/>
              <w:ind w:left="150" w:right="-29" w:firstLine="420"/>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磋商报价得分=（磋商基准价/最后磋商报价）×价格权值×100</w:t>
            </w:r>
            <w:r>
              <w:rPr>
                <w:rFonts w:hint="eastAsia" w:ascii="仿宋" w:hAnsi="仿宋" w:eastAsia="仿宋" w:cs="仿宋"/>
                <w:b w:val="0"/>
                <w:bCs w:val="0"/>
                <w:spacing w:val="80"/>
                <w:sz w:val="24"/>
                <w:szCs w:val="24"/>
              </w:rPr>
              <w:t xml:space="preserve"> </w:t>
            </w:r>
            <w:r>
              <w:rPr>
                <w:rFonts w:hint="eastAsia" w:ascii="仿宋" w:hAnsi="仿宋" w:eastAsia="仿宋" w:cs="仿宋"/>
                <w:b w:val="0"/>
                <w:bCs w:val="0"/>
                <w:spacing w:val="-11"/>
                <w:sz w:val="24"/>
                <w:szCs w:val="24"/>
              </w:rPr>
              <w:t>注：磋商小组三分之二以上成员认为某磋商报价有低于成本价嫌疑的，</w:t>
            </w:r>
            <w:r>
              <w:rPr>
                <w:rFonts w:hint="eastAsia" w:ascii="仿宋" w:hAnsi="仿宋" w:eastAsia="仿宋" w:cs="仿宋"/>
                <w:b w:val="0"/>
                <w:bCs w:val="0"/>
                <w:spacing w:val="-3"/>
                <w:sz w:val="24"/>
                <w:szCs w:val="24"/>
              </w:rPr>
              <w:t>涉嫌不正当竞争的，为无效报价。</w:t>
            </w:r>
          </w:p>
        </w:tc>
      </w:tr>
      <w:tr w14:paraId="4FEA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844" w:type="dxa"/>
            <w:vMerge w:val="restart"/>
          </w:tcPr>
          <w:p w14:paraId="45106087">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3F5D3DD5">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58DC6357">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2DB3460F">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3032D724">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14206EBF">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3E6FBF1A">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2C1FED71">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5F6009EF">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3761D537">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45B8959B">
            <w:pPr>
              <w:pStyle w:val="2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p w14:paraId="686DC434">
            <w:pPr>
              <w:pStyle w:val="22"/>
              <w:keepNext w:val="0"/>
              <w:keepLines w:val="0"/>
              <w:pageBreakBefore w:val="0"/>
              <w:widowControl w:val="0"/>
              <w:kinsoku/>
              <w:wordWrap/>
              <w:overflowPunct/>
              <w:topLinePunct w:val="0"/>
              <w:autoSpaceDE/>
              <w:autoSpaceDN/>
              <w:bidi w:val="0"/>
              <w:adjustRightInd/>
              <w:snapToGrid/>
              <w:spacing w:line="360" w:lineRule="exact"/>
              <w:ind w:left="136" w:right="116"/>
              <w:jc w:val="center"/>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pacing w:val="-6"/>
                <w:sz w:val="24"/>
                <w:szCs w:val="24"/>
                <w:lang w:val="en-US" w:eastAsia="zh-CN"/>
              </w:rPr>
              <w:t>服务方案</w:t>
            </w:r>
          </w:p>
        </w:tc>
        <w:tc>
          <w:tcPr>
            <w:tcW w:w="1684" w:type="dxa"/>
            <w:vAlign w:val="center"/>
          </w:tcPr>
          <w:p w14:paraId="47D7DB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对项目认识</w:t>
            </w:r>
          </w:p>
          <w:p w14:paraId="0B0E32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和理解</w:t>
            </w:r>
          </w:p>
        </w:tc>
        <w:tc>
          <w:tcPr>
            <w:tcW w:w="885" w:type="dxa"/>
            <w:vAlign w:val="center"/>
          </w:tcPr>
          <w:p w14:paraId="7A9C4387">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lang w:val="en-US" w:eastAsia="zh-CN"/>
              </w:rPr>
              <w:t>4</w:t>
            </w:r>
            <w:r>
              <w:rPr>
                <w:rFonts w:hint="eastAsia" w:ascii="仿宋" w:hAnsi="仿宋" w:eastAsia="仿宋" w:cs="仿宋"/>
                <w:b w:val="0"/>
                <w:bCs w:val="0"/>
                <w:spacing w:val="-31"/>
                <w:sz w:val="24"/>
                <w:szCs w:val="24"/>
              </w:rPr>
              <w:t xml:space="preserve"> 分</w:t>
            </w:r>
          </w:p>
        </w:tc>
        <w:tc>
          <w:tcPr>
            <w:tcW w:w="6075" w:type="dxa"/>
            <w:vAlign w:val="center"/>
          </w:tcPr>
          <w:p w14:paraId="278D6919">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提供对房屋建筑安全鉴定的认识理解及重点难点分析情况得 1-</w:t>
            </w:r>
            <w:r>
              <w:rPr>
                <w:rFonts w:hint="eastAsia" w:ascii="仿宋" w:hAnsi="仿宋" w:eastAsia="仿宋" w:cs="仿宋"/>
                <w:b w:val="0"/>
                <w:bCs w:val="0"/>
                <w:spacing w:val="-4"/>
                <w:sz w:val="24"/>
                <w:szCs w:val="24"/>
                <w:lang w:val="en-US" w:eastAsia="zh-CN"/>
              </w:rPr>
              <w:t>4</w:t>
            </w:r>
            <w:r>
              <w:rPr>
                <w:rFonts w:hint="eastAsia" w:ascii="仿宋" w:hAnsi="仿宋" w:eastAsia="仿宋" w:cs="仿宋"/>
                <w:b w:val="0"/>
                <w:bCs w:val="0"/>
                <w:spacing w:val="-4"/>
                <w:sz w:val="24"/>
                <w:szCs w:val="24"/>
              </w:rPr>
              <w:t>分。</w:t>
            </w:r>
          </w:p>
        </w:tc>
      </w:tr>
      <w:tr w14:paraId="2EB1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844" w:type="dxa"/>
            <w:vMerge w:val="continue"/>
          </w:tcPr>
          <w:p w14:paraId="57519C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2C4BA87C">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总体工作部署</w:t>
            </w:r>
          </w:p>
        </w:tc>
        <w:tc>
          <w:tcPr>
            <w:tcW w:w="885" w:type="dxa"/>
            <w:vAlign w:val="center"/>
          </w:tcPr>
          <w:p w14:paraId="5716FD85">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8 分</w:t>
            </w:r>
          </w:p>
        </w:tc>
        <w:tc>
          <w:tcPr>
            <w:tcW w:w="6075" w:type="dxa"/>
            <w:vAlign w:val="center"/>
          </w:tcPr>
          <w:p w14:paraId="4EEEDD76">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5"/>
                <w:sz w:val="24"/>
                <w:szCs w:val="24"/>
              </w:rPr>
              <w:t>工作思路清晰、部署科学合理、有较强的针对性与操作性，由评标委员会横向对比，差别赋分得 5-8 分；工作思路较清晰、针对性及操作性一般，由评标委员会横向对比，差别赋分得 1-5 分。</w:t>
            </w:r>
          </w:p>
        </w:tc>
      </w:tr>
      <w:tr w14:paraId="5AFD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844" w:type="dxa"/>
            <w:vMerge w:val="continue"/>
          </w:tcPr>
          <w:p w14:paraId="27241A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65535D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整体服务方</w:t>
            </w:r>
          </w:p>
          <w:p w14:paraId="1A1DE8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案</w:t>
            </w:r>
          </w:p>
        </w:tc>
        <w:tc>
          <w:tcPr>
            <w:tcW w:w="885" w:type="dxa"/>
            <w:vAlign w:val="center"/>
          </w:tcPr>
          <w:p w14:paraId="17473483">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lang w:val="en-US" w:eastAsia="zh-CN"/>
              </w:rPr>
              <w:t>20</w:t>
            </w:r>
            <w:r>
              <w:rPr>
                <w:rFonts w:hint="eastAsia" w:ascii="仿宋" w:hAnsi="仿宋" w:eastAsia="仿宋" w:cs="仿宋"/>
                <w:b w:val="0"/>
                <w:bCs w:val="0"/>
                <w:spacing w:val="-31"/>
                <w:sz w:val="24"/>
                <w:szCs w:val="24"/>
              </w:rPr>
              <w:t>分</w:t>
            </w:r>
          </w:p>
        </w:tc>
        <w:tc>
          <w:tcPr>
            <w:tcW w:w="6075" w:type="dxa"/>
            <w:vAlign w:val="center"/>
          </w:tcPr>
          <w:p w14:paraId="3FDE354B">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rPr>
              <w:t>包括不限于团队组建、信息采集、质量自检、设备配置、人员培训、成果汇交等方面，从方案全面性、可行性、规范化、标准化、工作程序的规范性等方面评审：</w:t>
            </w:r>
          </w:p>
          <w:p w14:paraId="6A7DE709">
            <w:pPr>
              <w:pStyle w:val="22"/>
              <w:keepNext w:val="0"/>
              <w:keepLines w:val="0"/>
              <w:pageBreakBefore w:val="0"/>
              <w:widowControl w:val="0"/>
              <w:kinsoku/>
              <w:wordWrap/>
              <w:overflowPunct/>
              <w:topLinePunct w:val="0"/>
              <w:autoSpaceDE/>
              <w:autoSpaceDN/>
              <w:bidi w:val="0"/>
              <w:adjustRightInd/>
              <w:snapToGrid/>
              <w:spacing w:line="360" w:lineRule="exact"/>
              <w:ind w:left="150" w:firstLine="464" w:firstLineChars="200"/>
              <w:jc w:val="both"/>
              <w:textAlignment w:val="auto"/>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rPr>
              <w:t>服务方案考虑全面，无漏项，专业性、系统性强，可操作强，由评标委员会横向对比，差别赋分得 14-20 分；</w:t>
            </w:r>
          </w:p>
          <w:p w14:paraId="6C763332">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rPr>
              <w:t>服务方案考虑不够周全，无缺漏项，专业性、系统性、可操作性可行性一般计，由评标委员会横向对比，差别赋分得 6-14 分；</w:t>
            </w:r>
          </w:p>
          <w:p w14:paraId="78E46E00">
            <w:pPr>
              <w:pStyle w:val="22"/>
              <w:keepNext w:val="0"/>
              <w:keepLines w:val="0"/>
              <w:pageBreakBefore w:val="0"/>
              <w:widowControl w:val="0"/>
              <w:kinsoku/>
              <w:wordWrap/>
              <w:overflowPunct/>
              <w:topLinePunct w:val="0"/>
              <w:autoSpaceDE/>
              <w:autoSpaceDN/>
              <w:bidi w:val="0"/>
              <w:adjustRightInd/>
              <w:snapToGrid/>
              <w:spacing w:line="360" w:lineRule="exact"/>
              <w:ind w:left="150" w:firstLine="464"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方案考虑不全，有明显漏项，专业性、系统性不强，操作可行性差，由评标委员会横向对比，差别赋分得 1-6分。</w:t>
            </w:r>
          </w:p>
        </w:tc>
      </w:tr>
      <w:tr w14:paraId="26E9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844" w:type="dxa"/>
            <w:vMerge w:val="continue"/>
          </w:tcPr>
          <w:p w14:paraId="5FF24B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5C0EC8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团队配备情</w:t>
            </w:r>
          </w:p>
          <w:p w14:paraId="3C8169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况</w:t>
            </w:r>
          </w:p>
        </w:tc>
        <w:tc>
          <w:tcPr>
            <w:tcW w:w="885" w:type="dxa"/>
            <w:vAlign w:val="center"/>
          </w:tcPr>
          <w:p w14:paraId="0DC8C05E">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1</w:t>
            </w:r>
            <w:r>
              <w:rPr>
                <w:rFonts w:hint="eastAsia" w:ascii="仿宋" w:hAnsi="仿宋" w:eastAsia="仿宋" w:cs="仿宋"/>
                <w:b w:val="0"/>
                <w:bCs w:val="0"/>
                <w:spacing w:val="-2"/>
                <w:sz w:val="24"/>
                <w:szCs w:val="24"/>
                <w:lang w:val="en-US" w:eastAsia="zh-CN"/>
              </w:rPr>
              <w:t>1</w:t>
            </w:r>
            <w:r>
              <w:rPr>
                <w:rFonts w:hint="eastAsia" w:ascii="仿宋" w:hAnsi="仿宋" w:eastAsia="仿宋" w:cs="仿宋"/>
                <w:b w:val="0"/>
                <w:bCs w:val="0"/>
                <w:spacing w:val="-31"/>
                <w:sz w:val="24"/>
                <w:szCs w:val="24"/>
              </w:rPr>
              <w:t xml:space="preserve"> 分</w:t>
            </w:r>
          </w:p>
        </w:tc>
        <w:tc>
          <w:tcPr>
            <w:tcW w:w="6075" w:type="dxa"/>
            <w:vAlign w:val="center"/>
          </w:tcPr>
          <w:p w14:paraId="2FFB8959">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项目负责人（3 分）：拟派项目负责人具有需提供陕西省建设工程质量检测人员证书，提供者得 3 分，未提供着不得分。团队配置（8 分）：提供项目实施团队成员名单，人员数量、岗位配备、职责划分均阐述全面详细，且组织机构设置科学、岗位配备齐全、职责划分合理明确，由评标委员会横向对比，差别赋分得 5-8 分；人员数量、岗位配备、职责划分均阐述简短，组织机构设置、岗位配备、职责划分较为合理，由评标委员会横向对比，差别赋分得 2-5分；人员数量、岗位配备、职责划分阐述不全、缺漏项，由评标委员会横向对比，差别赋分得 1-2 分。</w:t>
            </w:r>
          </w:p>
        </w:tc>
      </w:tr>
      <w:tr w14:paraId="6E65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trPr>
        <w:tc>
          <w:tcPr>
            <w:tcW w:w="844" w:type="dxa"/>
            <w:vMerge w:val="continue"/>
          </w:tcPr>
          <w:p w14:paraId="3147F3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79938B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时间进度安</w:t>
            </w:r>
          </w:p>
          <w:p w14:paraId="156404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排</w:t>
            </w:r>
          </w:p>
        </w:tc>
        <w:tc>
          <w:tcPr>
            <w:tcW w:w="885" w:type="dxa"/>
            <w:vAlign w:val="center"/>
          </w:tcPr>
          <w:p w14:paraId="5C9549BE">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lang w:val="en-US" w:eastAsia="zh-CN"/>
              </w:rPr>
              <w:t>8</w:t>
            </w:r>
            <w:r>
              <w:rPr>
                <w:rFonts w:hint="eastAsia" w:ascii="仿宋" w:hAnsi="仿宋" w:eastAsia="仿宋" w:cs="仿宋"/>
                <w:b w:val="0"/>
                <w:bCs w:val="0"/>
                <w:spacing w:val="-31"/>
                <w:sz w:val="24"/>
                <w:szCs w:val="24"/>
              </w:rPr>
              <w:t>分</w:t>
            </w:r>
          </w:p>
        </w:tc>
        <w:tc>
          <w:tcPr>
            <w:tcW w:w="6075" w:type="dxa"/>
            <w:vAlign w:val="center"/>
          </w:tcPr>
          <w:p w14:paraId="5E764CF8">
            <w:pPr>
              <w:pStyle w:val="22"/>
              <w:keepNext w:val="0"/>
              <w:keepLines w:val="0"/>
              <w:pageBreakBefore w:val="0"/>
              <w:widowControl w:val="0"/>
              <w:kinsoku/>
              <w:wordWrap/>
              <w:overflowPunct/>
              <w:topLinePunct w:val="0"/>
              <w:autoSpaceDE/>
              <w:autoSpaceDN/>
              <w:bidi w:val="0"/>
              <w:adjustRightInd/>
              <w:snapToGrid/>
              <w:spacing w:line="360" w:lineRule="exact"/>
              <w:ind w:left="150" w:right="112"/>
              <w:jc w:val="both"/>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pacing w:val="-2"/>
                <w:sz w:val="24"/>
                <w:szCs w:val="24"/>
              </w:rPr>
              <w:t>时间安排科学合理、利用率高、响应时效性强，完全满足采购需求，由评标委员会横向对比，差别赋分得 5-8 分；时间安排较合理、利用率较高、响应时效性较强，可以满足采购需求，由评标委员会横向对比，差别赋分得 3-5分；时间安排一般、利用率一般、响应时效性一般，基本满足采购需求，由评标委员会横向对比，差别赋分得1-3 分</w:t>
            </w:r>
            <w:r>
              <w:rPr>
                <w:rFonts w:hint="eastAsia" w:ascii="仿宋" w:hAnsi="仿宋" w:eastAsia="仿宋" w:cs="仿宋"/>
                <w:b w:val="0"/>
                <w:bCs w:val="0"/>
                <w:spacing w:val="-2"/>
                <w:sz w:val="24"/>
                <w:szCs w:val="24"/>
                <w:lang w:eastAsia="zh-CN"/>
              </w:rPr>
              <w:t>。</w:t>
            </w:r>
          </w:p>
        </w:tc>
      </w:tr>
      <w:tr w14:paraId="0347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8" w:hRule="atLeast"/>
        </w:trPr>
        <w:tc>
          <w:tcPr>
            <w:tcW w:w="844" w:type="dxa"/>
            <w:vMerge w:val="continue"/>
          </w:tcPr>
          <w:p w14:paraId="5EF9D1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266AB3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调查方法</w:t>
            </w:r>
          </w:p>
        </w:tc>
        <w:tc>
          <w:tcPr>
            <w:tcW w:w="885" w:type="dxa"/>
            <w:vAlign w:val="center"/>
          </w:tcPr>
          <w:p w14:paraId="2B88661F">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lang w:val="en-US" w:eastAsia="zh-CN"/>
              </w:rPr>
              <w:t>8</w:t>
            </w:r>
            <w:r>
              <w:rPr>
                <w:rFonts w:hint="eastAsia" w:ascii="仿宋" w:hAnsi="仿宋" w:eastAsia="仿宋" w:cs="仿宋"/>
                <w:b w:val="0"/>
                <w:bCs w:val="0"/>
                <w:spacing w:val="-31"/>
                <w:sz w:val="24"/>
                <w:szCs w:val="24"/>
              </w:rPr>
              <w:t>分</w:t>
            </w:r>
          </w:p>
        </w:tc>
        <w:tc>
          <w:tcPr>
            <w:tcW w:w="6075" w:type="dxa"/>
            <w:vAlign w:val="center"/>
          </w:tcPr>
          <w:p w14:paraId="07347403">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采用的调查方法先进、高效，以保证采集数据的准确性，由评标委员会横向对比，差别赋分得 1-8 分。</w:t>
            </w:r>
          </w:p>
        </w:tc>
      </w:tr>
      <w:tr w14:paraId="475F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844" w:type="dxa"/>
            <w:vMerge w:val="continue"/>
          </w:tcPr>
          <w:p w14:paraId="021A99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68E1086A">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服务承诺</w:t>
            </w:r>
          </w:p>
        </w:tc>
        <w:tc>
          <w:tcPr>
            <w:tcW w:w="885" w:type="dxa"/>
            <w:vAlign w:val="center"/>
          </w:tcPr>
          <w:p w14:paraId="4F3D6389">
            <w:pPr>
              <w:pStyle w:val="22"/>
              <w:keepNext w:val="0"/>
              <w:keepLines w:val="0"/>
              <w:pageBreakBefore w:val="0"/>
              <w:widowControl w:val="0"/>
              <w:kinsoku/>
              <w:wordWrap/>
              <w:overflowPunct/>
              <w:topLinePunct w:val="0"/>
              <w:autoSpaceDE/>
              <w:autoSpaceDN/>
              <w:bidi w:val="0"/>
              <w:adjustRightInd/>
              <w:snapToGrid/>
              <w:spacing w:line="360" w:lineRule="exact"/>
              <w:ind w:left="121"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2"/>
                <w:sz w:val="24"/>
                <w:szCs w:val="24"/>
              </w:rPr>
              <w:t>10</w:t>
            </w:r>
            <w:r>
              <w:rPr>
                <w:rFonts w:hint="eastAsia" w:ascii="仿宋" w:hAnsi="仿宋" w:eastAsia="仿宋" w:cs="仿宋"/>
                <w:b w:val="0"/>
                <w:bCs w:val="0"/>
                <w:spacing w:val="-31"/>
                <w:sz w:val="24"/>
                <w:szCs w:val="24"/>
              </w:rPr>
              <w:t xml:space="preserve"> 分</w:t>
            </w:r>
          </w:p>
        </w:tc>
        <w:tc>
          <w:tcPr>
            <w:tcW w:w="6075" w:type="dxa"/>
            <w:vAlign w:val="center"/>
          </w:tcPr>
          <w:p w14:paraId="7C84CB17">
            <w:pPr>
              <w:pStyle w:val="22"/>
              <w:keepNext w:val="0"/>
              <w:keepLines w:val="0"/>
              <w:pageBreakBefore w:val="0"/>
              <w:widowControl w:val="0"/>
              <w:kinsoku/>
              <w:wordWrap/>
              <w:overflowPunct/>
              <w:topLinePunct w:val="0"/>
              <w:autoSpaceDE/>
              <w:autoSpaceDN/>
              <w:bidi w:val="0"/>
              <w:adjustRightInd/>
              <w:snapToGrid/>
              <w:spacing w:line="360" w:lineRule="exact"/>
              <w:ind w:left="150"/>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rPr>
              <w:t>对能够完成本项目工作的服务承诺，包括不限于优惠承诺、无条件修改调整方案承诺、服务保证承诺、工作效率承诺等，服务承诺内容详尽、描述清晰，由评标委员会横向对比，差别赋分得 1-10 分。</w:t>
            </w:r>
          </w:p>
        </w:tc>
      </w:tr>
      <w:tr w14:paraId="0333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844" w:type="dxa"/>
            <w:vMerge w:val="continue"/>
          </w:tcPr>
          <w:p w14:paraId="6759E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rPr>
            </w:pPr>
          </w:p>
        </w:tc>
        <w:tc>
          <w:tcPr>
            <w:tcW w:w="1684" w:type="dxa"/>
            <w:vAlign w:val="center"/>
          </w:tcPr>
          <w:p w14:paraId="7652C0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4"/>
                <w:szCs w:val="24"/>
                <w:lang w:eastAsia="zh-CN"/>
              </w:rPr>
            </w:pPr>
            <w:r>
              <w:rPr>
                <w:rFonts w:hint="eastAsia" w:ascii="仿宋" w:hAnsi="仿宋" w:cs="仿宋"/>
                <w:b w:val="0"/>
                <w:bCs w:val="0"/>
                <w:sz w:val="24"/>
                <w:szCs w:val="24"/>
                <w:lang w:val="en-US" w:eastAsia="zh-CN"/>
              </w:rPr>
              <w:t>安全保密</w:t>
            </w:r>
          </w:p>
        </w:tc>
        <w:tc>
          <w:tcPr>
            <w:tcW w:w="885" w:type="dxa"/>
            <w:vAlign w:val="center"/>
          </w:tcPr>
          <w:p w14:paraId="53C4FD8F">
            <w:pPr>
              <w:pStyle w:val="22"/>
              <w:keepNext w:val="0"/>
              <w:keepLines w:val="0"/>
              <w:pageBreakBefore w:val="0"/>
              <w:widowControl w:val="0"/>
              <w:kinsoku/>
              <w:wordWrap/>
              <w:overflowPunct/>
              <w:topLinePunct w:val="0"/>
              <w:autoSpaceDE/>
              <w:autoSpaceDN/>
              <w:bidi w:val="0"/>
              <w:adjustRightInd/>
              <w:snapToGrid/>
              <w:spacing w:line="360" w:lineRule="exact"/>
              <w:ind w:left="116"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lang w:val="en-US" w:eastAsia="zh-CN"/>
              </w:rPr>
              <w:t>10</w:t>
            </w:r>
            <w:r>
              <w:rPr>
                <w:rFonts w:hint="eastAsia" w:ascii="仿宋" w:hAnsi="仿宋" w:eastAsia="仿宋" w:cs="仿宋"/>
                <w:b w:val="0"/>
                <w:bCs w:val="0"/>
                <w:spacing w:val="-31"/>
                <w:sz w:val="24"/>
                <w:szCs w:val="24"/>
              </w:rPr>
              <w:t>分</w:t>
            </w:r>
          </w:p>
        </w:tc>
        <w:tc>
          <w:tcPr>
            <w:tcW w:w="6075" w:type="dxa"/>
            <w:vAlign w:val="center"/>
          </w:tcPr>
          <w:p w14:paraId="3D87AF96">
            <w:pPr>
              <w:pStyle w:val="2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提供完善的管理制度、数据安全保密措施，差别赋分得0-10分。</w:t>
            </w:r>
          </w:p>
        </w:tc>
      </w:tr>
      <w:tr w14:paraId="79BE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trPr>
        <w:tc>
          <w:tcPr>
            <w:tcW w:w="2528" w:type="dxa"/>
            <w:gridSpan w:val="2"/>
          </w:tcPr>
          <w:p w14:paraId="10818A17">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6DECB9EC">
            <w:pPr>
              <w:pStyle w:val="2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4"/>
                <w:szCs w:val="24"/>
              </w:rPr>
            </w:pPr>
          </w:p>
          <w:p w14:paraId="3E3539CE">
            <w:pPr>
              <w:pStyle w:val="22"/>
              <w:keepNext w:val="0"/>
              <w:keepLines w:val="0"/>
              <w:pageBreakBefore w:val="0"/>
              <w:widowControl w:val="0"/>
              <w:kinsoku/>
              <w:wordWrap/>
              <w:overflowPunct/>
              <w:topLinePunct w:val="0"/>
              <w:autoSpaceDE/>
              <w:autoSpaceDN/>
              <w:bidi w:val="0"/>
              <w:adjustRightInd/>
              <w:snapToGrid/>
              <w:spacing w:line="360" w:lineRule="exact"/>
              <w:ind w:left="939" w:right="921"/>
              <w:jc w:val="center"/>
              <w:textAlignment w:val="auto"/>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业绩</w:t>
            </w:r>
          </w:p>
        </w:tc>
        <w:tc>
          <w:tcPr>
            <w:tcW w:w="885" w:type="dxa"/>
            <w:vAlign w:val="center"/>
          </w:tcPr>
          <w:p w14:paraId="5370A7DF">
            <w:pPr>
              <w:pStyle w:val="22"/>
              <w:keepNext w:val="0"/>
              <w:keepLines w:val="0"/>
              <w:pageBreakBefore w:val="0"/>
              <w:widowControl w:val="0"/>
              <w:kinsoku/>
              <w:wordWrap/>
              <w:overflowPunct/>
              <w:topLinePunct w:val="0"/>
              <w:autoSpaceDE/>
              <w:autoSpaceDN/>
              <w:bidi w:val="0"/>
              <w:adjustRightInd/>
              <w:snapToGrid/>
              <w:spacing w:line="360" w:lineRule="exact"/>
              <w:ind w:left="116" w:right="91"/>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4"/>
                <w:sz w:val="24"/>
                <w:szCs w:val="24"/>
                <w:lang w:val="en-US" w:eastAsia="zh-CN"/>
              </w:rPr>
              <w:t>6</w:t>
            </w:r>
            <w:r>
              <w:rPr>
                <w:rFonts w:hint="eastAsia" w:ascii="仿宋" w:hAnsi="仿宋" w:eastAsia="仿宋" w:cs="仿宋"/>
                <w:b w:val="0"/>
                <w:bCs w:val="0"/>
                <w:spacing w:val="-31"/>
                <w:sz w:val="24"/>
                <w:szCs w:val="24"/>
              </w:rPr>
              <w:t>分</w:t>
            </w:r>
          </w:p>
        </w:tc>
        <w:tc>
          <w:tcPr>
            <w:tcW w:w="6075" w:type="dxa"/>
            <w:vAlign w:val="center"/>
          </w:tcPr>
          <w:p w14:paraId="05A85B98">
            <w:pPr>
              <w:pStyle w:val="2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4"/>
                <w:szCs w:val="24"/>
              </w:rPr>
            </w:pPr>
            <w:r>
              <w:rPr>
                <w:rFonts w:hint="eastAsia" w:ascii="仿宋" w:hAnsi="仿宋" w:eastAsia="仿宋" w:cs="仿宋"/>
                <w:b w:val="0"/>
                <w:bCs w:val="0"/>
                <w:spacing w:val="-6"/>
                <w:sz w:val="24"/>
                <w:szCs w:val="24"/>
              </w:rPr>
              <w:t>供应商提供 20</w:t>
            </w:r>
            <w:r>
              <w:rPr>
                <w:rFonts w:hint="eastAsia" w:ascii="仿宋" w:hAnsi="仿宋" w:eastAsia="仿宋" w:cs="仿宋"/>
                <w:b w:val="0"/>
                <w:bCs w:val="0"/>
                <w:spacing w:val="-6"/>
                <w:sz w:val="24"/>
                <w:szCs w:val="24"/>
                <w:lang w:val="en-US" w:eastAsia="zh-CN"/>
              </w:rPr>
              <w:t>22</w:t>
            </w:r>
            <w:r>
              <w:rPr>
                <w:rFonts w:hint="eastAsia" w:ascii="仿宋" w:hAnsi="仿宋" w:eastAsia="仿宋" w:cs="仿宋"/>
                <w:b w:val="0"/>
                <w:bCs w:val="0"/>
                <w:spacing w:val="-6"/>
                <w:sz w:val="24"/>
                <w:szCs w:val="24"/>
              </w:rPr>
              <w:t xml:space="preserve">年 </w:t>
            </w:r>
            <w:r>
              <w:rPr>
                <w:rFonts w:hint="eastAsia" w:ascii="仿宋" w:hAnsi="仿宋" w:eastAsia="仿宋" w:cs="仿宋"/>
                <w:b w:val="0"/>
                <w:bCs w:val="0"/>
                <w:spacing w:val="-6"/>
                <w:sz w:val="24"/>
                <w:szCs w:val="24"/>
                <w:lang w:val="en-US" w:eastAsia="zh-CN"/>
              </w:rPr>
              <w:t>5</w:t>
            </w:r>
            <w:r>
              <w:rPr>
                <w:rFonts w:hint="eastAsia" w:ascii="仿宋" w:hAnsi="仿宋" w:eastAsia="仿宋" w:cs="仿宋"/>
                <w:b w:val="0"/>
                <w:bCs w:val="0"/>
                <w:spacing w:val="-6"/>
                <w:sz w:val="24"/>
                <w:szCs w:val="24"/>
              </w:rPr>
              <w:t xml:space="preserve">月至今类似业绩，每提供 1 份有效业绩得 2 分；每增加一份业绩得 </w:t>
            </w:r>
            <w:r>
              <w:rPr>
                <w:rFonts w:hint="eastAsia" w:ascii="仿宋" w:hAnsi="仿宋" w:eastAsia="仿宋" w:cs="仿宋"/>
                <w:b w:val="0"/>
                <w:bCs w:val="0"/>
                <w:spacing w:val="-6"/>
                <w:sz w:val="24"/>
                <w:szCs w:val="24"/>
                <w:lang w:val="en-US" w:eastAsia="zh-CN"/>
              </w:rPr>
              <w:t>2</w:t>
            </w:r>
            <w:r>
              <w:rPr>
                <w:rFonts w:hint="eastAsia" w:ascii="仿宋" w:hAnsi="仿宋" w:eastAsia="仿宋" w:cs="仿宋"/>
                <w:b w:val="0"/>
                <w:bCs w:val="0"/>
                <w:spacing w:val="-6"/>
                <w:sz w:val="24"/>
                <w:szCs w:val="24"/>
              </w:rPr>
              <w:t>分，最高得</w:t>
            </w:r>
            <w:r>
              <w:rPr>
                <w:rFonts w:hint="eastAsia" w:ascii="仿宋" w:hAnsi="仿宋" w:eastAsia="仿宋" w:cs="仿宋"/>
                <w:b w:val="0"/>
                <w:bCs w:val="0"/>
                <w:spacing w:val="-6"/>
                <w:sz w:val="24"/>
                <w:szCs w:val="24"/>
                <w:lang w:val="en-US" w:eastAsia="zh-CN"/>
              </w:rPr>
              <w:t>6</w:t>
            </w:r>
            <w:r>
              <w:rPr>
                <w:rFonts w:hint="eastAsia" w:ascii="仿宋" w:hAnsi="仿宋" w:eastAsia="仿宋" w:cs="仿宋"/>
                <w:b w:val="0"/>
                <w:bCs w:val="0"/>
                <w:spacing w:val="-6"/>
                <w:sz w:val="24"/>
                <w:szCs w:val="24"/>
              </w:rPr>
              <w:t>分（提供成交通知书或合同复印件加盖公章）。</w:t>
            </w:r>
          </w:p>
        </w:tc>
      </w:tr>
    </w:tbl>
    <w:p w14:paraId="172696C1">
      <w:pPr>
        <w:ind w:firstLine="480" w:firstLineChars="200"/>
        <w:rPr>
          <w:rFonts w:hint="eastAsia"/>
          <w:sz w:val="24"/>
          <w:szCs w:val="24"/>
        </w:rPr>
      </w:pPr>
    </w:p>
    <w:p w14:paraId="6DB53DC3">
      <w:pPr>
        <w:ind w:firstLine="480" w:firstLineChars="200"/>
        <w:rPr>
          <w:sz w:val="24"/>
          <w:szCs w:val="24"/>
        </w:rPr>
      </w:pPr>
      <w:r>
        <w:rPr>
          <w:rFonts w:hint="eastAsia"/>
          <w:sz w:val="24"/>
          <w:szCs w:val="24"/>
        </w:rPr>
        <w:t>8、需要落实的政府采购政策</w:t>
      </w:r>
    </w:p>
    <w:p w14:paraId="38215513">
      <w:pPr>
        <w:ind w:firstLine="480" w:firstLineChars="200"/>
        <w:rPr>
          <w:sz w:val="24"/>
          <w:szCs w:val="24"/>
        </w:rPr>
      </w:pPr>
      <w:r>
        <w:rPr>
          <w:rFonts w:hint="eastAsia"/>
          <w:sz w:val="24"/>
          <w:szCs w:val="24"/>
        </w:rPr>
        <w:t>8-1、供应商企业政府采购政策</w:t>
      </w:r>
    </w:p>
    <w:p w14:paraId="6054EA98">
      <w:pPr>
        <w:ind w:firstLine="480" w:firstLineChars="200"/>
        <w:rPr>
          <w:sz w:val="24"/>
          <w:szCs w:val="24"/>
        </w:rPr>
      </w:pPr>
      <w:r>
        <w:rPr>
          <w:rFonts w:hint="eastAsia"/>
          <w:sz w:val="24"/>
          <w:szCs w:val="24"/>
        </w:rPr>
        <w:t>8-1-1、中小企业落实政府采购政策</w:t>
      </w:r>
    </w:p>
    <w:p w14:paraId="5AD54EF2">
      <w:pPr>
        <w:ind w:firstLine="480" w:firstLineChars="200"/>
        <w:rPr>
          <w:sz w:val="24"/>
          <w:szCs w:val="24"/>
        </w:rPr>
      </w:pPr>
      <w:r>
        <w:rPr>
          <w:rFonts w:hint="eastAsia"/>
          <w:sz w:val="24"/>
          <w:szCs w:val="24"/>
        </w:rPr>
        <w:t>（1）中小企业应符合工信部联企业[2011]300号文件规定，采购活动执行《政府采购促进中小企业发展暂行办法》的规定。</w:t>
      </w:r>
    </w:p>
    <w:p w14:paraId="6A006E1F">
      <w:pPr>
        <w:ind w:firstLine="480" w:firstLineChars="200"/>
        <w:rPr>
          <w:sz w:val="24"/>
          <w:szCs w:val="24"/>
        </w:rPr>
      </w:pPr>
      <w:r>
        <w:rPr>
          <w:rFonts w:hint="eastAsia"/>
          <w:sz w:val="24"/>
          <w:szCs w:val="24"/>
        </w:rPr>
        <w:t>（2）供应商须提供中小企业管理部门开具的中小企业证明函，以此为依据享受政府采购政策。</w:t>
      </w:r>
    </w:p>
    <w:p w14:paraId="5857F720">
      <w:pPr>
        <w:ind w:firstLine="480" w:firstLineChars="200"/>
        <w:rPr>
          <w:sz w:val="24"/>
          <w:szCs w:val="24"/>
        </w:rPr>
      </w:pPr>
      <w:r>
        <w:rPr>
          <w:rFonts w:hint="eastAsia"/>
          <w:sz w:val="24"/>
          <w:szCs w:val="24"/>
        </w:rPr>
        <w:t>（3）供应商出具《中小企业声明函》，同时还需有财务审计资质的单位出具的上一年度财务审计报告、从业人员证明（养老保险缴纳证明或劳动合同），由评委会审定，符合条件的企业享受政府采购政策。</w:t>
      </w:r>
    </w:p>
    <w:p w14:paraId="2A2159A4">
      <w:pPr>
        <w:ind w:firstLine="480" w:firstLineChars="200"/>
        <w:rPr>
          <w:sz w:val="24"/>
          <w:szCs w:val="24"/>
        </w:rPr>
      </w:pPr>
      <w:r>
        <w:rPr>
          <w:rFonts w:hint="eastAsia"/>
          <w:sz w:val="24"/>
          <w:szCs w:val="24"/>
        </w:rPr>
        <w:t>8-1-2、监狱和戒毒企业应符合《财政部 司法部关于政府采购支持监狱企业发展有关问题的通知》--财库〔2014〕68号，并提供由省级以上监狱管理局、戒毒管理局(含新疆生产建设兵团)出具的属于监狱企业的证明。</w:t>
      </w:r>
    </w:p>
    <w:p w14:paraId="01B60013">
      <w:pPr>
        <w:ind w:firstLine="480" w:firstLineChars="200"/>
        <w:rPr>
          <w:sz w:val="24"/>
          <w:szCs w:val="24"/>
        </w:rPr>
      </w:pPr>
      <w:r>
        <w:rPr>
          <w:rFonts w:hint="eastAsia"/>
          <w:sz w:val="24"/>
          <w:szCs w:val="24"/>
        </w:rPr>
        <w:t>8-1-2、监残疾人福利性单位应符合《财政部、民政部、中国残疾人联合会关于促进残疾人就业政府采购政策的通知》（财库[2017]141号）文件规定，并提供《残疾人福利性单位声明函》。</w:t>
      </w:r>
    </w:p>
    <w:p w14:paraId="600F70E6">
      <w:pPr>
        <w:ind w:firstLine="480" w:firstLineChars="200"/>
        <w:rPr>
          <w:sz w:val="24"/>
          <w:szCs w:val="24"/>
        </w:rPr>
      </w:pPr>
      <w:r>
        <w:rPr>
          <w:rFonts w:hint="eastAsia"/>
          <w:sz w:val="24"/>
          <w:szCs w:val="24"/>
        </w:rPr>
        <w:t>8-1-4、残疾人福利性单位属于小型、微型企业的，不重复享受政策。</w:t>
      </w:r>
    </w:p>
    <w:p w14:paraId="3D786DA2">
      <w:pPr>
        <w:ind w:firstLine="480" w:firstLineChars="200"/>
        <w:rPr>
          <w:sz w:val="24"/>
          <w:szCs w:val="24"/>
        </w:rPr>
      </w:pPr>
      <w:r>
        <w:rPr>
          <w:rFonts w:hint="eastAsia"/>
          <w:sz w:val="24"/>
          <w:szCs w:val="24"/>
        </w:rPr>
        <w:t>8-1-5、供应商应如实提供以上证明文件，如存在虚假响应，将取消其磋商资格。</w:t>
      </w:r>
    </w:p>
    <w:p w14:paraId="520DB257">
      <w:pPr>
        <w:ind w:firstLine="480" w:firstLineChars="200"/>
        <w:rPr>
          <w:sz w:val="24"/>
          <w:szCs w:val="24"/>
        </w:rPr>
      </w:pPr>
      <w:r>
        <w:rPr>
          <w:rFonts w:hint="eastAsia"/>
          <w:sz w:val="24"/>
          <w:szCs w:val="24"/>
        </w:rPr>
        <w:t>9、推荐成交候选供应商名单：磋商小组根据以上内容进行综合比较，自主打分，按标段由高到低进行汇总排序，推荐出成交候选单位。磋商小组依据评审结果写出评审报告。</w:t>
      </w:r>
    </w:p>
    <w:p w14:paraId="4BCFF917">
      <w:pPr>
        <w:ind w:firstLine="480" w:firstLineChars="200"/>
        <w:rPr>
          <w:sz w:val="24"/>
          <w:szCs w:val="24"/>
        </w:rPr>
      </w:pPr>
      <w:r>
        <w:rPr>
          <w:rFonts w:hint="eastAsia"/>
          <w:sz w:val="24"/>
          <w:szCs w:val="24"/>
        </w:rPr>
        <w:t>七、确定成交单位</w:t>
      </w:r>
    </w:p>
    <w:p w14:paraId="562DBA0E">
      <w:pPr>
        <w:ind w:firstLine="480" w:firstLineChars="200"/>
        <w:rPr>
          <w:sz w:val="24"/>
          <w:szCs w:val="24"/>
        </w:rPr>
      </w:pPr>
      <w:r>
        <w:rPr>
          <w:rFonts w:hint="eastAsia"/>
          <w:sz w:val="24"/>
          <w:szCs w:val="24"/>
        </w:rPr>
        <w:t>1、采购代理机构应在评审结束后两个工作日内，将评审报告送采购人确定成交单位。</w:t>
      </w:r>
    </w:p>
    <w:p w14:paraId="1C30C649">
      <w:pPr>
        <w:ind w:firstLine="480" w:firstLineChars="200"/>
        <w:rPr>
          <w:sz w:val="24"/>
          <w:szCs w:val="24"/>
        </w:rPr>
      </w:pPr>
      <w:r>
        <w:rPr>
          <w:rFonts w:hint="eastAsia"/>
          <w:sz w:val="24"/>
          <w:szCs w:val="24"/>
        </w:rPr>
        <w:t>2、采购人在收到评审报告后五个工作日内，根据评审报告对评审过程及结果进行严格审核后确定成交供应商，复函采购代理机构。</w:t>
      </w:r>
    </w:p>
    <w:p w14:paraId="71BE3DFD">
      <w:pPr>
        <w:ind w:firstLine="480" w:firstLineChars="200"/>
        <w:rPr>
          <w:sz w:val="24"/>
          <w:szCs w:val="24"/>
        </w:rPr>
      </w:pPr>
      <w:r>
        <w:rPr>
          <w:rFonts w:hint="eastAsia"/>
          <w:sz w:val="24"/>
          <w:szCs w:val="24"/>
        </w:rPr>
        <w:t>3、采购代理机构在接到采购人的成交复函后，在财政部门指定的政府采购信息发布媒体上发布成交公告，公告期限为一个工作日，并向成交供应商发出“成交通知书”。</w:t>
      </w:r>
    </w:p>
    <w:p w14:paraId="2C58C4CB">
      <w:pPr>
        <w:ind w:firstLine="480" w:firstLineChars="200"/>
        <w:rPr>
          <w:sz w:val="24"/>
          <w:szCs w:val="24"/>
        </w:rPr>
      </w:pPr>
      <w:r>
        <w:rPr>
          <w:rFonts w:hint="eastAsia"/>
          <w:sz w:val="24"/>
          <w:szCs w:val="24"/>
        </w:rPr>
        <w:t>4、采购代理机构将评审过程及成交供应商情况书面报监督机构备案。</w:t>
      </w:r>
    </w:p>
    <w:p w14:paraId="1E1C39DB">
      <w:pPr>
        <w:ind w:firstLine="480" w:firstLineChars="200"/>
        <w:rPr>
          <w:sz w:val="24"/>
          <w:szCs w:val="24"/>
        </w:rPr>
      </w:pPr>
      <w:r>
        <w:rPr>
          <w:rFonts w:hint="eastAsia"/>
          <w:sz w:val="24"/>
          <w:szCs w:val="24"/>
        </w:rPr>
        <w:t>八、询问与质疑</w:t>
      </w:r>
    </w:p>
    <w:p w14:paraId="44426D12">
      <w:pPr>
        <w:ind w:firstLine="480" w:firstLineChars="200"/>
        <w:rPr>
          <w:sz w:val="24"/>
          <w:szCs w:val="24"/>
        </w:rPr>
      </w:pPr>
      <w:r>
        <w:rPr>
          <w:rFonts w:hint="eastAsia"/>
          <w:sz w:val="24"/>
          <w:szCs w:val="24"/>
        </w:rPr>
        <w:t>1、供应商认为采购文件、采购过程和成交结果使自己的权益受到损害的，按照《政府采购法》第五十二条的规定，可以在知道或者应知其权益受到损害之日起七个工作日内，以书面形式向采购代理机构提出询问或质疑。</w:t>
      </w:r>
    </w:p>
    <w:p w14:paraId="1A1C532F">
      <w:pPr>
        <w:ind w:firstLine="480" w:firstLineChars="200"/>
        <w:rPr>
          <w:sz w:val="24"/>
          <w:szCs w:val="24"/>
        </w:rPr>
      </w:pPr>
      <w:r>
        <w:rPr>
          <w:rFonts w:hint="eastAsia"/>
          <w:sz w:val="24"/>
          <w:szCs w:val="24"/>
        </w:rPr>
        <w:t>2、供应商应知其权益受到损害之日，是指：</w:t>
      </w:r>
    </w:p>
    <w:p w14:paraId="154D4E76">
      <w:pPr>
        <w:ind w:firstLine="480" w:firstLineChars="200"/>
        <w:rPr>
          <w:sz w:val="24"/>
          <w:szCs w:val="24"/>
        </w:rPr>
      </w:pPr>
      <w:r>
        <w:rPr>
          <w:rFonts w:hint="eastAsia"/>
          <w:sz w:val="24"/>
          <w:szCs w:val="24"/>
        </w:rPr>
        <w:t>2-1、对可以质疑的采购文件提出质疑的，为收到采购文件之日或者采购文件公告期限届满之日；</w:t>
      </w:r>
    </w:p>
    <w:p w14:paraId="614BE183">
      <w:pPr>
        <w:ind w:firstLine="480" w:firstLineChars="200"/>
        <w:rPr>
          <w:sz w:val="24"/>
          <w:szCs w:val="24"/>
        </w:rPr>
      </w:pPr>
      <w:r>
        <w:rPr>
          <w:rFonts w:hint="eastAsia"/>
          <w:sz w:val="24"/>
          <w:szCs w:val="24"/>
        </w:rPr>
        <w:t>2-2、对采购过程提出质疑的，为各采购程序环节结束之日；</w:t>
      </w:r>
    </w:p>
    <w:p w14:paraId="60BF2027">
      <w:pPr>
        <w:ind w:firstLine="480" w:firstLineChars="200"/>
        <w:rPr>
          <w:sz w:val="24"/>
          <w:szCs w:val="24"/>
        </w:rPr>
      </w:pPr>
      <w:r>
        <w:rPr>
          <w:rFonts w:hint="eastAsia"/>
          <w:sz w:val="24"/>
          <w:szCs w:val="24"/>
        </w:rPr>
        <w:t>2-3、对成交结果提出质疑的，为成交结果公告期限届满之日。</w:t>
      </w:r>
    </w:p>
    <w:p w14:paraId="6A65FDCA">
      <w:pPr>
        <w:ind w:firstLine="480" w:firstLineChars="200"/>
        <w:rPr>
          <w:sz w:val="24"/>
          <w:szCs w:val="24"/>
        </w:rPr>
      </w:pPr>
      <w:r>
        <w:rPr>
          <w:rFonts w:hint="eastAsia"/>
          <w:sz w:val="24"/>
          <w:szCs w:val="24"/>
        </w:rPr>
        <w:t>3、供应商提出质疑时须有明确的请求和相应的证明材料。</w:t>
      </w:r>
    </w:p>
    <w:p w14:paraId="1D38E1A4">
      <w:pPr>
        <w:ind w:firstLine="480" w:firstLineChars="200"/>
        <w:rPr>
          <w:sz w:val="24"/>
          <w:szCs w:val="24"/>
        </w:rPr>
      </w:pPr>
      <w:r>
        <w:rPr>
          <w:rFonts w:hint="eastAsia"/>
          <w:sz w:val="24"/>
          <w:szCs w:val="24"/>
        </w:rPr>
        <w:t>4、采购代理机构对受理的质疑，按照法定程序，将予以答复。供应商进行虚假和恶意质疑的，采购代理机构将提供相关资料报监督机构，按其情况进行相应处理。</w:t>
      </w:r>
    </w:p>
    <w:p w14:paraId="5AB91ADE">
      <w:pPr>
        <w:ind w:firstLine="480" w:firstLineChars="200"/>
        <w:rPr>
          <w:sz w:val="24"/>
          <w:szCs w:val="24"/>
        </w:rPr>
      </w:pPr>
      <w:r>
        <w:rPr>
          <w:rFonts w:hint="eastAsia"/>
          <w:sz w:val="24"/>
          <w:szCs w:val="24"/>
        </w:rPr>
        <w:t>九、合同</w:t>
      </w:r>
    </w:p>
    <w:p w14:paraId="00F147FF">
      <w:pPr>
        <w:ind w:firstLine="480" w:firstLineChars="200"/>
        <w:rPr>
          <w:sz w:val="24"/>
          <w:szCs w:val="24"/>
        </w:rPr>
      </w:pPr>
      <w:r>
        <w:rPr>
          <w:rFonts w:hint="eastAsia"/>
          <w:sz w:val="24"/>
          <w:szCs w:val="24"/>
        </w:rPr>
        <w:t>1、自成交通知书发出后三十日内，按照磋商文件和成交供应商响应文件的约定，采购人与成交供应商洽谈合同条款，并签订合同。磋商文件及成交供应商的响应文件均作为合同的组成部分。</w:t>
      </w:r>
    </w:p>
    <w:p w14:paraId="1247B74C">
      <w:pPr>
        <w:ind w:firstLine="480" w:firstLineChars="200"/>
        <w:rPr>
          <w:sz w:val="24"/>
          <w:szCs w:val="24"/>
        </w:rPr>
      </w:pPr>
      <w:r>
        <w:rPr>
          <w:rFonts w:hint="eastAsia"/>
          <w:sz w:val="24"/>
          <w:szCs w:val="24"/>
        </w:rPr>
        <w:t>2、确定成交单位后，成交供应商因自身原因未按程序签订合同，采购人将取消其成交资格，同时报请监督机构备案，没收其保证金。在此情况下，采购人可按评审结果顺序将合同授予下一成交候选人或重新采购。</w:t>
      </w:r>
    </w:p>
    <w:p w14:paraId="5B0C9751">
      <w:pPr>
        <w:ind w:firstLine="480" w:firstLineChars="200"/>
        <w:rPr>
          <w:sz w:val="24"/>
          <w:szCs w:val="24"/>
        </w:rPr>
      </w:pPr>
      <w:r>
        <w:rPr>
          <w:rFonts w:hint="eastAsia"/>
          <w:sz w:val="24"/>
          <w:szCs w:val="24"/>
        </w:rPr>
        <w:t>十、成交服务费</w:t>
      </w:r>
    </w:p>
    <w:p w14:paraId="2F2F8449">
      <w:pPr>
        <w:ind w:firstLine="480" w:firstLineChars="200"/>
        <w:rPr>
          <w:sz w:val="24"/>
          <w:szCs w:val="24"/>
        </w:rPr>
      </w:pPr>
      <w:r>
        <w:rPr>
          <w:rFonts w:hint="eastAsia"/>
          <w:sz w:val="24"/>
          <w:szCs w:val="24"/>
        </w:rPr>
        <w:t>1、成交单位在领取成交通知书前，须向采购代理机构支付服务费。</w:t>
      </w:r>
    </w:p>
    <w:p w14:paraId="3DD1B324">
      <w:pPr>
        <w:ind w:firstLine="480" w:firstLineChars="200"/>
        <w:rPr>
          <w:sz w:val="24"/>
          <w:szCs w:val="24"/>
        </w:rPr>
      </w:pPr>
      <w:r>
        <w:rPr>
          <w:rFonts w:hint="eastAsia"/>
          <w:sz w:val="24"/>
          <w:szCs w:val="24"/>
        </w:rPr>
        <w:t>2、服务费参照《国家计委关于印发&lt;招标代理服务收费管理暂行办法&gt;的通知》（计价格[2002]1980号）和国家发展改革委员会办公厅颁发的《关于招标代理服务收费有关问题的通知》（发改办价格『2003』857号）规定标准收取。</w:t>
      </w:r>
    </w:p>
    <w:p w14:paraId="63191F7C">
      <w:pPr>
        <w:ind w:firstLine="480" w:firstLineChars="200"/>
        <w:rPr>
          <w:sz w:val="24"/>
          <w:szCs w:val="24"/>
        </w:rPr>
      </w:pPr>
      <w:r>
        <w:rPr>
          <w:rFonts w:hint="eastAsia"/>
          <w:sz w:val="24"/>
          <w:szCs w:val="24"/>
        </w:rPr>
        <w:t>十一、其他情况说明</w:t>
      </w:r>
    </w:p>
    <w:p w14:paraId="5F382CC1">
      <w:pPr>
        <w:ind w:firstLine="480" w:firstLineChars="200"/>
        <w:rPr>
          <w:sz w:val="24"/>
          <w:szCs w:val="24"/>
        </w:rPr>
      </w:pPr>
      <w:r>
        <w:rPr>
          <w:rFonts w:hint="eastAsia"/>
          <w:sz w:val="24"/>
          <w:szCs w:val="24"/>
        </w:rPr>
        <w:t>磋商截止时间结束后，递交响应文件或者经评审的实质性响应磋商文件的供应商不足三家，采购代理机构请示监督机构后，终止竞争性磋商活动或继续磋商。</w:t>
      </w:r>
    </w:p>
    <w:p w14:paraId="753432F8">
      <w:pPr>
        <w:spacing w:before="120" w:after="120"/>
        <w:jc w:val="center"/>
        <w:rPr>
          <w:sz w:val="24"/>
          <w:szCs w:val="24"/>
        </w:rPr>
      </w:pPr>
      <w:bookmarkStart w:id="3" w:name="_Toc8469"/>
      <w:bookmarkStart w:id="4" w:name="_Toc11285"/>
      <w:r>
        <w:rPr>
          <w:sz w:val="24"/>
          <w:szCs w:val="24"/>
        </w:rPr>
        <w:br w:type="page"/>
      </w:r>
    </w:p>
    <w:p w14:paraId="0D6F8CB3">
      <w:pPr>
        <w:pStyle w:val="2"/>
        <w:spacing w:before="120" w:after="120"/>
        <w:jc w:val="center"/>
        <w:rPr>
          <w:color w:val="000000" w:themeColor="text1"/>
          <w:sz w:val="24"/>
          <w:szCs w:val="24"/>
          <w14:textFill>
            <w14:solidFill>
              <w14:schemeClr w14:val="tx1"/>
            </w14:solidFill>
          </w14:textFill>
        </w:rPr>
      </w:pPr>
      <w:bookmarkStart w:id="5" w:name="_Toc7581"/>
      <w:r>
        <w:rPr>
          <w:color w:val="000000" w:themeColor="text1"/>
          <w:sz w:val="24"/>
          <w:szCs w:val="24"/>
          <w14:textFill>
            <w14:solidFill>
              <w14:schemeClr w14:val="tx1"/>
            </w14:solidFill>
          </w14:textFill>
        </w:rPr>
        <w:t>第三</w:t>
      </w:r>
      <w:r>
        <w:rPr>
          <w:rFonts w:hint="eastAsia"/>
          <w:color w:val="000000" w:themeColor="text1"/>
          <w:sz w:val="24"/>
          <w:szCs w:val="24"/>
          <w14:textFill>
            <w14:solidFill>
              <w14:schemeClr w14:val="tx1"/>
            </w14:solidFill>
          </w14:textFill>
        </w:rPr>
        <w:t xml:space="preserve">部分  </w:t>
      </w:r>
      <w:r>
        <w:rPr>
          <w:color w:val="000000" w:themeColor="text1"/>
          <w:sz w:val="24"/>
          <w:szCs w:val="24"/>
          <w14:textFill>
            <w14:solidFill>
              <w14:schemeClr w14:val="tx1"/>
            </w14:solidFill>
          </w14:textFill>
        </w:rPr>
        <w:t>商务合同条款</w:t>
      </w:r>
      <w:bookmarkEnd w:id="3"/>
      <w:bookmarkEnd w:id="4"/>
      <w:bookmarkEnd w:id="5"/>
    </w:p>
    <w:p w14:paraId="3348304D">
      <w:pPr>
        <w:pageBreakBefore w:val="0"/>
        <w:wordWrap w:val="0"/>
        <w:spacing w:before="36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采购人(全称)：</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u w:val="single"/>
          <w:lang w:val="en-US" w:eastAsia="zh-CN"/>
        </w:rPr>
        <w:t xml:space="preserve">                        </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w:t>
      </w:r>
    </w:p>
    <w:p w14:paraId="795233B1">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供应商 (全称):</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w:t>
      </w:r>
    </w:p>
    <w:p w14:paraId="565DF001">
      <w:pPr>
        <w:pageBreakBefore w:val="0"/>
        <w:wordWrap w:val="0"/>
        <w:spacing w:before="0" w:after="0" w:line="540" w:lineRule="atLeast"/>
        <w:ind w:left="0" w:right="0" w:firstLine="50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根据《中华人民共和国家民法典》及其他有关法律、法规，遵循平等、自愿、公平和诚信的原则，双方就下述项目范围与相关服务事项协商一致，订立本合同。</w:t>
      </w:r>
    </w:p>
    <w:p w14:paraId="2ADFD0F7">
      <w:pPr>
        <w:pageBreakBefore w:val="0"/>
        <w:wordWrap w:val="0"/>
        <w:spacing w:before="0" w:after="0" w:line="36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一、项目概况</w:t>
      </w:r>
    </w:p>
    <w:p w14:paraId="4188627B">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1.项目名称：</w:t>
      </w:r>
      <w:r>
        <w:rPr>
          <w:rFonts w:hint="eastAsia" w:ascii="仿宋" w:hAnsi="仿宋" w:eastAsia="仿宋" w:cs="仿宋"/>
          <w:b w:val="0"/>
          <w:i w:val="0"/>
          <w:color w:val="000000"/>
          <w:spacing w:val="0"/>
          <w:sz w:val="24"/>
          <w:szCs w:val="24"/>
          <w:u w:val="single"/>
          <w:lang w:val="en-US" w:eastAsia="zh-CN"/>
        </w:rPr>
        <w:t xml:space="preserve">                            </w:t>
      </w:r>
      <w:r>
        <w:rPr>
          <w:rFonts w:hint="eastAsia" w:ascii="仿宋" w:hAnsi="仿宋" w:eastAsia="仿宋" w:cs="仿宋"/>
          <w:b w:val="0"/>
          <w:i w:val="0"/>
          <w:color w:val="000000"/>
          <w:spacing w:val="0"/>
          <w:sz w:val="24"/>
          <w:szCs w:val="24"/>
          <w:u w:val="single"/>
        </w:rPr>
        <w:t xml:space="preserve">   ：</w:t>
      </w:r>
    </w:p>
    <w:p w14:paraId="3DC6C8CB">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2.服务期：   </w:t>
      </w:r>
      <w:r>
        <w:rPr>
          <w:rFonts w:hint="eastAsia" w:ascii="仿宋" w:hAnsi="仿宋" w:eastAsia="仿宋" w:cs="仿宋"/>
          <w:b w:val="0"/>
          <w:i w:val="0"/>
          <w:color w:val="000000"/>
          <w:spacing w:val="0"/>
          <w:sz w:val="24"/>
          <w:szCs w:val="24"/>
          <w:u w:val="single"/>
        </w:rPr>
        <w:t xml:space="preserve">自合同签订之日起30日历天          </w:t>
      </w:r>
      <w:r>
        <w:rPr>
          <w:rFonts w:hint="eastAsia" w:ascii="仿宋" w:hAnsi="仿宋" w:eastAsia="仿宋" w:cs="仿宋"/>
          <w:b w:val="0"/>
          <w:i w:val="0"/>
          <w:color w:val="000000"/>
          <w:spacing w:val="0"/>
          <w:sz w:val="24"/>
          <w:szCs w:val="24"/>
        </w:rPr>
        <w:t>；</w:t>
      </w:r>
    </w:p>
    <w:p w14:paraId="019BCFC5">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2. 项目地点：</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u w:val="single"/>
          <w:lang w:val="en-US" w:eastAsia="zh-CN"/>
        </w:rPr>
        <w:t xml:space="preserve">        </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w:t>
      </w:r>
    </w:p>
    <w:p w14:paraId="750CD308">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3. 项目内容: </w:t>
      </w:r>
      <w:r>
        <w:rPr>
          <w:rFonts w:hint="eastAsia" w:ascii="仿宋" w:hAnsi="仿宋" w:eastAsia="仿宋" w:cs="仿宋"/>
          <w:b w:val="0"/>
          <w:i w:val="0"/>
          <w:color w:val="000000"/>
          <w:spacing w:val="0"/>
          <w:sz w:val="24"/>
          <w:szCs w:val="24"/>
          <w:u w:val="single"/>
        </w:rPr>
        <w:t xml:space="preserve">                              。</w:t>
      </w:r>
    </w:p>
    <w:p w14:paraId="565563D6">
      <w:pPr>
        <w:pageBreakBefore w:val="0"/>
        <w:wordWrap w:val="0"/>
        <w:spacing w:before="0" w:after="0" w:line="36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二、组成本合同的文件</w:t>
      </w:r>
    </w:p>
    <w:p w14:paraId="7D2206D3">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1.协议书：</w:t>
      </w:r>
    </w:p>
    <w:p w14:paraId="7287840B">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2.成交通知书、磋商文件、磋商响应文件、澄清、磋商补充文件；</w:t>
      </w:r>
    </w:p>
    <w:p w14:paraId="22A1E71B">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3.相关服务建议书：</w:t>
      </w:r>
    </w:p>
    <w:p w14:paraId="2F401687">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4. 附录，即：附表内相关服务的范围和内容：</w:t>
      </w:r>
    </w:p>
    <w:p w14:paraId="37265C86">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本合同签订后，双方依法签订的补充协议也是本合同文件的组成部分。</w:t>
      </w:r>
    </w:p>
    <w:p w14:paraId="2131A3AE">
      <w:pPr>
        <w:pageBreakBefore w:val="0"/>
        <w:wordWrap w:val="0"/>
        <w:spacing w:before="0" w:after="0" w:line="36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三、合同金额</w:t>
      </w:r>
    </w:p>
    <w:p w14:paraId="073F3FCA">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合同价款形式：</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w:t>
      </w:r>
    </w:p>
    <w:p w14:paraId="6BDA8FEB">
      <w:pPr>
        <w:pageBreakBefore w:val="0"/>
        <w:wordWrap w:val="0"/>
        <w:spacing w:before="0" w:after="0" w:line="540" w:lineRule="atLeast"/>
        <w:ind w:left="5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合同金额(大写) :</w:t>
      </w:r>
      <w:r>
        <w:rPr>
          <w:rFonts w:hint="eastAsia" w:ascii="仿宋" w:hAnsi="仿宋" w:eastAsia="仿宋" w:cs="仿宋"/>
          <w:b w:val="0"/>
          <w:i w:val="0"/>
          <w:color w:val="000000"/>
          <w:spacing w:val="0"/>
          <w:sz w:val="24"/>
          <w:szCs w:val="24"/>
          <w:u w:val="single"/>
        </w:rPr>
        <w:t xml:space="preserve">          (¥           </w:t>
      </w:r>
      <w:r>
        <w:rPr>
          <w:rFonts w:hint="eastAsia" w:ascii="仿宋" w:hAnsi="仿宋" w:eastAsia="仿宋" w:cs="仿宋"/>
          <w:b w:val="0"/>
          <w:i w:val="0"/>
          <w:color w:val="000000"/>
          <w:spacing w:val="0"/>
          <w:sz w:val="24"/>
          <w:szCs w:val="24"/>
        </w:rPr>
        <w:t xml:space="preserve"> )。</w:t>
      </w:r>
    </w:p>
    <w:p w14:paraId="3D0C89B7">
      <w:pPr>
        <w:pageBreakBefore w:val="0"/>
        <w:wordWrap w:val="0"/>
        <w:spacing w:before="0" w:after="0" w:line="36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四、结算方式</w:t>
      </w:r>
    </w:p>
    <w:p w14:paraId="59979CC7">
      <w:pPr>
        <w:pageBreakBefore w:val="0"/>
        <w:wordWrap w:val="0"/>
        <w:spacing w:before="0" w:after="0" w:line="540" w:lineRule="atLeast"/>
        <w:ind w:left="0" w:right="0" w:firstLine="36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1.本项目结算方式：合同总价</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。在付款前，乙方必须开具等额增值税发票金额给甲方。</w:t>
      </w:r>
    </w:p>
    <w:p w14:paraId="2F6AAC69">
      <w:pPr>
        <w:pageBreakBefore w:val="0"/>
        <w:wordWrap w:val="0"/>
        <w:spacing w:before="0" w:after="0" w:line="540" w:lineRule="atLeast"/>
        <w:ind w:left="36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2.付款方式：</w:t>
      </w:r>
    </w:p>
    <w:p w14:paraId="6C0DD0FF">
      <w:pPr>
        <w:pageBreakBefore w:val="0"/>
        <w:wordWrap w:val="0"/>
        <w:spacing w:before="0" w:after="0" w:line="540" w:lineRule="atLeast"/>
        <w:ind w:left="0" w:right="0" w:firstLine="50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合同签订后首付中标价的50%，剩余50%费用待中省市检查整改通过后，再进行拨付 (或一年后拨付)。</w:t>
      </w:r>
    </w:p>
    <w:p w14:paraId="77072926">
      <w:pPr>
        <w:pageBreakBefore w:val="0"/>
        <w:wordWrap w:val="0"/>
        <w:spacing w:before="0" w:after="0" w:line="36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五、双方权利和义务</w:t>
      </w:r>
    </w:p>
    <w:p w14:paraId="45E25727">
      <w:pPr>
        <w:pageBreakBefore w:val="0"/>
        <w:wordWrap w:val="0"/>
        <w:spacing w:before="0" w:after="0" w:line="540" w:lineRule="atLeast"/>
        <w:ind w:left="500" w:right="0"/>
        <w:jc w:val="both"/>
        <w:textAlignment w:val="baseline"/>
        <w:rPr>
          <w:rFonts w:hint="eastAsia" w:ascii="仿宋" w:hAnsi="仿宋" w:eastAsia="仿宋" w:cs="仿宋"/>
          <w:sz w:val="24"/>
          <w:szCs w:val="24"/>
        </w:rPr>
        <w:sectPr>
          <w:footerReference r:id="rId5" w:type="default"/>
          <w:pgSz w:w="11900" w:h="16820"/>
          <w:pgMar w:top="900" w:right="1620" w:bottom="900" w:left="1620" w:header="720" w:footer="720" w:gutter="0"/>
          <w:pgNumType w:fmt="decimal" w:start="1"/>
          <w:cols w:space="720" w:num="1"/>
        </w:sectPr>
      </w:pPr>
      <w:r>
        <w:rPr>
          <w:rFonts w:hint="eastAsia" w:ascii="仿宋" w:hAnsi="仿宋" w:eastAsia="仿宋" w:cs="仿宋"/>
          <w:b w:val="0"/>
          <w:i w:val="0"/>
          <w:color w:val="000000"/>
          <w:spacing w:val="0"/>
          <w:sz w:val="24"/>
          <w:szCs w:val="24"/>
        </w:rPr>
        <w:t>1.甲方的主要责任和权力</w:t>
      </w:r>
    </w:p>
    <w:p w14:paraId="545D47EA">
      <w:pPr>
        <w:pageBreakBefore w:val="0"/>
        <w:wordWrap w:val="0"/>
        <w:spacing w:before="0" w:after="0" w:line="560" w:lineRule="atLeast"/>
        <w:ind w:left="68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(1)甲方负责提供所需的相关基础资料及配合其他相关工作：</w:t>
      </w:r>
    </w:p>
    <w:p w14:paraId="6639C16A">
      <w:pPr>
        <w:pageBreakBefore w:val="0"/>
        <w:wordWrap w:val="0"/>
        <w:spacing w:before="0" w:after="0" w:line="560" w:lineRule="atLeast"/>
        <w:ind w:left="68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(2)甲方应根据本合同规定，按期足额将项目经费拨付给乙方：</w:t>
      </w:r>
    </w:p>
    <w:p w14:paraId="419AC04D">
      <w:pPr>
        <w:pageBreakBefore w:val="0"/>
        <w:wordWrap w:val="0"/>
        <w:spacing w:before="0" w:after="0" w:line="560" w:lineRule="atLeast"/>
        <w:ind w:left="0" w:right="0" w:firstLine="68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(3)甲方有权审查乙方的工作内容及进度，有权向乙方表达对项目内容的意见和建议，乙方应予以充分考虑：</w:t>
      </w:r>
    </w:p>
    <w:p w14:paraId="5575E9AB">
      <w:pPr>
        <w:pageBreakBefore w:val="0"/>
        <w:wordWrap w:val="0"/>
        <w:spacing w:before="0" w:after="0" w:line="560" w:lineRule="atLeast"/>
        <w:ind w:left="0" w:right="20" w:firstLine="68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(4)甲方有权对项目提出成果要求，督促乙方按计划完成项目并提交符合验收标准的成果。</w:t>
      </w:r>
    </w:p>
    <w:p w14:paraId="36358645">
      <w:pPr>
        <w:pageBreakBefore w:val="0"/>
        <w:wordWrap w:val="0"/>
        <w:spacing w:before="0" w:after="0" w:line="560" w:lineRule="atLeast"/>
        <w:ind w:left="54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2.乙方的主要责任和权力</w:t>
      </w:r>
    </w:p>
    <w:p w14:paraId="36A23BAF">
      <w:pPr>
        <w:pageBreakBefore w:val="0"/>
        <w:wordWrap w:val="0"/>
        <w:spacing w:before="0" w:after="0" w:line="560" w:lineRule="atLeast"/>
        <w:ind w:left="68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(1)乙方应保质保量按期完成任务。</w:t>
      </w:r>
    </w:p>
    <w:p w14:paraId="248F7A74">
      <w:pPr>
        <w:pageBreakBefore w:val="0"/>
        <w:wordWrap w:val="0"/>
        <w:spacing w:before="0" w:after="0" w:line="560" w:lineRule="atLeast"/>
        <w:ind w:left="68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(2)乙方提交的项目成果经验收必须达到相关规范标准。</w:t>
      </w:r>
    </w:p>
    <w:p w14:paraId="080A9793">
      <w:pPr>
        <w:pageBreakBefore w:val="0"/>
        <w:wordWrap w:val="0"/>
        <w:spacing w:before="0" w:after="0" w:line="560" w:lineRule="atLeast"/>
        <w:ind w:left="68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(3)乙方应正确使用项目经费，对甲方拨付的项目经费实行专款专用。</w:t>
      </w:r>
    </w:p>
    <w:p w14:paraId="5830C0B0">
      <w:pPr>
        <w:pageBreakBefore w:val="0"/>
        <w:wordWrap w:val="0"/>
        <w:spacing w:before="0" w:after="0" w:line="560" w:lineRule="atLeast"/>
        <w:ind w:left="68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(4)乙方应依照合同约定移交所有项目成果。</w:t>
      </w:r>
    </w:p>
    <w:p w14:paraId="6ED73B8F">
      <w:pPr>
        <w:pageBreakBefore w:val="0"/>
        <w:wordWrap w:val="0"/>
        <w:spacing w:before="120" w:after="0" w:line="380" w:lineRule="atLeast"/>
        <w:ind w:left="0" w:right="0" w:firstLine="240" w:firstLineChars="10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六、合同争议的解决</w:t>
      </w:r>
    </w:p>
    <w:p w14:paraId="62977A31">
      <w:pPr>
        <w:pageBreakBefore w:val="0"/>
        <w:wordWrap w:val="0"/>
        <w:spacing w:before="0" w:after="0" w:line="560" w:lineRule="atLeast"/>
        <w:ind w:left="0" w:right="20" w:firstLine="54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合同执行中发生争议的，当事人双方应协商解决。协商达不成一致时，可提交西安仲裁委员会进行仲裁或者向人民法院提请诉讼。</w:t>
      </w:r>
    </w:p>
    <w:p w14:paraId="4897CFA6">
      <w:pPr>
        <w:pageBreakBefore w:val="0"/>
        <w:wordWrap w:val="0"/>
        <w:spacing w:before="0" w:after="0" w:line="380" w:lineRule="atLeast"/>
        <w:ind w:left="0" w:right="0" w:firstLine="240" w:firstLineChars="10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七、协议的生效、变更与解除</w:t>
      </w:r>
    </w:p>
    <w:p w14:paraId="311CF8ED">
      <w:pPr>
        <w:pageBreakBefore w:val="0"/>
        <w:wordWrap w:val="0"/>
        <w:spacing w:before="0" w:after="0" w:line="560" w:lineRule="atLeast"/>
        <w:ind w:left="540" w:right="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1.本合同自双方签字盖章之日起生效。</w:t>
      </w:r>
    </w:p>
    <w:p w14:paraId="30B110AA">
      <w:pPr>
        <w:pageBreakBefore w:val="0"/>
        <w:wordWrap w:val="0"/>
        <w:spacing w:before="0" w:after="0" w:line="560" w:lineRule="atLeast"/>
        <w:ind w:left="0" w:right="20" w:firstLine="54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2.合同双方任何一方提出变更合同或解除合同的要求时，应与另一方协商，获取另一方同意后，签订变更条款或协议，作为本合同的正式附件，方可执行。</w:t>
      </w:r>
    </w:p>
    <w:p w14:paraId="47326B72">
      <w:pPr>
        <w:pageBreakBefore w:val="0"/>
        <w:wordWrap w:val="0"/>
        <w:spacing w:before="0" w:after="0" w:line="560" w:lineRule="atLeast"/>
        <w:ind w:left="0" w:right="0" w:firstLine="54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3.一方因对方违反合同或由于不可抗力因素，致使合同履行成为不可能或不必要，有权通知另一方解除合同。</w:t>
      </w:r>
    </w:p>
    <w:p w14:paraId="24090188">
      <w:pPr>
        <w:pageBreakBefore w:val="0"/>
        <w:wordWrap w:val="0"/>
        <w:spacing w:before="0" w:after="0" w:line="560" w:lineRule="atLeast"/>
        <w:ind w:left="0" w:right="0" w:firstLine="54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4.合同双方任何一方逾期两个月不履行合同规定的义务，对方有权解除合同，并索取赔偿。</w:t>
      </w:r>
    </w:p>
    <w:p w14:paraId="0C98FED3">
      <w:pPr>
        <w:pageBreakBefore w:val="0"/>
        <w:wordWrap w:val="0"/>
        <w:spacing w:before="0" w:after="0" w:line="560" w:lineRule="atLeast"/>
        <w:ind w:left="540" w:right="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5.变更或解除合同造成的损失由双方协商或按责任原则分别承担。</w:t>
      </w:r>
    </w:p>
    <w:p w14:paraId="6BE8BA33">
      <w:pPr>
        <w:pageBreakBefore w:val="0"/>
        <w:wordWrap w:val="0"/>
        <w:spacing w:before="140" w:after="0" w:line="380" w:lineRule="atLeast"/>
        <w:ind w:left="0" w:right="0" w:firstLine="240" w:firstLineChars="10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八、不可抗力情况下的免责约定</w:t>
      </w:r>
    </w:p>
    <w:p w14:paraId="1A98B1B6">
      <w:pPr>
        <w:pageBreakBefore w:val="0"/>
        <w:wordWrap w:val="0"/>
        <w:spacing w:before="0" w:after="0" w:line="560" w:lineRule="atLeast"/>
        <w:ind w:left="0" w:right="0" w:firstLine="540"/>
        <w:jc w:val="both"/>
        <w:textAlignment w:val="baseline"/>
        <w:rPr>
          <w:rFonts w:hint="eastAsia" w:ascii="仿宋" w:hAnsi="仿宋" w:eastAsia="仿宋" w:cs="仿宋"/>
          <w:b w:val="0"/>
          <w:bCs/>
          <w:sz w:val="24"/>
          <w:szCs w:val="24"/>
        </w:rPr>
        <w:sectPr>
          <w:footerReference r:id="rId6" w:type="default"/>
          <w:pgSz w:w="11900" w:h="16820"/>
          <w:pgMar w:top="700" w:right="1220" w:bottom="700" w:left="1220" w:header="720" w:footer="720" w:gutter="0"/>
          <w:pgNumType w:fmt="decimal"/>
          <w:cols w:space="720" w:num="1"/>
        </w:sectPr>
      </w:pPr>
      <w:r>
        <w:rPr>
          <w:rFonts w:hint="eastAsia" w:ascii="仿宋" w:hAnsi="仿宋" w:eastAsia="仿宋" w:cs="仿宋"/>
          <w:b w:val="0"/>
          <w:bCs/>
          <w:i w:val="0"/>
          <w:color w:val="000000"/>
          <w:spacing w:val="0"/>
          <w:sz w:val="24"/>
          <w:szCs w:val="24"/>
        </w:rPr>
        <w:t>双方约定不可抗力情况指：双方不可预见、不可避免、不可克服的客观情况，但不包括双方的违约或疏忽。这些事件包括但不限于：战争、严重火灾、洪水、台风、地震等。</w:t>
      </w:r>
    </w:p>
    <w:p w14:paraId="2740113F">
      <w:pPr>
        <w:pageBreakBefore w:val="0"/>
        <w:wordWrap w:val="0"/>
        <w:spacing w:before="0" w:after="0" w:line="380" w:lineRule="atLeast"/>
        <w:ind w:left="0" w:right="0" w:firstLine="240" w:firstLineChars="100"/>
        <w:jc w:val="both"/>
        <w:textAlignment w:val="baseline"/>
        <w:rPr>
          <w:rFonts w:hint="eastAsia" w:ascii="仿宋" w:hAnsi="仿宋" w:eastAsia="仿宋" w:cs="仿宋"/>
          <w:b w:val="0"/>
          <w:bCs/>
          <w:sz w:val="24"/>
          <w:szCs w:val="24"/>
        </w:rPr>
      </w:pPr>
      <w:r>
        <w:rPr>
          <w:rFonts w:hint="eastAsia" w:ascii="仿宋" w:hAnsi="仿宋" w:eastAsia="仿宋" w:cs="仿宋"/>
          <w:b w:val="0"/>
          <w:bCs/>
          <w:i w:val="0"/>
          <w:color w:val="000000"/>
          <w:spacing w:val="0"/>
          <w:sz w:val="24"/>
          <w:szCs w:val="24"/>
        </w:rPr>
        <w:t>九、违约责任</w:t>
      </w:r>
    </w:p>
    <w:p w14:paraId="4F7CC6B1">
      <w:pPr>
        <w:pageBreakBefore w:val="0"/>
        <w:wordWrap w:val="0"/>
        <w:spacing w:before="0" w:after="0" w:line="540" w:lineRule="atLeast"/>
        <w:ind w:left="0" w:right="40" w:firstLine="56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依据《中华人民共和国民法典》、  《中华人民共和国政府采购法》、  《中华人民共和国政府采购法实施条例》的相关条款和本合同约定，成交供应商未全面履行合同义务或者发生违约，采购单位会同采购代理机构有权终止合同，依法向成交供应商进行经济索赔，并报请政府采购监督管理机关进行相应的行政处罚。采购单位违约的，应当赔偿给成交供应商造成的经济损失。</w:t>
      </w:r>
    </w:p>
    <w:p w14:paraId="69A08864">
      <w:pPr>
        <w:pageBreakBefore w:val="0"/>
        <w:wordWrap w:val="0"/>
        <w:spacing w:before="0" w:after="0" w:line="540" w:lineRule="atLeast"/>
        <w:ind w:left="0" w:right="0" w:firstLine="240" w:firstLineChars="10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十、其他 (在合同中具体明确)</w:t>
      </w:r>
    </w:p>
    <w:p w14:paraId="5C54B155">
      <w:pPr>
        <w:pageBreakBefore w:val="0"/>
        <w:wordWrap w:val="0"/>
        <w:spacing w:before="0" w:after="0" w:line="380" w:lineRule="atLeast"/>
        <w:ind w:left="0" w:right="0" w:firstLine="240" w:firstLineChars="10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十一、合同订立</w:t>
      </w:r>
    </w:p>
    <w:p w14:paraId="2C7B26E2">
      <w:pPr>
        <w:pageBreakBefore w:val="0"/>
        <w:wordWrap w:val="0"/>
        <w:spacing w:before="0" w:after="0" w:line="540" w:lineRule="atLeast"/>
        <w:ind w:left="540" w:right="0" w:firstLine="2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1. 订立时间：</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年</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月</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日。</w:t>
      </w:r>
    </w:p>
    <w:p w14:paraId="7AECD403">
      <w:pPr>
        <w:pageBreakBefore w:val="0"/>
        <w:wordWrap w:val="0"/>
        <w:spacing w:before="0" w:after="0" w:line="540" w:lineRule="atLeast"/>
        <w:ind w:left="56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2. 订立地点: </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w:t>
      </w:r>
    </w:p>
    <w:p w14:paraId="7FA24602">
      <w:pPr>
        <w:pageBreakBefore w:val="0"/>
        <w:wordWrap w:val="0"/>
        <w:spacing w:before="0" w:after="0" w:line="540" w:lineRule="atLeast"/>
        <w:ind w:left="0" w:right="40" w:firstLine="56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本合同协议书一式陆份，双方各持叁份，具有同等法律效力：合同协议书经双方代表签字先复印后加盖单位章后即产生法律效力，服务费用结清后失效。双方要恪守信誉，严格履行。</w:t>
      </w:r>
    </w:p>
    <w:p w14:paraId="3A39AF71">
      <w:pPr>
        <w:pageBreakBefore w:val="0"/>
        <w:wordWrap w:val="0"/>
        <w:spacing w:before="0" w:after="0" w:line="540" w:lineRule="atLeast"/>
        <w:ind w:left="540" w:right="0" w:firstLine="2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本合同协议书未尽事宜由双方协商解决。</w:t>
      </w:r>
    </w:p>
    <w:p w14:paraId="29CEB377">
      <w:pPr>
        <w:pageBreakBefore w:val="0"/>
        <w:wordWrap w:val="0"/>
        <w:spacing w:before="0" w:after="0" w:line="540" w:lineRule="exact"/>
        <w:ind w:left="0" w:right="0"/>
        <w:jc w:val="both"/>
        <w:textAlignment w:val="baseline"/>
        <w:rPr>
          <w:rFonts w:hint="eastAsia" w:ascii="仿宋" w:hAnsi="仿宋" w:eastAsia="仿宋" w:cs="仿宋"/>
          <w:sz w:val="24"/>
          <w:szCs w:val="24"/>
        </w:rPr>
      </w:pPr>
    </w:p>
    <w:p w14:paraId="78A91E8F">
      <w:pPr>
        <w:pageBreakBefore w:val="0"/>
        <w:wordWrap w:val="0"/>
        <w:spacing w:before="0" w:after="0" w:line="54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    采购人：</w:t>
      </w:r>
      <w:r>
        <w:rPr>
          <w:rFonts w:hint="eastAsia" w:ascii="仿宋" w:hAnsi="仿宋" w:eastAsia="仿宋" w:cs="仿宋"/>
          <w:b w:val="0"/>
          <w:i w:val="0"/>
          <w:color w:val="000000"/>
          <w:spacing w:val="0"/>
          <w:sz w:val="24"/>
          <w:szCs w:val="24"/>
          <w:u w:val="single"/>
        </w:rPr>
        <w:t xml:space="preserve">    (盖章)      </w:t>
      </w:r>
      <w:r>
        <w:rPr>
          <w:rFonts w:hint="eastAsia" w:ascii="仿宋" w:hAnsi="仿宋" w:eastAsia="仿宋" w:cs="仿宋"/>
          <w:b w:val="0"/>
          <w:i w:val="0"/>
          <w:color w:val="000000"/>
          <w:spacing w:val="0"/>
          <w:sz w:val="24"/>
          <w:szCs w:val="24"/>
        </w:rPr>
        <w:t xml:space="preserve">                    供应商：</w:t>
      </w:r>
      <w:r>
        <w:rPr>
          <w:rFonts w:hint="eastAsia" w:ascii="仿宋" w:hAnsi="仿宋" w:eastAsia="仿宋" w:cs="仿宋"/>
          <w:b w:val="0"/>
          <w:i w:val="0"/>
          <w:color w:val="000000"/>
          <w:spacing w:val="0"/>
          <w:sz w:val="24"/>
          <w:szCs w:val="24"/>
          <w:u w:val="single"/>
        </w:rPr>
        <w:t xml:space="preserve">        (盖章) </w:t>
      </w:r>
    </w:p>
    <w:p w14:paraId="5349B473">
      <w:pPr>
        <w:pageBreakBefore w:val="0"/>
        <w:wordWrap w:val="0"/>
        <w:spacing w:before="0" w:after="0" w:line="54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    法定代表人或其授权                          法定代表人或其授权</w:t>
      </w:r>
    </w:p>
    <w:p w14:paraId="6F5B6905">
      <w:pPr>
        <w:pageBreakBefore w:val="0"/>
        <w:wordWrap w:val="0"/>
        <w:spacing w:before="0" w:after="0" w:line="54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    的代理人：  </w:t>
      </w:r>
      <w:r>
        <w:rPr>
          <w:rFonts w:hint="eastAsia" w:ascii="仿宋" w:hAnsi="仿宋" w:eastAsia="仿宋" w:cs="仿宋"/>
          <w:b w:val="0"/>
          <w:i w:val="0"/>
          <w:color w:val="000000"/>
          <w:spacing w:val="0"/>
          <w:sz w:val="24"/>
          <w:szCs w:val="24"/>
          <w:u w:val="single"/>
        </w:rPr>
        <w:t xml:space="preserve">(签字)         </w:t>
      </w:r>
      <w:r>
        <w:rPr>
          <w:rFonts w:hint="eastAsia" w:ascii="仿宋" w:hAnsi="仿宋" w:eastAsia="仿宋" w:cs="仿宋"/>
          <w:b w:val="0"/>
          <w:i w:val="0"/>
          <w:color w:val="000000"/>
          <w:spacing w:val="0"/>
          <w:sz w:val="24"/>
          <w:szCs w:val="24"/>
        </w:rPr>
        <w:t xml:space="preserve">                的代理人</w:t>
      </w:r>
      <w:r>
        <w:rPr>
          <w:rFonts w:hint="eastAsia" w:ascii="仿宋" w:hAnsi="仿宋" w:eastAsia="仿宋" w:cs="仿宋"/>
          <w:b w:val="0"/>
          <w:i w:val="0"/>
          <w:color w:val="000000"/>
          <w:spacing w:val="0"/>
          <w:sz w:val="24"/>
          <w:szCs w:val="24"/>
          <w:u w:val="single"/>
        </w:rPr>
        <w:t xml:space="preserve">：(签字) </w:t>
      </w:r>
    </w:p>
    <w:p w14:paraId="1AB6A909">
      <w:pPr>
        <w:pageBreakBefore w:val="0"/>
        <w:wordWrap w:val="0"/>
        <w:spacing w:before="0" w:after="0" w:line="540" w:lineRule="atLeast"/>
        <w:ind w:left="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 xml:space="preserve">    电话：</w:t>
      </w:r>
      <w:r>
        <w:rPr>
          <w:rFonts w:hint="eastAsia" w:ascii="仿宋" w:hAnsi="仿宋" w:eastAsia="仿宋" w:cs="仿宋"/>
          <w:b w:val="0"/>
          <w:i w:val="0"/>
          <w:color w:val="000000"/>
          <w:spacing w:val="0"/>
          <w:sz w:val="24"/>
          <w:szCs w:val="24"/>
          <w:u w:val="single"/>
        </w:rPr>
        <w:t xml:space="preserve">               </w:t>
      </w:r>
      <w:r>
        <w:rPr>
          <w:rFonts w:hint="eastAsia" w:ascii="仿宋" w:hAnsi="仿宋" w:eastAsia="仿宋" w:cs="仿宋"/>
          <w:b w:val="0"/>
          <w:i w:val="0"/>
          <w:color w:val="000000"/>
          <w:spacing w:val="0"/>
          <w:sz w:val="24"/>
          <w:szCs w:val="24"/>
        </w:rPr>
        <w:t xml:space="preserve">                        电话：</w:t>
      </w:r>
      <w:r>
        <w:rPr>
          <w:rFonts w:hint="eastAsia" w:ascii="仿宋" w:hAnsi="仿宋" w:eastAsia="仿宋" w:cs="仿宋"/>
          <w:b w:val="0"/>
          <w:i w:val="0"/>
          <w:color w:val="000000"/>
          <w:spacing w:val="0"/>
          <w:sz w:val="24"/>
          <w:szCs w:val="24"/>
          <w:u w:val="single"/>
        </w:rPr>
        <w:t xml:space="preserve">             </w:t>
      </w:r>
    </w:p>
    <w:p w14:paraId="5AF91E8D">
      <w:pPr>
        <w:pageBreakBefore w:val="0"/>
        <w:wordWrap w:val="0"/>
        <w:spacing w:before="300" w:after="0" w:line="540" w:lineRule="atLeast"/>
        <w:ind w:left="0" w:right="20" w:firstLine="560"/>
        <w:jc w:val="both"/>
        <w:textAlignment w:val="baseline"/>
        <w:rPr>
          <w:rFonts w:hint="eastAsia" w:ascii="仿宋" w:hAnsi="仿宋" w:eastAsia="仿宋" w:cs="仿宋"/>
          <w:sz w:val="24"/>
          <w:szCs w:val="24"/>
        </w:rPr>
        <w:sectPr>
          <w:footerReference r:id="rId7" w:type="default"/>
          <w:pgSz w:w="11900" w:h="16820"/>
          <w:pgMar w:top="700" w:right="1280" w:bottom="700" w:left="1280" w:header="720" w:footer="720" w:gutter="0"/>
          <w:pgNumType w:fmt="decimal"/>
          <w:cols w:space="720" w:num="1"/>
        </w:sectPr>
      </w:pPr>
      <w:r>
        <w:rPr>
          <w:rFonts w:hint="eastAsia" w:ascii="仿宋" w:hAnsi="仿宋" w:eastAsia="仿宋" w:cs="仿宋"/>
          <w:b w:val="0"/>
          <w:i w:val="0"/>
          <w:color w:val="000000"/>
          <w:spacing w:val="0"/>
          <w:sz w:val="24"/>
          <w:szCs w:val="24"/>
        </w:rPr>
        <w:t>注：上述合同仅作为参考文本，合同签订时双方可根据项目的具体要求进行修订，实质性内容不得违背磋商文件的条款。</w:t>
      </w:r>
    </w:p>
    <w:p w14:paraId="542E316D">
      <w:pPr>
        <w:pStyle w:val="2"/>
        <w:spacing w:before="120" w:after="120"/>
        <w:jc w:val="center"/>
        <w:rPr>
          <w:color w:val="auto"/>
          <w:sz w:val="24"/>
          <w:szCs w:val="24"/>
        </w:rPr>
      </w:pPr>
      <w:bookmarkStart w:id="6" w:name="_Toc1540"/>
      <w:bookmarkStart w:id="7" w:name="_Toc18013"/>
      <w:bookmarkStart w:id="8" w:name="_Toc4545"/>
      <w:r>
        <w:rPr>
          <w:color w:val="auto"/>
          <w:sz w:val="24"/>
          <w:szCs w:val="24"/>
        </w:rPr>
        <w:t>第四</w:t>
      </w:r>
      <w:r>
        <w:rPr>
          <w:rFonts w:hint="eastAsia"/>
          <w:color w:val="auto"/>
          <w:sz w:val="24"/>
          <w:szCs w:val="24"/>
        </w:rPr>
        <w:t xml:space="preserve">部分  </w:t>
      </w:r>
      <w:r>
        <w:rPr>
          <w:color w:val="auto"/>
          <w:sz w:val="24"/>
          <w:szCs w:val="24"/>
        </w:rPr>
        <w:t>采购内容与要求</w:t>
      </w:r>
      <w:bookmarkEnd w:id="6"/>
      <w:bookmarkEnd w:id="7"/>
      <w:bookmarkEnd w:id="8"/>
    </w:p>
    <w:p w14:paraId="53865D92">
      <w:pPr>
        <w:rPr>
          <w:color w:val="auto"/>
          <w:sz w:val="24"/>
          <w:szCs w:val="24"/>
        </w:rPr>
      </w:pPr>
      <w:r>
        <w:rPr>
          <w:rFonts w:hint="eastAsia"/>
          <w:color w:val="auto"/>
          <w:sz w:val="24"/>
          <w:szCs w:val="24"/>
          <w:lang w:val="en-US" w:eastAsia="zh-CN"/>
        </w:rPr>
        <w:t>一、</w:t>
      </w:r>
      <w:r>
        <w:rPr>
          <w:color w:val="auto"/>
          <w:sz w:val="24"/>
          <w:szCs w:val="24"/>
        </w:rPr>
        <w:t>采购内容及预算：</w:t>
      </w:r>
    </w:p>
    <w:p w14:paraId="603FB0EA">
      <w:pPr>
        <w:numPr>
          <w:ilvl w:val="0"/>
          <w:numId w:val="0"/>
        </w:numPr>
        <w:spacing w:line="520" w:lineRule="exact"/>
        <w:ind w:firstLine="480" w:firstLineChars="200"/>
        <w:jc w:val="left"/>
        <w:rPr>
          <w:rFonts w:hint="eastAsia" w:ascii="仿宋" w:hAnsi="仿宋" w:cs="仿宋"/>
          <w:color w:val="auto"/>
          <w:sz w:val="24"/>
          <w:szCs w:val="24"/>
          <w:lang w:val="en-US" w:eastAsia="zh-CN"/>
        </w:rPr>
      </w:pPr>
      <w:r>
        <w:rPr>
          <w:rFonts w:hint="eastAsia"/>
          <w:color w:val="auto"/>
          <w:sz w:val="24"/>
          <w:szCs w:val="24"/>
          <w:lang w:val="en-US" w:eastAsia="zh-CN"/>
        </w:rPr>
        <w:t>1</w:t>
      </w:r>
      <w:r>
        <w:rPr>
          <w:color w:val="auto"/>
          <w:sz w:val="24"/>
          <w:szCs w:val="24"/>
        </w:rPr>
        <w:t>、采购内容：</w:t>
      </w:r>
      <w:r>
        <w:rPr>
          <w:rFonts w:hint="eastAsia" w:ascii="仿宋" w:hAnsi="仿宋" w:cs="仿宋"/>
          <w:color w:val="auto"/>
          <w:sz w:val="24"/>
          <w:szCs w:val="24"/>
          <w:lang w:val="en-US" w:eastAsia="zh-CN"/>
        </w:rPr>
        <w:t>养老机构房屋设施进行检测及安全性鉴定。</w:t>
      </w:r>
    </w:p>
    <w:p w14:paraId="2698A57E">
      <w:pPr>
        <w:numPr>
          <w:ilvl w:val="0"/>
          <w:numId w:val="0"/>
        </w:numPr>
        <w:spacing w:line="520" w:lineRule="exact"/>
        <w:ind w:firstLine="480" w:firstLineChars="200"/>
        <w:jc w:val="left"/>
        <w:rPr>
          <w:rFonts w:ascii="仿宋" w:hAnsi="仿宋" w:cs="仿宋"/>
          <w:color w:val="auto"/>
          <w:sz w:val="24"/>
          <w:szCs w:val="24"/>
        </w:rPr>
      </w:pPr>
      <w:r>
        <w:rPr>
          <w:rFonts w:hint="eastAsia"/>
          <w:color w:val="auto"/>
          <w:sz w:val="24"/>
          <w:szCs w:val="24"/>
          <w:lang w:val="en-US" w:eastAsia="zh-CN"/>
        </w:rPr>
        <w:t>2、</w:t>
      </w:r>
      <w:r>
        <w:rPr>
          <w:rFonts w:hint="eastAsia"/>
          <w:color w:val="auto"/>
          <w:sz w:val="24"/>
          <w:szCs w:val="24"/>
        </w:rPr>
        <w:t>项目</w:t>
      </w:r>
      <w:r>
        <w:rPr>
          <w:color w:val="auto"/>
          <w:sz w:val="24"/>
          <w:szCs w:val="24"/>
        </w:rPr>
        <w:t>概述：</w:t>
      </w:r>
      <w:r>
        <w:rPr>
          <w:rFonts w:hint="eastAsia" w:ascii="仿宋" w:hAnsi="仿宋" w:cs="仿宋"/>
          <w:color w:val="auto"/>
          <w:sz w:val="24"/>
          <w:szCs w:val="24"/>
        </w:rPr>
        <w:t>主要对宁陕县中心敬老院、中心第二敬老院、江口敬老院、江口第二敬老院、太山庙敬老院、太山庙第二敬老院等6所养老机构房屋设施进行检测及安全性鉴定。</w:t>
      </w:r>
    </w:p>
    <w:p w14:paraId="58E6E02A">
      <w:pPr>
        <w:ind w:firstLine="480" w:firstLineChars="200"/>
        <w:rPr>
          <w:color w:val="auto"/>
          <w:sz w:val="24"/>
          <w:szCs w:val="24"/>
        </w:rPr>
      </w:pPr>
      <w:r>
        <w:rPr>
          <w:color w:val="auto"/>
          <w:sz w:val="24"/>
          <w:szCs w:val="24"/>
        </w:rPr>
        <w:t>3、项目</w:t>
      </w:r>
      <w:r>
        <w:rPr>
          <w:rFonts w:hint="eastAsia"/>
          <w:color w:val="auto"/>
          <w:sz w:val="24"/>
          <w:szCs w:val="24"/>
          <w:lang w:val="en-US" w:eastAsia="zh-CN"/>
        </w:rPr>
        <w:t>预算</w:t>
      </w:r>
      <w:r>
        <w:rPr>
          <w:color w:val="auto"/>
          <w:sz w:val="24"/>
          <w:szCs w:val="24"/>
        </w:rPr>
        <w:t>：</w:t>
      </w:r>
      <w:r>
        <w:rPr>
          <w:rFonts w:hint="eastAsia" w:ascii="仿宋" w:hAnsi="仿宋" w:cs="仿宋"/>
          <w:b/>
          <w:bCs/>
          <w:color w:val="auto"/>
          <w:sz w:val="24"/>
          <w:szCs w:val="24"/>
          <w:lang w:val="en-US" w:eastAsia="zh-CN"/>
        </w:rPr>
        <w:t>220000.00</w:t>
      </w:r>
      <w:r>
        <w:rPr>
          <w:color w:val="auto"/>
          <w:sz w:val="24"/>
          <w:szCs w:val="24"/>
        </w:rPr>
        <w:t>元</w:t>
      </w:r>
    </w:p>
    <w:p w14:paraId="6B307941">
      <w:pPr>
        <w:ind w:firstLine="480" w:firstLineChars="200"/>
        <w:rPr>
          <w:rFonts w:hint="eastAsia"/>
          <w:color w:val="auto"/>
          <w:sz w:val="24"/>
          <w:szCs w:val="24"/>
        </w:rPr>
      </w:pPr>
      <w:r>
        <w:rPr>
          <w:color w:val="auto"/>
          <w:sz w:val="24"/>
          <w:szCs w:val="24"/>
        </w:rPr>
        <w:t>4、工期：</w:t>
      </w:r>
      <w:r>
        <w:rPr>
          <w:rFonts w:hint="eastAsia"/>
          <w:color w:val="auto"/>
          <w:sz w:val="24"/>
          <w:szCs w:val="24"/>
        </w:rPr>
        <w:t>从合同签订到提交正式报告，总工期不超过 30 个工作日 。如遇不可抗力因素或其他特殊情况，供应商应提前 3 个工作日向采购人提交书面延期申请，经采购人同意后方可适当延长工期。</w:t>
      </w:r>
    </w:p>
    <w:p w14:paraId="27789F73">
      <w:pPr>
        <w:pStyle w:val="15"/>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、服务范围​</w:t>
      </w:r>
    </w:p>
    <w:p w14:paraId="317C8D5B">
      <w:pPr>
        <w:pStyle w:val="15"/>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建筑主体：对敬老院区域内所有房屋建筑主体结构进行全面鉴定与检测，涵盖但不限于各类居住用房、活动中心、食堂、办公区域等。精确测量建筑的基础尺寸、主体结构构件尺寸，检查结构体系的完整性与合理性，如框架结构、砖混结构的布局与连接状况等。​地基基础：针对每栋房屋的地基基础，运用专业技术手段检测其稳定性与承载能力。查看是否存在地基沉降、基础开裂等异常现象，若发现问题需评估对上部结构安全的影响程度。对于采用桩基础的建筑，需检测桩身完整性、桩的承载能力等关键指标。​建筑构件：详细检测各类建筑构件的质量与性能，包括混凝土构件的强度、钢筋配置与锈蚀情况，砌体结构的墙体强度、砌筑质量，木结构的腐朽、虫蛀及节点连接情况等。对门窗、楼梯、栏杆等附属构件，检查其牢固程度、安全性及使用功能是否正常。</w:t>
      </w:r>
    </w:p>
    <w:p w14:paraId="10ABB92D">
      <w:pPr>
        <w:pStyle w:val="15"/>
        <w:keepNext w:val="0"/>
        <w:keepLines w:val="0"/>
        <w:pageBreakBefore w:val="0"/>
        <w:widowControl w:val="0"/>
        <w:numPr>
          <w:ilvl w:val="0"/>
          <w:numId w:val="0"/>
        </w:numPr>
        <w:kinsoku/>
        <w:wordWrap/>
        <w:overflowPunct/>
        <w:topLinePunct w:val="0"/>
        <w:autoSpaceDE/>
        <w:autoSpaceDN/>
        <w:bidi w:val="0"/>
        <w:adjustRightInd/>
        <w:snapToGrid w:val="0"/>
        <w:ind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技术标准与规范​</w:t>
      </w:r>
    </w:p>
    <w:p w14:paraId="50C6D74F">
      <w:pPr>
        <w:pStyle w:val="15"/>
        <w:keepNext w:val="0"/>
        <w:keepLines w:val="0"/>
        <w:pageBreakBefore w:val="0"/>
        <w:widowControl w:val="0"/>
        <w:numPr>
          <w:ilvl w:val="0"/>
          <w:numId w:val="0"/>
        </w:numPr>
        <w:kinsoku/>
        <w:wordWrap/>
        <w:overflowPunct/>
        <w:topLinePunct w:val="0"/>
        <w:autoSpaceDE/>
        <w:autoSpaceDN/>
        <w:bidi w:val="0"/>
        <w:adjustRightInd/>
        <w:snapToGrid w:val="0"/>
        <w:ind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执行标准：整个鉴定及检测服务过程必须严格遵循国家及地方现行的相关标准与规范，如《建筑结构检测技术标准》（GB/T 50344）、《混凝土结构工程施工质量验收规范》（GB 50204）、《砌体结构工程施工质量验收规范》（GB 50203）、《建筑地基基础工程施工质量验收标准》（GB 50202）等。供应商应确保所采用的检测方法、仪器设备精度等符合上述标准要求，以保证检测数据的准确性、可靠性与权威性。​</w:t>
      </w:r>
    </w:p>
    <w:p w14:paraId="0EC777B2">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安全评估依据：依据《民用建筑可靠性鉴定标准》（GB 50292）等规范，对敬老院房屋进行安全性等级评定。评定过程需全面考量结构现状、使用历史、环境因素等，客观公正地给出房屋安全性鉴定结论，并针对存在安全隐患的部位提出切实可行的处理建议。​</w:t>
      </w:r>
    </w:p>
    <w:p w14:paraId="72155C1B">
      <w:pPr>
        <w:pStyle w:val="1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、服务流程与时间节点​</w:t>
      </w:r>
    </w:p>
    <w:p w14:paraId="33667D95">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前期准备：合同签订后 5 个工作日内，供应商需组建专业的服务团队，团队成员应具备相应的专业资质与丰富经验，如注册结构工程师、检测工程师等。同时，完成检测设备的调配与校准工作，确保设备性能良好、精度达标，并与敬老院管理方充分沟通，确定现场检测的具体计划与流程，做好现场检测的各项准备工作。​</w:t>
      </w:r>
    </w:p>
    <w:p w14:paraId="3A022343">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现场检测：自前期准备工作完成之日起，15 个工作日内完成全部房屋的现场检测工作。检测过程应严格按照既定的检测方案与标准规范进行，详细记录检测数据与现场情况。对于发现的异常问题，应及时与采购方沟通，并进行深入分析与排查。​</w:t>
      </w:r>
    </w:p>
    <w:p w14:paraId="24EECD51">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报告编制：现场检测工作结束后 10 个工作日内，完成鉴定报告与检测报告的编制工作。报告内容应详实、准确，包括房屋基本信息、检测项目与结果、安全性鉴定结论、处理建议等。报告需经内部严格审核，并确保符合相关标准规范及采购方的要求。最终报告需提交纸质版一式 [</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份</w:t>
      </w:r>
      <w:r>
        <w:rPr>
          <w:rFonts w:hint="eastAsia" w:ascii="仿宋" w:hAnsi="仿宋" w:eastAsia="仿宋" w:cs="仿宋"/>
          <w:color w:val="auto"/>
          <w:sz w:val="24"/>
          <w:szCs w:val="24"/>
          <w:lang w:val="en-US" w:eastAsia="zh-CN"/>
        </w:rPr>
        <w:t>(每个敬老院房屋分别单独出具报告）</w:t>
      </w:r>
      <w:r>
        <w:rPr>
          <w:rFonts w:hint="eastAsia" w:ascii="仿宋" w:hAnsi="仿宋" w:eastAsia="仿宋" w:cs="仿宋"/>
          <w:color w:val="auto"/>
          <w:sz w:val="24"/>
          <w:szCs w:val="24"/>
        </w:rPr>
        <w:t>，并同时提供电子版</w:t>
      </w:r>
      <w:r>
        <w:rPr>
          <w:rFonts w:hint="eastAsia" w:ascii="仿宋" w:hAnsi="仿宋" w:eastAsia="仿宋" w:cs="仿宋"/>
          <w:color w:val="auto"/>
          <w:sz w:val="24"/>
          <w:szCs w:val="24"/>
          <w:lang w:val="en-US" w:eastAsia="zh-CN"/>
        </w:rPr>
        <w:t>报告。</w:t>
      </w:r>
    </w:p>
    <w:p w14:paraId="665B67A9">
      <w:pPr>
        <w:pStyle w:val="1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、人员与设备要求​</w:t>
      </w:r>
    </w:p>
    <w:p w14:paraId="3C720825">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专业人员：供应商应配备足够数量且专业能力过硬的检测人员，其中项目负责人应具备 [</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 年以上相关工作经验，且具有高级工程师及以上职称或注册结构工程师资格。检测团队成员应具备相应的检测资格证书，如建设工程质量检测人员岗位证书等，涵盖结构检测、地基基础检测、材料检测等专业领域，以确保检测工作的专业性与准确性。​检测设备：拥有先进、齐全且符合检测要求的各类专业检测设备，如混凝土强度检测仪、钢筋扫描仪、裂缝观测仪、全站仪、水准仪等。所有检测设备应定期进行校准与维护，确保在检测过程中设备的精度与性能满足标准要求，并能提供设备的校准证书及维护记录。​</w:t>
      </w:r>
    </w:p>
    <w:p w14:paraId="078C9DBB">
      <w:pPr>
        <w:pStyle w:val="15"/>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、报告要求​</w:t>
      </w:r>
    </w:p>
    <w:p w14:paraId="3F8C0241">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容完整性：鉴定报告与检测报告应内容完整，包含但不限于房屋建筑的工程概况、检测依据与目的、检测内容与方法、检测数据与结果、安全性鉴定评级、存在问题分析、处理建议等。报告中的图表、数据应清晰准确，文字表述应规范、简洁、明了，便于非专业人员理解。​</w:t>
      </w:r>
    </w:p>
    <w:p w14:paraId="41EC2FDC">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准确性与可靠性：报告中的检测数据与鉴定结论必须准确可靠，具有科学依据。检测数据应如实反映房屋的实际状况，鉴定结论应严格按照相关标准规范得出，确保报告能够真实有效地为敬老院房屋的安全管理与后续决策提供有力支持。​</w:t>
      </w:r>
    </w:p>
    <w:p w14:paraId="718B9539">
      <w:pPr>
        <w:pStyle w:val="15"/>
        <w:keepNext w:val="0"/>
        <w:keepLines w:val="0"/>
        <w:pageBreakBefore w:val="0"/>
        <w:widowControl w:val="0"/>
        <w:kinsoku/>
        <w:wordWrap/>
        <w:overflowPunct/>
        <w:topLinePunct w:val="0"/>
        <w:autoSpaceDE/>
        <w:autoSpaceDN/>
        <w:bidi w:val="0"/>
        <w:adjustRightInd/>
        <w:snapToGrid w:val="0"/>
        <w:ind w:left="0" w:leftChars="0"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格式规范性：报告格式应符合行业通行标准与采购方要求，封面应注明项目名称、委托单位、检测单位、报告日期等关键信息，正文部分应按照章节有序编排，图表应编号清晰、标注准确，且报告应加盖检测单位公章、检测专用章及相关责任人签字。</w:t>
      </w:r>
    </w:p>
    <w:p w14:paraId="0C67FF21">
      <w:pPr>
        <w:pStyle w:val="15"/>
        <w:ind w:left="560"/>
        <w:rPr>
          <w:sz w:val="24"/>
          <w:szCs w:val="24"/>
        </w:rPr>
      </w:pPr>
    </w:p>
    <w:p w14:paraId="34F6E50A">
      <w:pPr>
        <w:pStyle w:val="15"/>
        <w:ind w:left="560"/>
        <w:rPr>
          <w:sz w:val="24"/>
          <w:szCs w:val="24"/>
        </w:rPr>
      </w:pPr>
    </w:p>
    <w:p w14:paraId="480D8E42">
      <w:pPr>
        <w:pStyle w:val="15"/>
        <w:ind w:left="560"/>
        <w:rPr>
          <w:sz w:val="24"/>
          <w:szCs w:val="24"/>
        </w:rPr>
      </w:pPr>
    </w:p>
    <w:p w14:paraId="7CD4BCE0">
      <w:pPr>
        <w:pStyle w:val="15"/>
        <w:ind w:left="0" w:leftChars="0" w:firstLine="0" w:firstLineChars="0"/>
        <w:rPr>
          <w:sz w:val="24"/>
          <w:szCs w:val="24"/>
        </w:rPr>
      </w:pPr>
    </w:p>
    <w:p w14:paraId="76E842F1">
      <w:pPr>
        <w:pStyle w:val="15"/>
        <w:ind w:left="0" w:leftChars="0" w:firstLine="0" w:firstLineChars="0"/>
        <w:rPr>
          <w:sz w:val="24"/>
          <w:szCs w:val="24"/>
        </w:rPr>
      </w:pPr>
    </w:p>
    <w:p w14:paraId="2DABA951">
      <w:pPr>
        <w:pStyle w:val="15"/>
        <w:ind w:left="0" w:leftChars="0" w:firstLine="0" w:firstLineChars="0"/>
        <w:rPr>
          <w:sz w:val="24"/>
          <w:szCs w:val="24"/>
        </w:rPr>
      </w:pPr>
    </w:p>
    <w:p w14:paraId="5DB0EAC6">
      <w:pPr>
        <w:pStyle w:val="15"/>
        <w:ind w:left="0" w:leftChars="0" w:firstLine="0" w:firstLineChars="0"/>
        <w:rPr>
          <w:sz w:val="24"/>
          <w:szCs w:val="24"/>
        </w:rPr>
      </w:pPr>
    </w:p>
    <w:p w14:paraId="3F3F00F4">
      <w:pPr>
        <w:pStyle w:val="15"/>
        <w:ind w:left="0" w:leftChars="0" w:firstLine="0" w:firstLineChars="0"/>
        <w:rPr>
          <w:sz w:val="24"/>
          <w:szCs w:val="24"/>
        </w:rPr>
      </w:pPr>
    </w:p>
    <w:p w14:paraId="58D82E44">
      <w:pPr>
        <w:pStyle w:val="15"/>
        <w:ind w:left="0" w:leftChars="0" w:firstLine="0" w:firstLineChars="0"/>
        <w:rPr>
          <w:sz w:val="24"/>
          <w:szCs w:val="24"/>
        </w:rPr>
      </w:pPr>
    </w:p>
    <w:p w14:paraId="7CB898C7">
      <w:pPr>
        <w:pStyle w:val="15"/>
        <w:ind w:left="0" w:leftChars="0" w:firstLine="0" w:firstLineChars="0"/>
        <w:rPr>
          <w:sz w:val="24"/>
          <w:szCs w:val="24"/>
        </w:rPr>
      </w:pPr>
    </w:p>
    <w:p w14:paraId="4B2090DF">
      <w:pPr>
        <w:pStyle w:val="15"/>
        <w:ind w:left="0" w:leftChars="0" w:firstLine="0" w:firstLineChars="0"/>
        <w:rPr>
          <w:sz w:val="24"/>
          <w:szCs w:val="24"/>
        </w:rPr>
      </w:pPr>
    </w:p>
    <w:p w14:paraId="7E68CAA5">
      <w:pPr>
        <w:pStyle w:val="15"/>
        <w:ind w:left="0" w:leftChars="0" w:firstLine="0" w:firstLineChars="0"/>
        <w:rPr>
          <w:sz w:val="24"/>
          <w:szCs w:val="24"/>
        </w:rPr>
      </w:pPr>
    </w:p>
    <w:p w14:paraId="678E3DFA">
      <w:pPr>
        <w:pStyle w:val="15"/>
        <w:ind w:left="0" w:leftChars="0" w:firstLine="0" w:firstLineChars="0"/>
        <w:rPr>
          <w:sz w:val="24"/>
          <w:szCs w:val="24"/>
        </w:rPr>
      </w:pPr>
    </w:p>
    <w:p w14:paraId="2259A988">
      <w:pPr>
        <w:pStyle w:val="15"/>
        <w:ind w:left="0" w:leftChars="0" w:firstLine="0" w:firstLineChars="0"/>
        <w:rPr>
          <w:sz w:val="24"/>
          <w:szCs w:val="24"/>
        </w:rPr>
      </w:pPr>
    </w:p>
    <w:p w14:paraId="3DDE4952">
      <w:pPr>
        <w:pStyle w:val="15"/>
        <w:ind w:left="0" w:leftChars="0" w:firstLine="0" w:firstLineChars="0"/>
        <w:rPr>
          <w:sz w:val="24"/>
          <w:szCs w:val="24"/>
        </w:rPr>
      </w:pPr>
    </w:p>
    <w:p w14:paraId="43DD737A">
      <w:pPr>
        <w:pStyle w:val="15"/>
        <w:ind w:left="0" w:leftChars="0" w:firstLine="0" w:firstLineChars="0"/>
        <w:rPr>
          <w:sz w:val="24"/>
          <w:szCs w:val="24"/>
        </w:rPr>
      </w:pPr>
    </w:p>
    <w:p w14:paraId="04E55D1D">
      <w:pPr>
        <w:pStyle w:val="15"/>
        <w:ind w:left="0" w:leftChars="0" w:firstLine="0" w:firstLineChars="0"/>
        <w:rPr>
          <w:sz w:val="24"/>
          <w:szCs w:val="24"/>
        </w:rPr>
      </w:pPr>
    </w:p>
    <w:p w14:paraId="1B5DF4DF">
      <w:pPr>
        <w:pStyle w:val="15"/>
        <w:ind w:left="0" w:leftChars="0" w:firstLine="0" w:firstLineChars="0"/>
        <w:rPr>
          <w:sz w:val="24"/>
          <w:szCs w:val="24"/>
        </w:rPr>
      </w:pPr>
    </w:p>
    <w:p w14:paraId="1020C8F2">
      <w:pPr>
        <w:pStyle w:val="15"/>
        <w:ind w:left="0" w:leftChars="0" w:firstLine="0" w:firstLineChars="0"/>
        <w:rPr>
          <w:sz w:val="24"/>
          <w:szCs w:val="24"/>
        </w:rPr>
      </w:pPr>
    </w:p>
    <w:p w14:paraId="48DCEEB1">
      <w:pPr>
        <w:pStyle w:val="2"/>
        <w:spacing w:before="120" w:after="120"/>
        <w:jc w:val="center"/>
        <w:rPr>
          <w:sz w:val="24"/>
          <w:szCs w:val="24"/>
        </w:rPr>
      </w:pPr>
      <w:bookmarkStart w:id="9" w:name="_Toc2691"/>
      <w:bookmarkStart w:id="10" w:name="_Toc20799"/>
      <w:bookmarkStart w:id="11" w:name="_Toc1144"/>
      <w:r>
        <w:rPr>
          <w:sz w:val="24"/>
          <w:szCs w:val="24"/>
        </w:rPr>
        <w:t>第五</w:t>
      </w:r>
      <w:r>
        <w:rPr>
          <w:rFonts w:hint="eastAsia"/>
          <w:sz w:val="24"/>
          <w:szCs w:val="24"/>
        </w:rPr>
        <w:t xml:space="preserve">部分  </w:t>
      </w:r>
      <w:r>
        <w:rPr>
          <w:sz w:val="24"/>
          <w:szCs w:val="24"/>
        </w:rPr>
        <w:t>磋商响应文件基本格式</w:t>
      </w:r>
      <w:bookmarkEnd w:id="9"/>
      <w:bookmarkEnd w:id="10"/>
      <w:bookmarkEnd w:id="11"/>
    </w:p>
    <w:p w14:paraId="52B4BD01">
      <w:pPr>
        <w:ind w:firstLine="480" w:firstLineChars="200"/>
        <w:rPr>
          <w:rFonts w:ascii="仿宋" w:hAnsi="仿宋" w:cs="仿宋"/>
          <w:sz w:val="24"/>
          <w:szCs w:val="24"/>
        </w:rPr>
      </w:pPr>
      <w:r>
        <w:rPr>
          <w:rFonts w:hint="eastAsia" w:ascii="仿宋" w:hAnsi="仿宋" w:cs="仿宋"/>
          <w:sz w:val="24"/>
          <w:szCs w:val="24"/>
        </w:rPr>
        <w:t>响应文件格式是供应商的部分响应文件格式，供应商应按照这些格式编制响应文件。编制响应文件前，请详细阅读磋商文件，理解文件中的每一项要求，做出逐一实质性响应，认为有必要，可做补充说明。</w:t>
      </w:r>
    </w:p>
    <w:p w14:paraId="4823E29E">
      <w:pPr>
        <w:rPr>
          <w:rFonts w:ascii="仿宋" w:hAnsi="仿宋" w:cs="仿宋"/>
          <w:sz w:val="24"/>
          <w:szCs w:val="24"/>
        </w:rPr>
      </w:pPr>
    </w:p>
    <w:p w14:paraId="6EE9504D">
      <w:pPr>
        <w:ind w:firstLine="960" w:firstLineChars="400"/>
        <w:rPr>
          <w:rFonts w:ascii="仿宋" w:hAnsi="仿宋" w:cs="仿宋"/>
          <w:sz w:val="24"/>
          <w:szCs w:val="24"/>
        </w:rPr>
      </w:pPr>
      <w:r>
        <w:rPr>
          <w:rFonts w:hint="eastAsia" w:ascii="仿宋" w:hAnsi="仿宋" w:cs="仿宋"/>
          <w:sz w:val="24"/>
          <w:szCs w:val="24"/>
        </w:rPr>
        <w:t>目   录</w:t>
      </w:r>
    </w:p>
    <w:p w14:paraId="77C83650">
      <w:pPr>
        <w:ind w:firstLine="480" w:firstLineChars="200"/>
        <w:rPr>
          <w:rFonts w:ascii="仿宋" w:hAnsi="仿宋" w:cs="仿宋"/>
          <w:sz w:val="24"/>
          <w:szCs w:val="24"/>
        </w:rPr>
      </w:pPr>
      <w:r>
        <w:rPr>
          <w:rFonts w:hint="eastAsia" w:ascii="仿宋" w:hAnsi="仿宋" w:cs="仿宋"/>
          <w:sz w:val="24"/>
          <w:szCs w:val="24"/>
        </w:rPr>
        <w:t>1、磋商响应函</w:t>
      </w:r>
    </w:p>
    <w:p w14:paraId="13CECB35">
      <w:pPr>
        <w:ind w:firstLine="480" w:firstLineChars="200"/>
        <w:rPr>
          <w:rFonts w:ascii="仿宋" w:hAnsi="仿宋" w:cs="仿宋"/>
          <w:sz w:val="24"/>
          <w:szCs w:val="24"/>
        </w:rPr>
      </w:pPr>
      <w:r>
        <w:rPr>
          <w:rFonts w:hint="eastAsia" w:ascii="仿宋" w:hAnsi="仿宋" w:cs="仿宋"/>
          <w:sz w:val="24"/>
          <w:szCs w:val="24"/>
        </w:rPr>
        <w:t>2、磋商报价表</w:t>
      </w:r>
    </w:p>
    <w:p w14:paraId="1D3B3B81">
      <w:pPr>
        <w:ind w:firstLine="480" w:firstLineChars="200"/>
        <w:rPr>
          <w:rFonts w:ascii="仿宋" w:hAnsi="仿宋" w:cs="仿宋"/>
          <w:sz w:val="24"/>
          <w:szCs w:val="24"/>
        </w:rPr>
      </w:pPr>
      <w:r>
        <w:rPr>
          <w:rFonts w:hint="eastAsia" w:ascii="仿宋" w:hAnsi="仿宋" w:cs="仿宋"/>
          <w:sz w:val="24"/>
          <w:szCs w:val="24"/>
        </w:rPr>
        <w:t>3、采购清单报价表</w:t>
      </w:r>
    </w:p>
    <w:p w14:paraId="2D00209F">
      <w:pPr>
        <w:ind w:firstLine="480" w:firstLineChars="200"/>
        <w:rPr>
          <w:rFonts w:ascii="仿宋" w:hAnsi="仿宋" w:cs="仿宋"/>
          <w:sz w:val="24"/>
          <w:szCs w:val="24"/>
        </w:rPr>
      </w:pPr>
      <w:r>
        <w:rPr>
          <w:rFonts w:hint="eastAsia" w:ascii="仿宋" w:hAnsi="仿宋" w:cs="仿宋"/>
          <w:sz w:val="24"/>
          <w:szCs w:val="24"/>
        </w:rPr>
        <w:t>4、法定代表人身份证明</w:t>
      </w:r>
    </w:p>
    <w:p w14:paraId="3F9CBDD5">
      <w:pPr>
        <w:ind w:firstLine="480" w:firstLineChars="200"/>
        <w:rPr>
          <w:rFonts w:ascii="仿宋" w:hAnsi="仿宋" w:cs="仿宋"/>
          <w:sz w:val="24"/>
          <w:szCs w:val="24"/>
        </w:rPr>
      </w:pPr>
      <w:r>
        <w:rPr>
          <w:rFonts w:hint="eastAsia" w:ascii="仿宋" w:hAnsi="仿宋" w:cs="仿宋"/>
          <w:sz w:val="24"/>
          <w:szCs w:val="24"/>
        </w:rPr>
        <w:t>5、法定代表人授权委托书</w:t>
      </w:r>
    </w:p>
    <w:p w14:paraId="7CF911EF">
      <w:pPr>
        <w:ind w:firstLine="480" w:firstLineChars="200"/>
        <w:rPr>
          <w:rFonts w:ascii="仿宋" w:hAnsi="仿宋" w:cs="仿宋"/>
          <w:sz w:val="24"/>
          <w:szCs w:val="24"/>
        </w:rPr>
      </w:pPr>
      <w:r>
        <w:rPr>
          <w:rFonts w:hint="eastAsia" w:ascii="仿宋" w:hAnsi="仿宋" w:cs="仿宋"/>
          <w:sz w:val="24"/>
          <w:szCs w:val="24"/>
        </w:rPr>
        <w:t>6、供应商基本情况表</w:t>
      </w:r>
    </w:p>
    <w:p w14:paraId="72C7E37F">
      <w:pPr>
        <w:ind w:firstLine="480" w:firstLineChars="200"/>
        <w:rPr>
          <w:rFonts w:ascii="仿宋" w:hAnsi="仿宋" w:cs="仿宋"/>
          <w:sz w:val="24"/>
          <w:szCs w:val="24"/>
        </w:rPr>
      </w:pPr>
      <w:r>
        <w:rPr>
          <w:rFonts w:hint="eastAsia" w:ascii="仿宋" w:hAnsi="仿宋" w:cs="仿宋"/>
          <w:sz w:val="24"/>
          <w:szCs w:val="24"/>
        </w:rPr>
        <w:t>7、拟组建承担本项目的项目组人员情况</w:t>
      </w:r>
    </w:p>
    <w:p w14:paraId="156A0A61">
      <w:pPr>
        <w:ind w:firstLine="480" w:firstLineChars="200"/>
        <w:rPr>
          <w:rFonts w:ascii="仿宋" w:hAnsi="仿宋" w:cs="仿宋"/>
          <w:sz w:val="24"/>
          <w:szCs w:val="24"/>
        </w:rPr>
      </w:pPr>
      <w:r>
        <w:rPr>
          <w:rFonts w:hint="eastAsia" w:ascii="仿宋" w:hAnsi="仿宋" w:cs="仿宋"/>
          <w:sz w:val="24"/>
          <w:szCs w:val="24"/>
        </w:rPr>
        <w:t>8、资格证明文件</w:t>
      </w:r>
    </w:p>
    <w:p w14:paraId="6AB51307">
      <w:pPr>
        <w:ind w:firstLine="480" w:firstLineChars="200"/>
        <w:rPr>
          <w:rFonts w:ascii="仿宋" w:hAnsi="仿宋" w:cs="仿宋"/>
          <w:sz w:val="24"/>
          <w:szCs w:val="24"/>
        </w:rPr>
      </w:pPr>
      <w:r>
        <w:rPr>
          <w:rFonts w:hint="eastAsia" w:ascii="仿宋" w:hAnsi="仿宋" w:cs="仿宋"/>
          <w:sz w:val="24"/>
          <w:szCs w:val="24"/>
        </w:rPr>
        <w:t>9、磋商方案说明、服务承诺</w:t>
      </w:r>
    </w:p>
    <w:p w14:paraId="7577CC76">
      <w:pPr>
        <w:ind w:firstLine="480" w:firstLineChars="200"/>
        <w:rPr>
          <w:rFonts w:ascii="仿宋" w:hAnsi="仿宋" w:cs="仿宋"/>
          <w:sz w:val="24"/>
          <w:szCs w:val="24"/>
        </w:rPr>
      </w:pPr>
      <w:r>
        <w:rPr>
          <w:rFonts w:hint="eastAsia" w:ascii="仿宋" w:hAnsi="仿宋" w:cs="仿宋"/>
          <w:sz w:val="24"/>
          <w:szCs w:val="24"/>
        </w:rPr>
        <w:t>10、磋商文件确认书</w:t>
      </w:r>
    </w:p>
    <w:p w14:paraId="4277606D">
      <w:pPr>
        <w:ind w:firstLine="480" w:firstLineChars="200"/>
        <w:rPr>
          <w:rFonts w:ascii="仿宋" w:hAnsi="仿宋" w:cs="仿宋"/>
          <w:sz w:val="24"/>
          <w:szCs w:val="24"/>
        </w:rPr>
      </w:pPr>
      <w:r>
        <w:rPr>
          <w:rFonts w:hint="eastAsia" w:ascii="仿宋" w:hAnsi="仿宋" w:cs="仿宋"/>
          <w:sz w:val="24"/>
          <w:szCs w:val="24"/>
        </w:rPr>
        <w:t>11、投标承诺书</w:t>
      </w:r>
    </w:p>
    <w:p w14:paraId="5AAF83A5">
      <w:pPr>
        <w:pStyle w:val="4"/>
        <w:rPr>
          <w:sz w:val="24"/>
          <w:szCs w:val="24"/>
        </w:rPr>
      </w:pPr>
    </w:p>
    <w:p w14:paraId="643252E1">
      <w:pPr>
        <w:pStyle w:val="4"/>
        <w:rPr>
          <w:sz w:val="24"/>
          <w:szCs w:val="24"/>
        </w:rPr>
      </w:pPr>
    </w:p>
    <w:p w14:paraId="3786E7A5">
      <w:pPr>
        <w:pStyle w:val="4"/>
        <w:rPr>
          <w:sz w:val="24"/>
          <w:szCs w:val="24"/>
        </w:rPr>
      </w:pPr>
    </w:p>
    <w:p w14:paraId="297FDF1E">
      <w:pPr>
        <w:pStyle w:val="4"/>
        <w:rPr>
          <w:sz w:val="24"/>
          <w:szCs w:val="24"/>
        </w:rPr>
      </w:pPr>
      <w:r>
        <w:rPr>
          <w:sz w:val="24"/>
          <w:szCs w:val="24"/>
        </w:rPr>
        <w:br w:type="page"/>
      </w:r>
    </w:p>
    <w:p w14:paraId="2BA87B43">
      <w:pPr>
        <w:jc w:val="right"/>
        <w:rPr>
          <w:sz w:val="24"/>
          <w:szCs w:val="24"/>
        </w:rPr>
      </w:pPr>
      <w:r>
        <w:rPr>
          <w:sz w:val="24"/>
          <w:szCs w:val="24"/>
        </w:rPr>
        <w:t>正本/副本</w:t>
      </w:r>
    </w:p>
    <w:p w14:paraId="51E8802B">
      <w:pPr>
        <w:rPr>
          <w:rFonts w:hint="default"/>
          <w:sz w:val="24"/>
          <w:szCs w:val="24"/>
          <w:lang w:val="en-US"/>
        </w:rPr>
      </w:pPr>
      <w:r>
        <w:rPr>
          <w:sz w:val="24"/>
          <w:szCs w:val="24"/>
        </w:rPr>
        <w:t>项目编号：</w:t>
      </w:r>
      <w:r>
        <w:rPr>
          <w:rFonts w:hint="eastAsia" w:ascii="仿宋" w:hAnsi="仿宋" w:cs="仿宋"/>
          <w:sz w:val="24"/>
          <w:szCs w:val="24"/>
          <w:lang w:eastAsia="zh-CN"/>
        </w:rPr>
        <w:t>TZCS-2025-0</w:t>
      </w:r>
      <w:r>
        <w:rPr>
          <w:rFonts w:hint="eastAsia" w:ascii="仿宋" w:hAnsi="仿宋" w:cs="仿宋"/>
          <w:sz w:val="24"/>
          <w:szCs w:val="24"/>
          <w:lang w:val="en-US" w:eastAsia="zh-CN"/>
        </w:rPr>
        <w:t>20</w:t>
      </w:r>
    </w:p>
    <w:p w14:paraId="584B762E">
      <w:pPr>
        <w:pStyle w:val="4"/>
        <w:rPr>
          <w:sz w:val="24"/>
          <w:szCs w:val="24"/>
        </w:rPr>
      </w:pPr>
    </w:p>
    <w:p w14:paraId="5DCE0B70">
      <w:pPr>
        <w:rPr>
          <w:sz w:val="24"/>
          <w:szCs w:val="24"/>
        </w:rPr>
      </w:pPr>
    </w:p>
    <w:p w14:paraId="6F718FDF">
      <w:pPr>
        <w:jc w:val="center"/>
        <w:rPr>
          <w:rFonts w:hint="eastAsia"/>
          <w:b/>
          <w:bCs/>
          <w:sz w:val="24"/>
          <w:szCs w:val="24"/>
          <w:lang w:eastAsia="zh-CN"/>
        </w:rPr>
      </w:pPr>
    </w:p>
    <w:p w14:paraId="4D25ED9F">
      <w:pPr>
        <w:jc w:val="center"/>
        <w:rPr>
          <w:rFonts w:hint="eastAsia"/>
          <w:b/>
          <w:bCs/>
          <w:sz w:val="24"/>
          <w:szCs w:val="24"/>
          <w:lang w:eastAsia="zh-CN"/>
        </w:rPr>
      </w:pPr>
    </w:p>
    <w:p w14:paraId="7EBB3749">
      <w:pPr>
        <w:jc w:val="center"/>
        <w:rPr>
          <w:rFonts w:hint="eastAsia"/>
          <w:b/>
          <w:bCs/>
          <w:sz w:val="32"/>
          <w:szCs w:val="32"/>
          <w:lang w:eastAsia="zh-CN"/>
        </w:rPr>
      </w:pPr>
    </w:p>
    <w:p w14:paraId="5CBD7B41">
      <w:pPr>
        <w:jc w:val="center"/>
        <w:rPr>
          <w:rFonts w:hint="eastAsia"/>
          <w:b/>
          <w:bCs/>
          <w:sz w:val="32"/>
          <w:szCs w:val="32"/>
          <w:lang w:eastAsia="zh-CN"/>
        </w:rPr>
      </w:pPr>
      <w:r>
        <w:rPr>
          <w:rFonts w:hint="eastAsia"/>
          <w:b/>
          <w:bCs/>
          <w:sz w:val="32"/>
          <w:szCs w:val="32"/>
          <w:lang w:eastAsia="zh-CN"/>
        </w:rPr>
        <w:t>“一中心五区域”敬老院房屋安全性鉴定及房屋检测服务</w:t>
      </w:r>
    </w:p>
    <w:p w14:paraId="1F7D8447">
      <w:pPr>
        <w:jc w:val="center"/>
        <w:rPr>
          <w:b/>
          <w:bCs/>
          <w:sz w:val="32"/>
          <w:szCs w:val="32"/>
        </w:rPr>
      </w:pPr>
      <w:r>
        <w:rPr>
          <w:rFonts w:hint="eastAsia"/>
          <w:b/>
          <w:bCs/>
          <w:sz w:val="32"/>
          <w:szCs w:val="32"/>
          <w:lang w:eastAsia="zh-CN"/>
        </w:rPr>
        <w:t>项目</w:t>
      </w:r>
      <w:r>
        <w:rPr>
          <w:b/>
          <w:bCs/>
          <w:sz w:val="32"/>
          <w:szCs w:val="32"/>
        </w:rPr>
        <w:t>竞争性磋商响应文件</w:t>
      </w:r>
    </w:p>
    <w:p w14:paraId="5E15D41A">
      <w:pPr>
        <w:rPr>
          <w:sz w:val="32"/>
          <w:szCs w:val="32"/>
        </w:rPr>
      </w:pPr>
    </w:p>
    <w:p w14:paraId="45F09123">
      <w:pPr>
        <w:bidi w:val="0"/>
        <w:rPr>
          <w:sz w:val="24"/>
          <w:szCs w:val="24"/>
        </w:rPr>
      </w:pPr>
    </w:p>
    <w:p w14:paraId="5190A357">
      <w:pPr>
        <w:bidi w:val="0"/>
        <w:rPr>
          <w:sz w:val="24"/>
          <w:szCs w:val="24"/>
        </w:rPr>
      </w:pPr>
    </w:p>
    <w:p w14:paraId="623998CB">
      <w:pPr>
        <w:bidi w:val="0"/>
        <w:rPr>
          <w:sz w:val="24"/>
          <w:szCs w:val="24"/>
        </w:rPr>
      </w:pPr>
    </w:p>
    <w:p w14:paraId="3D0CAE9E">
      <w:pPr>
        <w:bidi w:val="0"/>
        <w:rPr>
          <w:sz w:val="24"/>
          <w:szCs w:val="24"/>
        </w:rPr>
      </w:pPr>
    </w:p>
    <w:p w14:paraId="5A8751F7">
      <w:pPr>
        <w:bidi w:val="0"/>
        <w:rPr>
          <w:sz w:val="24"/>
          <w:szCs w:val="24"/>
        </w:rPr>
      </w:pPr>
    </w:p>
    <w:p w14:paraId="24E30874">
      <w:pPr>
        <w:bidi w:val="0"/>
        <w:rPr>
          <w:sz w:val="24"/>
          <w:szCs w:val="24"/>
        </w:rPr>
      </w:pPr>
    </w:p>
    <w:p w14:paraId="795AA61C">
      <w:pPr>
        <w:rPr>
          <w:sz w:val="24"/>
          <w:szCs w:val="24"/>
        </w:rPr>
      </w:pPr>
    </w:p>
    <w:p w14:paraId="1E752ECB">
      <w:pPr>
        <w:rPr>
          <w:sz w:val="24"/>
          <w:szCs w:val="24"/>
        </w:rPr>
      </w:pPr>
    </w:p>
    <w:p w14:paraId="4A1527A5">
      <w:pPr>
        <w:rPr>
          <w:sz w:val="24"/>
          <w:szCs w:val="24"/>
        </w:rPr>
      </w:pPr>
    </w:p>
    <w:p w14:paraId="7C3EB84D">
      <w:pPr>
        <w:rPr>
          <w:sz w:val="24"/>
          <w:szCs w:val="24"/>
        </w:rPr>
      </w:pPr>
    </w:p>
    <w:p w14:paraId="3037F599">
      <w:pPr>
        <w:rPr>
          <w:sz w:val="24"/>
          <w:szCs w:val="24"/>
        </w:rPr>
      </w:pPr>
    </w:p>
    <w:p w14:paraId="3682A8B0">
      <w:pPr>
        <w:ind w:firstLine="480" w:firstLineChars="200"/>
        <w:rPr>
          <w:sz w:val="24"/>
          <w:szCs w:val="24"/>
        </w:rPr>
      </w:pPr>
      <w:r>
        <w:rPr>
          <w:sz w:val="24"/>
          <w:szCs w:val="24"/>
        </w:rPr>
        <w:t>投 标 人：（单位盖章）</w:t>
      </w:r>
    </w:p>
    <w:p w14:paraId="2AD98F8F">
      <w:pPr>
        <w:rPr>
          <w:sz w:val="24"/>
          <w:szCs w:val="24"/>
        </w:rPr>
      </w:pPr>
    </w:p>
    <w:p w14:paraId="497B7EAB">
      <w:pPr>
        <w:ind w:firstLine="480" w:firstLineChars="200"/>
        <w:rPr>
          <w:sz w:val="24"/>
          <w:szCs w:val="24"/>
        </w:rPr>
      </w:pPr>
      <w:r>
        <w:rPr>
          <w:sz w:val="24"/>
          <w:szCs w:val="24"/>
        </w:rPr>
        <w:t>法定代表人（授权代表）：</w:t>
      </w:r>
      <w:r>
        <w:rPr>
          <w:rFonts w:hint="eastAsia"/>
          <w:sz w:val="24"/>
          <w:szCs w:val="24"/>
        </w:rPr>
        <w:t xml:space="preserve"> </w:t>
      </w:r>
    </w:p>
    <w:p w14:paraId="087E92E7">
      <w:pPr>
        <w:rPr>
          <w:sz w:val="24"/>
          <w:szCs w:val="24"/>
        </w:rPr>
      </w:pPr>
    </w:p>
    <w:p w14:paraId="4B53F79A">
      <w:pPr>
        <w:ind w:firstLine="480" w:firstLineChars="200"/>
        <w:rPr>
          <w:sz w:val="24"/>
          <w:szCs w:val="24"/>
        </w:rPr>
      </w:pPr>
      <w:r>
        <w:rPr>
          <w:sz w:val="24"/>
          <w:szCs w:val="24"/>
        </w:rPr>
        <w:t>时  间：      年  月  日</w:t>
      </w:r>
    </w:p>
    <w:p w14:paraId="0BBC5937">
      <w:pPr>
        <w:rPr>
          <w:sz w:val="24"/>
          <w:szCs w:val="24"/>
        </w:rPr>
      </w:pPr>
      <w:r>
        <w:rPr>
          <w:sz w:val="24"/>
          <w:szCs w:val="24"/>
        </w:rPr>
        <w:br w:type="page"/>
      </w:r>
    </w:p>
    <w:p w14:paraId="58BB5B1D">
      <w:pPr>
        <w:pStyle w:val="4"/>
        <w:jc w:val="center"/>
        <w:rPr>
          <w:b/>
          <w:bCs/>
          <w:sz w:val="24"/>
          <w:szCs w:val="24"/>
        </w:rPr>
      </w:pPr>
      <w:r>
        <w:rPr>
          <w:b/>
          <w:bCs/>
          <w:sz w:val="24"/>
          <w:szCs w:val="24"/>
        </w:rPr>
        <w:t>一、磋商响应函</w:t>
      </w:r>
    </w:p>
    <w:p w14:paraId="630A504B">
      <w:pPr>
        <w:spacing w:line="480" w:lineRule="exact"/>
        <w:rPr>
          <w:sz w:val="24"/>
          <w:szCs w:val="24"/>
        </w:rPr>
      </w:pPr>
      <w:r>
        <w:rPr>
          <w:sz w:val="24"/>
          <w:szCs w:val="24"/>
        </w:rPr>
        <w:t>致（采购代理机构名称）：</w:t>
      </w:r>
    </w:p>
    <w:p w14:paraId="33D802EB">
      <w:pPr>
        <w:spacing w:line="480" w:lineRule="exact"/>
        <w:ind w:firstLine="480" w:firstLineChars="200"/>
        <w:rPr>
          <w:sz w:val="24"/>
          <w:szCs w:val="24"/>
        </w:rPr>
      </w:pPr>
      <w:r>
        <w:rPr>
          <w:sz w:val="24"/>
          <w:szCs w:val="24"/>
        </w:rPr>
        <w:t>我单位收到贵公司的竞争性磋商文件，经详细研究，我们决定参加本次磋商活动。为此，我方郑重声明以下诸点，并负法律责任。</w:t>
      </w:r>
    </w:p>
    <w:p w14:paraId="055F8FC3">
      <w:pPr>
        <w:spacing w:line="480" w:lineRule="exact"/>
        <w:ind w:firstLine="480" w:firstLineChars="200"/>
        <w:rPr>
          <w:sz w:val="24"/>
          <w:szCs w:val="24"/>
        </w:rPr>
      </w:pPr>
      <w:r>
        <w:rPr>
          <w:sz w:val="24"/>
          <w:szCs w:val="24"/>
        </w:rPr>
        <w:t>1、我方已详细阅读了竞争性磋商文件，完全理解并放弃提出含糊不清或易形成歧义的表述和资料。愿意按照竞争性磋商文件中的一切要求，提供磋商项目技术服务，完成合同的责任和义务。</w:t>
      </w:r>
    </w:p>
    <w:p w14:paraId="70C4569D">
      <w:pPr>
        <w:spacing w:line="480" w:lineRule="exact"/>
        <w:ind w:firstLine="480" w:firstLineChars="200"/>
        <w:rPr>
          <w:sz w:val="24"/>
          <w:szCs w:val="24"/>
        </w:rPr>
      </w:pPr>
      <w:r>
        <w:rPr>
          <w:sz w:val="24"/>
          <w:szCs w:val="24"/>
        </w:rPr>
        <w:t>2、我们同意在磋商有效期内（自磋商之日起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sz w:val="24"/>
          <w:szCs w:val="24"/>
        </w:rPr>
        <w:t>天内），本磋商响应函对我方具有约束力。</w:t>
      </w:r>
    </w:p>
    <w:p w14:paraId="07AC773B">
      <w:pPr>
        <w:spacing w:line="480" w:lineRule="exact"/>
        <w:ind w:firstLine="480" w:firstLineChars="200"/>
        <w:rPr>
          <w:sz w:val="24"/>
          <w:szCs w:val="24"/>
        </w:rPr>
      </w:pPr>
      <w:r>
        <w:rPr>
          <w:sz w:val="24"/>
          <w:szCs w:val="24"/>
        </w:rPr>
        <w:t>3、磋商总价为（人民币</w:t>
      </w:r>
      <w:r>
        <w:rPr>
          <w:sz w:val="24"/>
          <w:szCs w:val="24"/>
          <w:u w:val="single"/>
        </w:rPr>
        <w:t xml:space="preserve"> </w:t>
      </w:r>
      <w:r>
        <w:rPr>
          <w:rFonts w:hint="eastAsia"/>
          <w:sz w:val="24"/>
          <w:szCs w:val="24"/>
          <w:u w:val="single"/>
          <w:lang w:val="en-US" w:eastAsia="zh-CN"/>
        </w:rPr>
        <w:t xml:space="preserve">     元</w:t>
      </w:r>
      <w:r>
        <w:rPr>
          <w:sz w:val="24"/>
          <w:szCs w:val="24"/>
        </w:rPr>
        <w:t>）（用文字和数字表示的磋商总价）</w:t>
      </w:r>
    </w:p>
    <w:p w14:paraId="18372E0E">
      <w:pPr>
        <w:spacing w:line="480" w:lineRule="exact"/>
        <w:ind w:firstLine="480" w:firstLineChars="200"/>
        <w:rPr>
          <w:sz w:val="24"/>
          <w:szCs w:val="24"/>
        </w:rPr>
      </w:pPr>
      <w:r>
        <w:rPr>
          <w:sz w:val="24"/>
          <w:szCs w:val="24"/>
        </w:rPr>
        <w:t>4、根据竞争性磋商文件要求，磋商响应文件正本一套、副本</w:t>
      </w:r>
      <w:r>
        <w:rPr>
          <w:rFonts w:hint="eastAsia"/>
          <w:sz w:val="24"/>
          <w:szCs w:val="24"/>
        </w:rPr>
        <w:t>一</w:t>
      </w:r>
      <w:r>
        <w:rPr>
          <w:sz w:val="24"/>
          <w:szCs w:val="24"/>
        </w:rPr>
        <w:t>套</w:t>
      </w:r>
      <w:r>
        <w:rPr>
          <w:rFonts w:hint="eastAsia"/>
          <w:sz w:val="24"/>
          <w:szCs w:val="24"/>
          <w:lang w:eastAsia="zh-CN"/>
        </w:rPr>
        <w:t>，</w:t>
      </w:r>
      <w:r>
        <w:rPr>
          <w:rFonts w:hint="eastAsia"/>
          <w:sz w:val="24"/>
          <w:szCs w:val="24"/>
          <w:lang w:val="en-US" w:eastAsia="zh-CN"/>
        </w:rPr>
        <w:t>电子版一套</w:t>
      </w:r>
      <w:r>
        <w:rPr>
          <w:sz w:val="24"/>
          <w:szCs w:val="24"/>
        </w:rPr>
        <w:t>。</w:t>
      </w:r>
    </w:p>
    <w:p w14:paraId="143B85E0">
      <w:pPr>
        <w:spacing w:line="480" w:lineRule="exact"/>
        <w:ind w:firstLine="480" w:firstLineChars="200"/>
        <w:rPr>
          <w:sz w:val="24"/>
          <w:szCs w:val="24"/>
        </w:rPr>
      </w:pPr>
      <w:r>
        <w:rPr>
          <w:sz w:val="24"/>
          <w:szCs w:val="24"/>
        </w:rPr>
        <w:t>5、磋商后在规定的磋商有效期内撤回磋商，我们愿接受政府采购的有关处罚决定。</w:t>
      </w:r>
    </w:p>
    <w:p w14:paraId="70BFED22">
      <w:pPr>
        <w:spacing w:line="480" w:lineRule="exact"/>
        <w:ind w:firstLine="480" w:firstLineChars="200"/>
        <w:rPr>
          <w:sz w:val="24"/>
          <w:szCs w:val="24"/>
        </w:rPr>
      </w:pPr>
      <w:r>
        <w:rPr>
          <w:sz w:val="24"/>
          <w:szCs w:val="24"/>
        </w:rPr>
        <w:t>6、同意向贵方提供可能要求的，与本次磋商有关的任何证据或资料。我们完全理解最低磋商报价不作为成交的唯一条件，且尊重磋商小组的评审结论和成交结果。</w:t>
      </w:r>
    </w:p>
    <w:p w14:paraId="671987BE">
      <w:pPr>
        <w:spacing w:line="480" w:lineRule="exact"/>
        <w:ind w:firstLine="480" w:firstLineChars="200"/>
        <w:rPr>
          <w:sz w:val="24"/>
          <w:szCs w:val="24"/>
        </w:rPr>
      </w:pPr>
      <w:r>
        <w:rPr>
          <w:sz w:val="24"/>
          <w:szCs w:val="24"/>
        </w:rPr>
        <w:t>7、有关于本磋商的函电，请按下列地址联系。</w:t>
      </w:r>
    </w:p>
    <w:p w14:paraId="53A533EA">
      <w:pPr>
        <w:spacing w:line="480" w:lineRule="exact"/>
        <w:ind w:firstLine="480" w:firstLineChars="200"/>
        <w:rPr>
          <w:sz w:val="24"/>
          <w:szCs w:val="24"/>
        </w:rPr>
      </w:pPr>
      <w:r>
        <w:rPr>
          <w:sz w:val="24"/>
          <w:szCs w:val="24"/>
        </w:rPr>
        <w:t>地  址：                            电  话：</w:t>
      </w:r>
    </w:p>
    <w:p w14:paraId="46C8D099">
      <w:pPr>
        <w:spacing w:line="480" w:lineRule="exact"/>
        <w:ind w:firstLine="480" w:firstLineChars="200"/>
        <w:rPr>
          <w:sz w:val="24"/>
          <w:szCs w:val="24"/>
        </w:rPr>
      </w:pPr>
      <w:r>
        <w:rPr>
          <w:sz w:val="24"/>
          <w:szCs w:val="24"/>
        </w:rPr>
        <w:t>邮  编：                            传  真：</w:t>
      </w:r>
    </w:p>
    <w:p w14:paraId="067052A9">
      <w:pPr>
        <w:spacing w:line="480" w:lineRule="exact"/>
        <w:ind w:firstLine="480" w:firstLineChars="200"/>
        <w:rPr>
          <w:sz w:val="24"/>
          <w:szCs w:val="24"/>
        </w:rPr>
      </w:pPr>
      <w:r>
        <w:rPr>
          <w:sz w:val="24"/>
          <w:szCs w:val="24"/>
        </w:rPr>
        <w:t xml:space="preserve">开户银行名称：                      </w:t>
      </w:r>
    </w:p>
    <w:p w14:paraId="3D7CA07D">
      <w:pPr>
        <w:spacing w:line="480" w:lineRule="exact"/>
        <w:ind w:firstLine="480" w:firstLineChars="200"/>
        <w:rPr>
          <w:sz w:val="24"/>
          <w:szCs w:val="24"/>
        </w:rPr>
      </w:pPr>
      <w:r>
        <w:rPr>
          <w:sz w:val="24"/>
          <w:szCs w:val="24"/>
        </w:rPr>
        <w:t>开户行地址：</w:t>
      </w:r>
    </w:p>
    <w:p w14:paraId="36F8C6B1">
      <w:pPr>
        <w:spacing w:line="480" w:lineRule="exact"/>
        <w:ind w:firstLine="480" w:firstLineChars="200"/>
        <w:rPr>
          <w:sz w:val="24"/>
          <w:szCs w:val="24"/>
        </w:rPr>
      </w:pPr>
      <w:r>
        <w:rPr>
          <w:sz w:val="24"/>
          <w:szCs w:val="24"/>
        </w:rPr>
        <w:t xml:space="preserve">户  名：                           </w:t>
      </w:r>
    </w:p>
    <w:p w14:paraId="41D2499B">
      <w:pPr>
        <w:spacing w:line="480" w:lineRule="exact"/>
        <w:ind w:firstLine="480" w:firstLineChars="200"/>
        <w:rPr>
          <w:sz w:val="24"/>
          <w:szCs w:val="24"/>
        </w:rPr>
      </w:pPr>
      <w:r>
        <w:rPr>
          <w:sz w:val="24"/>
          <w:szCs w:val="24"/>
        </w:rPr>
        <w:t>银行账号：</w:t>
      </w:r>
    </w:p>
    <w:p w14:paraId="7B935E63">
      <w:pPr>
        <w:spacing w:line="480" w:lineRule="exact"/>
        <w:ind w:firstLine="480" w:firstLineChars="200"/>
        <w:rPr>
          <w:sz w:val="24"/>
          <w:szCs w:val="24"/>
        </w:rPr>
      </w:pPr>
      <w:r>
        <w:rPr>
          <w:sz w:val="24"/>
          <w:szCs w:val="24"/>
        </w:rPr>
        <w:t>投 标 人（单位公章）：</w:t>
      </w:r>
    </w:p>
    <w:p w14:paraId="27C8D0BB">
      <w:pPr>
        <w:spacing w:line="480" w:lineRule="exact"/>
        <w:ind w:firstLine="480" w:firstLineChars="200"/>
        <w:rPr>
          <w:sz w:val="24"/>
          <w:szCs w:val="24"/>
        </w:rPr>
      </w:pPr>
      <w:r>
        <w:rPr>
          <w:sz w:val="24"/>
          <w:szCs w:val="24"/>
        </w:rPr>
        <w:t>法定代表人或其授权委托人（</w:t>
      </w:r>
      <w:r>
        <w:rPr>
          <w:rFonts w:hint="eastAsia"/>
          <w:sz w:val="24"/>
          <w:szCs w:val="24"/>
        </w:rPr>
        <w:t>签字或盖章</w:t>
      </w:r>
      <w:r>
        <w:rPr>
          <w:sz w:val="24"/>
          <w:szCs w:val="24"/>
        </w:rPr>
        <w:t>）：</w:t>
      </w:r>
    </w:p>
    <w:p w14:paraId="19FECF9B">
      <w:pPr>
        <w:spacing w:line="480" w:lineRule="exact"/>
        <w:ind w:firstLine="480" w:firstLineChars="200"/>
        <w:rPr>
          <w:sz w:val="24"/>
          <w:szCs w:val="24"/>
        </w:rPr>
      </w:pPr>
      <w:bookmarkStart w:id="12" w:name="_Toc520878909"/>
      <w:r>
        <w:rPr>
          <w:sz w:val="24"/>
          <w:szCs w:val="24"/>
        </w:rPr>
        <w:t>日期：</w:t>
      </w:r>
    </w:p>
    <w:bookmarkEnd w:id="12"/>
    <w:p w14:paraId="6D7B288E">
      <w:pPr>
        <w:jc w:val="center"/>
        <w:rPr>
          <w:b/>
          <w:bCs/>
          <w:sz w:val="24"/>
          <w:szCs w:val="24"/>
        </w:rPr>
      </w:pPr>
      <w:r>
        <w:rPr>
          <w:b/>
          <w:bCs/>
          <w:sz w:val="24"/>
          <w:szCs w:val="24"/>
        </w:rPr>
        <w:br w:type="page"/>
      </w:r>
    </w:p>
    <w:p w14:paraId="16A6F2E0">
      <w:pPr>
        <w:pStyle w:val="4"/>
        <w:jc w:val="center"/>
        <w:rPr>
          <w:b/>
          <w:bCs/>
          <w:sz w:val="24"/>
          <w:szCs w:val="24"/>
        </w:rPr>
      </w:pPr>
      <w:r>
        <w:rPr>
          <w:b/>
          <w:bCs/>
          <w:sz w:val="24"/>
          <w:szCs w:val="24"/>
        </w:rPr>
        <w:t>二、磋商报价表</w:t>
      </w:r>
    </w:p>
    <w:p w14:paraId="49648D96">
      <w:pPr>
        <w:rPr>
          <w:sz w:val="24"/>
          <w:szCs w:val="24"/>
        </w:rPr>
      </w:pPr>
      <w:r>
        <w:rPr>
          <w:sz w:val="24"/>
          <w:szCs w:val="24"/>
        </w:rPr>
        <w:t>单位:元</w:t>
      </w:r>
    </w:p>
    <w:tbl>
      <w:tblPr>
        <w:tblStyle w:val="16"/>
        <w:tblpPr w:leftFromText="180" w:rightFromText="180" w:vertAnchor="text" w:horzAnchor="page" w:tblpX="1575" w:tblpY="39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59"/>
        <w:gridCol w:w="2126"/>
        <w:gridCol w:w="1560"/>
      </w:tblGrid>
      <w:tr w14:paraId="7214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1951" w:type="dxa"/>
            <w:vAlign w:val="center"/>
          </w:tcPr>
          <w:p w14:paraId="71DA7EE6">
            <w:pPr>
              <w:jc w:val="center"/>
              <w:rPr>
                <w:sz w:val="24"/>
                <w:szCs w:val="24"/>
              </w:rPr>
            </w:pPr>
            <w:r>
              <w:rPr>
                <w:sz w:val="24"/>
                <w:szCs w:val="24"/>
              </w:rPr>
              <w:t>总报价</w:t>
            </w:r>
          </w:p>
          <w:p w14:paraId="63D68727">
            <w:pPr>
              <w:jc w:val="center"/>
              <w:rPr>
                <w:sz w:val="24"/>
                <w:szCs w:val="24"/>
              </w:rPr>
            </w:pPr>
            <w:r>
              <w:rPr>
                <w:sz w:val="24"/>
                <w:szCs w:val="24"/>
              </w:rPr>
              <w:t>（元）</w:t>
            </w:r>
          </w:p>
        </w:tc>
        <w:tc>
          <w:tcPr>
            <w:tcW w:w="1559" w:type="dxa"/>
            <w:vAlign w:val="center"/>
          </w:tcPr>
          <w:p w14:paraId="28B97979">
            <w:pPr>
              <w:jc w:val="center"/>
              <w:rPr>
                <w:sz w:val="24"/>
                <w:szCs w:val="24"/>
              </w:rPr>
            </w:pPr>
            <w:r>
              <w:rPr>
                <w:rFonts w:hint="eastAsia"/>
                <w:sz w:val="24"/>
                <w:szCs w:val="24"/>
                <w:lang w:val="en-US" w:eastAsia="zh-CN"/>
              </w:rPr>
              <w:t>服务期</w:t>
            </w:r>
            <w:r>
              <w:rPr>
                <w:sz w:val="24"/>
                <w:szCs w:val="24"/>
              </w:rPr>
              <w:t>（日历天）</w:t>
            </w:r>
          </w:p>
        </w:tc>
        <w:tc>
          <w:tcPr>
            <w:tcW w:w="1559" w:type="dxa"/>
            <w:vAlign w:val="center"/>
          </w:tcPr>
          <w:p w14:paraId="7B12832D">
            <w:pPr>
              <w:jc w:val="center"/>
              <w:rPr>
                <w:sz w:val="24"/>
                <w:szCs w:val="24"/>
              </w:rPr>
            </w:pPr>
            <w:r>
              <w:rPr>
                <w:rFonts w:hint="eastAsia"/>
                <w:sz w:val="24"/>
                <w:szCs w:val="24"/>
              </w:rPr>
              <w:t>质量</w:t>
            </w:r>
          </w:p>
        </w:tc>
        <w:tc>
          <w:tcPr>
            <w:tcW w:w="2126" w:type="dxa"/>
            <w:vAlign w:val="center"/>
          </w:tcPr>
          <w:p w14:paraId="6D1C7227">
            <w:pPr>
              <w:jc w:val="center"/>
              <w:rPr>
                <w:sz w:val="24"/>
                <w:szCs w:val="24"/>
              </w:rPr>
            </w:pPr>
          </w:p>
          <w:p w14:paraId="04E6E5A9">
            <w:pPr>
              <w:jc w:val="center"/>
              <w:rPr>
                <w:sz w:val="24"/>
                <w:szCs w:val="24"/>
              </w:rPr>
            </w:pPr>
            <w:r>
              <w:rPr>
                <w:sz w:val="24"/>
                <w:szCs w:val="24"/>
              </w:rPr>
              <w:t>法人或授权</w:t>
            </w:r>
          </w:p>
          <w:p w14:paraId="70AECD0F">
            <w:pPr>
              <w:jc w:val="center"/>
              <w:rPr>
                <w:sz w:val="24"/>
                <w:szCs w:val="24"/>
              </w:rPr>
            </w:pPr>
            <w:r>
              <w:rPr>
                <w:sz w:val="24"/>
                <w:szCs w:val="24"/>
              </w:rPr>
              <w:t>委托人</w:t>
            </w:r>
          </w:p>
          <w:p w14:paraId="41DA0AA4">
            <w:pPr>
              <w:jc w:val="center"/>
              <w:rPr>
                <w:sz w:val="24"/>
                <w:szCs w:val="24"/>
              </w:rPr>
            </w:pPr>
          </w:p>
          <w:p w14:paraId="3E4EEE53">
            <w:pPr>
              <w:jc w:val="center"/>
              <w:rPr>
                <w:sz w:val="24"/>
                <w:szCs w:val="24"/>
              </w:rPr>
            </w:pPr>
          </w:p>
        </w:tc>
        <w:tc>
          <w:tcPr>
            <w:tcW w:w="1560" w:type="dxa"/>
            <w:vAlign w:val="center"/>
          </w:tcPr>
          <w:p w14:paraId="67D99E01">
            <w:pPr>
              <w:jc w:val="center"/>
              <w:rPr>
                <w:sz w:val="24"/>
                <w:szCs w:val="24"/>
              </w:rPr>
            </w:pPr>
            <w:r>
              <w:rPr>
                <w:sz w:val="24"/>
                <w:szCs w:val="24"/>
              </w:rPr>
              <w:t>备注</w:t>
            </w:r>
          </w:p>
        </w:tc>
      </w:tr>
      <w:tr w14:paraId="662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951" w:type="dxa"/>
            <w:vAlign w:val="center"/>
          </w:tcPr>
          <w:p w14:paraId="7D63CCF5">
            <w:pPr>
              <w:jc w:val="center"/>
              <w:rPr>
                <w:sz w:val="24"/>
                <w:szCs w:val="24"/>
              </w:rPr>
            </w:pPr>
          </w:p>
        </w:tc>
        <w:tc>
          <w:tcPr>
            <w:tcW w:w="1559" w:type="dxa"/>
            <w:vAlign w:val="center"/>
          </w:tcPr>
          <w:p w14:paraId="5C0D1D69">
            <w:pPr>
              <w:jc w:val="center"/>
              <w:rPr>
                <w:sz w:val="24"/>
                <w:szCs w:val="24"/>
              </w:rPr>
            </w:pPr>
          </w:p>
        </w:tc>
        <w:tc>
          <w:tcPr>
            <w:tcW w:w="1559" w:type="dxa"/>
            <w:vAlign w:val="center"/>
          </w:tcPr>
          <w:p w14:paraId="671FF18D">
            <w:pPr>
              <w:jc w:val="center"/>
              <w:rPr>
                <w:sz w:val="24"/>
                <w:szCs w:val="24"/>
              </w:rPr>
            </w:pPr>
          </w:p>
        </w:tc>
        <w:tc>
          <w:tcPr>
            <w:tcW w:w="2126" w:type="dxa"/>
            <w:vAlign w:val="center"/>
          </w:tcPr>
          <w:p w14:paraId="4BDE97FC">
            <w:pPr>
              <w:jc w:val="center"/>
              <w:rPr>
                <w:sz w:val="24"/>
                <w:szCs w:val="24"/>
              </w:rPr>
            </w:pPr>
          </w:p>
        </w:tc>
        <w:tc>
          <w:tcPr>
            <w:tcW w:w="1560" w:type="dxa"/>
            <w:vAlign w:val="center"/>
          </w:tcPr>
          <w:p w14:paraId="5FD4795F">
            <w:pPr>
              <w:jc w:val="center"/>
              <w:rPr>
                <w:sz w:val="24"/>
                <w:szCs w:val="24"/>
              </w:rPr>
            </w:pPr>
          </w:p>
        </w:tc>
      </w:tr>
      <w:tr w14:paraId="5429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755" w:type="dxa"/>
            <w:gridSpan w:val="5"/>
            <w:vAlign w:val="center"/>
          </w:tcPr>
          <w:p w14:paraId="73FCDCA3">
            <w:pPr>
              <w:rPr>
                <w:sz w:val="24"/>
                <w:szCs w:val="24"/>
              </w:rPr>
            </w:pPr>
            <w:r>
              <w:rPr>
                <w:sz w:val="24"/>
                <w:szCs w:val="24"/>
              </w:rPr>
              <w:t>总报价（元）：</w:t>
            </w:r>
          </w:p>
        </w:tc>
      </w:tr>
    </w:tbl>
    <w:p w14:paraId="1D95EDB6">
      <w:pPr>
        <w:ind w:firstLine="480" w:firstLineChars="200"/>
        <w:rPr>
          <w:sz w:val="24"/>
          <w:szCs w:val="24"/>
        </w:rPr>
      </w:pPr>
      <w:r>
        <w:rPr>
          <w:sz w:val="24"/>
          <w:szCs w:val="24"/>
        </w:rPr>
        <w:t>注：以上报价包括项目所需人工费、材料费、机械使用费、管理费、利润、规费、税金、措施项目费、其他项目费、保险费、专利技术和特殊工艺、质检（自检）、维护、缺陷修复、政策性文件规定费用及合同包含的所有责任、义务和合同约定的风险等各项费用。</w:t>
      </w:r>
    </w:p>
    <w:p w14:paraId="3F8CA7E6">
      <w:pPr>
        <w:rPr>
          <w:sz w:val="24"/>
          <w:szCs w:val="24"/>
        </w:rPr>
      </w:pPr>
    </w:p>
    <w:p w14:paraId="4A89785C">
      <w:pPr>
        <w:rPr>
          <w:sz w:val="24"/>
          <w:szCs w:val="24"/>
        </w:rPr>
      </w:pPr>
      <w:r>
        <w:rPr>
          <w:sz w:val="24"/>
          <w:szCs w:val="24"/>
        </w:rPr>
        <w:t>投 标 人（单位公章）：</w:t>
      </w:r>
    </w:p>
    <w:p w14:paraId="627CC544">
      <w:pPr>
        <w:rPr>
          <w:sz w:val="24"/>
          <w:szCs w:val="24"/>
        </w:rPr>
      </w:pPr>
      <w:r>
        <w:rPr>
          <w:sz w:val="24"/>
          <w:szCs w:val="24"/>
        </w:rPr>
        <w:t>法定代表人或其授权委托人（</w:t>
      </w:r>
      <w:r>
        <w:rPr>
          <w:rFonts w:hint="eastAsia"/>
          <w:sz w:val="24"/>
          <w:szCs w:val="24"/>
        </w:rPr>
        <w:t>签字或盖章</w:t>
      </w:r>
      <w:r>
        <w:rPr>
          <w:sz w:val="24"/>
          <w:szCs w:val="24"/>
        </w:rPr>
        <w:t>）：</w:t>
      </w:r>
    </w:p>
    <w:p w14:paraId="36B86CFD">
      <w:pPr>
        <w:rPr>
          <w:sz w:val="24"/>
          <w:szCs w:val="24"/>
        </w:rPr>
      </w:pPr>
      <w:r>
        <w:rPr>
          <w:sz w:val="24"/>
          <w:szCs w:val="24"/>
        </w:rPr>
        <w:t>日期：</w:t>
      </w:r>
    </w:p>
    <w:p w14:paraId="79B4C407">
      <w:pPr>
        <w:rPr>
          <w:b/>
          <w:bCs/>
          <w:sz w:val="24"/>
          <w:szCs w:val="24"/>
        </w:rPr>
      </w:pPr>
      <w:r>
        <w:rPr>
          <w:sz w:val="24"/>
          <w:szCs w:val="24"/>
        </w:rPr>
        <w:br w:type="page"/>
      </w:r>
    </w:p>
    <w:p w14:paraId="673B2585">
      <w:pPr>
        <w:jc w:val="center"/>
        <w:rPr>
          <w:b/>
          <w:bCs/>
          <w:sz w:val="24"/>
          <w:szCs w:val="24"/>
        </w:rPr>
      </w:pPr>
      <w:r>
        <w:rPr>
          <w:rFonts w:hint="eastAsia"/>
          <w:b/>
          <w:bCs/>
          <w:sz w:val="24"/>
          <w:szCs w:val="24"/>
          <w:lang w:val="en-US" w:eastAsia="zh-CN"/>
        </w:rPr>
        <w:t>三</w:t>
      </w:r>
      <w:r>
        <w:rPr>
          <w:b/>
          <w:bCs/>
          <w:sz w:val="24"/>
          <w:szCs w:val="24"/>
        </w:rPr>
        <w:t>、法定代表人身份证明</w:t>
      </w:r>
    </w:p>
    <w:p w14:paraId="61BA2C70">
      <w:pPr>
        <w:rPr>
          <w:sz w:val="24"/>
          <w:szCs w:val="24"/>
        </w:rPr>
      </w:pPr>
      <w:r>
        <w:rPr>
          <w:sz w:val="24"/>
          <w:szCs w:val="24"/>
        </w:rPr>
        <w:t>供应商名称：</w:t>
      </w:r>
    </w:p>
    <w:p w14:paraId="463EEC28">
      <w:pPr>
        <w:rPr>
          <w:sz w:val="24"/>
          <w:szCs w:val="24"/>
        </w:rPr>
      </w:pPr>
      <w:r>
        <w:rPr>
          <w:rFonts w:hint="eastAsia"/>
          <w:sz w:val="24"/>
          <w:szCs w:val="24"/>
        </w:rPr>
        <w:t>统一社会</w:t>
      </w:r>
      <w:r>
        <w:rPr>
          <w:sz w:val="24"/>
          <w:szCs w:val="24"/>
        </w:rPr>
        <w:t>信用</w:t>
      </w:r>
      <w:r>
        <w:rPr>
          <w:rFonts w:hint="eastAsia"/>
          <w:sz w:val="24"/>
          <w:szCs w:val="24"/>
        </w:rPr>
        <w:t>代码</w:t>
      </w:r>
      <w:r>
        <w:rPr>
          <w:sz w:val="24"/>
          <w:szCs w:val="24"/>
        </w:rPr>
        <w:t>：</w:t>
      </w:r>
    </w:p>
    <w:p w14:paraId="13868051">
      <w:pPr>
        <w:rPr>
          <w:sz w:val="24"/>
          <w:szCs w:val="24"/>
        </w:rPr>
      </w:pPr>
      <w:r>
        <w:rPr>
          <w:sz w:val="24"/>
          <w:szCs w:val="24"/>
        </w:rPr>
        <w:t>注册地址：</w:t>
      </w:r>
    </w:p>
    <w:p w14:paraId="49F6D4C8">
      <w:pPr>
        <w:rPr>
          <w:sz w:val="24"/>
          <w:szCs w:val="24"/>
        </w:rPr>
      </w:pPr>
      <w:r>
        <w:rPr>
          <w:sz w:val="24"/>
          <w:szCs w:val="24"/>
        </w:rPr>
        <w:t xml:space="preserve">成立时间：  </w:t>
      </w:r>
    </w:p>
    <w:p w14:paraId="07B986C2">
      <w:pPr>
        <w:rPr>
          <w:sz w:val="24"/>
          <w:szCs w:val="24"/>
        </w:rPr>
      </w:pPr>
      <w:r>
        <w:rPr>
          <w:sz w:val="24"/>
          <w:szCs w:val="24"/>
        </w:rPr>
        <w:t>经营期限：</w:t>
      </w:r>
    </w:p>
    <w:p w14:paraId="0E59637B">
      <w:pPr>
        <w:rPr>
          <w:sz w:val="24"/>
          <w:szCs w:val="24"/>
        </w:rPr>
      </w:pPr>
      <w:r>
        <w:rPr>
          <w:sz w:val="24"/>
          <w:szCs w:val="24"/>
        </w:rPr>
        <w:t>经营范围：主营：                 兼营：</w:t>
      </w:r>
    </w:p>
    <w:p w14:paraId="4C4ABA25">
      <w:pPr>
        <w:rPr>
          <w:sz w:val="24"/>
          <w:szCs w:val="24"/>
        </w:rPr>
      </w:pPr>
      <w:r>
        <w:rPr>
          <w:sz w:val="24"/>
          <w:szCs w:val="24"/>
        </w:rPr>
        <w:t>姓名：       性别：   年龄：    系（供应商名称）的法定代表人。</w:t>
      </w:r>
    </w:p>
    <w:p w14:paraId="5D44E301">
      <w:pPr>
        <w:rPr>
          <w:sz w:val="24"/>
          <w:szCs w:val="24"/>
        </w:rPr>
      </w:pPr>
      <w:r>
        <w:rPr>
          <w:sz w:val="24"/>
          <w:szCs w:val="24"/>
        </w:rPr>
        <w:t>特此证明。</w:t>
      </w:r>
    </w:p>
    <w:p w14:paraId="02631D13">
      <w:pPr>
        <w:rPr>
          <w:sz w:val="24"/>
          <w:szCs w:val="24"/>
        </w:rPr>
      </w:pPr>
      <w:r>
        <w:rPr>
          <w:sz w:val="24"/>
          <w:szCs w:val="24"/>
        </w:rPr>
        <w:t>附：法定代表人身份证复印件</w:t>
      </w:r>
    </w:p>
    <w:p w14:paraId="21191578">
      <w:pPr>
        <w:rPr>
          <w:sz w:val="24"/>
          <w:szCs w:val="24"/>
        </w:rPr>
      </w:pPr>
      <w:r>
        <w:rPr>
          <w:sz w:val="24"/>
          <w:szCs w:val="24"/>
        </w:rPr>
        <w:t>法定代表人身份证复印件</w:t>
      </w:r>
    </w:p>
    <w:tbl>
      <w:tblPr>
        <w:tblStyle w:val="16"/>
        <w:tblW w:w="7996" w:type="dxa"/>
        <w:tblInd w:w="540" w:type="dxa"/>
        <w:tblLayout w:type="fixed"/>
        <w:tblCellMar>
          <w:top w:w="0" w:type="dxa"/>
          <w:left w:w="108" w:type="dxa"/>
          <w:bottom w:w="0" w:type="dxa"/>
          <w:right w:w="108" w:type="dxa"/>
        </w:tblCellMar>
      </w:tblPr>
      <w:tblGrid>
        <w:gridCol w:w="4081"/>
        <w:gridCol w:w="3915"/>
      </w:tblGrid>
      <w:tr w14:paraId="2747D3C5">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14:paraId="0A192E6F">
            <w:pPr>
              <w:rPr>
                <w:sz w:val="24"/>
                <w:szCs w:val="24"/>
              </w:rPr>
            </w:pPr>
          </w:p>
          <w:p w14:paraId="0FDEA8F3">
            <w:pPr>
              <w:rPr>
                <w:sz w:val="24"/>
                <w:szCs w:val="24"/>
              </w:rPr>
            </w:pPr>
            <w:r>
              <w:rPr>
                <w:sz w:val="24"/>
                <w:szCs w:val="24"/>
              </w:rPr>
              <w:t>法定代表人身份证复印件</w:t>
            </w:r>
          </w:p>
          <w:p w14:paraId="6B0811F2">
            <w:pPr>
              <w:rPr>
                <w:sz w:val="24"/>
                <w:szCs w:val="24"/>
              </w:rPr>
            </w:pPr>
            <w:r>
              <w:rPr>
                <w:rFonts w:hint="eastAsia"/>
                <w:sz w:val="24"/>
                <w:szCs w:val="24"/>
              </w:rPr>
              <w:t>（正面）</w:t>
            </w:r>
          </w:p>
        </w:tc>
        <w:tc>
          <w:tcPr>
            <w:tcW w:w="3915" w:type="dxa"/>
            <w:tcBorders>
              <w:top w:val="single" w:color="auto" w:sz="6" w:space="0"/>
              <w:left w:val="single" w:color="auto" w:sz="6" w:space="0"/>
              <w:bottom w:val="single" w:color="auto" w:sz="6" w:space="0"/>
              <w:right w:val="single" w:color="auto" w:sz="6" w:space="0"/>
            </w:tcBorders>
            <w:vAlign w:val="center"/>
          </w:tcPr>
          <w:p w14:paraId="29E988DC">
            <w:pPr>
              <w:rPr>
                <w:sz w:val="24"/>
                <w:szCs w:val="24"/>
              </w:rPr>
            </w:pPr>
          </w:p>
          <w:p w14:paraId="14F0932F">
            <w:pPr>
              <w:rPr>
                <w:sz w:val="24"/>
                <w:szCs w:val="24"/>
              </w:rPr>
            </w:pPr>
            <w:r>
              <w:rPr>
                <w:sz w:val="24"/>
                <w:szCs w:val="24"/>
              </w:rPr>
              <w:t>法定代表人身份证复印件</w:t>
            </w:r>
          </w:p>
          <w:p w14:paraId="0C3CFC57">
            <w:pPr>
              <w:rPr>
                <w:sz w:val="24"/>
                <w:szCs w:val="24"/>
              </w:rPr>
            </w:pPr>
            <w:r>
              <w:rPr>
                <w:rFonts w:hint="eastAsia"/>
                <w:sz w:val="24"/>
                <w:szCs w:val="24"/>
              </w:rPr>
              <w:t>（反面）</w:t>
            </w:r>
          </w:p>
        </w:tc>
      </w:tr>
    </w:tbl>
    <w:p w14:paraId="2848349E">
      <w:pPr>
        <w:rPr>
          <w:sz w:val="24"/>
          <w:szCs w:val="24"/>
        </w:rPr>
      </w:pPr>
    </w:p>
    <w:p w14:paraId="2571D837">
      <w:pPr>
        <w:rPr>
          <w:sz w:val="24"/>
          <w:szCs w:val="24"/>
        </w:rPr>
      </w:pPr>
    </w:p>
    <w:p w14:paraId="58ED5CB6">
      <w:pPr>
        <w:rPr>
          <w:sz w:val="24"/>
          <w:szCs w:val="24"/>
        </w:rPr>
      </w:pPr>
      <w:r>
        <w:rPr>
          <w:sz w:val="24"/>
          <w:szCs w:val="24"/>
        </w:rPr>
        <w:t>供应商名称（盖单位公章）：</w:t>
      </w:r>
    </w:p>
    <w:p w14:paraId="0D153B29">
      <w:pPr>
        <w:rPr>
          <w:sz w:val="24"/>
          <w:szCs w:val="24"/>
        </w:rPr>
      </w:pPr>
      <w:r>
        <w:rPr>
          <w:sz w:val="24"/>
          <w:szCs w:val="24"/>
        </w:rPr>
        <w:t xml:space="preserve">日期：   </w:t>
      </w:r>
    </w:p>
    <w:p w14:paraId="7C28D80B">
      <w:pPr>
        <w:rPr>
          <w:sz w:val="24"/>
          <w:szCs w:val="24"/>
        </w:rPr>
      </w:pPr>
      <w:r>
        <w:rPr>
          <w:sz w:val="24"/>
          <w:szCs w:val="24"/>
        </w:rPr>
        <w:br w:type="page"/>
      </w:r>
    </w:p>
    <w:p w14:paraId="19ED696D">
      <w:pPr>
        <w:jc w:val="center"/>
        <w:rPr>
          <w:b/>
          <w:bCs/>
          <w:sz w:val="24"/>
          <w:szCs w:val="24"/>
        </w:rPr>
      </w:pPr>
      <w:r>
        <w:rPr>
          <w:rFonts w:hint="eastAsia"/>
          <w:b/>
          <w:bCs/>
          <w:sz w:val="24"/>
          <w:szCs w:val="24"/>
          <w:lang w:val="en-US" w:eastAsia="zh-CN"/>
        </w:rPr>
        <w:t>四</w:t>
      </w:r>
      <w:r>
        <w:rPr>
          <w:b/>
          <w:bCs/>
          <w:sz w:val="24"/>
          <w:szCs w:val="24"/>
        </w:rPr>
        <w:t>、法定代表人授权委托书</w:t>
      </w:r>
    </w:p>
    <w:p w14:paraId="2A4E95C4">
      <w:pPr>
        <w:rPr>
          <w:sz w:val="24"/>
          <w:szCs w:val="24"/>
        </w:rPr>
      </w:pPr>
      <w:r>
        <w:rPr>
          <w:sz w:val="24"/>
          <w:szCs w:val="24"/>
        </w:rPr>
        <w:t>致（采购代理机构名称）：</w:t>
      </w:r>
    </w:p>
    <w:p w14:paraId="7C2638FE">
      <w:pPr>
        <w:ind w:firstLine="480" w:firstLineChars="200"/>
        <w:rPr>
          <w:sz w:val="24"/>
          <w:szCs w:val="24"/>
        </w:rPr>
      </w:pPr>
      <w:r>
        <w:rPr>
          <w:sz w:val="24"/>
          <w:szCs w:val="24"/>
        </w:rPr>
        <w:t>注册于（工商行政管理局名称）之（供应商全称）法定代表人（姓名、职务）授权（被授权人姓名、职务）为我方的合法全权代表，就（采购项目名称及项目编号）的竞争性磋商及采购合同的执行和完成，以我方的名义全权处理一切与之有关的事宜，其法律后果由我方承担。</w:t>
      </w:r>
    </w:p>
    <w:p w14:paraId="02A64ABE">
      <w:pPr>
        <w:rPr>
          <w:sz w:val="24"/>
          <w:szCs w:val="24"/>
        </w:rPr>
      </w:pPr>
      <w:r>
        <w:rPr>
          <w:sz w:val="24"/>
          <w:szCs w:val="24"/>
        </w:rPr>
        <w:t>本授权有效期：  年  月  日至   年  月  日。</w:t>
      </w:r>
    </w:p>
    <w:p w14:paraId="2E005F17">
      <w:pPr>
        <w:rPr>
          <w:sz w:val="24"/>
          <w:szCs w:val="24"/>
        </w:rPr>
      </w:pPr>
      <w:r>
        <w:rPr>
          <w:sz w:val="24"/>
          <w:szCs w:val="24"/>
        </w:rPr>
        <w:t xml:space="preserve">附：全权代表姓名：     性别：   年龄 </w:t>
      </w:r>
    </w:p>
    <w:p w14:paraId="2CEB5835">
      <w:pPr>
        <w:rPr>
          <w:sz w:val="24"/>
          <w:szCs w:val="24"/>
        </w:rPr>
      </w:pPr>
      <w:r>
        <w:rPr>
          <w:sz w:val="24"/>
          <w:szCs w:val="24"/>
        </w:rPr>
        <w:t>职务：        身份证号码：      联系电话：</w:t>
      </w:r>
    </w:p>
    <w:p w14:paraId="1F3692DE">
      <w:pPr>
        <w:rPr>
          <w:sz w:val="24"/>
          <w:szCs w:val="24"/>
        </w:rPr>
      </w:pPr>
      <w:r>
        <w:rPr>
          <w:sz w:val="24"/>
          <w:szCs w:val="24"/>
        </w:rPr>
        <w:t xml:space="preserve">通讯地址：                  邮政编码：          </w:t>
      </w:r>
    </w:p>
    <w:p w14:paraId="1DD3D480">
      <w:pPr>
        <w:rPr>
          <w:sz w:val="24"/>
          <w:szCs w:val="24"/>
        </w:rPr>
      </w:pPr>
      <w:r>
        <w:rPr>
          <w:sz w:val="24"/>
          <w:szCs w:val="24"/>
        </w:rPr>
        <w:t>授权代表身份证复印件</w:t>
      </w:r>
    </w:p>
    <w:tbl>
      <w:tblPr>
        <w:tblStyle w:val="16"/>
        <w:tblW w:w="7996" w:type="dxa"/>
        <w:tblInd w:w="540" w:type="dxa"/>
        <w:tblLayout w:type="fixed"/>
        <w:tblCellMar>
          <w:top w:w="0" w:type="dxa"/>
          <w:left w:w="108" w:type="dxa"/>
          <w:bottom w:w="0" w:type="dxa"/>
          <w:right w:w="108" w:type="dxa"/>
        </w:tblCellMar>
      </w:tblPr>
      <w:tblGrid>
        <w:gridCol w:w="4081"/>
        <w:gridCol w:w="3915"/>
      </w:tblGrid>
      <w:tr w14:paraId="43FFECC5">
        <w:tblPrEx>
          <w:tblCellMar>
            <w:top w:w="0" w:type="dxa"/>
            <w:left w:w="108" w:type="dxa"/>
            <w:bottom w:w="0" w:type="dxa"/>
            <w:right w:w="108" w:type="dxa"/>
          </w:tblCellMar>
        </w:tblPrEx>
        <w:trPr>
          <w:trHeight w:val="2638" w:hRule="atLeast"/>
        </w:trPr>
        <w:tc>
          <w:tcPr>
            <w:tcW w:w="4081" w:type="dxa"/>
            <w:tcBorders>
              <w:top w:val="single" w:color="auto" w:sz="6" w:space="0"/>
              <w:left w:val="single" w:color="auto" w:sz="6" w:space="0"/>
              <w:bottom w:val="single" w:color="auto" w:sz="6" w:space="0"/>
              <w:right w:val="single" w:color="auto" w:sz="6" w:space="0"/>
            </w:tcBorders>
            <w:vAlign w:val="center"/>
          </w:tcPr>
          <w:p w14:paraId="24C78114">
            <w:pPr>
              <w:rPr>
                <w:sz w:val="24"/>
                <w:szCs w:val="24"/>
              </w:rPr>
            </w:pPr>
          </w:p>
          <w:p w14:paraId="631CC018">
            <w:pPr>
              <w:rPr>
                <w:sz w:val="24"/>
                <w:szCs w:val="24"/>
              </w:rPr>
            </w:pPr>
            <w:r>
              <w:rPr>
                <w:sz w:val="24"/>
                <w:szCs w:val="24"/>
              </w:rPr>
              <w:t>法定代表人身份证复印件</w:t>
            </w:r>
          </w:p>
          <w:p w14:paraId="47116E3B">
            <w:pPr>
              <w:jc w:val="center"/>
              <w:rPr>
                <w:sz w:val="24"/>
                <w:szCs w:val="24"/>
              </w:rPr>
            </w:pPr>
            <w:r>
              <w:rPr>
                <w:rFonts w:hint="eastAsia"/>
                <w:sz w:val="24"/>
                <w:szCs w:val="24"/>
              </w:rPr>
              <w:t>（正面）</w:t>
            </w:r>
          </w:p>
        </w:tc>
        <w:tc>
          <w:tcPr>
            <w:tcW w:w="3915" w:type="dxa"/>
            <w:tcBorders>
              <w:top w:val="single" w:color="auto" w:sz="6" w:space="0"/>
              <w:left w:val="single" w:color="auto" w:sz="6" w:space="0"/>
              <w:bottom w:val="single" w:color="auto" w:sz="6" w:space="0"/>
              <w:right w:val="single" w:color="auto" w:sz="6" w:space="0"/>
            </w:tcBorders>
            <w:vAlign w:val="center"/>
          </w:tcPr>
          <w:p w14:paraId="08EA6774">
            <w:pPr>
              <w:rPr>
                <w:sz w:val="24"/>
                <w:szCs w:val="24"/>
              </w:rPr>
            </w:pPr>
          </w:p>
          <w:p w14:paraId="29F465BD">
            <w:pPr>
              <w:rPr>
                <w:sz w:val="24"/>
                <w:szCs w:val="24"/>
              </w:rPr>
            </w:pPr>
            <w:r>
              <w:rPr>
                <w:sz w:val="24"/>
                <w:szCs w:val="24"/>
              </w:rPr>
              <w:t>授权代表身份证复印件</w:t>
            </w:r>
          </w:p>
          <w:p w14:paraId="3B6D3C08">
            <w:pPr>
              <w:jc w:val="center"/>
              <w:rPr>
                <w:sz w:val="24"/>
                <w:szCs w:val="24"/>
              </w:rPr>
            </w:pPr>
            <w:r>
              <w:rPr>
                <w:rFonts w:hint="eastAsia"/>
                <w:sz w:val="24"/>
                <w:szCs w:val="24"/>
              </w:rPr>
              <w:t>（正面）</w:t>
            </w:r>
          </w:p>
        </w:tc>
      </w:tr>
      <w:tr w14:paraId="59EA5C71">
        <w:tblPrEx>
          <w:tblCellMar>
            <w:top w:w="0" w:type="dxa"/>
            <w:left w:w="108" w:type="dxa"/>
            <w:bottom w:w="0" w:type="dxa"/>
            <w:right w:w="108" w:type="dxa"/>
          </w:tblCellMar>
        </w:tblPrEx>
        <w:trPr>
          <w:trHeight w:val="2593" w:hRule="atLeast"/>
        </w:trPr>
        <w:tc>
          <w:tcPr>
            <w:tcW w:w="4081" w:type="dxa"/>
            <w:tcBorders>
              <w:top w:val="single" w:color="auto" w:sz="6" w:space="0"/>
              <w:left w:val="single" w:color="auto" w:sz="6" w:space="0"/>
              <w:bottom w:val="single" w:color="auto" w:sz="6" w:space="0"/>
              <w:right w:val="single" w:color="auto" w:sz="6" w:space="0"/>
            </w:tcBorders>
            <w:vAlign w:val="center"/>
          </w:tcPr>
          <w:p w14:paraId="2C7EE1AD">
            <w:pPr>
              <w:jc w:val="center"/>
              <w:rPr>
                <w:sz w:val="24"/>
                <w:szCs w:val="24"/>
              </w:rPr>
            </w:pPr>
            <w:r>
              <w:rPr>
                <w:rFonts w:hint="eastAsia"/>
                <w:sz w:val="24"/>
                <w:szCs w:val="24"/>
              </w:rPr>
              <w:t>（反面）</w:t>
            </w:r>
          </w:p>
        </w:tc>
        <w:tc>
          <w:tcPr>
            <w:tcW w:w="3915" w:type="dxa"/>
            <w:tcBorders>
              <w:top w:val="single" w:color="auto" w:sz="6" w:space="0"/>
              <w:left w:val="single" w:color="auto" w:sz="6" w:space="0"/>
              <w:bottom w:val="single" w:color="auto" w:sz="6" w:space="0"/>
              <w:right w:val="single" w:color="auto" w:sz="6" w:space="0"/>
            </w:tcBorders>
            <w:vAlign w:val="center"/>
          </w:tcPr>
          <w:p w14:paraId="50292111">
            <w:pPr>
              <w:jc w:val="center"/>
              <w:rPr>
                <w:sz w:val="24"/>
                <w:szCs w:val="24"/>
              </w:rPr>
            </w:pPr>
            <w:r>
              <w:rPr>
                <w:rFonts w:hint="eastAsia"/>
                <w:sz w:val="24"/>
                <w:szCs w:val="24"/>
              </w:rPr>
              <w:t>（反面）</w:t>
            </w:r>
          </w:p>
        </w:tc>
      </w:tr>
    </w:tbl>
    <w:p w14:paraId="087349F5">
      <w:pPr>
        <w:rPr>
          <w:sz w:val="24"/>
          <w:szCs w:val="24"/>
        </w:rPr>
      </w:pPr>
      <w:r>
        <w:rPr>
          <w:sz w:val="24"/>
          <w:szCs w:val="24"/>
        </w:rPr>
        <w:t xml:space="preserve">供 应 商：          （盖章）        </w:t>
      </w:r>
    </w:p>
    <w:p w14:paraId="4197B8D2">
      <w:pPr>
        <w:rPr>
          <w:sz w:val="24"/>
          <w:szCs w:val="24"/>
        </w:rPr>
      </w:pPr>
      <w:r>
        <w:rPr>
          <w:sz w:val="24"/>
          <w:szCs w:val="24"/>
        </w:rPr>
        <w:t>法定代表人:     （</w:t>
      </w:r>
      <w:r>
        <w:rPr>
          <w:rFonts w:hint="eastAsia"/>
          <w:sz w:val="24"/>
          <w:szCs w:val="24"/>
        </w:rPr>
        <w:t>签字或盖章</w:t>
      </w:r>
      <w:r>
        <w:rPr>
          <w:sz w:val="24"/>
          <w:szCs w:val="24"/>
        </w:rPr>
        <w:t xml:space="preserve">）  </w:t>
      </w:r>
    </w:p>
    <w:p w14:paraId="60A74946">
      <w:pPr>
        <w:rPr>
          <w:sz w:val="24"/>
          <w:szCs w:val="24"/>
        </w:rPr>
      </w:pPr>
      <w:r>
        <w:rPr>
          <w:sz w:val="24"/>
          <w:szCs w:val="24"/>
        </w:rPr>
        <w:t>被授权人：      （</w:t>
      </w:r>
      <w:r>
        <w:rPr>
          <w:rFonts w:hint="eastAsia"/>
          <w:sz w:val="24"/>
          <w:szCs w:val="24"/>
        </w:rPr>
        <w:t>签字或盖章</w:t>
      </w:r>
      <w:r>
        <w:rPr>
          <w:sz w:val="24"/>
          <w:szCs w:val="24"/>
        </w:rPr>
        <w:t xml:space="preserve">）       </w:t>
      </w:r>
    </w:p>
    <w:p w14:paraId="5DCB3D28">
      <w:pPr>
        <w:rPr>
          <w:sz w:val="24"/>
          <w:szCs w:val="24"/>
        </w:rPr>
      </w:pPr>
      <w:r>
        <w:rPr>
          <w:sz w:val="24"/>
          <w:szCs w:val="24"/>
        </w:rPr>
        <w:t xml:space="preserve">授权日期：  </w:t>
      </w:r>
    </w:p>
    <w:p w14:paraId="790114FE">
      <w:pPr>
        <w:rPr>
          <w:sz w:val="24"/>
          <w:szCs w:val="24"/>
        </w:rPr>
      </w:pPr>
      <w:r>
        <w:rPr>
          <w:sz w:val="24"/>
          <w:szCs w:val="24"/>
        </w:rPr>
        <w:t>说明：格式可自拟，本授权有效期自开标之日起不得少于90天。</w:t>
      </w:r>
      <w:r>
        <w:rPr>
          <w:sz w:val="24"/>
          <w:szCs w:val="24"/>
        </w:rPr>
        <w:br w:type="page"/>
      </w:r>
    </w:p>
    <w:p w14:paraId="70F3C423">
      <w:pPr>
        <w:jc w:val="center"/>
        <w:rPr>
          <w:sz w:val="24"/>
          <w:szCs w:val="24"/>
        </w:rPr>
      </w:pPr>
      <w:r>
        <w:rPr>
          <w:rFonts w:hint="eastAsia"/>
          <w:b/>
          <w:bCs/>
          <w:sz w:val="24"/>
          <w:szCs w:val="24"/>
          <w:lang w:val="en-US" w:eastAsia="zh-CN"/>
        </w:rPr>
        <w:t>五</w:t>
      </w:r>
      <w:r>
        <w:rPr>
          <w:b/>
          <w:bCs/>
          <w:sz w:val="24"/>
          <w:szCs w:val="24"/>
        </w:rPr>
        <w:t>、供应商基本情况表</w:t>
      </w:r>
    </w:p>
    <w:tbl>
      <w:tblPr>
        <w:tblStyle w:val="16"/>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2804"/>
        <w:gridCol w:w="1866"/>
        <w:gridCol w:w="2037"/>
      </w:tblGrid>
      <w:tr w14:paraId="609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762" w:type="dxa"/>
            <w:vAlign w:val="center"/>
          </w:tcPr>
          <w:p w14:paraId="6F3059A3">
            <w:pPr>
              <w:rPr>
                <w:sz w:val="24"/>
                <w:szCs w:val="24"/>
              </w:rPr>
            </w:pPr>
            <w:r>
              <w:rPr>
                <w:sz w:val="24"/>
                <w:szCs w:val="24"/>
              </w:rPr>
              <w:t>单位全称</w:t>
            </w:r>
          </w:p>
        </w:tc>
        <w:tc>
          <w:tcPr>
            <w:tcW w:w="6707" w:type="dxa"/>
            <w:gridSpan w:val="3"/>
            <w:vAlign w:val="center"/>
          </w:tcPr>
          <w:p w14:paraId="1C90D9E6">
            <w:pPr>
              <w:rPr>
                <w:sz w:val="24"/>
                <w:szCs w:val="24"/>
              </w:rPr>
            </w:pPr>
          </w:p>
        </w:tc>
      </w:tr>
      <w:tr w14:paraId="0072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762" w:type="dxa"/>
            <w:vAlign w:val="center"/>
          </w:tcPr>
          <w:p w14:paraId="0E1C0925">
            <w:pPr>
              <w:rPr>
                <w:sz w:val="24"/>
                <w:szCs w:val="24"/>
              </w:rPr>
            </w:pPr>
            <w:r>
              <w:rPr>
                <w:sz w:val="24"/>
                <w:szCs w:val="24"/>
              </w:rPr>
              <w:t>主要业务范围</w:t>
            </w:r>
          </w:p>
        </w:tc>
        <w:tc>
          <w:tcPr>
            <w:tcW w:w="6707" w:type="dxa"/>
            <w:gridSpan w:val="3"/>
            <w:vAlign w:val="center"/>
          </w:tcPr>
          <w:p w14:paraId="1D99E324">
            <w:pPr>
              <w:rPr>
                <w:sz w:val="24"/>
                <w:szCs w:val="24"/>
              </w:rPr>
            </w:pPr>
          </w:p>
        </w:tc>
      </w:tr>
      <w:tr w14:paraId="543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762" w:type="dxa"/>
            <w:vAlign w:val="center"/>
          </w:tcPr>
          <w:p w14:paraId="527DD130">
            <w:pPr>
              <w:rPr>
                <w:sz w:val="24"/>
                <w:szCs w:val="24"/>
              </w:rPr>
            </w:pPr>
            <w:r>
              <w:rPr>
                <w:sz w:val="24"/>
                <w:szCs w:val="24"/>
              </w:rPr>
              <w:t>法定代表人姓名</w:t>
            </w:r>
          </w:p>
        </w:tc>
        <w:tc>
          <w:tcPr>
            <w:tcW w:w="2804" w:type="dxa"/>
            <w:vAlign w:val="center"/>
          </w:tcPr>
          <w:p w14:paraId="0474E2AA">
            <w:pPr>
              <w:rPr>
                <w:sz w:val="24"/>
                <w:szCs w:val="24"/>
              </w:rPr>
            </w:pPr>
          </w:p>
        </w:tc>
        <w:tc>
          <w:tcPr>
            <w:tcW w:w="1866" w:type="dxa"/>
            <w:vAlign w:val="center"/>
          </w:tcPr>
          <w:p w14:paraId="38F24216">
            <w:pPr>
              <w:rPr>
                <w:sz w:val="24"/>
                <w:szCs w:val="24"/>
              </w:rPr>
            </w:pPr>
            <w:r>
              <w:rPr>
                <w:sz w:val="24"/>
                <w:szCs w:val="24"/>
              </w:rPr>
              <w:t>职   务</w:t>
            </w:r>
          </w:p>
        </w:tc>
        <w:tc>
          <w:tcPr>
            <w:tcW w:w="2037" w:type="dxa"/>
            <w:vAlign w:val="center"/>
          </w:tcPr>
          <w:p w14:paraId="4A0214C5">
            <w:pPr>
              <w:rPr>
                <w:sz w:val="24"/>
                <w:szCs w:val="24"/>
              </w:rPr>
            </w:pPr>
          </w:p>
        </w:tc>
      </w:tr>
      <w:tr w14:paraId="5D7E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762" w:type="dxa"/>
            <w:vAlign w:val="center"/>
          </w:tcPr>
          <w:p w14:paraId="380F3FE2">
            <w:pPr>
              <w:rPr>
                <w:sz w:val="24"/>
                <w:szCs w:val="24"/>
              </w:rPr>
            </w:pPr>
            <w:r>
              <w:rPr>
                <w:sz w:val="24"/>
                <w:szCs w:val="24"/>
              </w:rPr>
              <w:t>地   址</w:t>
            </w:r>
          </w:p>
        </w:tc>
        <w:tc>
          <w:tcPr>
            <w:tcW w:w="2804" w:type="dxa"/>
            <w:vAlign w:val="center"/>
          </w:tcPr>
          <w:p w14:paraId="5B8F66ED">
            <w:pPr>
              <w:rPr>
                <w:sz w:val="24"/>
                <w:szCs w:val="24"/>
              </w:rPr>
            </w:pPr>
          </w:p>
        </w:tc>
        <w:tc>
          <w:tcPr>
            <w:tcW w:w="1866" w:type="dxa"/>
            <w:vAlign w:val="center"/>
          </w:tcPr>
          <w:p w14:paraId="51E154B1">
            <w:pPr>
              <w:rPr>
                <w:sz w:val="24"/>
                <w:szCs w:val="24"/>
              </w:rPr>
            </w:pPr>
            <w:r>
              <w:rPr>
                <w:sz w:val="24"/>
                <w:szCs w:val="24"/>
              </w:rPr>
              <w:t>邮政编码</w:t>
            </w:r>
          </w:p>
        </w:tc>
        <w:tc>
          <w:tcPr>
            <w:tcW w:w="2037" w:type="dxa"/>
            <w:vAlign w:val="center"/>
          </w:tcPr>
          <w:p w14:paraId="61E09B3D">
            <w:pPr>
              <w:rPr>
                <w:sz w:val="24"/>
                <w:szCs w:val="24"/>
              </w:rPr>
            </w:pPr>
          </w:p>
        </w:tc>
      </w:tr>
      <w:tr w14:paraId="2C2B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762" w:type="dxa"/>
            <w:vAlign w:val="center"/>
          </w:tcPr>
          <w:p w14:paraId="07E7131B">
            <w:pPr>
              <w:rPr>
                <w:sz w:val="24"/>
                <w:szCs w:val="24"/>
              </w:rPr>
            </w:pPr>
            <w:r>
              <w:rPr>
                <w:sz w:val="24"/>
                <w:szCs w:val="24"/>
              </w:rPr>
              <w:t>电    话</w:t>
            </w:r>
          </w:p>
        </w:tc>
        <w:tc>
          <w:tcPr>
            <w:tcW w:w="2804" w:type="dxa"/>
            <w:vAlign w:val="center"/>
          </w:tcPr>
          <w:p w14:paraId="66CF27C2">
            <w:pPr>
              <w:rPr>
                <w:sz w:val="24"/>
                <w:szCs w:val="24"/>
              </w:rPr>
            </w:pPr>
          </w:p>
        </w:tc>
        <w:tc>
          <w:tcPr>
            <w:tcW w:w="1866" w:type="dxa"/>
            <w:vAlign w:val="center"/>
          </w:tcPr>
          <w:p w14:paraId="145EF8E2">
            <w:pPr>
              <w:rPr>
                <w:sz w:val="24"/>
                <w:szCs w:val="24"/>
              </w:rPr>
            </w:pPr>
            <w:r>
              <w:rPr>
                <w:sz w:val="24"/>
                <w:szCs w:val="24"/>
              </w:rPr>
              <w:t>传   真</w:t>
            </w:r>
          </w:p>
        </w:tc>
        <w:tc>
          <w:tcPr>
            <w:tcW w:w="2037" w:type="dxa"/>
            <w:vAlign w:val="center"/>
          </w:tcPr>
          <w:p w14:paraId="1FCB7087">
            <w:pPr>
              <w:rPr>
                <w:sz w:val="24"/>
                <w:szCs w:val="24"/>
              </w:rPr>
            </w:pPr>
          </w:p>
        </w:tc>
      </w:tr>
      <w:tr w14:paraId="6614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762" w:type="dxa"/>
            <w:vAlign w:val="center"/>
          </w:tcPr>
          <w:p w14:paraId="69CE2F7F">
            <w:pPr>
              <w:rPr>
                <w:sz w:val="24"/>
                <w:szCs w:val="24"/>
              </w:rPr>
            </w:pPr>
            <w:r>
              <w:rPr>
                <w:sz w:val="24"/>
                <w:szCs w:val="24"/>
              </w:rPr>
              <w:t>成 立 日 期</w:t>
            </w:r>
          </w:p>
        </w:tc>
        <w:tc>
          <w:tcPr>
            <w:tcW w:w="2804" w:type="dxa"/>
            <w:vAlign w:val="center"/>
          </w:tcPr>
          <w:p w14:paraId="67B92FF5">
            <w:pPr>
              <w:rPr>
                <w:sz w:val="24"/>
                <w:szCs w:val="24"/>
              </w:rPr>
            </w:pPr>
          </w:p>
        </w:tc>
        <w:tc>
          <w:tcPr>
            <w:tcW w:w="1866" w:type="dxa"/>
            <w:vAlign w:val="center"/>
          </w:tcPr>
          <w:p w14:paraId="6C2E319F">
            <w:pPr>
              <w:rPr>
                <w:sz w:val="24"/>
                <w:szCs w:val="24"/>
              </w:rPr>
            </w:pPr>
            <w:r>
              <w:rPr>
                <w:sz w:val="24"/>
                <w:szCs w:val="24"/>
              </w:rPr>
              <w:t>现 有 职</w:t>
            </w:r>
          </w:p>
          <w:p w14:paraId="51341555">
            <w:pPr>
              <w:rPr>
                <w:sz w:val="24"/>
                <w:szCs w:val="24"/>
              </w:rPr>
            </w:pPr>
            <w:r>
              <w:rPr>
                <w:sz w:val="24"/>
                <w:szCs w:val="24"/>
              </w:rPr>
              <w:t>工 人 数</w:t>
            </w:r>
          </w:p>
        </w:tc>
        <w:tc>
          <w:tcPr>
            <w:tcW w:w="2037" w:type="dxa"/>
            <w:vAlign w:val="center"/>
          </w:tcPr>
          <w:p w14:paraId="677C6937">
            <w:pPr>
              <w:rPr>
                <w:sz w:val="24"/>
                <w:szCs w:val="24"/>
              </w:rPr>
            </w:pPr>
          </w:p>
        </w:tc>
      </w:tr>
    </w:tbl>
    <w:p w14:paraId="0BA7D3EA">
      <w:pPr>
        <w:rPr>
          <w:sz w:val="24"/>
          <w:szCs w:val="24"/>
        </w:rPr>
      </w:pPr>
    </w:p>
    <w:p w14:paraId="3E89A245">
      <w:pPr>
        <w:rPr>
          <w:sz w:val="24"/>
          <w:szCs w:val="24"/>
        </w:rPr>
      </w:pPr>
      <w:r>
        <w:rPr>
          <w:sz w:val="24"/>
          <w:szCs w:val="24"/>
        </w:rPr>
        <w:t>供应商（盖章）：              </w:t>
      </w:r>
    </w:p>
    <w:p w14:paraId="2F9143D0">
      <w:pPr>
        <w:rPr>
          <w:sz w:val="24"/>
          <w:szCs w:val="24"/>
        </w:rPr>
      </w:pPr>
      <w:r>
        <w:rPr>
          <w:sz w:val="24"/>
          <w:szCs w:val="24"/>
        </w:rPr>
        <w:t>法定代表人或授权代理人签字：       </w:t>
      </w:r>
    </w:p>
    <w:p w14:paraId="3AEFD9BB">
      <w:pPr>
        <w:rPr>
          <w:sz w:val="24"/>
          <w:szCs w:val="24"/>
        </w:rPr>
      </w:pPr>
      <w:r>
        <w:rPr>
          <w:sz w:val="24"/>
          <w:szCs w:val="24"/>
        </w:rPr>
        <w:t xml:space="preserve">日期：  </w:t>
      </w:r>
    </w:p>
    <w:p w14:paraId="2D0C8000">
      <w:pPr>
        <w:rPr>
          <w:sz w:val="24"/>
          <w:szCs w:val="24"/>
        </w:rPr>
      </w:pPr>
    </w:p>
    <w:p w14:paraId="5DC118E8">
      <w:pPr>
        <w:jc w:val="center"/>
        <w:rPr>
          <w:b/>
          <w:bCs/>
          <w:sz w:val="24"/>
          <w:szCs w:val="24"/>
        </w:rPr>
      </w:pPr>
      <w:r>
        <w:rPr>
          <w:b/>
          <w:bCs/>
          <w:sz w:val="24"/>
          <w:szCs w:val="24"/>
        </w:rPr>
        <w:br w:type="page"/>
      </w:r>
    </w:p>
    <w:p w14:paraId="7EEACDAB">
      <w:pPr>
        <w:pStyle w:val="4"/>
        <w:jc w:val="center"/>
        <w:rPr>
          <w:b/>
          <w:bCs/>
          <w:sz w:val="24"/>
          <w:szCs w:val="24"/>
        </w:rPr>
      </w:pPr>
      <w:r>
        <w:rPr>
          <w:rFonts w:hint="eastAsia"/>
          <w:b/>
          <w:bCs/>
          <w:sz w:val="24"/>
          <w:szCs w:val="24"/>
          <w:lang w:val="en-US" w:eastAsia="zh-CN"/>
        </w:rPr>
        <w:t>六</w:t>
      </w:r>
      <w:r>
        <w:rPr>
          <w:b/>
          <w:bCs/>
          <w:sz w:val="24"/>
          <w:szCs w:val="24"/>
        </w:rPr>
        <w:t>、拟组建承担本项目的项目组人员情况</w:t>
      </w:r>
    </w:p>
    <w:tbl>
      <w:tblPr>
        <w:tblStyle w:val="16"/>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036"/>
        <w:gridCol w:w="1036"/>
        <w:gridCol w:w="1036"/>
        <w:gridCol w:w="1163"/>
        <w:gridCol w:w="3130"/>
      </w:tblGrid>
      <w:tr w14:paraId="0FAE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1767" w:type="dxa"/>
            <w:vAlign w:val="center"/>
          </w:tcPr>
          <w:p w14:paraId="1732896E">
            <w:pPr>
              <w:pStyle w:val="4"/>
              <w:jc w:val="center"/>
              <w:rPr>
                <w:sz w:val="24"/>
                <w:szCs w:val="24"/>
              </w:rPr>
            </w:pPr>
            <w:r>
              <w:rPr>
                <w:sz w:val="24"/>
                <w:szCs w:val="24"/>
              </w:rPr>
              <w:t>人员类别</w:t>
            </w:r>
          </w:p>
        </w:tc>
        <w:tc>
          <w:tcPr>
            <w:tcW w:w="1036" w:type="dxa"/>
            <w:vAlign w:val="center"/>
          </w:tcPr>
          <w:p w14:paraId="1D777505">
            <w:pPr>
              <w:pStyle w:val="4"/>
              <w:jc w:val="center"/>
              <w:rPr>
                <w:sz w:val="24"/>
                <w:szCs w:val="24"/>
              </w:rPr>
            </w:pPr>
            <w:r>
              <w:rPr>
                <w:sz w:val="24"/>
                <w:szCs w:val="24"/>
              </w:rPr>
              <w:t>姓名</w:t>
            </w:r>
          </w:p>
        </w:tc>
        <w:tc>
          <w:tcPr>
            <w:tcW w:w="1036" w:type="dxa"/>
            <w:vAlign w:val="center"/>
          </w:tcPr>
          <w:p w14:paraId="27D0BD2E">
            <w:pPr>
              <w:pStyle w:val="4"/>
              <w:jc w:val="center"/>
              <w:rPr>
                <w:sz w:val="24"/>
                <w:szCs w:val="24"/>
              </w:rPr>
            </w:pPr>
            <w:r>
              <w:rPr>
                <w:sz w:val="24"/>
                <w:szCs w:val="24"/>
              </w:rPr>
              <w:t>年龄</w:t>
            </w:r>
          </w:p>
        </w:tc>
        <w:tc>
          <w:tcPr>
            <w:tcW w:w="1036" w:type="dxa"/>
            <w:vAlign w:val="center"/>
          </w:tcPr>
          <w:p w14:paraId="2D13B0AC">
            <w:pPr>
              <w:pStyle w:val="4"/>
              <w:jc w:val="center"/>
              <w:rPr>
                <w:sz w:val="24"/>
                <w:szCs w:val="24"/>
              </w:rPr>
            </w:pPr>
            <w:r>
              <w:rPr>
                <w:sz w:val="24"/>
                <w:szCs w:val="24"/>
              </w:rPr>
              <w:t>性别</w:t>
            </w:r>
          </w:p>
        </w:tc>
        <w:tc>
          <w:tcPr>
            <w:tcW w:w="1163" w:type="dxa"/>
            <w:vAlign w:val="center"/>
          </w:tcPr>
          <w:p w14:paraId="51DC0871">
            <w:pPr>
              <w:pStyle w:val="4"/>
              <w:jc w:val="center"/>
              <w:rPr>
                <w:sz w:val="24"/>
                <w:szCs w:val="24"/>
              </w:rPr>
            </w:pPr>
            <w:r>
              <w:rPr>
                <w:sz w:val="24"/>
                <w:szCs w:val="24"/>
              </w:rPr>
              <w:t>职务</w:t>
            </w:r>
            <w:r>
              <w:rPr>
                <w:rFonts w:hint="eastAsia"/>
                <w:sz w:val="24"/>
                <w:szCs w:val="24"/>
              </w:rPr>
              <w:t>或</w:t>
            </w:r>
          </w:p>
          <w:p w14:paraId="11BE1CA9">
            <w:pPr>
              <w:pStyle w:val="4"/>
              <w:jc w:val="center"/>
              <w:rPr>
                <w:sz w:val="24"/>
                <w:szCs w:val="24"/>
              </w:rPr>
            </w:pPr>
            <w:r>
              <w:rPr>
                <w:sz w:val="24"/>
                <w:szCs w:val="24"/>
              </w:rPr>
              <w:t>职称</w:t>
            </w:r>
          </w:p>
        </w:tc>
        <w:tc>
          <w:tcPr>
            <w:tcW w:w="3130" w:type="dxa"/>
            <w:vAlign w:val="center"/>
          </w:tcPr>
          <w:p w14:paraId="4ED5EBB4">
            <w:pPr>
              <w:pStyle w:val="4"/>
              <w:jc w:val="center"/>
              <w:rPr>
                <w:sz w:val="24"/>
                <w:szCs w:val="24"/>
              </w:rPr>
            </w:pPr>
            <w:r>
              <w:rPr>
                <w:sz w:val="24"/>
                <w:szCs w:val="24"/>
              </w:rPr>
              <w:t>拟在本项目中承担分工</w:t>
            </w:r>
          </w:p>
        </w:tc>
      </w:tr>
      <w:tr w14:paraId="4989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767" w:type="dxa"/>
            <w:vAlign w:val="center"/>
          </w:tcPr>
          <w:p w14:paraId="3DC2EF8E">
            <w:pPr>
              <w:pStyle w:val="4"/>
              <w:jc w:val="center"/>
              <w:rPr>
                <w:sz w:val="24"/>
                <w:szCs w:val="24"/>
              </w:rPr>
            </w:pPr>
            <w:r>
              <w:rPr>
                <w:sz w:val="24"/>
                <w:szCs w:val="24"/>
              </w:rPr>
              <w:t>项目</w:t>
            </w:r>
          </w:p>
          <w:p w14:paraId="3459FAA7">
            <w:pPr>
              <w:pStyle w:val="4"/>
              <w:jc w:val="center"/>
              <w:rPr>
                <w:sz w:val="24"/>
                <w:szCs w:val="24"/>
              </w:rPr>
            </w:pPr>
            <w:r>
              <w:rPr>
                <w:sz w:val="24"/>
                <w:szCs w:val="24"/>
              </w:rPr>
              <w:t>负责人</w:t>
            </w:r>
          </w:p>
        </w:tc>
        <w:tc>
          <w:tcPr>
            <w:tcW w:w="1036" w:type="dxa"/>
            <w:vAlign w:val="center"/>
          </w:tcPr>
          <w:p w14:paraId="455FDD57">
            <w:pPr>
              <w:pStyle w:val="4"/>
              <w:jc w:val="center"/>
              <w:rPr>
                <w:sz w:val="24"/>
                <w:szCs w:val="24"/>
              </w:rPr>
            </w:pPr>
          </w:p>
        </w:tc>
        <w:tc>
          <w:tcPr>
            <w:tcW w:w="1036" w:type="dxa"/>
            <w:vAlign w:val="center"/>
          </w:tcPr>
          <w:p w14:paraId="04688F95">
            <w:pPr>
              <w:pStyle w:val="4"/>
              <w:jc w:val="center"/>
              <w:rPr>
                <w:sz w:val="24"/>
                <w:szCs w:val="24"/>
              </w:rPr>
            </w:pPr>
          </w:p>
        </w:tc>
        <w:tc>
          <w:tcPr>
            <w:tcW w:w="1036" w:type="dxa"/>
            <w:vAlign w:val="center"/>
          </w:tcPr>
          <w:p w14:paraId="616C48CF">
            <w:pPr>
              <w:pStyle w:val="4"/>
              <w:jc w:val="center"/>
              <w:rPr>
                <w:sz w:val="24"/>
                <w:szCs w:val="24"/>
              </w:rPr>
            </w:pPr>
          </w:p>
        </w:tc>
        <w:tc>
          <w:tcPr>
            <w:tcW w:w="1163" w:type="dxa"/>
            <w:vAlign w:val="center"/>
          </w:tcPr>
          <w:p w14:paraId="181834A0">
            <w:pPr>
              <w:pStyle w:val="4"/>
              <w:jc w:val="center"/>
              <w:rPr>
                <w:sz w:val="24"/>
                <w:szCs w:val="24"/>
              </w:rPr>
            </w:pPr>
          </w:p>
        </w:tc>
        <w:tc>
          <w:tcPr>
            <w:tcW w:w="3130" w:type="dxa"/>
            <w:vAlign w:val="center"/>
          </w:tcPr>
          <w:p w14:paraId="4FA61C63">
            <w:pPr>
              <w:pStyle w:val="4"/>
              <w:jc w:val="center"/>
              <w:rPr>
                <w:sz w:val="24"/>
                <w:szCs w:val="24"/>
              </w:rPr>
            </w:pPr>
          </w:p>
        </w:tc>
      </w:tr>
      <w:tr w14:paraId="6256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restart"/>
            <w:vAlign w:val="center"/>
          </w:tcPr>
          <w:p w14:paraId="0514F02B">
            <w:pPr>
              <w:pStyle w:val="4"/>
              <w:jc w:val="center"/>
              <w:rPr>
                <w:sz w:val="24"/>
                <w:szCs w:val="24"/>
              </w:rPr>
            </w:pPr>
            <w:r>
              <w:rPr>
                <w:sz w:val="24"/>
                <w:szCs w:val="24"/>
              </w:rPr>
              <w:t>其 他</w:t>
            </w:r>
          </w:p>
          <w:p w14:paraId="20D1EF11">
            <w:pPr>
              <w:pStyle w:val="4"/>
              <w:jc w:val="center"/>
              <w:rPr>
                <w:sz w:val="24"/>
                <w:szCs w:val="24"/>
              </w:rPr>
            </w:pPr>
            <w:r>
              <w:rPr>
                <w:sz w:val="24"/>
                <w:szCs w:val="24"/>
              </w:rPr>
              <w:t>人 员</w:t>
            </w:r>
          </w:p>
        </w:tc>
        <w:tc>
          <w:tcPr>
            <w:tcW w:w="1036" w:type="dxa"/>
            <w:vAlign w:val="center"/>
          </w:tcPr>
          <w:p w14:paraId="44895E9A">
            <w:pPr>
              <w:pStyle w:val="4"/>
              <w:jc w:val="center"/>
              <w:rPr>
                <w:sz w:val="24"/>
                <w:szCs w:val="24"/>
              </w:rPr>
            </w:pPr>
          </w:p>
        </w:tc>
        <w:tc>
          <w:tcPr>
            <w:tcW w:w="1036" w:type="dxa"/>
            <w:vAlign w:val="center"/>
          </w:tcPr>
          <w:p w14:paraId="43C50B55">
            <w:pPr>
              <w:pStyle w:val="4"/>
              <w:jc w:val="center"/>
              <w:rPr>
                <w:sz w:val="24"/>
                <w:szCs w:val="24"/>
              </w:rPr>
            </w:pPr>
          </w:p>
        </w:tc>
        <w:tc>
          <w:tcPr>
            <w:tcW w:w="1036" w:type="dxa"/>
            <w:vAlign w:val="center"/>
          </w:tcPr>
          <w:p w14:paraId="28DD8885">
            <w:pPr>
              <w:pStyle w:val="4"/>
              <w:jc w:val="center"/>
              <w:rPr>
                <w:sz w:val="24"/>
                <w:szCs w:val="24"/>
              </w:rPr>
            </w:pPr>
          </w:p>
        </w:tc>
        <w:tc>
          <w:tcPr>
            <w:tcW w:w="1163" w:type="dxa"/>
            <w:vAlign w:val="center"/>
          </w:tcPr>
          <w:p w14:paraId="494D0B70">
            <w:pPr>
              <w:pStyle w:val="4"/>
              <w:jc w:val="center"/>
              <w:rPr>
                <w:sz w:val="24"/>
                <w:szCs w:val="24"/>
              </w:rPr>
            </w:pPr>
          </w:p>
        </w:tc>
        <w:tc>
          <w:tcPr>
            <w:tcW w:w="3130" w:type="dxa"/>
            <w:vAlign w:val="center"/>
          </w:tcPr>
          <w:p w14:paraId="486E77EE">
            <w:pPr>
              <w:pStyle w:val="4"/>
              <w:jc w:val="center"/>
              <w:rPr>
                <w:sz w:val="24"/>
                <w:szCs w:val="24"/>
              </w:rPr>
            </w:pPr>
          </w:p>
        </w:tc>
      </w:tr>
      <w:tr w14:paraId="70D2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continue"/>
            <w:vAlign w:val="center"/>
          </w:tcPr>
          <w:p w14:paraId="0A695443">
            <w:pPr>
              <w:pStyle w:val="4"/>
              <w:jc w:val="center"/>
              <w:rPr>
                <w:sz w:val="24"/>
                <w:szCs w:val="24"/>
              </w:rPr>
            </w:pPr>
          </w:p>
        </w:tc>
        <w:tc>
          <w:tcPr>
            <w:tcW w:w="1036" w:type="dxa"/>
            <w:vAlign w:val="center"/>
          </w:tcPr>
          <w:p w14:paraId="07C7FE20">
            <w:pPr>
              <w:pStyle w:val="4"/>
              <w:jc w:val="center"/>
              <w:rPr>
                <w:sz w:val="24"/>
                <w:szCs w:val="24"/>
              </w:rPr>
            </w:pPr>
          </w:p>
        </w:tc>
        <w:tc>
          <w:tcPr>
            <w:tcW w:w="1036" w:type="dxa"/>
            <w:vAlign w:val="center"/>
          </w:tcPr>
          <w:p w14:paraId="7AFFF98F">
            <w:pPr>
              <w:pStyle w:val="4"/>
              <w:jc w:val="center"/>
              <w:rPr>
                <w:sz w:val="24"/>
                <w:szCs w:val="24"/>
              </w:rPr>
            </w:pPr>
          </w:p>
        </w:tc>
        <w:tc>
          <w:tcPr>
            <w:tcW w:w="1036" w:type="dxa"/>
            <w:vAlign w:val="center"/>
          </w:tcPr>
          <w:p w14:paraId="3C619D86">
            <w:pPr>
              <w:pStyle w:val="4"/>
              <w:jc w:val="center"/>
              <w:rPr>
                <w:sz w:val="24"/>
                <w:szCs w:val="24"/>
              </w:rPr>
            </w:pPr>
          </w:p>
        </w:tc>
        <w:tc>
          <w:tcPr>
            <w:tcW w:w="1163" w:type="dxa"/>
            <w:vAlign w:val="center"/>
          </w:tcPr>
          <w:p w14:paraId="2CBC99CC">
            <w:pPr>
              <w:pStyle w:val="4"/>
              <w:jc w:val="center"/>
              <w:rPr>
                <w:sz w:val="24"/>
                <w:szCs w:val="24"/>
              </w:rPr>
            </w:pPr>
          </w:p>
        </w:tc>
        <w:tc>
          <w:tcPr>
            <w:tcW w:w="3130" w:type="dxa"/>
            <w:vAlign w:val="center"/>
          </w:tcPr>
          <w:p w14:paraId="149A806E">
            <w:pPr>
              <w:pStyle w:val="4"/>
              <w:jc w:val="center"/>
              <w:rPr>
                <w:sz w:val="24"/>
                <w:szCs w:val="24"/>
              </w:rPr>
            </w:pPr>
          </w:p>
        </w:tc>
      </w:tr>
      <w:tr w14:paraId="4BA6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continue"/>
            <w:vAlign w:val="center"/>
          </w:tcPr>
          <w:p w14:paraId="54595E9E">
            <w:pPr>
              <w:pStyle w:val="4"/>
              <w:jc w:val="center"/>
              <w:rPr>
                <w:sz w:val="24"/>
                <w:szCs w:val="24"/>
              </w:rPr>
            </w:pPr>
          </w:p>
        </w:tc>
        <w:tc>
          <w:tcPr>
            <w:tcW w:w="1036" w:type="dxa"/>
            <w:vAlign w:val="center"/>
          </w:tcPr>
          <w:p w14:paraId="7B9FD5A6">
            <w:pPr>
              <w:pStyle w:val="4"/>
              <w:jc w:val="center"/>
              <w:rPr>
                <w:sz w:val="24"/>
                <w:szCs w:val="24"/>
              </w:rPr>
            </w:pPr>
          </w:p>
        </w:tc>
        <w:tc>
          <w:tcPr>
            <w:tcW w:w="1036" w:type="dxa"/>
            <w:vAlign w:val="center"/>
          </w:tcPr>
          <w:p w14:paraId="11A5A87E">
            <w:pPr>
              <w:pStyle w:val="4"/>
              <w:jc w:val="center"/>
              <w:rPr>
                <w:sz w:val="24"/>
                <w:szCs w:val="24"/>
              </w:rPr>
            </w:pPr>
          </w:p>
        </w:tc>
        <w:tc>
          <w:tcPr>
            <w:tcW w:w="1036" w:type="dxa"/>
            <w:vAlign w:val="center"/>
          </w:tcPr>
          <w:p w14:paraId="7231C4AA">
            <w:pPr>
              <w:pStyle w:val="4"/>
              <w:jc w:val="center"/>
              <w:rPr>
                <w:sz w:val="24"/>
                <w:szCs w:val="24"/>
              </w:rPr>
            </w:pPr>
          </w:p>
        </w:tc>
        <w:tc>
          <w:tcPr>
            <w:tcW w:w="1163" w:type="dxa"/>
            <w:vAlign w:val="center"/>
          </w:tcPr>
          <w:p w14:paraId="236A6E42">
            <w:pPr>
              <w:pStyle w:val="4"/>
              <w:jc w:val="center"/>
              <w:rPr>
                <w:sz w:val="24"/>
                <w:szCs w:val="24"/>
              </w:rPr>
            </w:pPr>
          </w:p>
        </w:tc>
        <w:tc>
          <w:tcPr>
            <w:tcW w:w="3130" w:type="dxa"/>
            <w:vAlign w:val="center"/>
          </w:tcPr>
          <w:p w14:paraId="5620DE1D">
            <w:pPr>
              <w:pStyle w:val="4"/>
              <w:jc w:val="center"/>
              <w:rPr>
                <w:sz w:val="24"/>
                <w:szCs w:val="24"/>
              </w:rPr>
            </w:pPr>
          </w:p>
        </w:tc>
      </w:tr>
      <w:tr w14:paraId="7FE9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continue"/>
            <w:vAlign w:val="center"/>
          </w:tcPr>
          <w:p w14:paraId="0266387E">
            <w:pPr>
              <w:pStyle w:val="4"/>
              <w:jc w:val="center"/>
              <w:rPr>
                <w:sz w:val="24"/>
                <w:szCs w:val="24"/>
              </w:rPr>
            </w:pPr>
          </w:p>
        </w:tc>
        <w:tc>
          <w:tcPr>
            <w:tcW w:w="1036" w:type="dxa"/>
            <w:vAlign w:val="center"/>
          </w:tcPr>
          <w:p w14:paraId="35BDCAB5">
            <w:pPr>
              <w:pStyle w:val="4"/>
              <w:jc w:val="center"/>
              <w:rPr>
                <w:sz w:val="24"/>
                <w:szCs w:val="24"/>
              </w:rPr>
            </w:pPr>
          </w:p>
        </w:tc>
        <w:tc>
          <w:tcPr>
            <w:tcW w:w="1036" w:type="dxa"/>
            <w:vAlign w:val="center"/>
          </w:tcPr>
          <w:p w14:paraId="6A292284">
            <w:pPr>
              <w:pStyle w:val="4"/>
              <w:jc w:val="center"/>
              <w:rPr>
                <w:sz w:val="24"/>
                <w:szCs w:val="24"/>
              </w:rPr>
            </w:pPr>
          </w:p>
        </w:tc>
        <w:tc>
          <w:tcPr>
            <w:tcW w:w="1036" w:type="dxa"/>
            <w:vAlign w:val="center"/>
          </w:tcPr>
          <w:p w14:paraId="4C602392">
            <w:pPr>
              <w:pStyle w:val="4"/>
              <w:jc w:val="center"/>
              <w:rPr>
                <w:sz w:val="24"/>
                <w:szCs w:val="24"/>
              </w:rPr>
            </w:pPr>
          </w:p>
        </w:tc>
        <w:tc>
          <w:tcPr>
            <w:tcW w:w="1163" w:type="dxa"/>
            <w:vAlign w:val="center"/>
          </w:tcPr>
          <w:p w14:paraId="2325A66C">
            <w:pPr>
              <w:pStyle w:val="4"/>
              <w:jc w:val="center"/>
              <w:rPr>
                <w:sz w:val="24"/>
                <w:szCs w:val="24"/>
              </w:rPr>
            </w:pPr>
          </w:p>
        </w:tc>
        <w:tc>
          <w:tcPr>
            <w:tcW w:w="3130" w:type="dxa"/>
            <w:vAlign w:val="center"/>
          </w:tcPr>
          <w:p w14:paraId="68DC24FD">
            <w:pPr>
              <w:pStyle w:val="4"/>
              <w:jc w:val="center"/>
              <w:rPr>
                <w:sz w:val="24"/>
                <w:szCs w:val="24"/>
              </w:rPr>
            </w:pPr>
          </w:p>
        </w:tc>
      </w:tr>
      <w:tr w14:paraId="7E00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continue"/>
            <w:vAlign w:val="center"/>
          </w:tcPr>
          <w:p w14:paraId="293CE940">
            <w:pPr>
              <w:pStyle w:val="4"/>
              <w:jc w:val="center"/>
              <w:rPr>
                <w:sz w:val="24"/>
                <w:szCs w:val="24"/>
              </w:rPr>
            </w:pPr>
          </w:p>
        </w:tc>
        <w:tc>
          <w:tcPr>
            <w:tcW w:w="1036" w:type="dxa"/>
            <w:vAlign w:val="center"/>
          </w:tcPr>
          <w:p w14:paraId="31372FAA">
            <w:pPr>
              <w:pStyle w:val="4"/>
              <w:jc w:val="center"/>
              <w:rPr>
                <w:sz w:val="24"/>
                <w:szCs w:val="24"/>
              </w:rPr>
            </w:pPr>
          </w:p>
        </w:tc>
        <w:tc>
          <w:tcPr>
            <w:tcW w:w="1036" w:type="dxa"/>
            <w:vAlign w:val="center"/>
          </w:tcPr>
          <w:p w14:paraId="211745B3">
            <w:pPr>
              <w:pStyle w:val="4"/>
              <w:jc w:val="center"/>
              <w:rPr>
                <w:sz w:val="24"/>
                <w:szCs w:val="24"/>
              </w:rPr>
            </w:pPr>
          </w:p>
        </w:tc>
        <w:tc>
          <w:tcPr>
            <w:tcW w:w="1036" w:type="dxa"/>
            <w:vAlign w:val="center"/>
          </w:tcPr>
          <w:p w14:paraId="2C94D67B">
            <w:pPr>
              <w:pStyle w:val="4"/>
              <w:jc w:val="center"/>
              <w:rPr>
                <w:sz w:val="24"/>
                <w:szCs w:val="24"/>
              </w:rPr>
            </w:pPr>
          </w:p>
        </w:tc>
        <w:tc>
          <w:tcPr>
            <w:tcW w:w="1163" w:type="dxa"/>
            <w:vAlign w:val="center"/>
          </w:tcPr>
          <w:p w14:paraId="5D5090D3">
            <w:pPr>
              <w:pStyle w:val="4"/>
              <w:jc w:val="center"/>
              <w:rPr>
                <w:sz w:val="24"/>
                <w:szCs w:val="24"/>
              </w:rPr>
            </w:pPr>
          </w:p>
        </w:tc>
        <w:tc>
          <w:tcPr>
            <w:tcW w:w="3130" w:type="dxa"/>
            <w:vAlign w:val="center"/>
          </w:tcPr>
          <w:p w14:paraId="335DDC03">
            <w:pPr>
              <w:pStyle w:val="4"/>
              <w:jc w:val="center"/>
              <w:rPr>
                <w:sz w:val="24"/>
                <w:szCs w:val="24"/>
              </w:rPr>
            </w:pPr>
          </w:p>
        </w:tc>
      </w:tr>
      <w:tr w14:paraId="569E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continue"/>
            <w:vAlign w:val="center"/>
          </w:tcPr>
          <w:p w14:paraId="71300E8D">
            <w:pPr>
              <w:pStyle w:val="4"/>
              <w:jc w:val="center"/>
              <w:rPr>
                <w:sz w:val="24"/>
                <w:szCs w:val="24"/>
              </w:rPr>
            </w:pPr>
          </w:p>
        </w:tc>
        <w:tc>
          <w:tcPr>
            <w:tcW w:w="1036" w:type="dxa"/>
            <w:vAlign w:val="center"/>
          </w:tcPr>
          <w:p w14:paraId="26B21EBE">
            <w:pPr>
              <w:pStyle w:val="4"/>
              <w:jc w:val="center"/>
              <w:rPr>
                <w:sz w:val="24"/>
                <w:szCs w:val="24"/>
              </w:rPr>
            </w:pPr>
          </w:p>
        </w:tc>
        <w:tc>
          <w:tcPr>
            <w:tcW w:w="1036" w:type="dxa"/>
            <w:vAlign w:val="center"/>
          </w:tcPr>
          <w:p w14:paraId="3BC73F1C">
            <w:pPr>
              <w:pStyle w:val="4"/>
              <w:jc w:val="center"/>
              <w:rPr>
                <w:sz w:val="24"/>
                <w:szCs w:val="24"/>
              </w:rPr>
            </w:pPr>
          </w:p>
        </w:tc>
        <w:tc>
          <w:tcPr>
            <w:tcW w:w="1036" w:type="dxa"/>
            <w:vAlign w:val="center"/>
          </w:tcPr>
          <w:p w14:paraId="4694A833">
            <w:pPr>
              <w:pStyle w:val="4"/>
              <w:jc w:val="center"/>
              <w:rPr>
                <w:sz w:val="24"/>
                <w:szCs w:val="24"/>
              </w:rPr>
            </w:pPr>
          </w:p>
        </w:tc>
        <w:tc>
          <w:tcPr>
            <w:tcW w:w="1163" w:type="dxa"/>
            <w:vAlign w:val="center"/>
          </w:tcPr>
          <w:p w14:paraId="3FD05635">
            <w:pPr>
              <w:pStyle w:val="4"/>
              <w:jc w:val="center"/>
              <w:rPr>
                <w:sz w:val="24"/>
                <w:szCs w:val="24"/>
              </w:rPr>
            </w:pPr>
          </w:p>
        </w:tc>
        <w:tc>
          <w:tcPr>
            <w:tcW w:w="3130" w:type="dxa"/>
            <w:vAlign w:val="center"/>
          </w:tcPr>
          <w:p w14:paraId="7CEC60A1">
            <w:pPr>
              <w:pStyle w:val="4"/>
              <w:jc w:val="center"/>
              <w:rPr>
                <w:sz w:val="24"/>
                <w:szCs w:val="24"/>
              </w:rPr>
            </w:pPr>
          </w:p>
        </w:tc>
      </w:tr>
      <w:tr w14:paraId="75DC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7" w:type="dxa"/>
            <w:vMerge w:val="continue"/>
            <w:vAlign w:val="center"/>
          </w:tcPr>
          <w:p w14:paraId="2E58A41A">
            <w:pPr>
              <w:pStyle w:val="4"/>
              <w:jc w:val="center"/>
              <w:rPr>
                <w:sz w:val="24"/>
                <w:szCs w:val="24"/>
              </w:rPr>
            </w:pPr>
          </w:p>
        </w:tc>
        <w:tc>
          <w:tcPr>
            <w:tcW w:w="1036" w:type="dxa"/>
            <w:vAlign w:val="center"/>
          </w:tcPr>
          <w:p w14:paraId="19E70E37">
            <w:pPr>
              <w:pStyle w:val="4"/>
              <w:jc w:val="center"/>
              <w:rPr>
                <w:sz w:val="24"/>
                <w:szCs w:val="24"/>
              </w:rPr>
            </w:pPr>
          </w:p>
        </w:tc>
        <w:tc>
          <w:tcPr>
            <w:tcW w:w="1036" w:type="dxa"/>
            <w:vAlign w:val="center"/>
          </w:tcPr>
          <w:p w14:paraId="15CBC800">
            <w:pPr>
              <w:pStyle w:val="4"/>
              <w:jc w:val="center"/>
              <w:rPr>
                <w:sz w:val="24"/>
                <w:szCs w:val="24"/>
              </w:rPr>
            </w:pPr>
          </w:p>
        </w:tc>
        <w:tc>
          <w:tcPr>
            <w:tcW w:w="1036" w:type="dxa"/>
            <w:vAlign w:val="center"/>
          </w:tcPr>
          <w:p w14:paraId="7D136462">
            <w:pPr>
              <w:pStyle w:val="4"/>
              <w:jc w:val="center"/>
              <w:rPr>
                <w:sz w:val="24"/>
                <w:szCs w:val="24"/>
              </w:rPr>
            </w:pPr>
          </w:p>
        </w:tc>
        <w:tc>
          <w:tcPr>
            <w:tcW w:w="1163" w:type="dxa"/>
            <w:vAlign w:val="center"/>
          </w:tcPr>
          <w:p w14:paraId="7C0E7C73">
            <w:pPr>
              <w:pStyle w:val="4"/>
              <w:jc w:val="center"/>
              <w:rPr>
                <w:sz w:val="24"/>
                <w:szCs w:val="24"/>
              </w:rPr>
            </w:pPr>
          </w:p>
        </w:tc>
        <w:tc>
          <w:tcPr>
            <w:tcW w:w="3130" w:type="dxa"/>
            <w:vAlign w:val="center"/>
          </w:tcPr>
          <w:p w14:paraId="6BDF40A4">
            <w:pPr>
              <w:pStyle w:val="4"/>
              <w:jc w:val="center"/>
              <w:rPr>
                <w:sz w:val="24"/>
                <w:szCs w:val="24"/>
              </w:rPr>
            </w:pPr>
          </w:p>
        </w:tc>
      </w:tr>
      <w:tr w14:paraId="7819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67" w:type="dxa"/>
            <w:vMerge w:val="continue"/>
            <w:vAlign w:val="center"/>
          </w:tcPr>
          <w:p w14:paraId="1B0E2668">
            <w:pPr>
              <w:pStyle w:val="4"/>
              <w:jc w:val="center"/>
              <w:rPr>
                <w:sz w:val="24"/>
                <w:szCs w:val="24"/>
              </w:rPr>
            </w:pPr>
          </w:p>
        </w:tc>
        <w:tc>
          <w:tcPr>
            <w:tcW w:w="1036" w:type="dxa"/>
            <w:vAlign w:val="center"/>
          </w:tcPr>
          <w:p w14:paraId="2E99849B">
            <w:pPr>
              <w:pStyle w:val="4"/>
              <w:jc w:val="center"/>
              <w:rPr>
                <w:sz w:val="24"/>
                <w:szCs w:val="24"/>
              </w:rPr>
            </w:pPr>
          </w:p>
        </w:tc>
        <w:tc>
          <w:tcPr>
            <w:tcW w:w="1036" w:type="dxa"/>
            <w:vAlign w:val="center"/>
          </w:tcPr>
          <w:p w14:paraId="1B3585E3">
            <w:pPr>
              <w:pStyle w:val="4"/>
              <w:jc w:val="center"/>
              <w:rPr>
                <w:sz w:val="24"/>
                <w:szCs w:val="24"/>
              </w:rPr>
            </w:pPr>
          </w:p>
        </w:tc>
        <w:tc>
          <w:tcPr>
            <w:tcW w:w="1036" w:type="dxa"/>
            <w:vAlign w:val="center"/>
          </w:tcPr>
          <w:p w14:paraId="34CD128F">
            <w:pPr>
              <w:pStyle w:val="4"/>
              <w:jc w:val="center"/>
              <w:rPr>
                <w:sz w:val="24"/>
                <w:szCs w:val="24"/>
              </w:rPr>
            </w:pPr>
          </w:p>
        </w:tc>
        <w:tc>
          <w:tcPr>
            <w:tcW w:w="1163" w:type="dxa"/>
            <w:vAlign w:val="center"/>
          </w:tcPr>
          <w:p w14:paraId="52CCABE1">
            <w:pPr>
              <w:pStyle w:val="4"/>
              <w:jc w:val="center"/>
              <w:rPr>
                <w:sz w:val="24"/>
                <w:szCs w:val="24"/>
              </w:rPr>
            </w:pPr>
          </w:p>
        </w:tc>
        <w:tc>
          <w:tcPr>
            <w:tcW w:w="3130" w:type="dxa"/>
            <w:vAlign w:val="center"/>
          </w:tcPr>
          <w:p w14:paraId="72972D05">
            <w:pPr>
              <w:pStyle w:val="4"/>
              <w:jc w:val="center"/>
              <w:rPr>
                <w:sz w:val="24"/>
                <w:szCs w:val="24"/>
              </w:rPr>
            </w:pPr>
          </w:p>
        </w:tc>
      </w:tr>
      <w:tr w14:paraId="60FB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67" w:type="dxa"/>
            <w:vMerge w:val="continue"/>
            <w:vAlign w:val="center"/>
          </w:tcPr>
          <w:p w14:paraId="731BD375">
            <w:pPr>
              <w:pStyle w:val="4"/>
              <w:jc w:val="center"/>
              <w:rPr>
                <w:sz w:val="24"/>
                <w:szCs w:val="24"/>
              </w:rPr>
            </w:pPr>
          </w:p>
        </w:tc>
        <w:tc>
          <w:tcPr>
            <w:tcW w:w="1036" w:type="dxa"/>
            <w:vAlign w:val="center"/>
          </w:tcPr>
          <w:p w14:paraId="2C5089E9">
            <w:pPr>
              <w:pStyle w:val="4"/>
              <w:jc w:val="center"/>
              <w:rPr>
                <w:sz w:val="24"/>
                <w:szCs w:val="24"/>
              </w:rPr>
            </w:pPr>
          </w:p>
        </w:tc>
        <w:tc>
          <w:tcPr>
            <w:tcW w:w="1036" w:type="dxa"/>
            <w:vAlign w:val="center"/>
          </w:tcPr>
          <w:p w14:paraId="5E69D84F">
            <w:pPr>
              <w:pStyle w:val="4"/>
              <w:jc w:val="center"/>
              <w:rPr>
                <w:sz w:val="24"/>
                <w:szCs w:val="24"/>
              </w:rPr>
            </w:pPr>
          </w:p>
        </w:tc>
        <w:tc>
          <w:tcPr>
            <w:tcW w:w="1036" w:type="dxa"/>
            <w:vAlign w:val="center"/>
          </w:tcPr>
          <w:p w14:paraId="771E2801">
            <w:pPr>
              <w:pStyle w:val="4"/>
              <w:jc w:val="center"/>
              <w:rPr>
                <w:sz w:val="24"/>
                <w:szCs w:val="24"/>
              </w:rPr>
            </w:pPr>
          </w:p>
        </w:tc>
        <w:tc>
          <w:tcPr>
            <w:tcW w:w="1163" w:type="dxa"/>
            <w:vAlign w:val="center"/>
          </w:tcPr>
          <w:p w14:paraId="4003C689">
            <w:pPr>
              <w:pStyle w:val="4"/>
              <w:jc w:val="center"/>
              <w:rPr>
                <w:sz w:val="24"/>
                <w:szCs w:val="24"/>
              </w:rPr>
            </w:pPr>
          </w:p>
        </w:tc>
        <w:tc>
          <w:tcPr>
            <w:tcW w:w="3130" w:type="dxa"/>
            <w:vAlign w:val="center"/>
          </w:tcPr>
          <w:p w14:paraId="3FC292C6">
            <w:pPr>
              <w:pStyle w:val="4"/>
              <w:jc w:val="center"/>
              <w:rPr>
                <w:sz w:val="24"/>
                <w:szCs w:val="24"/>
              </w:rPr>
            </w:pPr>
          </w:p>
        </w:tc>
      </w:tr>
      <w:tr w14:paraId="6FF6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67" w:type="dxa"/>
            <w:vMerge w:val="continue"/>
            <w:vAlign w:val="center"/>
          </w:tcPr>
          <w:p w14:paraId="773C27A5">
            <w:pPr>
              <w:pStyle w:val="4"/>
              <w:jc w:val="center"/>
              <w:rPr>
                <w:sz w:val="24"/>
                <w:szCs w:val="24"/>
              </w:rPr>
            </w:pPr>
          </w:p>
        </w:tc>
        <w:tc>
          <w:tcPr>
            <w:tcW w:w="1036" w:type="dxa"/>
            <w:vAlign w:val="center"/>
          </w:tcPr>
          <w:p w14:paraId="7D333C87">
            <w:pPr>
              <w:pStyle w:val="4"/>
              <w:jc w:val="center"/>
              <w:rPr>
                <w:sz w:val="24"/>
                <w:szCs w:val="24"/>
              </w:rPr>
            </w:pPr>
          </w:p>
        </w:tc>
        <w:tc>
          <w:tcPr>
            <w:tcW w:w="1036" w:type="dxa"/>
            <w:vAlign w:val="center"/>
          </w:tcPr>
          <w:p w14:paraId="0B0087AF">
            <w:pPr>
              <w:pStyle w:val="4"/>
              <w:jc w:val="center"/>
              <w:rPr>
                <w:sz w:val="24"/>
                <w:szCs w:val="24"/>
              </w:rPr>
            </w:pPr>
          </w:p>
        </w:tc>
        <w:tc>
          <w:tcPr>
            <w:tcW w:w="1036" w:type="dxa"/>
            <w:vAlign w:val="center"/>
          </w:tcPr>
          <w:p w14:paraId="5675CBF1">
            <w:pPr>
              <w:pStyle w:val="4"/>
              <w:jc w:val="center"/>
              <w:rPr>
                <w:sz w:val="24"/>
                <w:szCs w:val="24"/>
              </w:rPr>
            </w:pPr>
          </w:p>
        </w:tc>
        <w:tc>
          <w:tcPr>
            <w:tcW w:w="1163" w:type="dxa"/>
            <w:vAlign w:val="center"/>
          </w:tcPr>
          <w:p w14:paraId="15E30956">
            <w:pPr>
              <w:pStyle w:val="4"/>
              <w:jc w:val="center"/>
              <w:rPr>
                <w:sz w:val="24"/>
                <w:szCs w:val="24"/>
              </w:rPr>
            </w:pPr>
          </w:p>
        </w:tc>
        <w:tc>
          <w:tcPr>
            <w:tcW w:w="3130" w:type="dxa"/>
            <w:vAlign w:val="center"/>
          </w:tcPr>
          <w:p w14:paraId="535AED1D">
            <w:pPr>
              <w:pStyle w:val="4"/>
              <w:jc w:val="center"/>
              <w:rPr>
                <w:sz w:val="24"/>
                <w:szCs w:val="24"/>
              </w:rPr>
            </w:pPr>
          </w:p>
        </w:tc>
      </w:tr>
      <w:tr w14:paraId="5BA1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67" w:type="dxa"/>
            <w:vMerge w:val="continue"/>
            <w:vAlign w:val="center"/>
          </w:tcPr>
          <w:p w14:paraId="0524B97F">
            <w:pPr>
              <w:pStyle w:val="4"/>
              <w:jc w:val="center"/>
              <w:rPr>
                <w:sz w:val="24"/>
                <w:szCs w:val="24"/>
              </w:rPr>
            </w:pPr>
          </w:p>
        </w:tc>
        <w:tc>
          <w:tcPr>
            <w:tcW w:w="1036" w:type="dxa"/>
            <w:vAlign w:val="center"/>
          </w:tcPr>
          <w:p w14:paraId="28469E6A">
            <w:pPr>
              <w:pStyle w:val="4"/>
              <w:jc w:val="center"/>
              <w:rPr>
                <w:sz w:val="24"/>
                <w:szCs w:val="24"/>
              </w:rPr>
            </w:pPr>
          </w:p>
        </w:tc>
        <w:tc>
          <w:tcPr>
            <w:tcW w:w="1036" w:type="dxa"/>
            <w:vAlign w:val="center"/>
          </w:tcPr>
          <w:p w14:paraId="5DC00AB1">
            <w:pPr>
              <w:pStyle w:val="4"/>
              <w:jc w:val="center"/>
              <w:rPr>
                <w:sz w:val="24"/>
                <w:szCs w:val="24"/>
              </w:rPr>
            </w:pPr>
          </w:p>
        </w:tc>
        <w:tc>
          <w:tcPr>
            <w:tcW w:w="1036" w:type="dxa"/>
            <w:vAlign w:val="center"/>
          </w:tcPr>
          <w:p w14:paraId="5A09112C">
            <w:pPr>
              <w:pStyle w:val="4"/>
              <w:jc w:val="center"/>
              <w:rPr>
                <w:sz w:val="24"/>
                <w:szCs w:val="24"/>
              </w:rPr>
            </w:pPr>
          </w:p>
        </w:tc>
        <w:tc>
          <w:tcPr>
            <w:tcW w:w="1163" w:type="dxa"/>
            <w:vAlign w:val="center"/>
          </w:tcPr>
          <w:p w14:paraId="2717089D">
            <w:pPr>
              <w:pStyle w:val="4"/>
              <w:jc w:val="center"/>
              <w:rPr>
                <w:sz w:val="24"/>
                <w:szCs w:val="24"/>
              </w:rPr>
            </w:pPr>
          </w:p>
        </w:tc>
        <w:tc>
          <w:tcPr>
            <w:tcW w:w="3130" w:type="dxa"/>
            <w:vAlign w:val="center"/>
          </w:tcPr>
          <w:p w14:paraId="447110B7">
            <w:pPr>
              <w:pStyle w:val="4"/>
              <w:jc w:val="center"/>
              <w:rPr>
                <w:sz w:val="24"/>
                <w:szCs w:val="24"/>
              </w:rPr>
            </w:pPr>
          </w:p>
        </w:tc>
      </w:tr>
    </w:tbl>
    <w:p w14:paraId="0EC5FF88">
      <w:pPr>
        <w:pStyle w:val="4"/>
        <w:rPr>
          <w:sz w:val="24"/>
          <w:szCs w:val="24"/>
        </w:rPr>
      </w:pPr>
      <w:r>
        <w:rPr>
          <w:sz w:val="24"/>
          <w:szCs w:val="24"/>
        </w:rPr>
        <w:t>供应商（盖章）：              </w:t>
      </w:r>
    </w:p>
    <w:p w14:paraId="2A3A4D44">
      <w:pPr>
        <w:pStyle w:val="4"/>
        <w:rPr>
          <w:sz w:val="24"/>
          <w:szCs w:val="24"/>
        </w:rPr>
      </w:pPr>
      <w:r>
        <w:rPr>
          <w:sz w:val="24"/>
          <w:szCs w:val="24"/>
        </w:rPr>
        <w:t>法定代表人或授权代理人签字：      </w:t>
      </w:r>
    </w:p>
    <w:p w14:paraId="7995438A">
      <w:pPr>
        <w:pStyle w:val="4"/>
        <w:rPr>
          <w:sz w:val="24"/>
          <w:szCs w:val="24"/>
        </w:rPr>
      </w:pPr>
      <w:r>
        <w:rPr>
          <w:sz w:val="24"/>
          <w:szCs w:val="24"/>
        </w:rPr>
        <w:t xml:space="preserve">日期：  </w:t>
      </w:r>
    </w:p>
    <w:p w14:paraId="78D68B24">
      <w:pPr>
        <w:rPr>
          <w:sz w:val="24"/>
          <w:szCs w:val="24"/>
        </w:rPr>
      </w:pPr>
      <w:r>
        <w:rPr>
          <w:sz w:val="24"/>
          <w:szCs w:val="24"/>
        </w:rPr>
        <w:br w:type="page"/>
      </w:r>
    </w:p>
    <w:p w14:paraId="65CE09E3">
      <w:pPr>
        <w:pStyle w:val="4"/>
        <w:jc w:val="center"/>
        <w:rPr>
          <w:b/>
          <w:bCs/>
          <w:sz w:val="24"/>
          <w:szCs w:val="24"/>
        </w:rPr>
      </w:pPr>
      <w:r>
        <w:rPr>
          <w:rFonts w:hint="eastAsia"/>
          <w:b/>
          <w:bCs/>
          <w:sz w:val="24"/>
          <w:szCs w:val="24"/>
          <w:lang w:val="en-US" w:eastAsia="zh-CN"/>
        </w:rPr>
        <w:t>七</w:t>
      </w:r>
      <w:r>
        <w:rPr>
          <w:b/>
          <w:bCs/>
          <w:sz w:val="24"/>
          <w:szCs w:val="24"/>
        </w:rPr>
        <w:t>、资格证明文件</w:t>
      </w:r>
    </w:p>
    <w:p w14:paraId="0DC05039">
      <w:pPr>
        <w:pStyle w:val="4"/>
        <w:rPr>
          <w:sz w:val="24"/>
          <w:szCs w:val="24"/>
        </w:rPr>
      </w:pPr>
    </w:p>
    <w:p w14:paraId="2666F20C">
      <w:pPr>
        <w:rPr>
          <w:sz w:val="24"/>
          <w:szCs w:val="24"/>
        </w:rPr>
      </w:pPr>
      <w:r>
        <w:rPr>
          <w:rFonts w:hint="eastAsia"/>
          <w:sz w:val="24"/>
          <w:szCs w:val="24"/>
        </w:rPr>
        <w:t>1、</w:t>
      </w:r>
      <w:r>
        <w:rPr>
          <w:sz w:val="24"/>
          <w:szCs w:val="24"/>
        </w:rPr>
        <w:t>投标人资格证明文件</w:t>
      </w:r>
    </w:p>
    <w:p w14:paraId="1C770C20">
      <w:pPr>
        <w:rPr>
          <w:sz w:val="24"/>
          <w:szCs w:val="24"/>
        </w:rPr>
      </w:pPr>
      <w:r>
        <w:rPr>
          <w:sz w:val="24"/>
          <w:szCs w:val="24"/>
        </w:rPr>
        <w:t>2、 投标人认为本项目有必要说明的资格问题或者资格方面需要说明的地方。</w:t>
      </w:r>
    </w:p>
    <w:p w14:paraId="76358574">
      <w:pPr>
        <w:pStyle w:val="4"/>
        <w:rPr>
          <w:sz w:val="24"/>
          <w:szCs w:val="24"/>
        </w:rPr>
      </w:pPr>
      <w:r>
        <w:rPr>
          <w:sz w:val="24"/>
          <w:szCs w:val="24"/>
        </w:rPr>
        <w:t xml:space="preserve">  </w:t>
      </w:r>
    </w:p>
    <w:p w14:paraId="70621F5E">
      <w:pPr>
        <w:rPr>
          <w:sz w:val="24"/>
          <w:szCs w:val="24"/>
        </w:rPr>
      </w:pPr>
      <w:r>
        <w:rPr>
          <w:sz w:val="24"/>
          <w:szCs w:val="24"/>
        </w:rPr>
        <w:br w:type="page"/>
      </w:r>
    </w:p>
    <w:p w14:paraId="2BB66D53">
      <w:pPr>
        <w:jc w:val="both"/>
        <w:rPr>
          <w:sz w:val="24"/>
          <w:szCs w:val="24"/>
        </w:rPr>
      </w:pPr>
    </w:p>
    <w:p w14:paraId="775C78CF">
      <w:pPr>
        <w:pageBreakBefore w:val="0"/>
        <w:wordWrap w:val="0"/>
        <w:spacing w:before="0" w:after="0" w:line="420" w:lineRule="atLeast"/>
        <w:ind w:left="3220" w:right="0"/>
        <w:jc w:val="both"/>
        <w:textAlignment w:val="baseline"/>
        <w:rPr>
          <w:rFonts w:hint="eastAsia" w:ascii="仿宋" w:hAnsi="仿宋" w:eastAsia="仿宋" w:cs="仿宋"/>
          <w:sz w:val="24"/>
          <w:szCs w:val="24"/>
        </w:rPr>
      </w:pPr>
      <w:r>
        <w:rPr>
          <w:rFonts w:hint="eastAsia" w:ascii="仿宋" w:hAnsi="仿宋" w:cs="仿宋"/>
          <w:b/>
          <w:i w:val="0"/>
          <w:color w:val="000000"/>
          <w:spacing w:val="0"/>
          <w:sz w:val="24"/>
          <w:szCs w:val="24"/>
          <w:lang w:val="en-US" w:eastAsia="zh-CN"/>
        </w:rPr>
        <w:t>八</w:t>
      </w:r>
      <w:r>
        <w:rPr>
          <w:rFonts w:hint="eastAsia" w:ascii="仿宋" w:hAnsi="仿宋" w:eastAsia="仿宋" w:cs="仿宋"/>
          <w:b/>
          <w:i w:val="0"/>
          <w:color w:val="000000"/>
          <w:spacing w:val="0"/>
          <w:sz w:val="24"/>
          <w:szCs w:val="24"/>
        </w:rPr>
        <w:t>、服务方案</w:t>
      </w:r>
    </w:p>
    <w:p w14:paraId="4AD6602A">
      <w:pPr>
        <w:pageBreakBefore w:val="0"/>
        <w:wordWrap w:val="0"/>
        <w:spacing w:before="0" w:after="0" w:line="400" w:lineRule="exact"/>
        <w:ind w:left="0" w:right="0"/>
        <w:jc w:val="both"/>
        <w:textAlignment w:val="baseline"/>
        <w:rPr>
          <w:rFonts w:hint="eastAsia" w:ascii="仿宋" w:hAnsi="仿宋" w:eastAsia="仿宋" w:cs="仿宋"/>
          <w:sz w:val="24"/>
          <w:szCs w:val="24"/>
        </w:rPr>
      </w:pPr>
    </w:p>
    <w:p w14:paraId="43C0F37C">
      <w:pPr>
        <w:pageBreakBefore w:val="0"/>
        <w:wordWrap w:val="0"/>
        <w:spacing w:before="0" w:after="0" w:line="400" w:lineRule="exact"/>
        <w:ind w:left="0" w:right="0"/>
        <w:jc w:val="both"/>
        <w:textAlignment w:val="baseline"/>
        <w:rPr>
          <w:rFonts w:hint="eastAsia" w:ascii="仿宋" w:hAnsi="仿宋" w:eastAsia="仿宋" w:cs="仿宋"/>
          <w:sz w:val="24"/>
          <w:szCs w:val="24"/>
        </w:rPr>
      </w:pPr>
    </w:p>
    <w:p w14:paraId="230C0E4D">
      <w:pPr>
        <w:pageBreakBefore w:val="0"/>
        <w:wordWrap w:val="0"/>
        <w:spacing w:before="0" w:after="0" w:line="380" w:lineRule="atLeast"/>
        <w:ind w:left="2260" w:right="0"/>
        <w:jc w:val="both"/>
        <w:textAlignment w:val="baseline"/>
        <w:rPr>
          <w:rFonts w:hint="eastAsia" w:ascii="仿宋" w:hAnsi="仿宋" w:eastAsia="仿宋" w:cs="仿宋"/>
          <w:sz w:val="24"/>
          <w:szCs w:val="24"/>
        </w:rPr>
      </w:pPr>
      <w:r>
        <w:rPr>
          <w:rFonts w:hint="eastAsia" w:ascii="仿宋" w:hAnsi="仿宋" w:eastAsia="仿宋" w:cs="仿宋"/>
          <w:b/>
          <w:i w:val="0"/>
          <w:color w:val="000000"/>
          <w:spacing w:val="0"/>
          <w:sz w:val="24"/>
          <w:szCs w:val="24"/>
        </w:rPr>
        <w:t>(格式自拟，但包含评审内容)</w:t>
      </w:r>
    </w:p>
    <w:p w14:paraId="1C1BA305">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4C49308">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4CEA18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972652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314CE90C">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4E3F764">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7531C74">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76C6FC4">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869071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9A3A7A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9BDFDF7">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7AA80EC">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6230DC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4332FB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5C00EE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39A66F1">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B1FB748">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C7BEFE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56A3F5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2425C2B">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B00065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7B68EB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37031A8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6B78CC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A2D14B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E69B53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ECF9AF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F8C293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2F6927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E73D8F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BAF4B14">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E6FAB1B">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AD9354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AF0D80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271C0E9">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AF1596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70109A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FA91501">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0625F65">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06EE861">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5211F28">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8194D05">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5B7B4F9">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726E833">
      <w:pPr>
        <w:pageBreakBefore w:val="0"/>
        <w:wordWrap w:val="0"/>
        <w:spacing w:before="120" w:after="0" w:line="340" w:lineRule="atLeast"/>
        <w:ind w:left="0" w:right="0"/>
        <w:jc w:val="center"/>
        <w:textAlignment w:val="baseline"/>
        <w:rPr>
          <w:rFonts w:hint="eastAsia" w:ascii="仿宋" w:hAnsi="仿宋" w:eastAsia="仿宋" w:cs="仿宋"/>
          <w:b/>
          <w:i w:val="0"/>
          <w:color w:val="000000"/>
          <w:spacing w:val="0"/>
          <w:sz w:val="24"/>
          <w:szCs w:val="24"/>
        </w:rPr>
      </w:pPr>
    </w:p>
    <w:p w14:paraId="66AED80C">
      <w:pPr>
        <w:pageBreakBefore w:val="0"/>
        <w:wordWrap w:val="0"/>
        <w:spacing w:before="120" w:after="0" w:line="340" w:lineRule="atLeast"/>
        <w:ind w:left="0" w:right="0"/>
        <w:jc w:val="center"/>
        <w:textAlignment w:val="baseline"/>
        <w:rPr>
          <w:rFonts w:hint="eastAsia" w:ascii="仿宋" w:hAnsi="仿宋" w:eastAsia="仿宋" w:cs="仿宋"/>
          <w:sz w:val="24"/>
          <w:szCs w:val="24"/>
        </w:rPr>
      </w:pPr>
      <w:r>
        <w:rPr>
          <w:rFonts w:hint="eastAsia" w:ascii="仿宋" w:hAnsi="仿宋" w:eastAsia="仿宋" w:cs="仿宋"/>
          <w:b/>
          <w:i w:val="0"/>
          <w:color w:val="000000"/>
          <w:spacing w:val="0"/>
          <w:sz w:val="24"/>
          <w:szCs w:val="24"/>
        </w:rPr>
        <w:t>项目负责人简历</w:t>
      </w:r>
    </w:p>
    <w:p w14:paraId="7F987520">
      <w:pPr>
        <w:pageBreakBefore w:val="0"/>
        <w:wordWrap w:val="0"/>
        <w:spacing w:before="180" w:after="0" w:line="340" w:lineRule="atLeast"/>
        <w:ind w:left="56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(格式自拟需后附：提供磋商文件内要求相关人员资料加盖供应商公章。)</w:t>
      </w:r>
    </w:p>
    <w:p w14:paraId="1D178A2C">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11BC8E1">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3D6D83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7E7DC2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889996C">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E5FDE9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68A12F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38C74E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606781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7A7D5A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29DC6B9">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A43A14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FB75DA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65B3976">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5B97C19">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C964AD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CC53B7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359EF1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941F60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3F34C39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8802FEB">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71A1CBC">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A33EC6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DADFEF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AC7E39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649B07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845250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7BDD00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528B4B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30C9FE97">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A31BE2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3CB36001">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369C917">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05D5A432">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AAFBDF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38A3493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A76D14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3B188B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42FB4CB">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615B218">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43FA1E0B">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9EC85BA">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12A588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672F67F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5FDA78F">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61C27CE">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5E2F6B9C">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13A4029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2E60E870">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9A11A7D">
      <w:pPr>
        <w:pageBreakBefore w:val="0"/>
        <w:wordWrap w:val="0"/>
        <w:spacing w:before="0" w:after="0" w:line="260" w:lineRule="exact"/>
        <w:ind w:left="0" w:right="0"/>
        <w:jc w:val="both"/>
        <w:textAlignment w:val="baseline"/>
        <w:rPr>
          <w:rFonts w:hint="eastAsia" w:ascii="仿宋" w:hAnsi="仿宋" w:eastAsia="仿宋" w:cs="仿宋"/>
          <w:sz w:val="24"/>
          <w:szCs w:val="24"/>
        </w:rPr>
      </w:pPr>
    </w:p>
    <w:p w14:paraId="770AAD7D">
      <w:pPr>
        <w:pageBreakBefore w:val="0"/>
        <w:wordWrap w:val="0"/>
        <w:spacing w:before="0" w:after="0" w:line="340" w:lineRule="atLeast"/>
        <w:ind w:left="0" w:right="0"/>
        <w:jc w:val="center"/>
        <w:textAlignment w:val="baseline"/>
        <w:rPr>
          <w:rFonts w:hint="eastAsia" w:ascii="仿宋" w:hAnsi="仿宋" w:eastAsia="仿宋" w:cs="仿宋"/>
          <w:sz w:val="24"/>
          <w:szCs w:val="24"/>
        </w:rPr>
      </w:pPr>
      <w:r>
        <w:rPr>
          <w:rFonts w:hint="eastAsia" w:ascii="仿宋" w:hAnsi="仿宋" w:eastAsia="仿宋" w:cs="仿宋"/>
          <w:b/>
          <w:i w:val="0"/>
          <w:color w:val="000000"/>
          <w:spacing w:val="0"/>
          <w:sz w:val="24"/>
          <w:szCs w:val="24"/>
        </w:rPr>
        <w:t>项目团队配备人员</w:t>
      </w:r>
    </w:p>
    <w:p w14:paraId="58301B03">
      <w:pPr>
        <w:pageBreakBefore w:val="0"/>
        <w:wordWrap w:val="0"/>
        <w:spacing w:before="0" w:after="0" w:line="340" w:lineRule="atLeast"/>
        <w:ind w:left="100" w:right="0"/>
        <w:jc w:val="both"/>
        <w:textAlignment w:val="baseline"/>
        <w:rPr>
          <w:rFonts w:hint="eastAsia" w:ascii="仿宋" w:hAnsi="仿宋" w:eastAsia="仿宋" w:cs="仿宋"/>
          <w:sz w:val="24"/>
          <w:szCs w:val="24"/>
        </w:rPr>
      </w:pPr>
      <w:r>
        <w:rPr>
          <w:rFonts w:hint="eastAsia" w:ascii="仿宋" w:hAnsi="仿宋" w:eastAsia="仿宋" w:cs="仿宋"/>
          <w:b w:val="0"/>
          <w:i w:val="0"/>
          <w:color w:val="000000"/>
          <w:spacing w:val="0"/>
          <w:sz w:val="24"/>
          <w:szCs w:val="24"/>
        </w:rPr>
        <w:t>(格式自拟需后附：磋商文件内要求相关人员资料加盖供应商公章。)</w:t>
      </w:r>
    </w:p>
    <w:p w14:paraId="1B0B82D2">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1DA7AEF9">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7699E1F8">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49BEDFF4">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70582259">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79DE2F13">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484B58FD">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06274BCF">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257A7E5F">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25A4ED79">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218B3DFA">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37F5BEA3">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3E7455F2">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53625DE4">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18D0228C">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09EA33A">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529A29BC">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506541F6">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19352961">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3864A11">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43865E1">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5C1E260F">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2D63E5DA">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4BC32AB">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09E13ADE">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5C10AF8E">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18AFCAB2">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458238B7">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3E98F4E">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48BE03CC">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2213D832">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32C152A9">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2CDA5BD5">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1637800">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00DBAE42">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7E474DA8">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1FEB4479">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674FDB4C">
      <w:pPr>
        <w:pageBreakBefore w:val="0"/>
        <w:wordWrap w:val="0"/>
        <w:spacing w:before="0" w:after="0" w:line="320" w:lineRule="exact"/>
        <w:ind w:left="0" w:right="0"/>
        <w:jc w:val="both"/>
        <w:textAlignment w:val="baseline"/>
        <w:rPr>
          <w:rFonts w:hint="eastAsia" w:ascii="仿宋" w:hAnsi="仿宋" w:eastAsia="仿宋" w:cs="仿宋"/>
          <w:sz w:val="24"/>
          <w:szCs w:val="24"/>
        </w:rPr>
      </w:pPr>
    </w:p>
    <w:p w14:paraId="7EE918E6">
      <w:pPr>
        <w:pageBreakBefore w:val="0"/>
        <w:wordWrap w:val="0"/>
        <w:spacing w:before="0" w:after="0" w:line="380" w:lineRule="atLeast"/>
        <w:ind w:left="0" w:right="0"/>
        <w:jc w:val="center"/>
        <w:textAlignment w:val="baseline"/>
        <w:rPr>
          <w:rFonts w:hint="eastAsia" w:ascii="仿宋" w:hAnsi="仿宋" w:cs="仿宋"/>
          <w:b/>
          <w:i w:val="0"/>
          <w:color w:val="000000"/>
          <w:spacing w:val="0"/>
          <w:sz w:val="24"/>
          <w:szCs w:val="24"/>
          <w:lang w:val="en-US" w:eastAsia="zh-CN"/>
        </w:rPr>
      </w:pPr>
    </w:p>
    <w:p w14:paraId="124C4CE2">
      <w:pPr>
        <w:pageBreakBefore w:val="0"/>
        <w:wordWrap w:val="0"/>
        <w:spacing w:before="0" w:after="0" w:line="380" w:lineRule="atLeast"/>
        <w:ind w:left="0" w:right="0"/>
        <w:jc w:val="center"/>
        <w:textAlignment w:val="baseline"/>
        <w:rPr>
          <w:rFonts w:hint="eastAsia" w:ascii="仿宋" w:hAnsi="仿宋" w:cs="仿宋"/>
          <w:b/>
          <w:i w:val="0"/>
          <w:color w:val="000000"/>
          <w:spacing w:val="0"/>
          <w:sz w:val="24"/>
          <w:szCs w:val="24"/>
          <w:lang w:val="en-US" w:eastAsia="zh-CN"/>
        </w:rPr>
      </w:pPr>
    </w:p>
    <w:p w14:paraId="522F82BC">
      <w:pPr>
        <w:pageBreakBefore w:val="0"/>
        <w:wordWrap w:val="0"/>
        <w:spacing w:before="0" w:after="0" w:line="380" w:lineRule="atLeast"/>
        <w:ind w:left="0" w:right="0"/>
        <w:jc w:val="center"/>
        <w:textAlignment w:val="baseline"/>
        <w:rPr>
          <w:rFonts w:hint="eastAsia" w:ascii="仿宋" w:hAnsi="仿宋" w:cs="仿宋"/>
          <w:b/>
          <w:i w:val="0"/>
          <w:color w:val="000000"/>
          <w:spacing w:val="0"/>
          <w:sz w:val="24"/>
          <w:szCs w:val="24"/>
          <w:lang w:val="en-US" w:eastAsia="zh-CN"/>
        </w:rPr>
      </w:pPr>
    </w:p>
    <w:p w14:paraId="03B7E02A">
      <w:pPr>
        <w:pageBreakBefore w:val="0"/>
        <w:wordWrap w:val="0"/>
        <w:spacing w:before="0" w:after="0" w:line="380" w:lineRule="atLeast"/>
        <w:ind w:left="0" w:right="0"/>
        <w:jc w:val="center"/>
        <w:textAlignment w:val="baseline"/>
        <w:rPr>
          <w:rFonts w:hint="eastAsia" w:ascii="仿宋" w:hAnsi="仿宋" w:eastAsia="仿宋" w:cs="仿宋"/>
          <w:sz w:val="24"/>
          <w:szCs w:val="24"/>
        </w:rPr>
      </w:pPr>
      <w:r>
        <w:rPr>
          <w:rFonts w:hint="eastAsia" w:ascii="仿宋" w:hAnsi="仿宋" w:cs="仿宋"/>
          <w:b/>
          <w:i w:val="0"/>
          <w:color w:val="000000"/>
          <w:spacing w:val="0"/>
          <w:sz w:val="24"/>
          <w:szCs w:val="24"/>
          <w:lang w:val="en-US" w:eastAsia="zh-CN"/>
        </w:rPr>
        <w:t>九</w:t>
      </w:r>
      <w:r>
        <w:rPr>
          <w:rFonts w:hint="eastAsia" w:ascii="仿宋" w:hAnsi="仿宋" w:eastAsia="仿宋" w:cs="仿宋"/>
          <w:b/>
          <w:i w:val="0"/>
          <w:color w:val="000000"/>
          <w:spacing w:val="0"/>
          <w:sz w:val="24"/>
          <w:szCs w:val="24"/>
        </w:rPr>
        <w:t>、供应商近3年类似业绩证明</w:t>
      </w:r>
    </w:p>
    <w:p w14:paraId="7E6C1103">
      <w:pPr>
        <w:pageBreakBefore w:val="0"/>
        <w:wordWrap w:val="0"/>
        <w:spacing w:before="0" w:after="0" w:line="360" w:lineRule="exact"/>
        <w:ind w:left="0" w:right="0"/>
        <w:jc w:val="center"/>
        <w:textAlignment w:val="baseline"/>
        <w:rPr>
          <w:rFonts w:hint="eastAsia" w:ascii="仿宋" w:hAnsi="仿宋" w:eastAsia="仿宋" w:cs="仿宋"/>
          <w:sz w:val="24"/>
          <w:szCs w:val="24"/>
        </w:rPr>
      </w:pPr>
    </w:p>
    <w:p w14:paraId="1DB01D1C">
      <w:pPr>
        <w:pageBreakBefore w:val="0"/>
        <w:wordWrap w:val="0"/>
        <w:spacing w:before="0" w:after="0" w:line="360" w:lineRule="exact"/>
        <w:ind w:left="0" w:right="0"/>
        <w:jc w:val="center"/>
        <w:textAlignment w:val="baseline"/>
        <w:rPr>
          <w:rFonts w:hint="eastAsia" w:ascii="仿宋" w:hAnsi="仿宋" w:eastAsia="仿宋" w:cs="仿宋"/>
          <w:sz w:val="24"/>
          <w:szCs w:val="24"/>
        </w:rPr>
      </w:pPr>
    </w:p>
    <w:p w14:paraId="20C16DD0">
      <w:pPr>
        <w:pageBreakBefore w:val="0"/>
        <w:wordWrap w:val="0"/>
        <w:spacing w:before="0" w:after="0" w:line="360" w:lineRule="exact"/>
        <w:ind w:left="0" w:right="0"/>
        <w:jc w:val="center"/>
        <w:textAlignment w:val="baseline"/>
        <w:rPr>
          <w:rFonts w:hint="eastAsia" w:ascii="仿宋" w:hAnsi="仿宋" w:eastAsia="仿宋" w:cs="仿宋"/>
          <w:sz w:val="24"/>
          <w:szCs w:val="24"/>
        </w:rPr>
      </w:pPr>
    </w:p>
    <w:p w14:paraId="033E9A1A">
      <w:pPr>
        <w:pageBreakBefore w:val="0"/>
        <w:wordWrap w:val="0"/>
        <w:spacing w:before="0" w:after="0" w:line="360" w:lineRule="exact"/>
        <w:ind w:left="0" w:right="0"/>
        <w:jc w:val="center"/>
        <w:textAlignment w:val="baseline"/>
        <w:rPr>
          <w:rFonts w:hint="eastAsia" w:ascii="仿宋" w:hAnsi="仿宋" w:eastAsia="仿宋" w:cs="仿宋"/>
          <w:sz w:val="24"/>
          <w:szCs w:val="24"/>
        </w:rPr>
      </w:pPr>
    </w:p>
    <w:p w14:paraId="784AA954">
      <w:pPr>
        <w:pageBreakBefore w:val="0"/>
        <w:wordWrap w:val="0"/>
        <w:spacing w:before="0" w:after="0" w:line="360" w:lineRule="exact"/>
        <w:ind w:left="0" w:right="0"/>
        <w:jc w:val="center"/>
        <w:textAlignment w:val="baseline"/>
        <w:rPr>
          <w:rFonts w:hint="eastAsia" w:ascii="仿宋" w:hAnsi="仿宋" w:eastAsia="仿宋" w:cs="仿宋"/>
          <w:sz w:val="24"/>
          <w:szCs w:val="24"/>
        </w:rPr>
      </w:pPr>
    </w:p>
    <w:p w14:paraId="39CDDE58">
      <w:pPr>
        <w:pageBreakBefore w:val="0"/>
        <w:wordWrap w:val="0"/>
        <w:spacing w:before="0" w:after="0" w:line="360" w:lineRule="exact"/>
        <w:ind w:left="0" w:right="0"/>
        <w:jc w:val="center"/>
        <w:textAlignment w:val="baseline"/>
        <w:rPr>
          <w:rFonts w:hint="eastAsia" w:ascii="仿宋" w:hAnsi="仿宋" w:eastAsia="仿宋" w:cs="仿宋"/>
          <w:sz w:val="24"/>
          <w:szCs w:val="24"/>
        </w:rPr>
      </w:pPr>
    </w:p>
    <w:p w14:paraId="36F7245E">
      <w:pPr>
        <w:rPr>
          <w:rFonts w:hint="eastAsia" w:ascii="仿宋" w:hAnsi="仿宋" w:eastAsia="仿宋" w:cs="仿宋"/>
          <w:sz w:val="24"/>
          <w:szCs w:val="24"/>
        </w:rPr>
      </w:pPr>
    </w:p>
    <w:p w14:paraId="61F07D11">
      <w:pPr>
        <w:jc w:val="center"/>
        <w:rPr>
          <w:rFonts w:hint="eastAsia" w:ascii="仿宋" w:hAnsi="仿宋" w:cs="仿宋"/>
          <w:b/>
          <w:bCs/>
          <w:sz w:val="24"/>
          <w:szCs w:val="24"/>
          <w:lang w:val="en-US" w:eastAsia="zh-CN"/>
        </w:rPr>
      </w:pPr>
    </w:p>
    <w:p w14:paraId="6CD91A06">
      <w:pPr>
        <w:jc w:val="center"/>
        <w:rPr>
          <w:rFonts w:hint="eastAsia" w:ascii="仿宋" w:hAnsi="仿宋" w:cs="仿宋"/>
          <w:b/>
          <w:bCs/>
          <w:sz w:val="24"/>
          <w:szCs w:val="24"/>
          <w:lang w:val="en-US" w:eastAsia="zh-CN"/>
        </w:rPr>
      </w:pPr>
    </w:p>
    <w:p w14:paraId="2BFA48EF">
      <w:pPr>
        <w:jc w:val="center"/>
        <w:rPr>
          <w:rFonts w:hint="eastAsia" w:ascii="仿宋" w:hAnsi="仿宋" w:cs="仿宋"/>
          <w:b/>
          <w:bCs/>
          <w:sz w:val="24"/>
          <w:szCs w:val="24"/>
          <w:lang w:val="en-US" w:eastAsia="zh-CN"/>
        </w:rPr>
      </w:pPr>
    </w:p>
    <w:p w14:paraId="1AA2B664">
      <w:pPr>
        <w:jc w:val="center"/>
        <w:rPr>
          <w:rFonts w:hint="eastAsia" w:ascii="仿宋" w:hAnsi="仿宋" w:cs="仿宋"/>
          <w:b/>
          <w:bCs/>
          <w:sz w:val="24"/>
          <w:szCs w:val="24"/>
          <w:lang w:val="en-US" w:eastAsia="zh-CN"/>
        </w:rPr>
      </w:pPr>
    </w:p>
    <w:p w14:paraId="0534D15E">
      <w:pPr>
        <w:jc w:val="center"/>
        <w:rPr>
          <w:rFonts w:hint="eastAsia" w:ascii="仿宋" w:hAnsi="仿宋" w:cs="仿宋"/>
          <w:b/>
          <w:bCs/>
          <w:sz w:val="24"/>
          <w:szCs w:val="24"/>
          <w:lang w:val="en-US" w:eastAsia="zh-CN"/>
        </w:rPr>
      </w:pPr>
    </w:p>
    <w:p w14:paraId="0D351C2C">
      <w:pPr>
        <w:jc w:val="center"/>
        <w:rPr>
          <w:rFonts w:hint="eastAsia" w:ascii="仿宋" w:hAnsi="仿宋" w:cs="仿宋"/>
          <w:b/>
          <w:bCs/>
          <w:sz w:val="24"/>
          <w:szCs w:val="24"/>
          <w:lang w:val="en-US" w:eastAsia="zh-CN"/>
        </w:rPr>
      </w:pPr>
    </w:p>
    <w:p w14:paraId="374B128B">
      <w:pPr>
        <w:jc w:val="center"/>
        <w:rPr>
          <w:rFonts w:hint="eastAsia" w:ascii="仿宋" w:hAnsi="仿宋" w:cs="仿宋"/>
          <w:b/>
          <w:bCs/>
          <w:sz w:val="24"/>
          <w:szCs w:val="24"/>
          <w:lang w:val="en-US" w:eastAsia="zh-CN"/>
        </w:rPr>
      </w:pPr>
    </w:p>
    <w:p w14:paraId="24FD3FAC">
      <w:pPr>
        <w:jc w:val="center"/>
        <w:rPr>
          <w:rFonts w:hint="eastAsia" w:ascii="仿宋" w:hAnsi="仿宋" w:cs="仿宋"/>
          <w:b/>
          <w:bCs/>
          <w:sz w:val="24"/>
          <w:szCs w:val="24"/>
          <w:lang w:val="en-US" w:eastAsia="zh-CN"/>
        </w:rPr>
      </w:pPr>
    </w:p>
    <w:p w14:paraId="2932DB5B">
      <w:pPr>
        <w:jc w:val="center"/>
        <w:rPr>
          <w:rFonts w:hint="eastAsia" w:ascii="仿宋" w:hAnsi="仿宋" w:cs="仿宋"/>
          <w:b/>
          <w:bCs/>
          <w:sz w:val="24"/>
          <w:szCs w:val="24"/>
          <w:lang w:val="en-US" w:eastAsia="zh-CN"/>
        </w:rPr>
      </w:pPr>
    </w:p>
    <w:p w14:paraId="2DDCE620">
      <w:pPr>
        <w:jc w:val="center"/>
        <w:rPr>
          <w:rFonts w:hint="eastAsia" w:ascii="仿宋" w:hAnsi="仿宋" w:cs="仿宋"/>
          <w:b/>
          <w:bCs/>
          <w:sz w:val="24"/>
          <w:szCs w:val="24"/>
          <w:lang w:val="en-US" w:eastAsia="zh-CN"/>
        </w:rPr>
      </w:pPr>
    </w:p>
    <w:p w14:paraId="12E84FAA">
      <w:pPr>
        <w:jc w:val="center"/>
        <w:rPr>
          <w:rFonts w:hint="eastAsia" w:ascii="仿宋" w:hAnsi="仿宋" w:cs="仿宋"/>
          <w:b/>
          <w:bCs/>
          <w:sz w:val="24"/>
          <w:szCs w:val="24"/>
          <w:lang w:val="en-US" w:eastAsia="zh-CN"/>
        </w:rPr>
      </w:pPr>
    </w:p>
    <w:p w14:paraId="12F65793">
      <w:pPr>
        <w:jc w:val="center"/>
        <w:rPr>
          <w:rFonts w:hint="eastAsia" w:ascii="仿宋" w:hAnsi="仿宋" w:cs="仿宋"/>
          <w:b/>
          <w:bCs/>
          <w:sz w:val="24"/>
          <w:szCs w:val="24"/>
          <w:lang w:val="en-US" w:eastAsia="zh-CN"/>
        </w:rPr>
      </w:pPr>
    </w:p>
    <w:p w14:paraId="2D46756E">
      <w:pPr>
        <w:jc w:val="center"/>
        <w:rPr>
          <w:rFonts w:hint="eastAsia" w:ascii="仿宋" w:hAnsi="仿宋" w:cs="仿宋"/>
          <w:b/>
          <w:bCs/>
          <w:sz w:val="24"/>
          <w:szCs w:val="24"/>
          <w:lang w:val="en-US" w:eastAsia="zh-CN"/>
        </w:rPr>
      </w:pPr>
    </w:p>
    <w:p w14:paraId="78AD53BD">
      <w:pPr>
        <w:jc w:val="center"/>
        <w:rPr>
          <w:rFonts w:hint="eastAsia" w:ascii="仿宋" w:hAnsi="仿宋" w:cs="仿宋"/>
          <w:b/>
          <w:bCs/>
          <w:sz w:val="24"/>
          <w:szCs w:val="24"/>
          <w:lang w:val="en-US" w:eastAsia="zh-CN"/>
        </w:rPr>
      </w:pPr>
    </w:p>
    <w:p w14:paraId="765256C6">
      <w:pPr>
        <w:jc w:val="center"/>
        <w:rPr>
          <w:rFonts w:hint="eastAsia" w:ascii="仿宋" w:hAnsi="仿宋" w:cs="仿宋"/>
          <w:b/>
          <w:bCs/>
          <w:sz w:val="24"/>
          <w:szCs w:val="24"/>
          <w:lang w:val="en-US" w:eastAsia="zh-CN"/>
        </w:rPr>
      </w:pPr>
    </w:p>
    <w:p w14:paraId="3660AFFF">
      <w:pPr>
        <w:jc w:val="center"/>
        <w:rPr>
          <w:rFonts w:hint="eastAsia" w:ascii="仿宋" w:hAnsi="仿宋" w:cs="仿宋"/>
          <w:b/>
          <w:bCs/>
          <w:sz w:val="24"/>
          <w:szCs w:val="24"/>
          <w:lang w:val="en-US" w:eastAsia="zh-CN"/>
        </w:rPr>
      </w:pPr>
    </w:p>
    <w:p w14:paraId="485C59FA">
      <w:pPr>
        <w:jc w:val="center"/>
        <w:rPr>
          <w:rFonts w:hint="eastAsia" w:ascii="仿宋" w:hAnsi="仿宋" w:cs="仿宋"/>
          <w:b/>
          <w:bCs/>
          <w:sz w:val="24"/>
          <w:szCs w:val="24"/>
          <w:lang w:val="en-US" w:eastAsia="zh-CN"/>
        </w:rPr>
      </w:pPr>
    </w:p>
    <w:p w14:paraId="397F9C79">
      <w:pPr>
        <w:jc w:val="center"/>
        <w:rPr>
          <w:rFonts w:hint="eastAsia" w:ascii="仿宋" w:hAnsi="仿宋" w:cs="仿宋"/>
          <w:b/>
          <w:bCs/>
          <w:sz w:val="24"/>
          <w:szCs w:val="24"/>
          <w:lang w:val="en-US" w:eastAsia="zh-CN"/>
        </w:rPr>
      </w:pPr>
    </w:p>
    <w:p w14:paraId="5835DBF3">
      <w:pPr>
        <w:jc w:val="center"/>
        <w:rPr>
          <w:rFonts w:hint="eastAsia" w:ascii="仿宋" w:hAnsi="仿宋" w:cs="仿宋"/>
          <w:b/>
          <w:bCs/>
          <w:sz w:val="24"/>
          <w:szCs w:val="24"/>
          <w:lang w:val="en-US" w:eastAsia="zh-CN"/>
        </w:rPr>
      </w:pPr>
    </w:p>
    <w:p w14:paraId="26DA5D6D">
      <w:pPr>
        <w:jc w:val="center"/>
        <w:rPr>
          <w:rFonts w:hint="eastAsia" w:ascii="仿宋" w:hAnsi="仿宋" w:cs="仿宋"/>
          <w:b/>
          <w:bCs/>
          <w:sz w:val="24"/>
          <w:szCs w:val="24"/>
          <w:lang w:val="en-US" w:eastAsia="zh-CN"/>
        </w:rPr>
      </w:pPr>
    </w:p>
    <w:p w14:paraId="772BF0DF">
      <w:pPr>
        <w:jc w:val="center"/>
        <w:rPr>
          <w:rFonts w:hint="eastAsia" w:ascii="仿宋" w:hAnsi="仿宋" w:cs="仿宋"/>
          <w:b/>
          <w:bCs/>
          <w:sz w:val="24"/>
          <w:szCs w:val="24"/>
          <w:lang w:val="en-US" w:eastAsia="zh-CN"/>
        </w:rPr>
      </w:pPr>
    </w:p>
    <w:p w14:paraId="794A36AE">
      <w:pPr>
        <w:jc w:val="center"/>
        <w:rPr>
          <w:rFonts w:hint="eastAsia" w:ascii="仿宋" w:hAnsi="仿宋" w:cs="仿宋"/>
          <w:b/>
          <w:bCs/>
          <w:sz w:val="24"/>
          <w:szCs w:val="24"/>
          <w:lang w:val="en-US" w:eastAsia="zh-CN"/>
        </w:rPr>
      </w:pPr>
    </w:p>
    <w:p w14:paraId="473DFF33">
      <w:pPr>
        <w:jc w:val="center"/>
        <w:rPr>
          <w:rFonts w:hint="eastAsia" w:ascii="仿宋" w:hAnsi="仿宋" w:cs="仿宋"/>
          <w:b/>
          <w:bCs/>
          <w:sz w:val="24"/>
          <w:szCs w:val="24"/>
          <w:lang w:val="en-US" w:eastAsia="zh-CN"/>
        </w:rPr>
      </w:pPr>
    </w:p>
    <w:p w14:paraId="4B07EC07">
      <w:pPr>
        <w:jc w:val="center"/>
        <w:rPr>
          <w:rFonts w:hint="eastAsia" w:ascii="仿宋" w:hAnsi="仿宋" w:eastAsia="仿宋" w:cs="仿宋"/>
          <w:b/>
          <w:bCs/>
          <w:sz w:val="24"/>
          <w:szCs w:val="24"/>
        </w:rPr>
      </w:pPr>
      <w:r>
        <w:rPr>
          <w:rFonts w:hint="eastAsia" w:ascii="仿宋" w:hAnsi="仿宋" w:cs="仿宋"/>
          <w:b/>
          <w:bCs/>
          <w:sz w:val="24"/>
          <w:szCs w:val="24"/>
          <w:lang w:val="en-US" w:eastAsia="zh-CN"/>
        </w:rPr>
        <w:t>十</w:t>
      </w:r>
      <w:r>
        <w:rPr>
          <w:rFonts w:hint="eastAsia" w:ascii="仿宋" w:hAnsi="仿宋" w:eastAsia="仿宋" w:cs="仿宋"/>
          <w:b/>
          <w:bCs/>
          <w:sz w:val="24"/>
          <w:szCs w:val="24"/>
        </w:rPr>
        <w:t>、磋商方案说明、服务承诺</w:t>
      </w:r>
    </w:p>
    <w:p w14:paraId="590C6906">
      <w:pPr>
        <w:rPr>
          <w:rFonts w:hint="eastAsia" w:ascii="仿宋" w:hAnsi="仿宋" w:eastAsia="仿宋" w:cs="仿宋"/>
          <w:sz w:val="24"/>
          <w:szCs w:val="24"/>
        </w:rPr>
      </w:pPr>
    </w:p>
    <w:p w14:paraId="039DD361">
      <w:pPr>
        <w:rPr>
          <w:rFonts w:hint="eastAsia" w:ascii="仿宋" w:hAnsi="仿宋" w:eastAsia="仿宋" w:cs="仿宋"/>
          <w:sz w:val="24"/>
          <w:szCs w:val="24"/>
        </w:rPr>
      </w:pPr>
      <w:r>
        <w:rPr>
          <w:rFonts w:hint="eastAsia" w:ascii="仿宋" w:hAnsi="仿宋" w:eastAsia="仿宋" w:cs="仿宋"/>
          <w:sz w:val="24"/>
          <w:szCs w:val="24"/>
        </w:rPr>
        <w:t>按照磋商文件的要求自行编制，格式自拟</w:t>
      </w:r>
    </w:p>
    <w:p w14:paraId="3386A5E5">
      <w:pPr>
        <w:rPr>
          <w:rFonts w:hint="eastAsia" w:ascii="仿宋" w:hAnsi="仿宋" w:eastAsia="仿宋" w:cs="仿宋"/>
          <w:sz w:val="24"/>
          <w:szCs w:val="24"/>
        </w:rPr>
      </w:pPr>
      <w:r>
        <w:rPr>
          <w:rFonts w:hint="eastAsia" w:ascii="仿宋" w:hAnsi="仿宋" w:eastAsia="仿宋" w:cs="仿宋"/>
          <w:sz w:val="24"/>
          <w:szCs w:val="24"/>
        </w:rPr>
        <w:br w:type="page"/>
      </w:r>
    </w:p>
    <w:p w14:paraId="5130FB1B">
      <w:pPr>
        <w:pStyle w:val="4"/>
        <w:jc w:val="center"/>
        <w:rPr>
          <w:b/>
          <w:bCs/>
          <w:sz w:val="24"/>
          <w:szCs w:val="24"/>
        </w:rPr>
      </w:pPr>
      <w:r>
        <w:rPr>
          <w:rFonts w:hint="eastAsia"/>
          <w:b/>
          <w:bCs/>
          <w:sz w:val="24"/>
          <w:szCs w:val="24"/>
          <w:lang w:val="en-US" w:eastAsia="zh-CN"/>
        </w:rPr>
        <w:t>十一</w:t>
      </w:r>
      <w:r>
        <w:rPr>
          <w:b/>
          <w:bCs/>
          <w:sz w:val="24"/>
          <w:szCs w:val="24"/>
        </w:rPr>
        <w:t>、磋商文件确认书</w:t>
      </w:r>
    </w:p>
    <w:p w14:paraId="2F8EBD4F">
      <w:pPr>
        <w:pStyle w:val="4"/>
        <w:rPr>
          <w:sz w:val="24"/>
          <w:szCs w:val="24"/>
        </w:rPr>
      </w:pPr>
      <w:r>
        <w:rPr>
          <w:sz w:val="24"/>
          <w:szCs w:val="24"/>
        </w:rPr>
        <w:t xml:space="preserve">    </w:t>
      </w:r>
    </w:p>
    <w:p w14:paraId="717E43FC">
      <w:pPr>
        <w:pStyle w:val="4"/>
        <w:rPr>
          <w:sz w:val="24"/>
          <w:szCs w:val="24"/>
        </w:rPr>
      </w:pPr>
      <w:r>
        <w:rPr>
          <w:sz w:val="24"/>
          <w:szCs w:val="24"/>
        </w:rPr>
        <w:t xml:space="preserve">    本单位对</w:t>
      </w:r>
      <w:r>
        <w:rPr>
          <w:rFonts w:hint="eastAsia"/>
          <w:color w:val="000000"/>
          <w:sz w:val="24"/>
          <w:szCs w:val="24"/>
        </w:rPr>
        <w:t>“一中心五区域”敬老院房屋安全性鉴定及房屋检测服务项目</w:t>
      </w:r>
      <w:r>
        <w:rPr>
          <w:sz w:val="24"/>
          <w:szCs w:val="24"/>
        </w:rPr>
        <w:t>竞争性磋商文件及相关的修正内容、答疑内容均无异议。</w:t>
      </w:r>
    </w:p>
    <w:p w14:paraId="6D9ED17C">
      <w:pPr>
        <w:pStyle w:val="4"/>
        <w:rPr>
          <w:sz w:val="24"/>
          <w:szCs w:val="24"/>
        </w:rPr>
      </w:pPr>
    </w:p>
    <w:p w14:paraId="7AB07A29">
      <w:pPr>
        <w:pStyle w:val="4"/>
        <w:rPr>
          <w:sz w:val="24"/>
          <w:szCs w:val="24"/>
        </w:rPr>
      </w:pPr>
    </w:p>
    <w:p w14:paraId="17A7771F">
      <w:pPr>
        <w:pStyle w:val="4"/>
        <w:rPr>
          <w:sz w:val="24"/>
          <w:szCs w:val="24"/>
        </w:rPr>
      </w:pPr>
      <w:r>
        <w:rPr>
          <w:sz w:val="24"/>
          <w:szCs w:val="24"/>
        </w:rPr>
        <w:t>投    标   人（盖章）：</w:t>
      </w:r>
    </w:p>
    <w:p w14:paraId="0BD5D986">
      <w:pPr>
        <w:pStyle w:val="4"/>
        <w:rPr>
          <w:sz w:val="24"/>
          <w:szCs w:val="24"/>
        </w:rPr>
      </w:pPr>
      <w:r>
        <w:rPr>
          <w:sz w:val="24"/>
          <w:szCs w:val="24"/>
        </w:rPr>
        <w:t>授权代表（</w:t>
      </w:r>
      <w:r>
        <w:rPr>
          <w:rFonts w:hint="eastAsia"/>
          <w:sz w:val="24"/>
          <w:szCs w:val="24"/>
        </w:rPr>
        <w:t>签字或盖章</w:t>
      </w:r>
      <w:r>
        <w:rPr>
          <w:sz w:val="24"/>
          <w:szCs w:val="24"/>
        </w:rPr>
        <w:t>）：</w:t>
      </w:r>
    </w:p>
    <w:p w14:paraId="7D5EC1B6">
      <w:pPr>
        <w:pStyle w:val="4"/>
        <w:rPr>
          <w:sz w:val="24"/>
          <w:szCs w:val="24"/>
        </w:rPr>
      </w:pPr>
      <w:r>
        <w:rPr>
          <w:sz w:val="24"/>
          <w:szCs w:val="24"/>
        </w:rPr>
        <w:t>日   期：</w:t>
      </w:r>
    </w:p>
    <w:p w14:paraId="29B02F83">
      <w:pPr>
        <w:rPr>
          <w:sz w:val="24"/>
          <w:szCs w:val="24"/>
        </w:rPr>
      </w:pPr>
      <w:r>
        <w:rPr>
          <w:sz w:val="24"/>
          <w:szCs w:val="24"/>
        </w:rPr>
        <w:br w:type="page"/>
      </w:r>
    </w:p>
    <w:p w14:paraId="4425A974">
      <w:pPr>
        <w:pStyle w:val="4"/>
        <w:jc w:val="center"/>
        <w:rPr>
          <w:b/>
          <w:bCs/>
          <w:sz w:val="24"/>
          <w:szCs w:val="24"/>
        </w:rPr>
      </w:pPr>
      <w:r>
        <w:rPr>
          <w:rFonts w:hint="eastAsia"/>
          <w:b/>
          <w:bCs/>
          <w:sz w:val="24"/>
          <w:szCs w:val="24"/>
          <w:lang w:val="en-US" w:eastAsia="zh-CN"/>
        </w:rPr>
        <w:t>十二</w:t>
      </w:r>
      <w:r>
        <w:rPr>
          <w:b/>
          <w:bCs/>
          <w:sz w:val="24"/>
          <w:szCs w:val="24"/>
        </w:rPr>
        <w:t>、投标承诺书</w:t>
      </w:r>
    </w:p>
    <w:p w14:paraId="3D9440A4">
      <w:pPr>
        <w:pStyle w:val="4"/>
        <w:spacing w:after="120" w:afterLines="50"/>
        <w:jc w:val="center"/>
        <w:rPr>
          <w:sz w:val="24"/>
          <w:szCs w:val="24"/>
        </w:rPr>
      </w:pPr>
      <w:r>
        <w:rPr>
          <w:b/>
          <w:bCs/>
          <w:sz w:val="24"/>
          <w:szCs w:val="24"/>
        </w:rPr>
        <w:t>陕西省政府采购投标人拒绝政府采购领域商业贿赂承诺书</w:t>
      </w:r>
    </w:p>
    <w:p w14:paraId="5C3E73F7">
      <w:pPr>
        <w:ind w:firstLine="480" w:firstLineChars="200"/>
        <w:rPr>
          <w:sz w:val="24"/>
          <w:szCs w:val="24"/>
        </w:rPr>
      </w:pPr>
      <w:r>
        <w:rPr>
          <w:sz w:val="24"/>
          <w:szCs w:val="24"/>
        </w:rPr>
        <w:t xml:space="preserve">为响应党中央、国务院关于治理政府采购领域商业贿赂行为的号召，我单位在此庄严承诺： </w:t>
      </w:r>
    </w:p>
    <w:p w14:paraId="711E35FD">
      <w:pPr>
        <w:ind w:firstLine="480" w:firstLineChars="200"/>
        <w:rPr>
          <w:sz w:val="24"/>
          <w:szCs w:val="24"/>
        </w:rPr>
      </w:pPr>
      <w:r>
        <w:rPr>
          <w:sz w:val="24"/>
          <w:szCs w:val="24"/>
        </w:rPr>
        <w:t xml:space="preserve">1、在参与政府采购活动中遵纪守法、诚信经营、公平竞标。 </w:t>
      </w:r>
    </w:p>
    <w:p w14:paraId="0B9A32A2">
      <w:pPr>
        <w:ind w:firstLine="480" w:firstLineChars="200"/>
        <w:rPr>
          <w:sz w:val="24"/>
          <w:szCs w:val="24"/>
        </w:rPr>
      </w:pPr>
      <w:r>
        <w:rPr>
          <w:sz w:val="24"/>
          <w:szCs w:val="24"/>
        </w:rPr>
        <w:t xml:space="preserve">2、不向采购人、采购代理机构和政府采购评审专家进行任何形式的商业贿赂以谋取交易机会。 </w:t>
      </w:r>
    </w:p>
    <w:p w14:paraId="536278AF">
      <w:pPr>
        <w:ind w:firstLine="480" w:firstLineChars="200"/>
        <w:rPr>
          <w:sz w:val="24"/>
          <w:szCs w:val="24"/>
        </w:rPr>
      </w:pPr>
      <w:r>
        <w:rPr>
          <w:sz w:val="24"/>
          <w:szCs w:val="24"/>
        </w:rPr>
        <w:t xml:space="preserve">3、不向政府采购代理机构和采购人提供虚假资质文件或采用虚假应标方式参与政府采购市场竞争并谋取中标、成交。 </w:t>
      </w:r>
    </w:p>
    <w:p w14:paraId="6DE42F6F">
      <w:pPr>
        <w:ind w:firstLine="480" w:firstLineChars="200"/>
        <w:rPr>
          <w:sz w:val="24"/>
          <w:szCs w:val="24"/>
        </w:rPr>
      </w:pPr>
      <w:r>
        <w:rPr>
          <w:sz w:val="24"/>
          <w:szCs w:val="24"/>
        </w:rPr>
        <w:t xml:space="preserve">4、不采取“围标、陪标”等商业欺诈手段获得政府采购定单。 </w:t>
      </w:r>
    </w:p>
    <w:p w14:paraId="0A9B6A1C">
      <w:pPr>
        <w:ind w:firstLine="480" w:firstLineChars="200"/>
        <w:rPr>
          <w:sz w:val="24"/>
          <w:szCs w:val="24"/>
        </w:rPr>
      </w:pPr>
      <w:r>
        <w:rPr>
          <w:sz w:val="24"/>
          <w:szCs w:val="24"/>
        </w:rPr>
        <w:t xml:space="preserve">5、不采取不正当手段诋毁、排挤其他投标人。 </w:t>
      </w:r>
    </w:p>
    <w:p w14:paraId="3DB21152">
      <w:pPr>
        <w:ind w:firstLine="480" w:firstLineChars="200"/>
        <w:rPr>
          <w:sz w:val="24"/>
          <w:szCs w:val="24"/>
        </w:rPr>
      </w:pPr>
      <w:r>
        <w:rPr>
          <w:sz w:val="24"/>
          <w:szCs w:val="24"/>
        </w:rPr>
        <w:t xml:space="preserve">6、不在提供商品和服务时“偷梁换柱、以次充好”损害采购人的合法权益。 </w:t>
      </w:r>
    </w:p>
    <w:p w14:paraId="1AF3210B">
      <w:pPr>
        <w:ind w:firstLine="480" w:firstLineChars="200"/>
        <w:rPr>
          <w:sz w:val="24"/>
          <w:szCs w:val="24"/>
        </w:rPr>
      </w:pPr>
      <w:r>
        <w:rPr>
          <w:sz w:val="24"/>
          <w:szCs w:val="24"/>
        </w:rPr>
        <w:t xml:space="preserve">7、不与采购人、采购代理机构政府采购评审专家或其它投标人恶意串通，进行质疑和投诉，维护政府采购市场秩序。 </w:t>
      </w:r>
    </w:p>
    <w:p w14:paraId="030D152A">
      <w:pPr>
        <w:ind w:firstLine="480" w:firstLineChars="200"/>
        <w:rPr>
          <w:sz w:val="24"/>
          <w:szCs w:val="24"/>
        </w:rPr>
      </w:pPr>
      <w:r>
        <w:rPr>
          <w:sz w:val="24"/>
          <w:szCs w:val="24"/>
        </w:rPr>
        <w:t xml:space="preserve"> 8、尊重和接受政府采购监督管理部门的监督和政府采购代理机构招标要求，承担因违约行为给采购人造成的损失。 </w:t>
      </w:r>
    </w:p>
    <w:p w14:paraId="3A8FB913">
      <w:pPr>
        <w:ind w:firstLine="600" w:firstLineChars="250"/>
        <w:rPr>
          <w:sz w:val="24"/>
          <w:szCs w:val="24"/>
        </w:rPr>
      </w:pPr>
      <w:r>
        <w:rPr>
          <w:sz w:val="24"/>
          <w:szCs w:val="24"/>
        </w:rPr>
        <w:t>9、不发生其他有悖于政府采购公开、公平、公正和诚信原则的行为。</w:t>
      </w:r>
    </w:p>
    <w:p w14:paraId="5077BCFB">
      <w:pPr>
        <w:rPr>
          <w:sz w:val="24"/>
          <w:szCs w:val="24"/>
        </w:rPr>
      </w:pPr>
      <w:r>
        <w:rPr>
          <w:sz w:val="24"/>
          <w:szCs w:val="24"/>
        </w:rPr>
        <w:t>  </w:t>
      </w:r>
      <w:r>
        <w:rPr>
          <w:rFonts w:hint="eastAsia"/>
          <w:sz w:val="24"/>
          <w:szCs w:val="24"/>
        </w:rPr>
        <w:t xml:space="preserve">   </w:t>
      </w:r>
      <w:r>
        <w:rPr>
          <w:sz w:val="24"/>
          <w:szCs w:val="24"/>
        </w:rPr>
        <w:t>承诺单位：　　                 　（盖章）</w:t>
      </w:r>
    </w:p>
    <w:p w14:paraId="6F0E22B5">
      <w:pPr>
        <w:ind w:firstLine="480" w:firstLineChars="200"/>
        <w:rPr>
          <w:sz w:val="24"/>
          <w:szCs w:val="24"/>
        </w:rPr>
      </w:pPr>
      <w:r>
        <w:rPr>
          <w:sz w:val="24"/>
          <w:szCs w:val="24"/>
        </w:rPr>
        <w:t xml:space="preserve">法定代表人：　　　　　     　　　　（签字） </w:t>
      </w:r>
    </w:p>
    <w:p w14:paraId="727D2B9B">
      <w:pPr>
        <w:ind w:firstLine="480" w:firstLineChars="200"/>
        <w:rPr>
          <w:sz w:val="24"/>
          <w:szCs w:val="24"/>
        </w:rPr>
      </w:pPr>
      <w:r>
        <w:rPr>
          <w:sz w:val="24"/>
          <w:szCs w:val="24"/>
        </w:rPr>
        <w:t xml:space="preserve">地　　址：  　　　　　     　　　　     </w:t>
      </w:r>
    </w:p>
    <w:p w14:paraId="3BF79082">
      <w:pPr>
        <w:ind w:firstLine="480" w:firstLineChars="200"/>
        <w:rPr>
          <w:sz w:val="24"/>
          <w:szCs w:val="24"/>
        </w:rPr>
      </w:pPr>
      <w:r>
        <w:rPr>
          <w:sz w:val="24"/>
          <w:szCs w:val="24"/>
        </w:rPr>
        <w:t xml:space="preserve">邮    编：　　                     　　 </w:t>
      </w:r>
    </w:p>
    <w:p w14:paraId="6F4ADFA2">
      <w:pPr>
        <w:ind w:firstLine="480" w:firstLineChars="200"/>
        <w:rPr>
          <w:sz w:val="24"/>
          <w:szCs w:val="24"/>
        </w:rPr>
      </w:pPr>
      <w:r>
        <w:rPr>
          <w:sz w:val="24"/>
          <w:szCs w:val="24"/>
        </w:rPr>
        <w:t>电　　话：　　　                　　　　</w:t>
      </w:r>
    </w:p>
    <w:p w14:paraId="248BAE10">
      <w:pPr>
        <w:jc w:val="right"/>
        <w:rPr>
          <w:sz w:val="24"/>
          <w:szCs w:val="24"/>
        </w:rPr>
        <w:sectPr>
          <w:footerReference r:id="rId9" w:type="first"/>
          <w:footerReference r:id="rId8" w:type="default"/>
          <w:pgSz w:w="11905" w:h="16838"/>
          <w:pgMar w:top="1417" w:right="1417" w:bottom="1440" w:left="1417" w:header="811" w:footer="1020" w:gutter="0"/>
          <w:pgNumType w:fmt="decimal"/>
          <w:cols w:space="0" w:num="1"/>
          <w:titlePg/>
          <w:rtlGutter w:val="0"/>
          <w:docGrid w:linePitch="326" w:charSpace="0"/>
        </w:sectPr>
      </w:pPr>
      <w:r>
        <w:rPr>
          <w:sz w:val="24"/>
          <w:szCs w:val="24"/>
        </w:rPr>
        <w:t>年　　月　　日</w:t>
      </w:r>
    </w:p>
    <w:tbl>
      <w:tblPr>
        <w:tblStyle w:val="16"/>
        <w:tblW w:w="9000" w:type="dxa"/>
        <w:tblInd w:w="80" w:type="dxa"/>
        <w:tblLayout w:type="fixed"/>
        <w:tblCellMar>
          <w:top w:w="0" w:type="dxa"/>
          <w:left w:w="108" w:type="dxa"/>
          <w:bottom w:w="0" w:type="dxa"/>
          <w:right w:w="108" w:type="dxa"/>
        </w:tblCellMar>
      </w:tblPr>
      <w:tblGrid>
        <w:gridCol w:w="2244"/>
        <w:gridCol w:w="141"/>
        <w:gridCol w:w="3002"/>
        <w:gridCol w:w="3613"/>
      </w:tblGrid>
      <w:tr w14:paraId="24082DB4">
        <w:tblPrEx>
          <w:tblCellMar>
            <w:top w:w="0" w:type="dxa"/>
            <w:left w:w="108" w:type="dxa"/>
            <w:bottom w:w="0" w:type="dxa"/>
            <w:right w:w="108" w:type="dxa"/>
          </w:tblCellMar>
        </w:tblPrEx>
        <w:trPr>
          <w:trHeight w:val="720" w:hRule="atLeast"/>
        </w:trPr>
        <w:tc>
          <w:tcPr>
            <w:tcW w:w="9000" w:type="dxa"/>
            <w:gridSpan w:val="4"/>
            <w:tcBorders>
              <w:top w:val="nil"/>
              <w:left w:val="nil"/>
              <w:bottom w:val="nil"/>
              <w:right w:val="nil"/>
            </w:tcBorders>
            <w:vAlign w:val="center"/>
          </w:tcPr>
          <w:p w14:paraId="1F002EF4">
            <w:pPr>
              <w:pStyle w:val="4"/>
              <w:jc w:val="center"/>
              <w:rPr>
                <w:rFonts w:ascii="仿宋" w:hAnsi="仿宋" w:cs="仿宋"/>
                <w:sz w:val="24"/>
                <w:szCs w:val="24"/>
              </w:rPr>
            </w:pPr>
            <w:r>
              <w:rPr>
                <w:rFonts w:hint="eastAsia" w:ascii="仿宋" w:hAnsi="仿宋" w:cs="仿宋"/>
                <w:sz w:val="24"/>
                <w:szCs w:val="24"/>
              </w:rPr>
              <w:t>承  诺  书  （一）</w:t>
            </w:r>
          </w:p>
        </w:tc>
      </w:tr>
      <w:tr w14:paraId="679917A7">
        <w:tblPrEx>
          <w:tblCellMar>
            <w:top w:w="0" w:type="dxa"/>
            <w:left w:w="108" w:type="dxa"/>
            <w:bottom w:w="0" w:type="dxa"/>
            <w:right w:w="108" w:type="dxa"/>
          </w:tblCellMar>
        </w:tblPrEx>
        <w:trPr>
          <w:trHeight w:val="499" w:hRule="atLeast"/>
        </w:trPr>
        <w:tc>
          <w:tcPr>
            <w:tcW w:w="9000" w:type="dxa"/>
            <w:gridSpan w:val="4"/>
            <w:tcBorders>
              <w:top w:val="single" w:color="auto" w:sz="4" w:space="0"/>
              <w:left w:val="single" w:color="auto" w:sz="4" w:space="0"/>
              <w:bottom w:val="single" w:color="auto" w:sz="4" w:space="0"/>
              <w:right w:val="single" w:color="000000" w:sz="4" w:space="0"/>
            </w:tcBorders>
            <w:vAlign w:val="center"/>
          </w:tcPr>
          <w:p w14:paraId="530CEDF2">
            <w:pPr>
              <w:pStyle w:val="4"/>
              <w:rPr>
                <w:rFonts w:ascii="仿宋" w:hAnsi="仿宋" w:cs="仿宋"/>
                <w:sz w:val="24"/>
                <w:szCs w:val="24"/>
              </w:rPr>
            </w:pPr>
            <w:r>
              <w:rPr>
                <w:rFonts w:hint="eastAsia" w:ascii="仿宋" w:hAnsi="仿宋" w:cs="仿宋"/>
                <w:sz w:val="24"/>
                <w:szCs w:val="24"/>
              </w:rPr>
              <w:t>致（招标代理机构）：</w:t>
            </w:r>
          </w:p>
        </w:tc>
      </w:tr>
      <w:tr w14:paraId="0D9137DD">
        <w:tblPrEx>
          <w:tblCellMar>
            <w:top w:w="0" w:type="dxa"/>
            <w:left w:w="108" w:type="dxa"/>
            <w:bottom w:w="0" w:type="dxa"/>
            <w:right w:w="108" w:type="dxa"/>
          </w:tblCellMar>
        </w:tblPrEx>
        <w:trPr>
          <w:trHeight w:val="1050" w:hRule="atLeast"/>
        </w:trPr>
        <w:tc>
          <w:tcPr>
            <w:tcW w:w="9000" w:type="dxa"/>
            <w:gridSpan w:val="4"/>
            <w:tcBorders>
              <w:top w:val="single" w:color="auto" w:sz="4" w:space="0"/>
              <w:left w:val="single" w:color="auto" w:sz="4" w:space="0"/>
              <w:bottom w:val="single" w:color="auto" w:sz="4" w:space="0"/>
              <w:right w:val="single" w:color="000000" w:sz="4" w:space="0"/>
            </w:tcBorders>
            <w:vAlign w:val="center"/>
          </w:tcPr>
          <w:p w14:paraId="21C04DDA">
            <w:pPr>
              <w:pStyle w:val="4"/>
              <w:rPr>
                <w:rFonts w:ascii="仿宋" w:hAnsi="仿宋" w:cs="仿宋"/>
                <w:sz w:val="24"/>
                <w:szCs w:val="24"/>
              </w:rPr>
            </w:pPr>
            <w:r>
              <w:rPr>
                <w:rFonts w:hint="eastAsia" w:ascii="仿宋" w:hAnsi="仿宋" w:cs="仿宋"/>
                <w:sz w:val="24"/>
                <w:szCs w:val="24"/>
              </w:rPr>
              <w:t xml:space="preserve">    作为参加贵单位组织的招标采购项目的投标人，本公司承诺：在参加本项目报价之前不存在被依法禁止经营行为、财产被接管或冻结的情况，如有隐瞒实情，愿承担一切责任及后果。</w:t>
            </w:r>
          </w:p>
        </w:tc>
      </w:tr>
      <w:tr w14:paraId="6923E0DE">
        <w:tblPrEx>
          <w:tblCellMar>
            <w:top w:w="0" w:type="dxa"/>
            <w:left w:w="108" w:type="dxa"/>
            <w:bottom w:w="0" w:type="dxa"/>
            <w:right w:w="108" w:type="dxa"/>
          </w:tblCellMar>
        </w:tblPrEx>
        <w:trPr>
          <w:trHeight w:val="690" w:hRule="atLeast"/>
        </w:trPr>
        <w:tc>
          <w:tcPr>
            <w:tcW w:w="2385" w:type="dxa"/>
            <w:gridSpan w:val="2"/>
            <w:tcBorders>
              <w:top w:val="nil"/>
              <w:left w:val="single" w:color="auto" w:sz="4" w:space="0"/>
              <w:bottom w:val="single" w:color="auto" w:sz="4" w:space="0"/>
              <w:right w:val="single" w:color="auto" w:sz="4" w:space="0"/>
            </w:tcBorders>
            <w:vAlign w:val="center"/>
          </w:tcPr>
          <w:p w14:paraId="2CC0A1FA">
            <w:pPr>
              <w:pStyle w:val="4"/>
              <w:jc w:val="center"/>
              <w:rPr>
                <w:rFonts w:ascii="仿宋" w:hAnsi="仿宋" w:cs="仿宋"/>
                <w:sz w:val="24"/>
                <w:szCs w:val="24"/>
              </w:rPr>
            </w:pPr>
            <w:r>
              <w:rPr>
                <w:rFonts w:hint="eastAsia" w:ascii="仿宋" w:hAnsi="仿宋" w:cs="仿宋"/>
                <w:sz w:val="24"/>
                <w:szCs w:val="24"/>
              </w:rPr>
              <w:t>投标人</w:t>
            </w:r>
          </w:p>
        </w:tc>
        <w:tc>
          <w:tcPr>
            <w:tcW w:w="3002" w:type="dxa"/>
            <w:tcBorders>
              <w:top w:val="nil"/>
              <w:left w:val="nil"/>
              <w:bottom w:val="single" w:color="auto" w:sz="4" w:space="0"/>
              <w:right w:val="single" w:color="auto" w:sz="4" w:space="0"/>
            </w:tcBorders>
            <w:vAlign w:val="center"/>
          </w:tcPr>
          <w:p w14:paraId="3E32C7A7">
            <w:pPr>
              <w:pStyle w:val="4"/>
              <w:jc w:val="center"/>
              <w:rPr>
                <w:rFonts w:ascii="仿宋" w:hAnsi="仿宋" w:cs="仿宋"/>
                <w:sz w:val="24"/>
                <w:szCs w:val="24"/>
              </w:rPr>
            </w:pPr>
            <w:r>
              <w:rPr>
                <w:rFonts w:hint="eastAsia" w:ascii="仿宋" w:hAnsi="仿宋" w:cs="仿宋"/>
                <w:sz w:val="24"/>
                <w:szCs w:val="24"/>
              </w:rPr>
              <w:t>法定代表人</w:t>
            </w:r>
          </w:p>
        </w:tc>
        <w:tc>
          <w:tcPr>
            <w:tcW w:w="3613" w:type="dxa"/>
            <w:tcBorders>
              <w:top w:val="nil"/>
              <w:left w:val="nil"/>
              <w:bottom w:val="single" w:color="auto" w:sz="4" w:space="0"/>
              <w:right w:val="single" w:color="auto" w:sz="4" w:space="0"/>
            </w:tcBorders>
            <w:vAlign w:val="center"/>
          </w:tcPr>
          <w:p w14:paraId="5227FAD7">
            <w:pPr>
              <w:pStyle w:val="4"/>
              <w:jc w:val="center"/>
              <w:rPr>
                <w:rFonts w:ascii="仿宋" w:hAnsi="仿宋" w:cs="仿宋"/>
                <w:sz w:val="24"/>
                <w:szCs w:val="24"/>
              </w:rPr>
            </w:pPr>
            <w:r>
              <w:rPr>
                <w:rFonts w:hint="eastAsia" w:ascii="仿宋" w:hAnsi="仿宋" w:cs="仿宋"/>
                <w:sz w:val="24"/>
                <w:szCs w:val="24"/>
              </w:rPr>
              <w:t>日期</w:t>
            </w:r>
          </w:p>
        </w:tc>
      </w:tr>
      <w:tr w14:paraId="092D5137">
        <w:tblPrEx>
          <w:tblCellMar>
            <w:top w:w="0" w:type="dxa"/>
            <w:left w:w="108" w:type="dxa"/>
            <w:bottom w:w="0" w:type="dxa"/>
            <w:right w:w="108" w:type="dxa"/>
          </w:tblCellMar>
        </w:tblPrEx>
        <w:trPr>
          <w:trHeight w:val="2100" w:hRule="atLeast"/>
        </w:trPr>
        <w:tc>
          <w:tcPr>
            <w:tcW w:w="2385" w:type="dxa"/>
            <w:gridSpan w:val="2"/>
            <w:tcBorders>
              <w:top w:val="nil"/>
              <w:left w:val="single" w:color="auto" w:sz="4" w:space="0"/>
              <w:bottom w:val="single" w:color="auto" w:sz="4" w:space="0"/>
              <w:right w:val="single" w:color="auto" w:sz="4" w:space="0"/>
            </w:tcBorders>
            <w:vAlign w:val="center"/>
          </w:tcPr>
          <w:p w14:paraId="4DA713D3">
            <w:pPr>
              <w:pStyle w:val="4"/>
              <w:jc w:val="center"/>
              <w:rPr>
                <w:rFonts w:ascii="仿宋" w:hAnsi="仿宋" w:cs="仿宋"/>
                <w:sz w:val="24"/>
                <w:szCs w:val="24"/>
              </w:rPr>
            </w:pPr>
            <w:r>
              <w:rPr>
                <w:rFonts w:hint="eastAsia" w:ascii="仿宋" w:hAnsi="仿宋" w:cs="仿宋"/>
                <w:sz w:val="24"/>
                <w:szCs w:val="24"/>
              </w:rPr>
              <w:t>（法人公章）</w:t>
            </w:r>
          </w:p>
        </w:tc>
        <w:tc>
          <w:tcPr>
            <w:tcW w:w="3002" w:type="dxa"/>
            <w:tcBorders>
              <w:top w:val="nil"/>
              <w:left w:val="nil"/>
              <w:bottom w:val="single" w:color="auto" w:sz="4" w:space="0"/>
              <w:right w:val="single" w:color="auto" w:sz="4" w:space="0"/>
            </w:tcBorders>
            <w:vAlign w:val="center"/>
          </w:tcPr>
          <w:p w14:paraId="059E02B5">
            <w:pPr>
              <w:pStyle w:val="4"/>
              <w:jc w:val="center"/>
              <w:rPr>
                <w:rFonts w:ascii="仿宋" w:hAnsi="仿宋" w:cs="仿宋"/>
                <w:sz w:val="24"/>
                <w:szCs w:val="24"/>
              </w:rPr>
            </w:pPr>
            <w:r>
              <w:rPr>
                <w:rFonts w:hint="eastAsia" w:ascii="仿宋" w:hAnsi="仿宋" w:cs="仿宋"/>
                <w:sz w:val="24"/>
                <w:szCs w:val="24"/>
              </w:rPr>
              <w:t>（签字或盖章）</w:t>
            </w:r>
          </w:p>
        </w:tc>
        <w:tc>
          <w:tcPr>
            <w:tcW w:w="3613" w:type="dxa"/>
            <w:tcBorders>
              <w:top w:val="nil"/>
              <w:left w:val="nil"/>
              <w:bottom w:val="single" w:color="auto" w:sz="4" w:space="0"/>
              <w:right w:val="single" w:color="auto" w:sz="4" w:space="0"/>
            </w:tcBorders>
            <w:vAlign w:val="center"/>
          </w:tcPr>
          <w:p w14:paraId="05A0D93E">
            <w:pPr>
              <w:pStyle w:val="4"/>
              <w:jc w:val="center"/>
              <w:rPr>
                <w:rFonts w:ascii="仿宋" w:hAnsi="仿宋" w:cs="仿宋"/>
                <w:sz w:val="24"/>
                <w:szCs w:val="24"/>
              </w:rPr>
            </w:pPr>
            <w:r>
              <w:rPr>
                <w:rFonts w:hint="eastAsia" w:ascii="仿宋" w:hAnsi="仿宋" w:cs="仿宋"/>
                <w:sz w:val="24"/>
                <w:szCs w:val="24"/>
              </w:rPr>
              <w:t>年    月     日</w:t>
            </w:r>
          </w:p>
        </w:tc>
      </w:tr>
      <w:tr w14:paraId="514FD57B">
        <w:tblPrEx>
          <w:tblCellMar>
            <w:top w:w="0" w:type="dxa"/>
            <w:left w:w="108" w:type="dxa"/>
            <w:bottom w:w="0" w:type="dxa"/>
            <w:right w:w="108" w:type="dxa"/>
          </w:tblCellMar>
        </w:tblPrEx>
        <w:trPr>
          <w:trHeight w:val="720" w:hRule="atLeast"/>
        </w:trPr>
        <w:tc>
          <w:tcPr>
            <w:tcW w:w="9000" w:type="dxa"/>
            <w:gridSpan w:val="4"/>
            <w:tcBorders>
              <w:top w:val="nil"/>
              <w:left w:val="nil"/>
              <w:bottom w:val="nil"/>
              <w:right w:val="nil"/>
            </w:tcBorders>
            <w:vAlign w:val="center"/>
          </w:tcPr>
          <w:p w14:paraId="43237499">
            <w:pPr>
              <w:pStyle w:val="4"/>
              <w:rPr>
                <w:rFonts w:ascii="仿宋" w:hAnsi="仿宋" w:cs="仿宋"/>
                <w:sz w:val="24"/>
                <w:szCs w:val="24"/>
              </w:rPr>
            </w:pPr>
          </w:p>
          <w:p w14:paraId="6455B8AC">
            <w:pPr>
              <w:pStyle w:val="4"/>
              <w:jc w:val="center"/>
              <w:rPr>
                <w:rFonts w:ascii="仿宋" w:hAnsi="仿宋" w:cs="仿宋"/>
                <w:sz w:val="24"/>
                <w:szCs w:val="24"/>
              </w:rPr>
            </w:pPr>
            <w:r>
              <w:rPr>
                <w:rFonts w:hint="eastAsia" w:ascii="仿宋" w:hAnsi="仿宋" w:cs="仿宋"/>
                <w:sz w:val="24"/>
                <w:szCs w:val="24"/>
              </w:rPr>
              <w:t>承  诺  书  （二）</w:t>
            </w:r>
          </w:p>
        </w:tc>
      </w:tr>
      <w:tr w14:paraId="537418AF">
        <w:tblPrEx>
          <w:tblCellMar>
            <w:top w:w="0" w:type="dxa"/>
            <w:left w:w="108" w:type="dxa"/>
            <w:bottom w:w="0" w:type="dxa"/>
            <w:right w:w="108" w:type="dxa"/>
          </w:tblCellMar>
        </w:tblPrEx>
        <w:trPr>
          <w:trHeight w:val="499" w:hRule="atLeast"/>
        </w:trPr>
        <w:tc>
          <w:tcPr>
            <w:tcW w:w="9000" w:type="dxa"/>
            <w:gridSpan w:val="4"/>
            <w:tcBorders>
              <w:top w:val="single" w:color="auto" w:sz="4" w:space="0"/>
              <w:left w:val="single" w:color="auto" w:sz="4" w:space="0"/>
              <w:bottom w:val="single" w:color="auto" w:sz="4" w:space="0"/>
              <w:right w:val="single" w:color="000000" w:sz="4" w:space="0"/>
            </w:tcBorders>
            <w:vAlign w:val="center"/>
          </w:tcPr>
          <w:p w14:paraId="3287F5B0">
            <w:pPr>
              <w:pStyle w:val="4"/>
              <w:rPr>
                <w:rFonts w:ascii="仿宋" w:hAnsi="仿宋" w:cs="仿宋"/>
                <w:sz w:val="24"/>
                <w:szCs w:val="24"/>
              </w:rPr>
            </w:pPr>
            <w:r>
              <w:rPr>
                <w:rFonts w:hint="eastAsia" w:ascii="仿宋" w:hAnsi="仿宋" w:cs="仿宋"/>
                <w:sz w:val="24"/>
                <w:szCs w:val="24"/>
              </w:rPr>
              <w:t>致（招标代理机构）：</w:t>
            </w:r>
          </w:p>
        </w:tc>
      </w:tr>
      <w:tr w14:paraId="3213F24C">
        <w:tblPrEx>
          <w:tblCellMar>
            <w:top w:w="0" w:type="dxa"/>
            <w:left w:w="108" w:type="dxa"/>
            <w:bottom w:w="0" w:type="dxa"/>
            <w:right w:w="108" w:type="dxa"/>
          </w:tblCellMar>
        </w:tblPrEx>
        <w:trPr>
          <w:trHeight w:val="1050" w:hRule="atLeast"/>
        </w:trPr>
        <w:tc>
          <w:tcPr>
            <w:tcW w:w="9000" w:type="dxa"/>
            <w:gridSpan w:val="4"/>
            <w:tcBorders>
              <w:top w:val="single" w:color="auto" w:sz="4" w:space="0"/>
              <w:left w:val="single" w:color="auto" w:sz="4" w:space="0"/>
              <w:bottom w:val="single" w:color="auto" w:sz="4" w:space="0"/>
              <w:right w:val="single" w:color="000000" w:sz="4" w:space="0"/>
            </w:tcBorders>
            <w:vAlign w:val="center"/>
          </w:tcPr>
          <w:p w14:paraId="48AE4F10">
            <w:pPr>
              <w:pStyle w:val="4"/>
              <w:rPr>
                <w:rFonts w:ascii="仿宋" w:hAnsi="仿宋" w:cs="仿宋"/>
                <w:sz w:val="24"/>
                <w:szCs w:val="24"/>
              </w:rPr>
            </w:pPr>
            <w:r>
              <w:rPr>
                <w:rFonts w:hint="eastAsia" w:ascii="仿宋" w:hAnsi="仿宋" w:cs="仿宋"/>
                <w:sz w:val="24"/>
                <w:szCs w:val="24"/>
              </w:rPr>
              <w:t xml:space="preserve">    作为参加贵单位组织的招标采购项目的投标人，本公司郑重申告并承诺：近三年收到有关行政主管部门的行政处理、不良行为记录为</w:t>
            </w:r>
            <w:r>
              <w:rPr>
                <w:rFonts w:hint="eastAsia" w:ascii="仿宋" w:hAnsi="仿宋" w:cs="仿宋"/>
                <w:sz w:val="24"/>
                <w:szCs w:val="24"/>
                <w:u w:val="single"/>
              </w:rPr>
              <w:t xml:space="preserve">    </w:t>
            </w:r>
            <w:r>
              <w:rPr>
                <w:rFonts w:hint="eastAsia" w:ascii="仿宋" w:hAnsi="仿宋" w:cs="仿宋"/>
                <w:sz w:val="24"/>
                <w:szCs w:val="24"/>
              </w:rPr>
              <w:t>次（没有填0），如有隐瞒实情，愿承担一切责任及后果。</w:t>
            </w:r>
          </w:p>
        </w:tc>
      </w:tr>
      <w:tr w14:paraId="114CB109">
        <w:tblPrEx>
          <w:tblCellMar>
            <w:top w:w="0" w:type="dxa"/>
            <w:left w:w="108" w:type="dxa"/>
            <w:bottom w:w="0" w:type="dxa"/>
            <w:right w:w="108" w:type="dxa"/>
          </w:tblCellMar>
        </w:tblPrEx>
        <w:trPr>
          <w:trHeight w:val="690" w:hRule="atLeast"/>
        </w:trPr>
        <w:tc>
          <w:tcPr>
            <w:tcW w:w="2385" w:type="dxa"/>
            <w:gridSpan w:val="2"/>
            <w:tcBorders>
              <w:top w:val="nil"/>
              <w:left w:val="single" w:color="auto" w:sz="4" w:space="0"/>
              <w:bottom w:val="single" w:color="auto" w:sz="4" w:space="0"/>
              <w:right w:val="single" w:color="auto" w:sz="4" w:space="0"/>
            </w:tcBorders>
            <w:vAlign w:val="center"/>
          </w:tcPr>
          <w:p w14:paraId="66B17B50">
            <w:pPr>
              <w:pStyle w:val="4"/>
              <w:jc w:val="center"/>
              <w:rPr>
                <w:rFonts w:ascii="仿宋" w:hAnsi="仿宋" w:cs="仿宋"/>
                <w:sz w:val="24"/>
                <w:szCs w:val="24"/>
              </w:rPr>
            </w:pPr>
            <w:r>
              <w:rPr>
                <w:rFonts w:hint="eastAsia" w:ascii="仿宋" w:hAnsi="仿宋" w:cs="仿宋"/>
                <w:sz w:val="24"/>
                <w:szCs w:val="24"/>
              </w:rPr>
              <w:t>投标人</w:t>
            </w:r>
          </w:p>
        </w:tc>
        <w:tc>
          <w:tcPr>
            <w:tcW w:w="3002" w:type="dxa"/>
            <w:tcBorders>
              <w:top w:val="nil"/>
              <w:left w:val="nil"/>
              <w:bottom w:val="single" w:color="auto" w:sz="4" w:space="0"/>
              <w:right w:val="single" w:color="auto" w:sz="4" w:space="0"/>
            </w:tcBorders>
            <w:vAlign w:val="center"/>
          </w:tcPr>
          <w:p w14:paraId="3185FAE3">
            <w:pPr>
              <w:pStyle w:val="4"/>
              <w:jc w:val="center"/>
              <w:rPr>
                <w:rFonts w:ascii="仿宋" w:hAnsi="仿宋" w:cs="仿宋"/>
                <w:sz w:val="24"/>
                <w:szCs w:val="24"/>
              </w:rPr>
            </w:pPr>
            <w:r>
              <w:rPr>
                <w:rFonts w:hint="eastAsia" w:ascii="仿宋" w:hAnsi="仿宋" w:cs="仿宋"/>
                <w:sz w:val="24"/>
                <w:szCs w:val="24"/>
              </w:rPr>
              <w:t>法定代表人</w:t>
            </w:r>
          </w:p>
        </w:tc>
        <w:tc>
          <w:tcPr>
            <w:tcW w:w="3613" w:type="dxa"/>
            <w:tcBorders>
              <w:top w:val="nil"/>
              <w:left w:val="nil"/>
              <w:bottom w:val="single" w:color="auto" w:sz="4" w:space="0"/>
              <w:right w:val="single" w:color="auto" w:sz="4" w:space="0"/>
            </w:tcBorders>
            <w:vAlign w:val="center"/>
          </w:tcPr>
          <w:p w14:paraId="182BD0CE">
            <w:pPr>
              <w:pStyle w:val="4"/>
              <w:jc w:val="center"/>
              <w:rPr>
                <w:rFonts w:ascii="仿宋" w:hAnsi="仿宋" w:cs="仿宋"/>
                <w:sz w:val="24"/>
                <w:szCs w:val="24"/>
              </w:rPr>
            </w:pPr>
            <w:r>
              <w:rPr>
                <w:rFonts w:hint="eastAsia" w:ascii="仿宋" w:hAnsi="仿宋" w:cs="仿宋"/>
                <w:sz w:val="24"/>
                <w:szCs w:val="24"/>
              </w:rPr>
              <w:t>日期</w:t>
            </w:r>
          </w:p>
        </w:tc>
      </w:tr>
      <w:tr w14:paraId="5B60A21E">
        <w:tblPrEx>
          <w:tblCellMar>
            <w:top w:w="0" w:type="dxa"/>
            <w:left w:w="108" w:type="dxa"/>
            <w:bottom w:w="0" w:type="dxa"/>
            <w:right w:w="108" w:type="dxa"/>
          </w:tblCellMar>
        </w:tblPrEx>
        <w:trPr>
          <w:trHeight w:val="2100" w:hRule="atLeast"/>
        </w:trPr>
        <w:tc>
          <w:tcPr>
            <w:tcW w:w="2385" w:type="dxa"/>
            <w:gridSpan w:val="2"/>
            <w:tcBorders>
              <w:top w:val="nil"/>
              <w:left w:val="single" w:color="auto" w:sz="4" w:space="0"/>
              <w:bottom w:val="single" w:color="auto" w:sz="4" w:space="0"/>
              <w:right w:val="single" w:color="auto" w:sz="4" w:space="0"/>
            </w:tcBorders>
            <w:vAlign w:val="center"/>
          </w:tcPr>
          <w:p w14:paraId="690BB3D1">
            <w:pPr>
              <w:pStyle w:val="4"/>
              <w:jc w:val="center"/>
              <w:rPr>
                <w:rFonts w:ascii="仿宋" w:hAnsi="仿宋" w:cs="仿宋"/>
                <w:sz w:val="24"/>
                <w:szCs w:val="24"/>
              </w:rPr>
            </w:pPr>
            <w:r>
              <w:rPr>
                <w:rFonts w:hint="eastAsia" w:ascii="仿宋" w:hAnsi="仿宋" w:cs="仿宋"/>
                <w:sz w:val="24"/>
                <w:szCs w:val="24"/>
              </w:rPr>
              <w:t>（法人公章）</w:t>
            </w:r>
          </w:p>
        </w:tc>
        <w:tc>
          <w:tcPr>
            <w:tcW w:w="3002" w:type="dxa"/>
            <w:tcBorders>
              <w:top w:val="nil"/>
              <w:left w:val="nil"/>
              <w:bottom w:val="single" w:color="auto" w:sz="4" w:space="0"/>
              <w:right w:val="single" w:color="auto" w:sz="4" w:space="0"/>
            </w:tcBorders>
            <w:vAlign w:val="center"/>
          </w:tcPr>
          <w:p w14:paraId="34CAAAA9">
            <w:pPr>
              <w:pStyle w:val="4"/>
              <w:jc w:val="center"/>
              <w:rPr>
                <w:rFonts w:ascii="仿宋" w:hAnsi="仿宋" w:cs="仿宋"/>
                <w:sz w:val="24"/>
                <w:szCs w:val="24"/>
              </w:rPr>
            </w:pPr>
            <w:r>
              <w:rPr>
                <w:rFonts w:hint="eastAsia" w:ascii="仿宋" w:hAnsi="仿宋" w:cs="仿宋"/>
                <w:sz w:val="24"/>
                <w:szCs w:val="24"/>
              </w:rPr>
              <w:t>（签字或盖章）</w:t>
            </w:r>
          </w:p>
        </w:tc>
        <w:tc>
          <w:tcPr>
            <w:tcW w:w="3613" w:type="dxa"/>
            <w:tcBorders>
              <w:top w:val="nil"/>
              <w:left w:val="nil"/>
              <w:bottom w:val="single" w:color="auto" w:sz="4" w:space="0"/>
              <w:right w:val="single" w:color="auto" w:sz="4" w:space="0"/>
            </w:tcBorders>
            <w:vAlign w:val="center"/>
          </w:tcPr>
          <w:p w14:paraId="20F9950B">
            <w:pPr>
              <w:pStyle w:val="4"/>
              <w:jc w:val="center"/>
              <w:rPr>
                <w:rFonts w:ascii="仿宋" w:hAnsi="仿宋" w:cs="仿宋"/>
                <w:sz w:val="24"/>
                <w:szCs w:val="24"/>
              </w:rPr>
            </w:pPr>
            <w:r>
              <w:rPr>
                <w:rFonts w:hint="eastAsia" w:ascii="仿宋" w:hAnsi="仿宋" w:cs="仿宋"/>
                <w:sz w:val="24"/>
                <w:szCs w:val="24"/>
              </w:rPr>
              <w:t>年    月     日</w:t>
            </w:r>
          </w:p>
        </w:tc>
      </w:tr>
      <w:tr w14:paraId="29D7734B">
        <w:tblPrEx>
          <w:tblCellMar>
            <w:top w:w="0" w:type="dxa"/>
            <w:left w:w="108" w:type="dxa"/>
            <w:bottom w:w="0" w:type="dxa"/>
            <w:right w:w="108" w:type="dxa"/>
          </w:tblCellMar>
        </w:tblPrEx>
        <w:trPr>
          <w:trHeight w:val="499" w:hRule="atLeast"/>
        </w:trPr>
        <w:tc>
          <w:tcPr>
            <w:tcW w:w="2385" w:type="dxa"/>
            <w:gridSpan w:val="2"/>
            <w:tcBorders>
              <w:top w:val="nil"/>
              <w:left w:val="nil"/>
              <w:bottom w:val="nil"/>
              <w:right w:val="nil"/>
            </w:tcBorders>
            <w:vAlign w:val="center"/>
          </w:tcPr>
          <w:p w14:paraId="5BB93466">
            <w:pPr>
              <w:pStyle w:val="4"/>
              <w:rPr>
                <w:rFonts w:ascii="仿宋" w:hAnsi="仿宋" w:cs="仿宋"/>
                <w:sz w:val="24"/>
                <w:szCs w:val="24"/>
              </w:rPr>
            </w:pPr>
          </w:p>
        </w:tc>
        <w:tc>
          <w:tcPr>
            <w:tcW w:w="3002" w:type="dxa"/>
            <w:tcBorders>
              <w:top w:val="nil"/>
              <w:left w:val="nil"/>
              <w:bottom w:val="nil"/>
              <w:right w:val="nil"/>
            </w:tcBorders>
            <w:vAlign w:val="center"/>
          </w:tcPr>
          <w:p w14:paraId="085F5456">
            <w:pPr>
              <w:pStyle w:val="4"/>
              <w:rPr>
                <w:rFonts w:ascii="仿宋" w:hAnsi="仿宋" w:cs="仿宋"/>
                <w:sz w:val="24"/>
                <w:szCs w:val="24"/>
              </w:rPr>
            </w:pPr>
          </w:p>
        </w:tc>
        <w:tc>
          <w:tcPr>
            <w:tcW w:w="3613" w:type="dxa"/>
            <w:tcBorders>
              <w:top w:val="nil"/>
              <w:left w:val="nil"/>
              <w:bottom w:val="nil"/>
              <w:right w:val="nil"/>
            </w:tcBorders>
            <w:vAlign w:val="center"/>
          </w:tcPr>
          <w:p w14:paraId="6C5216C6">
            <w:pPr>
              <w:pStyle w:val="4"/>
              <w:rPr>
                <w:rFonts w:ascii="仿宋" w:hAnsi="仿宋" w:cs="仿宋"/>
                <w:sz w:val="24"/>
                <w:szCs w:val="24"/>
              </w:rPr>
            </w:pPr>
          </w:p>
        </w:tc>
      </w:tr>
      <w:tr w14:paraId="22F6F619">
        <w:tblPrEx>
          <w:tblCellMar>
            <w:top w:w="0" w:type="dxa"/>
            <w:left w:w="108" w:type="dxa"/>
            <w:bottom w:w="0" w:type="dxa"/>
            <w:right w:w="108" w:type="dxa"/>
          </w:tblCellMar>
        </w:tblPrEx>
        <w:trPr>
          <w:trHeight w:val="600" w:hRule="atLeast"/>
        </w:trPr>
        <w:tc>
          <w:tcPr>
            <w:tcW w:w="9000" w:type="dxa"/>
            <w:gridSpan w:val="4"/>
            <w:tcBorders>
              <w:top w:val="nil"/>
              <w:left w:val="nil"/>
              <w:bottom w:val="nil"/>
              <w:right w:val="nil"/>
            </w:tcBorders>
            <w:vAlign w:val="center"/>
          </w:tcPr>
          <w:p w14:paraId="57D56761">
            <w:pPr>
              <w:pStyle w:val="4"/>
              <w:jc w:val="center"/>
              <w:rPr>
                <w:rFonts w:ascii="仿宋" w:hAnsi="仿宋" w:cs="仿宋"/>
                <w:sz w:val="24"/>
                <w:szCs w:val="24"/>
              </w:rPr>
            </w:pPr>
          </w:p>
          <w:p w14:paraId="1FFD864C">
            <w:pPr>
              <w:pStyle w:val="4"/>
              <w:jc w:val="center"/>
              <w:rPr>
                <w:rFonts w:ascii="仿宋" w:hAnsi="仿宋" w:cs="仿宋"/>
                <w:sz w:val="24"/>
                <w:szCs w:val="24"/>
              </w:rPr>
            </w:pPr>
          </w:p>
          <w:p w14:paraId="75BEB786">
            <w:pPr>
              <w:pStyle w:val="4"/>
              <w:jc w:val="center"/>
              <w:rPr>
                <w:rFonts w:ascii="仿宋" w:hAnsi="仿宋" w:cs="仿宋"/>
                <w:sz w:val="24"/>
                <w:szCs w:val="24"/>
              </w:rPr>
            </w:pPr>
          </w:p>
          <w:p w14:paraId="1F52704B">
            <w:pPr>
              <w:pStyle w:val="4"/>
              <w:jc w:val="center"/>
              <w:rPr>
                <w:rFonts w:ascii="仿宋" w:hAnsi="仿宋" w:cs="仿宋"/>
                <w:sz w:val="24"/>
                <w:szCs w:val="24"/>
              </w:rPr>
            </w:pPr>
          </w:p>
          <w:p w14:paraId="72EE1B29">
            <w:pPr>
              <w:pStyle w:val="4"/>
              <w:jc w:val="center"/>
              <w:rPr>
                <w:rFonts w:ascii="仿宋" w:hAnsi="仿宋" w:cs="仿宋"/>
                <w:sz w:val="24"/>
                <w:szCs w:val="24"/>
              </w:rPr>
            </w:pPr>
          </w:p>
          <w:p w14:paraId="3E8480DE">
            <w:pPr>
              <w:pStyle w:val="4"/>
              <w:jc w:val="center"/>
              <w:rPr>
                <w:rFonts w:ascii="仿宋" w:hAnsi="仿宋" w:cs="仿宋"/>
                <w:sz w:val="24"/>
                <w:szCs w:val="24"/>
              </w:rPr>
            </w:pPr>
            <w:r>
              <w:rPr>
                <w:rFonts w:hint="eastAsia" w:ascii="仿宋" w:hAnsi="仿宋" w:cs="仿宋"/>
                <w:sz w:val="24"/>
                <w:szCs w:val="24"/>
              </w:rPr>
              <w:t>承  诺  书  （三）</w:t>
            </w:r>
          </w:p>
        </w:tc>
      </w:tr>
      <w:tr w14:paraId="7C0A9B56">
        <w:tblPrEx>
          <w:tblCellMar>
            <w:top w:w="0" w:type="dxa"/>
            <w:left w:w="108" w:type="dxa"/>
            <w:bottom w:w="0" w:type="dxa"/>
            <w:right w:w="108" w:type="dxa"/>
          </w:tblCellMar>
        </w:tblPrEx>
        <w:trPr>
          <w:trHeight w:val="600" w:hRule="atLeast"/>
        </w:trPr>
        <w:tc>
          <w:tcPr>
            <w:tcW w:w="9000" w:type="dxa"/>
            <w:gridSpan w:val="4"/>
            <w:tcBorders>
              <w:top w:val="single" w:color="auto" w:sz="4" w:space="0"/>
              <w:left w:val="single" w:color="auto" w:sz="4" w:space="0"/>
              <w:bottom w:val="single" w:color="auto" w:sz="4" w:space="0"/>
              <w:right w:val="single" w:color="000000" w:sz="4" w:space="0"/>
            </w:tcBorders>
            <w:vAlign w:val="center"/>
          </w:tcPr>
          <w:p w14:paraId="5570B44E">
            <w:pPr>
              <w:pStyle w:val="4"/>
              <w:rPr>
                <w:rFonts w:ascii="仿宋" w:hAnsi="仿宋" w:cs="仿宋"/>
                <w:sz w:val="24"/>
                <w:szCs w:val="24"/>
              </w:rPr>
            </w:pPr>
            <w:r>
              <w:rPr>
                <w:rFonts w:hint="eastAsia" w:ascii="仿宋" w:hAnsi="仿宋" w:cs="仿宋"/>
                <w:sz w:val="24"/>
                <w:szCs w:val="24"/>
              </w:rPr>
              <w:t>致（招标代理机构）：</w:t>
            </w:r>
          </w:p>
        </w:tc>
      </w:tr>
      <w:tr w14:paraId="2C4BAF1C">
        <w:tblPrEx>
          <w:tblCellMar>
            <w:top w:w="0" w:type="dxa"/>
            <w:left w:w="108" w:type="dxa"/>
            <w:bottom w:w="0" w:type="dxa"/>
            <w:right w:w="108" w:type="dxa"/>
          </w:tblCellMar>
        </w:tblPrEx>
        <w:trPr>
          <w:trHeight w:val="1545" w:hRule="atLeast"/>
        </w:trPr>
        <w:tc>
          <w:tcPr>
            <w:tcW w:w="9000" w:type="dxa"/>
            <w:gridSpan w:val="4"/>
            <w:tcBorders>
              <w:top w:val="single" w:color="auto" w:sz="4" w:space="0"/>
              <w:left w:val="single" w:color="auto" w:sz="4" w:space="0"/>
              <w:bottom w:val="single" w:color="auto" w:sz="4" w:space="0"/>
              <w:right w:val="single" w:color="000000" w:sz="4" w:space="0"/>
            </w:tcBorders>
            <w:vAlign w:val="center"/>
          </w:tcPr>
          <w:p w14:paraId="3867497E">
            <w:pPr>
              <w:pStyle w:val="4"/>
              <w:rPr>
                <w:rFonts w:ascii="仿宋" w:hAnsi="仿宋" w:cs="仿宋"/>
                <w:sz w:val="24"/>
                <w:szCs w:val="24"/>
              </w:rPr>
            </w:pPr>
            <w:r>
              <w:rPr>
                <w:rFonts w:hint="eastAsia" w:ascii="仿宋" w:hAnsi="仿宋" w:cs="仿宋"/>
                <w:sz w:val="24"/>
                <w:szCs w:val="24"/>
              </w:rPr>
              <w:t xml:space="preserve">    作为参加贵单位组织的招标采购项目的投标人，本公司郑重申告并承诺：近三年因材质、产品质量和售后维护等问题引起的不法行为记录为    次（没有填0），如有隐瞒实情，愿承担一切责任及后果。                                        </w:t>
            </w:r>
          </w:p>
        </w:tc>
      </w:tr>
      <w:tr w14:paraId="729C6ADA">
        <w:tblPrEx>
          <w:tblCellMar>
            <w:top w:w="0" w:type="dxa"/>
            <w:left w:w="108" w:type="dxa"/>
            <w:bottom w:w="0" w:type="dxa"/>
            <w:right w:w="108" w:type="dxa"/>
          </w:tblCellMar>
        </w:tblPrEx>
        <w:trPr>
          <w:trHeight w:val="690" w:hRule="atLeast"/>
        </w:trPr>
        <w:tc>
          <w:tcPr>
            <w:tcW w:w="2244" w:type="dxa"/>
            <w:tcBorders>
              <w:top w:val="nil"/>
              <w:left w:val="single" w:color="auto" w:sz="4" w:space="0"/>
              <w:bottom w:val="single" w:color="auto" w:sz="4" w:space="0"/>
              <w:right w:val="single" w:color="auto" w:sz="4" w:space="0"/>
            </w:tcBorders>
            <w:vAlign w:val="center"/>
          </w:tcPr>
          <w:p w14:paraId="7D776AD0">
            <w:pPr>
              <w:pStyle w:val="4"/>
              <w:jc w:val="center"/>
              <w:rPr>
                <w:rFonts w:ascii="仿宋" w:hAnsi="仿宋" w:cs="仿宋"/>
                <w:sz w:val="24"/>
                <w:szCs w:val="24"/>
              </w:rPr>
            </w:pPr>
            <w:r>
              <w:rPr>
                <w:rFonts w:hint="eastAsia" w:ascii="仿宋" w:hAnsi="仿宋" w:cs="仿宋"/>
                <w:sz w:val="24"/>
                <w:szCs w:val="24"/>
              </w:rPr>
              <w:t>投标人</w:t>
            </w:r>
          </w:p>
        </w:tc>
        <w:tc>
          <w:tcPr>
            <w:tcW w:w="3143" w:type="dxa"/>
            <w:gridSpan w:val="2"/>
            <w:tcBorders>
              <w:top w:val="nil"/>
              <w:left w:val="nil"/>
              <w:bottom w:val="single" w:color="auto" w:sz="4" w:space="0"/>
              <w:right w:val="single" w:color="auto" w:sz="4" w:space="0"/>
            </w:tcBorders>
            <w:vAlign w:val="center"/>
          </w:tcPr>
          <w:p w14:paraId="41EB8251">
            <w:pPr>
              <w:pStyle w:val="4"/>
              <w:jc w:val="center"/>
              <w:rPr>
                <w:rFonts w:ascii="仿宋" w:hAnsi="仿宋" w:cs="仿宋"/>
                <w:sz w:val="24"/>
                <w:szCs w:val="24"/>
              </w:rPr>
            </w:pPr>
            <w:r>
              <w:rPr>
                <w:rFonts w:hint="eastAsia" w:ascii="仿宋" w:hAnsi="仿宋" w:cs="仿宋"/>
                <w:sz w:val="24"/>
                <w:szCs w:val="24"/>
              </w:rPr>
              <w:t>法定代表人</w:t>
            </w:r>
          </w:p>
        </w:tc>
        <w:tc>
          <w:tcPr>
            <w:tcW w:w="3613" w:type="dxa"/>
            <w:tcBorders>
              <w:top w:val="nil"/>
              <w:left w:val="nil"/>
              <w:bottom w:val="single" w:color="auto" w:sz="4" w:space="0"/>
              <w:right w:val="single" w:color="auto" w:sz="4" w:space="0"/>
            </w:tcBorders>
            <w:vAlign w:val="center"/>
          </w:tcPr>
          <w:p w14:paraId="74DDFB73">
            <w:pPr>
              <w:pStyle w:val="4"/>
              <w:jc w:val="center"/>
              <w:rPr>
                <w:rFonts w:ascii="仿宋" w:hAnsi="仿宋" w:cs="仿宋"/>
                <w:sz w:val="24"/>
                <w:szCs w:val="24"/>
              </w:rPr>
            </w:pPr>
            <w:r>
              <w:rPr>
                <w:rFonts w:hint="eastAsia" w:ascii="仿宋" w:hAnsi="仿宋" w:cs="仿宋"/>
                <w:sz w:val="24"/>
                <w:szCs w:val="24"/>
              </w:rPr>
              <w:t>日期</w:t>
            </w:r>
          </w:p>
        </w:tc>
      </w:tr>
      <w:tr w14:paraId="27281285">
        <w:tblPrEx>
          <w:tblCellMar>
            <w:top w:w="0" w:type="dxa"/>
            <w:left w:w="108" w:type="dxa"/>
            <w:bottom w:w="0" w:type="dxa"/>
            <w:right w:w="108" w:type="dxa"/>
          </w:tblCellMar>
        </w:tblPrEx>
        <w:trPr>
          <w:trHeight w:val="2100" w:hRule="atLeast"/>
        </w:trPr>
        <w:tc>
          <w:tcPr>
            <w:tcW w:w="2244" w:type="dxa"/>
            <w:tcBorders>
              <w:top w:val="nil"/>
              <w:left w:val="single" w:color="auto" w:sz="4" w:space="0"/>
              <w:bottom w:val="single" w:color="auto" w:sz="4" w:space="0"/>
              <w:right w:val="single" w:color="auto" w:sz="4" w:space="0"/>
            </w:tcBorders>
            <w:vAlign w:val="center"/>
          </w:tcPr>
          <w:p w14:paraId="74DD0B3C">
            <w:pPr>
              <w:pStyle w:val="4"/>
              <w:jc w:val="center"/>
              <w:rPr>
                <w:rFonts w:ascii="仿宋" w:hAnsi="仿宋" w:cs="仿宋"/>
                <w:sz w:val="24"/>
                <w:szCs w:val="24"/>
              </w:rPr>
            </w:pPr>
            <w:r>
              <w:rPr>
                <w:rFonts w:hint="eastAsia" w:ascii="仿宋" w:hAnsi="仿宋" w:cs="仿宋"/>
                <w:sz w:val="24"/>
                <w:szCs w:val="24"/>
              </w:rPr>
              <w:t>（法人公章）</w:t>
            </w:r>
          </w:p>
        </w:tc>
        <w:tc>
          <w:tcPr>
            <w:tcW w:w="3143" w:type="dxa"/>
            <w:gridSpan w:val="2"/>
            <w:tcBorders>
              <w:top w:val="nil"/>
              <w:left w:val="nil"/>
              <w:bottom w:val="single" w:color="auto" w:sz="4" w:space="0"/>
              <w:right w:val="single" w:color="auto" w:sz="4" w:space="0"/>
            </w:tcBorders>
            <w:vAlign w:val="center"/>
          </w:tcPr>
          <w:p w14:paraId="6E409C6B">
            <w:pPr>
              <w:pStyle w:val="4"/>
              <w:jc w:val="center"/>
              <w:rPr>
                <w:rFonts w:ascii="仿宋" w:hAnsi="仿宋" w:cs="仿宋"/>
                <w:sz w:val="24"/>
                <w:szCs w:val="24"/>
              </w:rPr>
            </w:pPr>
            <w:r>
              <w:rPr>
                <w:rFonts w:hint="eastAsia" w:ascii="仿宋" w:hAnsi="仿宋" w:cs="仿宋"/>
                <w:sz w:val="24"/>
                <w:szCs w:val="24"/>
              </w:rPr>
              <w:t>（签字或盖章）</w:t>
            </w:r>
          </w:p>
        </w:tc>
        <w:tc>
          <w:tcPr>
            <w:tcW w:w="3613" w:type="dxa"/>
            <w:tcBorders>
              <w:top w:val="nil"/>
              <w:left w:val="nil"/>
              <w:bottom w:val="single" w:color="auto" w:sz="4" w:space="0"/>
              <w:right w:val="single" w:color="auto" w:sz="4" w:space="0"/>
            </w:tcBorders>
            <w:vAlign w:val="center"/>
          </w:tcPr>
          <w:p w14:paraId="4ECC226A">
            <w:pPr>
              <w:pStyle w:val="4"/>
              <w:jc w:val="center"/>
              <w:rPr>
                <w:rFonts w:ascii="仿宋" w:hAnsi="仿宋" w:cs="仿宋"/>
                <w:sz w:val="24"/>
                <w:szCs w:val="24"/>
              </w:rPr>
            </w:pPr>
            <w:r>
              <w:rPr>
                <w:rFonts w:hint="eastAsia" w:ascii="仿宋" w:hAnsi="仿宋" w:cs="仿宋"/>
                <w:sz w:val="24"/>
                <w:szCs w:val="24"/>
              </w:rPr>
              <w:t>年    月     日</w:t>
            </w:r>
          </w:p>
        </w:tc>
      </w:tr>
    </w:tbl>
    <w:p w14:paraId="45F3EB6D">
      <w:pPr>
        <w:pStyle w:val="4"/>
        <w:rPr>
          <w:sz w:val="24"/>
          <w:szCs w:val="24"/>
        </w:rPr>
      </w:pPr>
    </w:p>
    <w:p w14:paraId="20EAAE30">
      <w:pPr>
        <w:rPr>
          <w:sz w:val="24"/>
          <w:szCs w:val="24"/>
        </w:rPr>
      </w:pPr>
      <w:r>
        <w:rPr>
          <w:sz w:val="24"/>
          <w:szCs w:val="24"/>
        </w:rPr>
        <w:br w:type="page"/>
      </w:r>
    </w:p>
    <w:p w14:paraId="2B15A152">
      <w:pPr>
        <w:pStyle w:val="2"/>
        <w:spacing w:before="156" w:after="156"/>
        <w:jc w:val="center"/>
        <w:rPr>
          <w:sz w:val="24"/>
          <w:szCs w:val="24"/>
        </w:rPr>
      </w:pPr>
      <w:bookmarkStart w:id="13" w:name="_Toc16157"/>
      <w:bookmarkStart w:id="14" w:name="_Toc10256"/>
      <w:bookmarkStart w:id="15" w:name="_Toc30019"/>
      <w:bookmarkStart w:id="16" w:name="_Toc31004"/>
      <w:r>
        <w:rPr>
          <w:sz w:val="24"/>
          <w:szCs w:val="24"/>
        </w:rPr>
        <w:t>第六</w:t>
      </w:r>
      <w:r>
        <w:rPr>
          <w:rFonts w:hint="eastAsia"/>
          <w:sz w:val="24"/>
          <w:szCs w:val="24"/>
        </w:rPr>
        <w:t xml:space="preserve">部分  </w:t>
      </w:r>
      <w:r>
        <w:rPr>
          <w:sz w:val="24"/>
          <w:szCs w:val="24"/>
        </w:rPr>
        <w:t>投标文件封装格式</w:t>
      </w:r>
      <w:bookmarkEnd w:id="13"/>
      <w:bookmarkEnd w:id="14"/>
      <w:bookmarkEnd w:id="15"/>
      <w:bookmarkEnd w:id="16"/>
    </w:p>
    <w:p w14:paraId="5C2A3C07">
      <w:pPr>
        <w:rPr>
          <w:sz w:val="24"/>
          <w:szCs w:val="24"/>
        </w:rPr>
      </w:pPr>
    </w:p>
    <w:p w14:paraId="4AF67296">
      <w:pPr>
        <w:rPr>
          <w:sz w:val="24"/>
          <w:szCs w:val="24"/>
        </w:rPr>
      </w:pPr>
      <w:r>
        <w:rPr>
          <w:sz w:val="24"/>
          <w:szCs w:val="24"/>
        </w:rPr>
        <w:drawing>
          <wp:anchor distT="0" distB="0" distL="114300" distR="114300" simplePos="0" relativeHeight="251660288" behindDoc="1" locked="0" layoutInCell="0" allowOverlap="1">
            <wp:simplePos x="0" y="0"/>
            <wp:positionH relativeFrom="column">
              <wp:posOffset>-322580</wp:posOffset>
            </wp:positionH>
            <wp:positionV relativeFrom="paragraph">
              <wp:posOffset>101600</wp:posOffset>
            </wp:positionV>
            <wp:extent cx="6405880" cy="4259580"/>
            <wp:effectExtent l="0" t="0" r="13970" b="7620"/>
            <wp:wrapNone/>
            <wp:docPr id="1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6"/>
                    <pic:cNvPicPr>
                      <a:picLocks noChangeAspect="1"/>
                    </pic:cNvPicPr>
                  </pic:nvPicPr>
                  <pic:blipFill>
                    <a:blip r:embed="rId12" cstate="print"/>
                    <a:stretch>
                      <a:fillRect/>
                    </a:stretch>
                  </pic:blipFill>
                  <pic:spPr>
                    <a:xfrm>
                      <a:off x="0" y="0"/>
                      <a:ext cx="6405880" cy="4259580"/>
                    </a:xfrm>
                    <a:prstGeom prst="rect">
                      <a:avLst/>
                    </a:prstGeom>
                    <a:noFill/>
                    <a:ln>
                      <a:noFill/>
                    </a:ln>
                  </pic:spPr>
                </pic:pic>
              </a:graphicData>
            </a:graphic>
          </wp:anchor>
        </w:drawing>
      </w:r>
    </w:p>
    <w:p w14:paraId="0CAD170E">
      <w:pPr>
        <w:rPr>
          <w:rFonts w:hint="eastAsia"/>
          <w:sz w:val="24"/>
          <w:szCs w:val="24"/>
          <w:lang w:eastAsia="zh-CN"/>
        </w:rPr>
      </w:pPr>
      <w:r>
        <w:rPr>
          <w:sz w:val="24"/>
          <w:szCs w:val="24"/>
        </w:rPr>
        <w:t>致：</w:t>
      </w:r>
      <w:r>
        <w:rPr>
          <w:rFonts w:hint="eastAsia"/>
          <w:sz w:val="24"/>
          <w:szCs w:val="24"/>
          <w:lang w:eastAsia="zh-CN"/>
        </w:rPr>
        <w:t>同正项目管理有限公司</w:t>
      </w:r>
    </w:p>
    <w:p w14:paraId="57C45030">
      <w:pPr>
        <w:spacing w:line="520" w:lineRule="exact"/>
        <w:rPr>
          <w:rFonts w:hint="default" w:ascii="仿宋" w:hAnsi="仿宋" w:eastAsia="仿宋" w:cs="仿宋"/>
          <w:sz w:val="24"/>
          <w:szCs w:val="24"/>
          <w:lang w:val="en-US" w:eastAsia="zh-CN"/>
        </w:rPr>
      </w:pPr>
      <w:r>
        <w:rPr>
          <w:sz w:val="24"/>
          <w:szCs w:val="24"/>
        </w:rPr>
        <w:t>项目编号：</w:t>
      </w:r>
      <w:r>
        <w:rPr>
          <w:rFonts w:hint="eastAsia" w:ascii="仿宋" w:hAnsi="仿宋" w:cs="仿宋"/>
          <w:sz w:val="24"/>
          <w:szCs w:val="24"/>
          <w:lang w:val="en-US" w:eastAsia="zh-CN"/>
        </w:rPr>
        <w:t>TZ</w:t>
      </w:r>
      <w:r>
        <w:rPr>
          <w:rFonts w:hint="eastAsia" w:ascii="仿宋" w:hAnsi="仿宋" w:cs="仿宋"/>
          <w:sz w:val="24"/>
          <w:szCs w:val="24"/>
        </w:rPr>
        <w:t>CS-202</w:t>
      </w:r>
      <w:r>
        <w:rPr>
          <w:rFonts w:hint="eastAsia" w:ascii="仿宋" w:hAnsi="仿宋" w:cs="仿宋"/>
          <w:sz w:val="24"/>
          <w:szCs w:val="24"/>
          <w:lang w:val="en-US" w:eastAsia="zh-CN"/>
        </w:rPr>
        <w:t>5</w:t>
      </w:r>
      <w:r>
        <w:rPr>
          <w:rFonts w:hint="eastAsia" w:ascii="仿宋" w:hAnsi="仿宋" w:cs="仿宋"/>
          <w:sz w:val="24"/>
          <w:szCs w:val="24"/>
        </w:rPr>
        <w:t>-0</w:t>
      </w:r>
      <w:r>
        <w:rPr>
          <w:rFonts w:hint="eastAsia" w:ascii="仿宋" w:hAnsi="仿宋" w:cs="仿宋"/>
          <w:sz w:val="24"/>
          <w:szCs w:val="24"/>
          <w:lang w:val="en-US" w:eastAsia="zh-CN"/>
        </w:rPr>
        <w:t>20</w:t>
      </w:r>
    </w:p>
    <w:p w14:paraId="766FD7A5">
      <w:pPr>
        <w:rPr>
          <w:rFonts w:hint="eastAsia" w:ascii="仿宋" w:hAnsi="仿宋" w:cs="仿宋"/>
          <w:sz w:val="24"/>
          <w:szCs w:val="24"/>
          <w:lang w:val="en-US" w:eastAsia="zh-CN"/>
        </w:rPr>
      </w:pPr>
      <w:r>
        <w:rPr>
          <w:sz w:val="24"/>
          <w:szCs w:val="24"/>
        </w:rPr>
        <w:t>项目名称：</w:t>
      </w:r>
      <w:r>
        <w:rPr>
          <w:rFonts w:hint="eastAsia" w:ascii="仿宋" w:hAnsi="仿宋" w:cs="仿宋"/>
          <w:sz w:val="24"/>
          <w:szCs w:val="24"/>
          <w:lang w:val="en-US" w:eastAsia="zh-CN"/>
        </w:rPr>
        <w:t>“一中心五区域”敬老院房屋安全性鉴定及房屋检测服务项目</w:t>
      </w:r>
    </w:p>
    <w:p w14:paraId="387DFEE6">
      <w:pPr>
        <w:rPr>
          <w:rFonts w:hint="eastAsia" w:ascii="仿宋" w:hAnsi="仿宋" w:cs="仿宋"/>
          <w:sz w:val="24"/>
          <w:szCs w:val="24"/>
          <w:lang w:val="en-US" w:eastAsia="zh-CN"/>
        </w:rPr>
      </w:pPr>
    </w:p>
    <w:p w14:paraId="0B9EBBDD">
      <w:pPr>
        <w:jc w:val="center"/>
        <w:rPr>
          <w:sz w:val="24"/>
          <w:szCs w:val="24"/>
        </w:rPr>
      </w:pPr>
      <w:r>
        <w:rPr>
          <w:sz w:val="24"/>
          <w:szCs w:val="24"/>
        </w:rPr>
        <w:t>投标文件（正本/副本）</w:t>
      </w:r>
    </w:p>
    <w:p w14:paraId="058574C3">
      <w:pPr>
        <w:pStyle w:val="4"/>
        <w:jc w:val="center"/>
        <w:rPr>
          <w:sz w:val="24"/>
          <w:szCs w:val="24"/>
        </w:rPr>
      </w:pPr>
    </w:p>
    <w:p w14:paraId="496717E9">
      <w:pPr>
        <w:jc w:val="center"/>
        <w:rPr>
          <w:sz w:val="24"/>
          <w:szCs w:val="24"/>
        </w:rPr>
      </w:pPr>
      <w:r>
        <w:rPr>
          <w:sz w:val="24"/>
          <w:szCs w:val="24"/>
        </w:rPr>
        <w:t>（在 20</w:t>
      </w:r>
      <w:r>
        <w:rPr>
          <w:rFonts w:hint="eastAsia"/>
          <w:sz w:val="24"/>
          <w:szCs w:val="24"/>
        </w:rPr>
        <w:t>2</w:t>
      </w:r>
      <w:r>
        <w:rPr>
          <w:rFonts w:hint="eastAsia"/>
          <w:sz w:val="24"/>
          <w:szCs w:val="24"/>
          <w:lang w:val="en-US" w:eastAsia="zh-CN"/>
        </w:rPr>
        <w:t>5</w:t>
      </w:r>
      <w:r>
        <w:rPr>
          <w:sz w:val="24"/>
          <w:szCs w:val="24"/>
        </w:rPr>
        <w:t>年</w:t>
      </w:r>
      <w:r>
        <w:rPr>
          <w:sz w:val="24"/>
          <w:szCs w:val="24"/>
        </w:rPr>
        <w:tab/>
      </w:r>
      <w:r>
        <w:rPr>
          <w:rFonts w:hint="eastAsia"/>
          <w:sz w:val="24"/>
          <w:szCs w:val="24"/>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sz w:val="24"/>
          <w:szCs w:val="24"/>
        </w:rPr>
        <w:tab/>
      </w:r>
      <w:r>
        <w:rPr>
          <w:rFonts w:hint="eastAsia"/>
          <w:sz w:val="24"/>
          <w:szCs w:val="24"/>
          <w:lang w:val="en-US" w:eastAsia="zh-CN"/>
        </w:rPr>
        <w:t xml:space="preserve"> </w:t>
      </w:r>
      <w:r>
        <w:rPr>
          <w:sz w:val="24"/>
          <w:szCs w:val="24"/>
        </w:rPr>
        <w:t>时前不得启封）</w:t>
      </w:r>
    </w:p>
    <w:p w14:paraId="23C13571">
      <w:pPr>
        <w:pStyle w:val="4"/>
        <w:rPr>
          <w:sz w:val="24"/>
          <w:szCs w:val="24"/>
        </w:rPr>
      </w:pPr>
    </w:p>
    <w:p w14:paraId="40C6F1B5">
      <w:pPr>
        <w:rPr>
          <w:sz w:val="24"/>
          <w:szCs w:val="24"/>
        </w:rPr>
      </w:pPr>
      <w:r>
        <w:rPr>
          <w:sz w:val="24"/>
          <w:szCs w:val="24"/>
        </w:rPr>
        <w:t>供应商：（加盖公章）</w:t>
      </w:r>
    </w:p>
    <w:p w14:paraId="28347C27">
      <w:pPr>
        <w:rPr>
          <w:sz w:val="24"/>
          <w:szCs w:val="24"/>
        </w:rPr>
      </w:pPr>
      <w:r>
        <w:rPr>
          <w:sz w:val="24"/>
          <w:szCs w:val="24"/>
        </w:rPr>
        <w:t>通讯地址：                                邮编：</w:t>
      </w:r>
    </w:p>
    <w:p w14:paraId="503F458B">
      <w:pPr>
        <w:rPr>
          <w:sz w:val="24"/>
          <w:szCs w:val="24"/>
        </w:rPr>
      </w:pPr>
    </w:p>
    <w:p w14:paraId="27A2127B">
      <w:pPr>
        <w:rPr>
          <w:sz w:val="24"/>
          <w:szCs w:val="24"/>
        </w:rPr>
      </w:pPr>
    </w:p>
    <w:sectPr>
      <w:pgSz w:w="11905" w:h="16838"/>
      <w:pgMar w:top="1417" w:right="1417" w:bottom="1440" w:left="1417" w:header="811" w:footer="1020" w:gutter="0"/>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0A70C">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29AEF">
                          <w:pPr>
                            <w:pStyle w:val="8"/>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DE29AEF">
                    <w:pPr>
                      <w:pStyle w:val="8"/>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382BF">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3D569">
                          <w:pPr>
                            <w:pStyle w:val="8"/>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223D569">
                    <w:pPr>
                      <w:pStyle w:val="8"/>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CF9E">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F33C">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B0EF33C">
                    <w:pPr>
                      <w:pStyle w:val="8"/>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CA2D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EA4827">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DEA4827">
                    <w:pPr>
                      <w:pStyle w:val="8"/>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5C6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876FC">
                          <w:pPr>
                            <w:pStyle w:val="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5876FC">
                    <w:pPr>
                      <w:pStyle w:val="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98B79"/>
    <w:multiLevelType w:val="singleLevel"/>
    <w:tmpl w:val="38898B7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HorizontalSpacing w:val="28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OGQ5M2YyMGIzNzhkOGM3ODMxY2RjMmM3NDY3ZDQifQ=="/>
  </w:docVars>
  <w:rsids>
    <w:rsidRoot w:val="568E4A18"/>
    <w:rsid w:val="034C0CEA"/>
    <w:rsid w:val="04437674"/>
    <w:rsid w:val="05AB40FA"/>
    <w:rsid w:val="06277B8D"/>
    <w:rsid w:val="06D207B6"/>
    <w:rsid w:val="098033F4"/>
    <w:rsid w:val="0B925AA8"/>
    <w:rsid w:val="0BD622FB"/>
    <w:rsid w:val="0BF84792"/>
    <w:rsid w:val="0CC015FF"/>
    <w:rsid w:val="0CF82D55"/>
    <w:rsid w:val="0F2E3D3A"/>
    <w:rsid w:val="0F977B31"/>
    <w:rsid w:val="110B6741"/>
    <w:rsid w:val="18A312F5"/>
    <w:rsid w:val="19516FA3"/>
    <w:rsid w:val="1AC031E7"/>
    <w:rsid w:val="1E6908EA"/>
    <w:rsid w:val="21687B4D"/>
    <w:rsid w:val="228A2CEA"/>
    <w:rsid w:val="236E3EE5"/>
    <w:rsid w:val="2389558B"/>
    <w:rsid w:val="24015121"/>
    <w:rsid w:val="2446347C"/>
    <w:rsid w:val="24B46637"/>
    <w:rsid w:val="2787341C"/>
    <w:rsid w:val="27BA21B7"/>
    <w:rsid w:val="2868355F"/>
    <w:rsid w:val="29D05CC2"/>
    <w:rsid w:val="2AF61758"/>
    <w:rsid w:val="2C3445AF"/>
    <w:rsid w:val="2D1C4D7A"/>
    <w:rsid w:val="343E5F1E"/>
    <w:rsid w:val="347D2FFE"/>
    <w:rsid w:val="35780FBB"/>
    <w:rsid w:val="3B1C0294"/>
    <w:rsid w:val="3B857F71"/>
    <w:rsid w:val="3BAE7801"/>
    <w:rsid w:val="3C1B6645"/>
    <w:rsid w:val="3C2D6FA3"/>
    <w:rsid w:val="3D404AB5"/>
    <w:rsid w:val="3F084F6B"/>
    <w:rsid w:val="401144E6"/>
    <w:rsid w:val="40A67324"/>
    <w:rsid w:val="415154E2"/>
    <w:rsid w:val="423E2965"/>
    <w:rsid w:val="43650DD1"/>
    <w:rsid w:val="438B667F"/>
    <w:rsid w:val="44044A8E"/>
    <w:rsid w:val="453D692D"/>
    <w:rsid w:val="463A4797"/>
    <w:rsid w:val="46B546A2"/>
    <w:rsid w:val="4851401A"/>
    <w:rsid w:val="4A6C6EE9"/>
    <w:rsid w:val="4AE364D2"/>
    <w:rsid w:val="4C6E2544"/>
    <w:rsid w:val="4CE25AE2"/>
    <w:rsid w:val="4DA42E3E"/>
    <w:rsid w:val="4FDC227D"/>
    <w:rsid w:val="507B60D8"/>
    <w:rsid w:val="515A3F3F"/>
    <w:rsid w:val="52FB52AE"/>
    <w:rsid w:val="554533AB"/>
    <w:rsid w:val="568E4A18"/>
    <w:rsid w:val="56E04EE6"/>
    <w:rsid w:val="56E40EC1"/>
    <w:rsid w:val="58737DD7"/>
    <w:rsid w:val="59657A92"/>
    <w:rsid w:val="5BDD5EB2"/>
    <w:rsid w:val="5C62719B"/>
    <w:rsid w:val="5D2D69AC"/>
    <w:rsid w:val="5DF71957"/>
    <w:rsid w:val="5E36027D"/>
    <w:rsid w:val="61453B98"/>
    <w:rsid w:val="629E4B0F"/>
    <w:rsid w:val="63A603C9"/>
    <w:rsid w:val="653140D4"/>
    <w:rsid w:val="653B3C30"/>
    <w:rsid w:val="67E265E5"/>
    <w:rsid w:val="681F3395"/>
    <w:rsid w:val="6C4331A4"/>
    <w:rsid w:val="6D1014FE"/>
    <w:rsid w:val="6D127844"/>
    <w:rsid w:val="78882890"/>
    <w:rsid w:val="7BD209F2"/>
    <w:rsid w:val="7CAA1027"/>
    <w:rsid w:val="7DD065DB"/>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8"/>
      <w:lang w:val="en-US" w:eastAsia="zh-CN" w:bidi="ar-SA"/>
    </w:rPr>
  </w:style>
  <w:style w:type="paragraph" w:styleId="2">
    <w:name w:val="heading 1"/>
    <w:basedOn w:val="1"/>
    <w:next w:val="1"/>
    <w:qFormat/>
    <w:uiPriority w:val="0"/>
    <w:pPr>
      <w:keepNext/>
      <w:keepLines/>
      <w:spacing w:beforeLines="50" w:afterLines="50"/>
      <w:outlineLvl w:val="0"/>
    </w:pPr>
    <w:rPr>
      <w:b/>
      <w:kern w:val="44"/>
      <w:sz w:val="32"/>
    </w:rPr>
  </w:style>
  <w:style w:type="paragraph" w:styleId="3">
    <w:name w:val="heading 2"/>
    <w:basedOn w:val="1"/>
    <w:next w:val="1"/>
    <w:autoRedefine/>
    <w:qFormat/>
    <w:uiPriority w:val="0"/>
    <w:pPr>
      <w:keepNext/>
      <w:spacing w:line="720" w:lineRule="exact"/>
      <w:outlineLvl w:val="1"/>
    </w:pPr>
    <w:rPr>
      <w:rFonts w:ascii="黑体" w:hAnsi="Copperplate Gothic Bold" w:eastAsia="楷体_GB231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left"/>
    </w:pPr>
    <w:rPr>
      <w:rFonts w:ascii="Copperplate Gothic Bold" w:hAnsi="Copperplate Gothic Bold"/>
    </w:rPr>
  </w:style>
  <w:style w:type="paragraph" w:styleId="5">
    <w:name w:val="Body Text Indent"/>
    <w:basedOn w:val="1"/>
    <w:qFormat/>
    <w:uiPriority w:val="0"/>
    <w:pPr>
      <w:spacing w:after="120"/>
      <w:ind w:left="420" w:leftChars="200"/>
    </w:pPr>
  </w:style>
  <w:style w:type="paragraph" w:styleId="6">
    <w:name w:val="Block Text"/>
    <w:basedOn w:val="1"/>
    <w:semiHidden/>
    <w:unhideWhenUsed/>
    <w:qFormat/>
    <w:uiPriority w:val="99"/>
    <w:pPr>
      <w:spacing w:after="120"/>
      <w:ind w:left="1440" w:leftChars="700" w:right="1440" w:rightChars="700"/>
    </w:pPr>
  </w:style>
  <w:style w:type="paragraph" w:styleId="7">
    <w:name w:val="Plain Text"/>
    <w:basedOn w:val="1"/>
    <w:qFormat/>
    <w:uiPriority w:val="0"/>
    <w:pPr>
      <w:spacing w:line="120" w:lineRule="auto"/>
    </w:pPr>
    <w:rPr>
      <w:rFonts w:ascii="宋体" w:hAnsi="宋体" w:eastAsia="微软雅黑"/>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Body Text 2"/>
    <w:basedOn w:val="1"/>
    <w:autoRedefine/>
    <w:qFormat/>
    <w:uiPriority w:val="0"/>
    <w:rPr>
      <w:rFonts w:ascii="楷体_GB2312" w:hAnsi="Copperplate Gothic Bold" w:eastAsia="楷体_GB2312"/>
      <w:szCs w:val="24"/>
    </w:rPr>
  </w:style>
  <w:style w:type="paragraph" w:styleId="12">
    <w:name w:val="Normal (Web)"/>
    <w:basedOn w:val="1"/>
    <w:next w:val="6"/>
    <w:autoRedefine/>
    <w:qFormat/>
    <w:uiPriority w:val="0"/>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w:basedOn w:val="4"/>
    <w:next w:val="1"/>
    <w:autoRedefine/>
    <w:unhideWhenUsed/>
    <w:qFormat/>
    <w:uiPriority w:val="99"/>
    <w:pPr>
      <w:ind w:firstLine="420" w:firstLineChars="100"/>
    </w:pPr>
    <w:rPr>
      <w:szCs w:val="24"/>
    </w:rPr>
  </w:style>
  <w:style w:type="paragraph" w:styleId="15">
    <w:name w:val="Body Text First Indent 2"/>
    <w:basedOn w:val="5"/>
    <w:autoRedefine/>
    <w:qFormat/>
    <w:uiPriority w:val="0"/>
    <w:pPr>
      <w:ind w:firstLine="420" w:firstLineChars="200"/>
    </w:pPr>
    <w:rPr>
      <w:rFonts w:eastAsia="宋体"/>
      <w:sz w:val="21"/>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样式1"/>
    <w:basedOn w:val="1"/>
    <w:next w:val="1"/>
    <w:autoRedefine/>
    <w:qFormat/>
    <w:uiPriority w:val="0"/>
    <w:pPr>
      <w:keepNext/>
      <w:keepLines/>
      <w:spacing w:before="260" w:beforeLines="0" w:after="260" w:afterLines="0" w:line="560" w:lineRule="exact"/>
      <w:outlineLvl w:val="2"/>
    </w:pPr>
    <w:rPr>
      <w:rFonts w:hint="eastAsia" w:ascii="Times New Roman" w:hAnsi="Times New Roman" w:eastAsia="仿宋" w:cs="Times New Roman"/>
      <w:b/>
      <w:sz w:val="24"/>
      <w:szCs w:val="24"/>
    </w:rPr>
  </w:style>
  <w:style w:type="paragraph" w:customStyle="1" w:styleId="20">
    <w:name w:val="font5"/>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1">
    <w:name w:val="DAS正文"/>
    <w:basedOn w:val="1"/>
    <w:autoRedefine/>
    <w:qFormat/>
    <w:uiPriority w:val="0"/>
    <w:pPr>
      <w:ind w:right="181" w:firstLine="480" w:firstLineChars="200"/>
    </w:pPr>
    <w:rPr>
      <w:rFonts w:ascii="Verdana" w:hAnsi="Verdana"/>
      <w:szCs w:val="24"/>
    </w:rPr>
  </w:style>
  <w:style w:type="paragraph" w:customStyle="1" w:styleId="22">
    <w:name w:val="Table Paragraph"/>
    <w:basedOn w:val="1"/>
    <w:autoRedefine/>
    <w:qFormat/>
    <w:uiPriority w:val="1"/>
    <w:pPr>
      <w:jc w:val="left"/>
    </w:pPr>
    <w:rPr>
      <w:rFonts w:ascii="Calibri" w:hAnsi="Calibri" w:eastAsia="宋体"/>
      <w:kern w:val="0"/>
      <w:sz w:val="22"/>
      <w:szCs w:val="22"/>
      <w:lang w:eastAsia="en-US"/>
    </w:rPr>
  </w:style>
  <w:style w:type="paragraph" w:customStyle="1" w:styleId="23">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18045</Words>
  <Characters>18880</Characters>
  <Lines>0</Lines>
  <Paragraphs>0</Paragraphs>
  <TotalTime>9</TotalTime>
  <ScaleCrop>false</ScaleCrop>
  <LinksUpToDate>false</LinksUpToDate>
  <CharactersWithSpaces>19829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2024-04-28T00:33:00Z</dcterms:created>
  <dc:creator>WPS_1538736655</dc:creator>
  <cp:lastModifiedBy>陌、、筱筱♚</cp:lastModifiedBy>
  <cp:lastPrinted>2025-03-20T03:24:00Z</cp:lastPrinted>
  <dcterms:modified xsi:type="dcterms:W3CDTF">2025-05-23T06:28:32Z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AE52E20ED4994E28AE666C030E12050D_13</vt:lpwstr>
  </property>
  <property fmtid="{D5CDD505-2E9C-101B-9397-08002B2CF9AE}" pid="4" name="KSOTemplateDocerSaveRecord">
    <vt:lpwstr>eyJoZGlkIjoiYjhkMDVhMmZmZmI4NjY5YTY1NjZhNjQyMDE3MTUzOTciLCJ1c2VySWQiOiIzNTYwNDIxOTUifQ==</vt:lpwstr>
  </property>
</Properties>
</file>