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标的名称：三七炮弹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2098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</w:t>
                  </w:r>
                </w:p>
              </w:tc>
              <w:tc>
                <w:tcPr>
                  <w:tcW w:w="2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口径：37mm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2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炮弹全长：382mm～386mm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3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全弹质量：1100～1500g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4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弹丸质量：420～630g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炸药质量：34～70.5g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6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初速：≥890m/s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7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膛压：平均膛压≤284MPa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8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引信类别：隔爆型引信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9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引信数量：1个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10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最大射高：≥6500m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11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碘化银含量：≥1g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12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最大破片：≤14g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13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瞎火率：≤1/1000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14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使用温度：-20℃～+50℃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15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条维码标识：二维码</w:t>
                  </w:r>
                </w:p>
              </w:tc>
            </w:tr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16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  <w:sz w:val="24"/>
                    </w:rPr>
                    <w:t>数量：10000枚</w:t>
                  </w:r>
                  <w:r>
                    <w:rPr>
                      <w:rFonts w:ascii="仿宋_GB2312" w:hAnsi="仿宋_GB2312" w:eastAsia="仿宋_GB2312" w:cs="仿宋_GB2312"/>
                      <w:b/>
                      <w:sz w:val="24"/>
                    </w:rPr>
                    <w:t>（最终以单价据实结算）</w:t>
                  </w:r>
                </w:p>
              </w:tc>
            </w:tr>
          </w:tbl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0395748b-30f7-4554-b438-b447415caf13"/>
  </w:docVars>
  <w:rsids>
    <w:rsidRoot w:val="67A06B60"/>
    <w:rsid w:val="67A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241</Characters>
  <Lines>0</Lines>
  <Paragraphs>0</Paragraphs>
  <TotalTime>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2025-05-29T07:58:00Z</dcterms:created>
  <dc:creator>-7</dc:creator>
  <cp:lastModifiedBy>-7</cp:lastModifiedBy>
  <dcterms:modified xsi:type="dcterms:W3CDTF">2025-05-29T07:58:29Z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2738E29F32914F9CB8BA0705FE2DCB08_11</vt:lpwstr>
  </property>
</Properties>
</file>