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SXZCZB2025-ZCCS-0519</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5B6DD2B1">
      <w:pPr>
        <w:jc w:val="center"/>
        <w:rPr>
          <w:rFonts w:hint="eastAsia" w:hAnsi="宋体" w:eastAsia="宋体" w:cs="宋体"/>
          <w:b/>
          <w:color w:val="auto"/>
          <w:sz w:val="52"/>
          <w:szCs w:val="52"/>
          <w:highlight w:val="none"/>
          <w:lang w:eastAsia="zh-CN"/>
        </w:rPr>
      </w:pPr>
      <w:r>
        <w:rPr>
          <w:rFonts w:hint="eastAsia" w:hAnsi="宋体" w:cs="宋体"/>
          <w:b/>
          <w:color w:val="auto"/>
          <w:sz w:val="52"/>
          <w:szCs w:val="52"/>
          <w:highlight w:val="none"/>
          <w:lang w:eastAsia="zh-CN"/>
        </w:rPr>
        <w:t>2025双城记—“山河智链逐新致远”主题城市对话活动</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19886"/>
      <w:bookmarkStart w:id="2" w:name="_Toc5293"/>
      <w:bookmarkStart w:id="3" w:name="_Toc389582033"/>
      <w:bookmarkStart w:id="4" w:name="_Toc20858"/>
      <w:bookmarkStart w:id="5" w:name="_Toc16218"/>
      <w:bookmarkStart w:id="6" w:name="_Toc20652"/>
      <w:bookmarkStart w:id="7" w:name="_Toc21518"/>
      <w:bookmarkStart w:id="8" w:name="_Toc27420"/>
      <w:bookmarkStart w:id="9" w:name="_Toc403077638"/>
      <w:bookmarkStart w:id="10" w:name="_Toc363474016"/>
      <w:bookmarkStart w:id="11" w:name="_Toc363473971"/>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30</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25782"/>
      <w:bookmarkStart w:id="13" w:name="_Toc2705"/>
      <w:bookmarkStart w:id="14" w:name="_Toc423973071"/>
      <w:bookmarkStart w:id="15" w:name="_Toc1931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130FE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sz w:val="24"/>
          <w:szCs w:val="24"/>
        </w:rPr>
      </w:pPr>
      <w:bookmarkStart w:id="16" w:name="_Toc2929"/>
      <w:bookmarkStart w:id="17" w:name="_Toc389582035"/>
      <w:bookmarkStart w:id="18" w:name="_Toc29249"/>
      <w:bookmarkStart w:id="19" w:name="_Toc423973072"/>
      <w:r>
        <w:rPr>
          <w:rStyle w:val="25"/>
          <w:rFonts w:hint="eastAsia" w:ascii="宋体" w:hAnsi="宋体" w:eastAsia="宋体" w:cs="宋体"/>
          <w:b/>
          <w:bCs/>
          <w:i w:val="0"/>
          <w:iCs w:val="0"/>
          <w:caps w:val="0"/>
          <w:color w:val="333333"/>
          <w:spacing w:val="0"/>
          <w:sz w:val="24"/>
          <w:szCs w:val="24"/>
          <w:shd w:val="clear" w:fill="FFFFFF"/>
        </w:rPr>
        <w:t>项目概况</w:t>
      </w:r>
    </w:p>
    <w:p w14:paraId="1C5D2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hAnsi="宋体" w:cs="宋体"/>
          <w:i w:val="0"/>
          <w:iCs w:val="0"/>
          <w:caps w:val="0"/>
          <w:color w:val="333333"/>
          <w:spacing w:val="0"/>
          <w:sz w:val="24"/>
          <w:szCs w:val="24"/>
          <w:shd w:val="clear" w:fill="FFFFFF"/>
          <w:lang w:val="en-US" w:eastAsia="zh-CN" w:bidi="ar-SA"/>
        </w:rPr>
        <w:t>2025双城记—“山河智链逐新致远”主题城市对话活动</w:t>
      </w:r>
      <w:r>
        <w:rPr>
          <w:rFonts w:hint="eastAsia" w:ascii="宋体" w:hAnsi="宋体" w:eastAsia="宋体" w:cs="宋体"/>
          <w:i w:val="0"/>
          <w:iCs w:val="0"/>
          <w:caps w:val="0"/>
          <w:color w:val="333333"/>
          <w:spacing w:val="0"/>
          <w:sz w:val="24"/>
          <w:szCs w:val="24"/>
          <w:shd w:val="clear" w:fill="FFFFFF"/>
          <w:lang w:val="en-US" w:eastAsia="zh-CN" w:bidi="ar-SA"/>
        </w:rPr>
        <w:t>采购项目的潜在供应商应在陕西省西安市经济技术开发区未央路171-1号银池道拉斯财富中心21楼03室获取采购文件，并于2025年05月2</w:t>
      </w:r>
      <w:r>
        <w:rPr>
          <w:rFonts w:hint="eastAsia" w:hAnsi="宋体" w:cs="宋体"/>
          <w:i w:val="0"/>
          <w:iCs w:val="0"/>
          <w:caps w:val="0"/>
          <w:color w:val="333333"/>
          <w:spacing w:val="0"/>
          <w:sz w:val="24"/>
          <w:szCs w:val="24"/>
          <w:shd w:val="clear" w:fill="FFFFFF"/>
          <w:lang w:val="en-US" w:eastAsia="zh-CN" w:bidi="ar-SA"/>
        </w:rPr>
        <w:t>6</w:t>
      </w:r>
      <w:r>
        <w:rPr>
          <w:rFonts w:hint="eastAsia" w:ascii="宋体" w:hAnsi="宋体" w:eastAsia="宋体" w:cs="宋体"/>
          <w:i w:val="0"/>
          <w:iCs w:val="0"/>
          <w:caps w:val="0"/>
          <w:color w:val="333333"/>
          <w:spacing w:val="0"/>
          <w:sz w:val="24"/>
          <w:szCs w:val="24"/>
          <w:shd w:val="clear" w:fill="FFFFFF"/>
          <w:lang w:val="en-US" w:eastAsia="zh-CN" w:bidi="ar-SA"/>
        </w:rPr>
        <w:t>日</w:t>
      </w:r>
      <w:r>
        <w:rPr>
          <w:rFonts w:hint="eastAsia" w:hAnsi="宋体" w:cs="宋体"/>
          <w:i w:val="0"/>
          <w:iCs w:val="0"/>
          <w:caps w:val="0"/>
          <w:color w:val="333333"/>
          <w:spacing w:val="0"/>
          <w:sz w:val="24"/>
          <w:szCs w:val="24"/>
          <w:shd w:val="clear" w:fill="FFFFFF"/>
          <w:lang w:val="en-US" w:eastAsia="zh-CN" w:bidi="ar-SA"/>
        </w:rPr>
        <w:t>14</w:t>
      </w:r>
      <w:r>
        <w:rPr>
          <w:rFonts w:hint="eastAsia" w:ascii="宋体" w:hAnsi="宋体" w:eastAsia="宋体" w:cs="宋体"/>
          <w:i w:val="0"/>
          <w:iCs w:val="0"/>
          <w:caps w:val="0"/>
          <w:color w:val="333333"/>
          <w:spacing w:val="0"/>
          <w:sz w:val="24"/>
          <w:szCs w:val="24"/>
          <w:shd w:val="clear" w:fill="FFFFFF"/>
          <w:lang w:val="en-US" w:eastAsia="zh-CN" w:bidi="ar-SA"/>
        </w:rPr>
        <w:t>时00分（北京时间）前提交响应文件。</w:t>
      </w:r>
    </w:p>
    <w:p w14:paraId="6C33E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一、项目基本情况</w:t>
      </w:r>
    </w:p>
    <w:p w14:paraId="7E855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项目编号：</w:t>
      </w:r>
      <w:r>
        <w:rPr>
          <w:rFonts w:hint="eastAsia" w:hAnsi="宋体" w:cs="宋体"/>
          <w:i w:val="0"/>
          <w:iCs w:val="0"/>
          <w:caps w:val="0"/>
          <w:color w:val="333333"/>
          <w:spacing w:val="0"/>
          <w:sz w:val="24"/>
          <w:szCs w:val="24"/>
          <w:shd w:val="clear" w:fill="FFFFFF"/>
          <w:lang w:val="en-US" w:eastAsia="zh-CN" w:bidi="ar-SA"/>
        </w:rPr>
        <w:t>SXZCZB2025-ZCCS-0519</w:t>
      </w:r>
    </w:p>
    <w:p w14:paraId="2D3D7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项目名称：</w:t>
      </w:r>
      <w:r>
        <w:rPr>
          <w:rFonts w:hint="eastAsia" w:hAnsi="宋体" w:cs="宋体"/>
          <w:i w:val="0"/>
          <w:iCs w:val="0"/>
          <w:caps w:val="0"/>
          <w:color w:val="333333"/>
          <w:spacing w:val="0"/>
          <w:sz w:val="24"/>
          <w:szCs w:val="24"/>
          <w:shd w:val="clear" w:fill="FFFFFF"/>
          <w:lang w:val="en-US" w:eastAsia="zh-CN" w:bidi="ar-SA"/>
        </w:rPr>
        <w:t>2025双城记—“山河智链逐新致远”主题城市对话活动</w:t>
      </w:r>
    </w:p>
    <w:p w14:paraId="1819C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采购方式：竞争性磋商</w:t>
      </w:r>
    </w:p>
    <w:p w14:paraId="26B81D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预算金额：</w:t>
      </w:r>
      <w:r>
        <w:rPr>
          <w:rFonts w:hint="eastAsia" w:hAnsi="宋体" w:cs="宋体"/>
          <w:i w:val="0"/>
          <w:iCs w:val="0"/>
          <w:caps w:val="0"/>
          <w:color w:val="333333"/>
          <w:spacing w:val="0"/>
          <w:sz w:val="24"/>
          <w:szCs w:val="24"/>
          <w:shd w:val="clear" w:fill="FFFFFF"/>
          <w:lang w:val="en-US" w:eastAsia="zh-CN" w:bidi="ar-SA"/>
        </w:rPr>
        <w:t>295,600.00</w:t>
      </w:r>
      <w:r>
        <w:rPr>
          <w:rFonts w:hint="eastAsia" w:ascii="宋体" w:hAnsi="宋体" w:eastAsia="宋体" w:cs="宋体"/>
          <w:i w:val="0"/>
          <w:iCs w:val="0"/>
          <w:caps w:val="0"/>
          <w:color w:val="333333"/>
          <w:spacing w:val="0"/>
          <w:sz w:val="24"/>
          <w:szCs w:val="24"/>
          <w:shd w:val="clear" w:fill="FFFFFF"/>
          <w:lang w:val="en-US" w:eastAsia="zh-CN" w:bidi="ar-SA"/>
        </w:rPr>
        <w:t>元</w:t>
      </w:r>
    </w:p>
    <w:p w14:paraId="06009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采购需求：</w:t>
      </w:r>
    </w:p>
    <w:p w14:paraId="762E0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合同包1(</w:t>
      </w:r>
      <w:r>
        <w:rPr>
          <w:rFonts w:hint="eastAsia" w:hAnsi="宋体" w:cs="宋体"/>
          <w:i w:val="0"/>
          <w:iCs w:val="0"/>
          <w:caps w:val="0"/>
          <w:color w:val="333333"/>
          <w:spacing w:val="0"/>
          <w:sz w:val="24"/>
          <w:szCs w:val="24"/>
          <w:shd w:val="clear" w:fill="FFFFFF"/>
          <w:lang w:val="en-US" w:eastAsia="zh-CN" w:bidi="ar-SA"/>
        </w:rPr>
        <w:t>2025双城记—“山河智链逐新致远”主题城市对话活动</w:t>
      </w:r>
      <w:r>
        <w:rPr>
          <w:rFonts w:hint="eastAsia" w:ascii="宋体" w:hAnsi="宋体" w:eastAsia="宋体" w:cs="宋体"/>
          <w:i w:val="0"/>
          <w:iCs w:val="0"/>
          <w:caps w:val="0"/>
          <w:color w:val="333333"/>
          <w:spacing w:val="0"/>
          <w:sz w:val="24"/>
          <w:szCs w:val="24"/>
          <w:shd w:val="clear" w:fill="FFFFFF"/>
          <w:lang w:val="en-US" w:eastAsia="zh-CN" w:bidi="ar-SA"/>
        </w:rPr>
        <w:t>):</w:t>
      </w:r>
    </w:p>
    <w:p w14:paraId="7ABC8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合同包预算金额：</w:t>
      </w:r>
      <w:r>
        <w:rPr>
          <w:rFonts w:hint="eastAsia" w:hAnsi="宋体" w:cs="宋体"/>
          <w:i w:val="0"/>
          <w:iCs w:val="0"/>
          <w:caps w:val="0"/>
          <w:color w:val="333333"/>
          <w:spacing w:val="0"/>
          <w:sz w:val="24"/>
          <w:szCs w:val="24"/>
          <w:shd w:val="clear" w:fill="FFFFFF"/>
          <w:lang w:val="en-US" w:eastAsia="zh-CN" w:bidi="ar-SA"/>
        </w:rPr>
        <w:t>295,600.00</w:t>
      </w:r>
      <w:r>
        <w:rPr>
          <w:rFonts w:hint="eastAsia" w:ascii="宋体" w:hAnsi="宋体" w:eastAsia="宋体" w:cs="宋体"/>
          <w:i w:val="0"/>
          <w:iCs w:val="0"/>
          <w:caps w:val="0"/>
          <w:color w:val="333333"/>
          <w:spacing w:val="0"/>
          <w:sz w:val="24"/>
          <w:szCs w:val="24"/>
          <w:shd w:val="clear" w:fill="FFFFFF"/>
          <w:lang w:val="en-US" w:eastAsia="zh-CN" w:bidi="ar-SA"/>
        </w:rPr>
        <w:t>元</w:t>
      </w:r>
    </w:p>
    <w:p w14:paraId="1A4D3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合同包最高限价：</w:t>
      </w:r>
      <w:r>
        <w:rPr>
          <w:rFonts w:hint="eastAsia" w:hAnsi="宋体" w:cs="宋体"/>
          <w:i w:val="0"/>
          <w:iCs w:val="0"/>
          <w:caps w:val="0"/>
          <w:color w:val="333333"/>
          <w:spacing w:val="0"/>
          <w:sz w:val="24"/>
          <w:szCs w:val="24"/>
          <w:shd w:val="clear" w:fill="FFFFFF"/>
          <w:lang w:val="en-US" w:eastAsia="zh-CN" w:bidi="ar-SA"/>
        </w:rPr>
        <w:t>295,600.00</w:t>
      </w:r>
      <w:r>
        <w:rPr>
          <w:rFonts w:hint="eastAsia" w:ascii="宋体" w:hAnsi="宋体" w:eastAsia="宋体" w:cs="宋体"/>
          <w:i w:val="0"/>
          <w:iCs w:val="0"/>
          <w:caps w:val="0"/>
          <w:color w:val="333333"/>
          <w:spacing w:val="0"/>
          <w:sz w:val="24"/>
          <w:szCs w:val="24"/>
          <w:shd w:val="clear" w:fill="FFFFFF"/>
          <w:lang w:val="en-US" w:eastAsia="zh-CN" w:bidi="ar-SA"/>
        </w:rPr>
        <w:t>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86"/>
        <w:gridCol w:w="2478"/>
        <w:gridCol w:w="722"/>
        <w:gridCol w:w="1087"/>
        <w:gridCol w:w="1440"/>
        <w:gridCol w:w="1440"/>
      </w:tblGrid>
      <w:tr w14:paraId="144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7DD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814E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959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7F7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5D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06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95122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222B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2C9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F96B8">
            <w:pPr>
              <w:keepNext w:val="0"/>
              <w:keepLines w:val="0"/>
              <w:widowControl/>
              <w:suppressLineNumbers w:val="0"/>
              <w:wordWrap w:val="0"/>
              <w:spacing w:before="0" w:beforeAutospacing="0" w:after="0" w:afterAutospacing="0" w:line="360" w:lineRule="atLeast"/>
              <w:ind w:left="0" w:right="0"/>
              <w:jc w:val="center"/>
              <w:outlineLvl w:val="9"/>
              <w:rPr>
                <w:rFonts w:hint="default" w:ascii="宋体" w:hAnsi="宋体" w:eastAsia="宋体" w:cs="宋体"/>
                <w:sz w:val="24"/>
                <w:szCs w:val="24"/>
                <w:lang w:val="en-US" w:eastAsia="zh-CN"/>
              </w:rPr>
            </w:pPr>
            <w:r>
              <w:rPr>
                <w:rFonts w:hint="eastAsia" w:hAnsi="宋体" w:cs="宋体"/>
                <w:sz w:val="24"/>
                <w:szCs w:val="24"/>
                <w:lang w:val="en-US" w:eastAsia="zh-CN"/>
              </w:rPr>
              <w:t>公共信息服务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DD7D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lang w:eastAsia="zh-CN"/>
              </w:rPr>
            </w:pPr>
            <w:r>
              <w:rPr>
                <w:rFonts w:hint="eastAsia" w:hAnsi="宋体" w:cs="宋体"/>
                <w:sz w:val="24"/>
                <w:szCs w:val="24"/>
                <w:lang w:eastAsia="zh-CN"/>
              </w:rPr>
              <w:t>2025双城记—“山河智链</w:t>
            </w:r>
            <w:r>
              <w:rPr>
                <w:rFonts w:hint="eastAsia" w:hAnsi="宋体" w:cs="宋体"/>
                <w:sz w:val="24"/>
                <w:szCs w:val="24"/>
                <w:lang w:val="en-US" w:eastAsia="zh-CN"/>
              </w:rPr>
              <w:t xml:space="preserve"> </w:t>
            </w:r>
            <w:r>
              <w:rPr>
                <w:rFonts w:hint="eastAsia" w:hAnsi="宋体" w:cs="宋体"/>
                <w:sz w:val="24"/>
                <w:szCs w:val="24"/>
                <w:lang w:eastAsia="zh-CN"/>
              </w:rPr>
              <w:t>逐新致远”主题城市对话活动</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E92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hAnsi="宋体" w:cs="宋体"/>
                <w:kern w:val="0"/>
                <w:sz w:val="24"/>
                <w:szCs w:val="24"/>
                <w:lang w:val="en-US" w:eastAsia="zh-CN" w:bidi="ar"/>
              </w:rPr>
              <w:t>项</w:t>
            </w:r>
            <w:r>
              <w:rPr>
                <w:rFonts w:hint="eastAsia" w:ascii="宋体" w:hAnsi="宋体" w:eastAsia="宋体" w:cs="宋体"/>
                <w:kern w:val="0"/>
                <w:sz w:val="24"/>
                <w:szCs w:val="24"/>
                <w:lang w:val="en-US" w:eastAsia="zh-CN" w:bidi="ar"/>
              </w:rPr>
              <w:t>)</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2165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0A721">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lang w:eastAsia="zh-CN"/>
              </w:rPr>
            </w:pPr>
            <w:r>
              <w:rPr>
                <w:rFonts w:hint="eastAsia" w:hAnsi="宋体" w:cs="宋体"/>
                <w:sz w:val="24"/>
                <w:szCs w:val="24"/>
                <w:lang w:eastAsia="zh-CN"/>
              </w:rPr>
              <w:t>295,600.00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5D40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lang w:eastAsia="zh-CN"/>
              </w:rPr>
            </w:pPr>
            <w:r>
              <w:rPr>
                <w:rFonts w:hint="eastAsia" w:hAnsi="宋体" w:cs="宋体"/>
                <w:sz w:val="24"/>
                <w:szCs w:val="24"/>
                <w:lang w:eastAsia="zh-CN"/>
              </w:rPr>
              <w:t>295,600.00</w:t>
            </w:r>
          </w:p>
        </w:tc>
      </w:tr>
    </w:tbl>
    <w:p w14:paraId="1AEEE1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6CAAE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合同履行期限：详见磋商文件</w:t>
      </w:r>
    </w:p>
    <w:p w14:paraId="46CA90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二、申请人的资格要求：</w:t>
      </w:r>
    </w:p>
    <w:p w14:paraId="69DAAC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C5331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37D1B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2025双城记—“山河智链逐新致远”主题城市对话活动</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1F92DA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p>
    <w:p w14:paraId="3B590C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013690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p>
    <w:p w14:paraId="637F21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（4）《节能产品政府采购实施意见》（财库〔2004〕185号）；</w:t>
      </w:r>
    </w:p>
    <w:p w14:paraId="59222D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（5）《环境标志产品政府采购实施的意见》（财库〔2006〕90号）；</w:t>
      </w:r>
    </w:p>
    <w:p w14:paraId="6B45816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p>
    <w:p w14:paraId="4A383F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6EC684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p>
    <w:p w14:paraId="7AED6E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p>
    <w:p w14:paraId="3048A02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（10）《关于发布参与实施政府采购节能产品、环境标志产品认证机构名录的公告》—2019年第16号；</w:t>
      </w:r>
    </w:p>
    <w:p w14:paraId="14471C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（11）《关于运用政府采购政策支持乡村产业振兴的通知》（财库〔2021〕19号）；</w:t>
      </w:r>
    </w:p>
    <w:p w14:paraId="5926F4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（12）陕西省财政厅关于印发《陕西省中小企业政府采购信用融资办法》（陕财办采〔2018〕23号），相关政策、业务流程、办理平台（详见http://www.ccgp-shaanxi.gov.cn/zcdservice/zcd/shanxi/）；</w:t>
      </w:r>
    </w:p>
    <w:p w14:paraId="67A354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（13）《陕西省财政厅关于加快推进我省中小企业政府采购信用融资工作的通知》（陕财办采〔2020〕15号）；</w:t>
      </w:r>
    </w:p>
    <w:p w14:paraId="69AE21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（14）《关于进一步加强政府绿色采购有关问题的通知》（陕财办采〔2021〕29号）；</w:t>
      </w:r>
    </w:p>
    <w:p w14:paraId="46D41F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（15）《陕西省财政厅陕西省工业和信息化厅关于运用政府采购政策支持首台（套）及创新产品有关事项的通知》（陕财办采〔2021〕17号）；</w:t>
      </w:r>
    </w:p>
    <w:p w14:paraId="324875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（16）《关于进一步加大政府采购支持中小企业力度的通知》（财库〔2022〕19号）、《关于落实政府采购支持中小企业政策有关事项的通知》（陕财办采函〔2022〕10号）；</w:t>
      </w:r>
    </w:p>
    <w:p w14:paraId="18ED97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（17）其他需要落实的政府采购政策。</w:t>
      </w:r>
    </w:p>
    <w:p w14:paraId="47F19E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3.本项目的特定资格要求：</w:t>
      </w:r>
    </w:p>
    <w:p w14:paraId="6B5D74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合同包1(</w:t>
      </w:r>
      <w:r>
        <w:rPr>
          <w:rFonts w:hint="eastAsia" w:cs="宋体"/>
          <w:szCs w:val="24"/>
          <w:highlight w:val="none"/>
          <w:lang w:val="en-US" w:eastAsia="zh-CN"/>
        </w:rPr>
        <w:t>2025双城记—“山河智链逐新致远”主题城市对话活动</w:t>
      </w:r>
      <w:r>
        <w:rPr>
          <w:rFonts w:hint="eastAsia" w:hAnsi="宋体" w:cs="宋体"/>
          <w:szCs w:val="24"/>
          <w:highlight w:val="none"/>
          <w:lang w:val="en-US" w:eastAsia="zh-CN"/>
        </w:rPr>
        <w:t>)特定资格要求如下:</w:t>
      </w:r>
    </w:p>
    <w:p w14:paraId="59E8BA3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242861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2EEC8E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656D63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个月的纳税证明或完税证明（任意税种），依法免税的单位应提供相关证明材料；</w:t>
      </w:r>
    </w:p>
    <w:p w14:paraId="27D2B5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个月的社会保障资金缴存单据或社保机构开具的社会保险参保缴费情况证明，依法不需要缴纳社会保障资金的单位应提供相关证明材料；</w:t>
      </w:r>
    </w:p>
    <w:p w14:paraId="014BC3F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24ACFB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070B22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2ADA9BF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31DB40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（10）本项目不接受联合体磋商（提供承诺书）。</w:t>
      </w:r>
    </w:p>
    <w:p w14:paraId="0AF253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三、获取采购文件</w:t>
      </w:r>
    </w:p>
    <w:p w14:paraId="178E2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时间：2025年05月1</w:t>
      </w:r>
      <w:r>
        <w:rPr>
          <w:rFonts w:hint="eastAsia" w:hAnsi="宋体" w:cs="宋体"/>
          <w:sz w:val="24"/>
          <w:szCs w:val="24"/>
          <w:highlight w:val="none"/>
          <w:lang w:val="en-US" w:eastAsia="zh-CN" w:bidi="ar-SA"/>
        </w:rPr>
        <w:t>6</w:t>
      </w:r>
      <w:r>
        <w:rPr>
          <w:rFonts w:hint="eastAsia" w:ascii="宋体" w:hAnsi="宋体" w:eastAsia="宋体" w:cs="宋体"/>
          <w:sz w:val="24"/>
          <w:szCs w:val="24"/>
          <w:highlight w:val="none"/>
          <w:lang w:val="en-US" w:eastAsia="zh-CN" w:bidi="ar-SA"/>
        </w:rPr>
        <w:t>日至2025年05月</w:t>
      </w:r>
      <w:r>
        <w:rPr>
          <w:rFonts w:hint="eastAsia" w:hAnsi="宋体" w:cs="宋体"/>
          <w:sz w:val="24"/>
          <w:szCs w:val="24"/>
          <w:highlight w:val="none"/>
          <w:lang w:val="en-US" w:eastAsia="zh-CN" w:bidi="ar-SA"/>
        </w:rPr>
        <w:t>22</w:t>
      </w:r>
      <w:r>
        <w:rPr>
          <w:rFonts w:hint="eastAsia" w:ascii="宋体" w:hAnsi="宋体" w:eastAsia="宋体" w:cs="宋体"/>
          <w:sz w:val="24"/>
          <w:szCs w:val="24"/>
          <w:highlight w:val="none"/>
          <w:lang w:val="en-US" w:eastAsia="zh-CN" w:bidi="ar-SA"/>
        </w:rPr>
        <w:t>日，每天上午09:00:00至12:00:00，下午14:00:00至17:00:00（北京时间）</w:t>
      </w:r>
    </w:p>
    <w:p w14:paraId="2F2BB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途径：陕西省西安市经济技术开发区未央路171-1号银池道拉斯财富中心21楼03室</w:t>
      </w:r>
    </w:p>
    <w:p w14:paraId="179FF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方式：现场获取</w:t>
      </w:r>
    </w:p>
    <w:p w14:paraId="36655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4558C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四、响应文件提交</w:t>
      </w:r>
    </w:p>
    <w:p w14:paraId="016F11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截止时间：2025年05月2</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 xml:space="preserve">日 </w:t>
      </w:r>
      <w:r>
        <w:rPr>
          <w:rFonts w:hint="eastAsia" w:cs="宋体"/>
          <w:i w:val="0"/>
          <w:iCs w:val="0"/>
          <w:caps w:val="0"/>
          <w:color w:val="333333"/>
          <w:spacing w:val="0"/>
          <w:sz w:val="24"/>
          <w:szCs w:val="24"/>
          <w:shd w:val="clear" w:fill="FFFFFF"/>
          <w:lang w:val="en-US" w:eastAsia="zh-CN"/>
        </w:rPr>
        <w:t>14</w:t>
      </w:r>
      <w:r>
        <w:rPr>
          <w:rFonts w:hint="eastAsia" w:ascii="宋体" w:hAnsi="宋体" w:eastAsia="宋体" w:cs="宋体"/>
          <w:i w:val="0"/>
          <w:iCs w:val="0"/>
          <w:caps w:val="0"/>
          <w:color w:val="333333"/>
          <w:spacing w:val="0"/>
          <w:sz w:val="24"/>
          <w:szCs w:val="24"/>
          <w:shd w:val="clear" w:fill="FFFFFF"/>
        </w:rPr>
        <w:t>时00分00秒（北京时间）</w:t>
      </w:r>
    </w:p>
    <w:p w14:paraId="326BDE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地点：陕西省西安市经济技术开发区未央路171-1号银池道拉斯财富中心21楼03室</w:t>
      </w:r>
    </w:p>
    <w:p w14:paraId="3881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五、开启</w:t>
      </w:r>
    </w:p>
    <w:p w14:paraId="0B9F8F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时间：2025年05月2</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 xml:space="preserve">日 </w:t>
      </w:r>
      <w:r>
        <w:rPr>
          <w:rFonts w:hint="eastAsia" w:cs="宋体"/>
          <w:i w:val="0"/>
          <w:iCs w:val="0"/>
          <w:caps w:val="0"/>
          <w:color w:val="333333"/>
          <w:spacing w:val="0"/>
          <w:sz w:val="24"/>
          <w:szCs w:val="24"/>
          <w:shd w:val="clear" w:fill="FFFFFF"/>
          <w:lang w:val="en-US" w:eastAsia="zh-CN"/>
        </w:rPr>
        <w:t>14</w:t>
      </w:r>
      <w:r>
        <w:rPr>
          <w:rFonts w:hint="eastAsia" w:ascii="宋体" w:hAnsi="宋体" w:eastAsia="宋体" w:cs="宋体"/>
          <w:i w:val="0"/>
          <w:iCs w:val="0"/>
          <w:caps w:val="0"/>
          <w:color w:val="333333"/>
          <w:spacing w:val="0"/>
          <w:sz w:val="24"/>
          <w:szCs w:val="24"/>
          <w:shd w:val="clear" w:fill="FFFFFF"/>
        </w:rPr>
        <w:t>时00分00秒（北京时间）</w:t>
      </w:r>
    </w:p>
    <w:p w14:paraId="227062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地点：陕西省西安市经济技术开发区未央路171-1号银池道拉斯财富中心21楼03室</w:t>
      </w:r>
      <w:r>
        <w:rPr>
          <w:rStyle w:val="25"/>
          <w:rFonts w:hint="eastAsia" w:ascii="宋体" w:hAnsi="宋体" w:eastAsia="宋体" w:cs="宋体"/>
          <w:b/>
          <w:bCs/>
          <w:i w:val="0"/>
          <w:iCs w:val="0"/>
          <w:caps w:val="0"/>
          <w:color w:val="333333"/>
          <w:spacing w:val="0"/>
          <w:sz w:val="24"/>
          <w:szCs w:val="24"/>
          <w:shd w:val="clear" w:fill="FFFFFF"/>
        </w:rPr>
        <w:t>六、公告期限</w:t>
      </w:r>
    </w:p>
    <w:p w14:paraId="2AB8C2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自本公告发布之日起3个工作日。</w:t>
      </w:r>
    </w:p>
    <w:p w14:paraId="24127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七、其他补充事宜</w:t>
      </w:r>
    </w:p>
    <w:p w14:paraId="1CF140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（1）供应商领取采购文件时，请携带单位介绍信及经办人身份证原件及复印件加盖公章；</w:t>
      </w:r>
    </w:p>
    <w:p w14:paraId="7D7C9E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33AE20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（3）本项目专门面向中小企业采购。</w:t>
      </w:r>
    </w:p>
    <w:p w14:paraId="0404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7BFDD2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14:paraId="0448B7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097E68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地址：陕西省西安市凤城八路99号</w:t>
      </w:r>
    </w:p>
    <w:p w14:paraId="09B390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cs="宋体"/>
          <w:sz w:val="24"/>
          <w:szCs w:val="24"/>
          <w:lang w:eastAsia="zh-CN"/>
        </w:rPr>
        <w:t>029-86782939</w:t>
      </w:r>
    </w:p>
    <w:p w14:paraId="7EB30E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14:paraId="699291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78BBC7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6B8317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联系方式：029-88219779</w:t>
      </w:r>
    </w:p>
    <w:p w14:paraId="5CB86E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p>
    <w:p w14:paraId="6AAB25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项目联系人：康乐、孙洋、常瑛</w:t>
      </w:r>
    </w:p>
    <w:p w14:paraId="1E07CC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电话：029-88219779</w:t>
      </w:r>
    </w:p>
    <w:p w14:paraId="52CBBA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w:t>
      </w:r>
      <w:r>
        <w:rPr>
          <w:rFonts w:hint="eastAsia"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15</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5958"/>
      <w:bookmarkStart w:id="21" w:name="_Toc14793"/>
      <w:bookmarkStart w:id="22" w:name="_Toc3334"/>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6830"/>
      <w:bookmarkStart w:id="25" w:name="_Toc23180"/>
      <w:bookmarkStart w:id="26" w:name="_Toc4724"/>
      <w:bookmarkStart w:id="27" w:name="_Toc18299"/>
      <w:bookmarkStart w:id="28" w:name="_Toc8846"/>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046874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6F3EA1B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3ECB87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390C6D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个月的纳税证明或完税证明（任意税种），依法免税的单位应提供相关证明材料；</w:t>
            </w:r>
          </w:p>
          <w:p w14:paraId="7F5FF3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个月的社会保障资金缴存单据或社保机构开具的社会保险参保缴费情况证明，依法不需要缴纳社会保障资金的单位应提供相关证明材料；</w:t>
            </w:r>
          </w:p>
          <w:p w14:paraId="2C1A66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2E04C3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5998EB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7BD7C5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717FF5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hAnsi="宋体" w:cs="宋体"/>
                <w:color w:val="auto"/>
                <w:szCs w:val="32"/>
                <w:highlight w:val="none"/>
                <w:lang w:val="en-US" w:eastAsia="zh-CN"/>
              </w:rPr>
              <w:t>本项目为专门面向中小企业采购，不再进行价格得分的扣减。</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3972"/>
      <w:bookmarkStart w:id="30" w:name="_Toc403077639"/>
      <w:bookmarkStart w:id="31" w:name="_Toc363474017"/>
      <w:r>
        <w:rPr>
          <w:rFonts w:hint="eastAsia" w:hAnsi="宋体" w:cs="宋体"/>
          <w:b/>
          <w:color w:val="auto"/>
          <w:sz w:val="32"/>
          <w:szCs w:val="32"/>
          <w:highlight w:val="none"/>
        </w:rPr>
        <w:br w:type="page"/>
      </w:r>
      <w:bookmarkStart w:id="32" w:name="_Toc22284"/>
      <w:bookmarkStart w:id="33" w:name="_Toc27537"/>
      <w:bookmarkStart w:id="34" w:name="_Toc3623"/>
      <w:bookmarkStart w:id="35" w:name="_Toc30660"/>
      <w:bookmarkStart w:id="36" w:name="_Toc467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403077640"/>
      <w:bookmarkStart w:id="38" w:name="_Toc363473973"/>
      <w:bookmarkStart w:id="39" w:name="_Toc363474018"/>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15249"/>
      <w:bookmarkStart w:id="41" w:name="_Toc27903"/>
      <w:bookmarkStart w:id="42" w:name="_Toc12362"/>
      <w:bookmarkStart w:id="43" w:name="_Toc30698"/>
      <w:bookmarkStart w:id="44" w:name="_Toc3174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363473974"/>
      <w:bookmarkStart w:id="46" w:name="_Toc26653"/>
      <w:bookmarkStart w:id="47" w:name="_Toc28227"/>
      <w:bookmarkStart w:id="48" w:name="_Toc4913"/>
      <w:bookmarkStart w:id="49" w:name="_Toc13771"/>
      <w:bookmarkStart w:id="50" w:name="_Toc9512"/>
      <w:bookmarkStart w:id="51" w:name="_Toc363474019"/>
      <w:bookmarkStart w:id="52" w:name="_Toc403077641"/>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2266"/>
      <w:bookmarkStart w:id="55" w:name="_Toc20799"/>
      <w:bookmarkStart w:id="56" w:name="_Toc28120"/>
      <w:bookmarkStart w:id="57" w:name="_Toc18686"/>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22043"/>
      <w:bookmarkStart w:id="60" w:name="_Toc13669"/>
      <w:bookmarkStart w:id="61" w:name="_Toc30850"/>
      <w:bookmarkStart w:id="62" w:name="_Toc15436"/>
      <w:bookmarkStart w:id="63" w:name="_Toc25852"/>
      <w:bookmarkStart w:id="64" w:name="_Toc363473976"/>
      <w:bookmarkStart w:id="65" w:name="_Toc363474021"/>
      <w:bookmarkStart w:id="66" w:name="_Toc403077643"/>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7759"/>
      <w:bookmarkStart w:id="68" w:name="_Toc29694"/>
      <w:bookmarkStart w:id="69" w:name="_Toc15100"/>
      <w:bookmarkStart w:id="70" w:name="_Toc29146"/>
      <w:bookmarkStart w:id="71" w:name="_Toc2442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03077645"/>
      <w:bookmarkStart w:id="74" w:name="_Toc25783"/>
      <w:bookmarkStart w:id="75" w:name="_Toc423973074"/>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9687"/>
      <w:bookmarkStart w:id="78" w:name="_Toc11536"/>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6649"/>
      <w:bookmarkStart w:id="80" w:name="_Toc28665"/>
      <w:bookmarkStart w:id="81" w:name="_Toc23762"/>
      <w:bookmarkStart w:id="82" w:name="_Toc7988"/>
      <w:bookmarkStart w:id="83" w:name="_Toc32051"/>
      <w:bookmarkStart w:id="84" w:name="_Toc23722"/>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7615"/>
      <w:bookmarkStart w:id="86" w:name="_Toc20625"/>
      <w:bookmarkStart w:id="87" w:name="_Toc27029"/>
      <w:bookmarkStart w:id="88" w:name="_Toc2374"/>
      <w:bookmarkStart w:id="89" w:name="_Toc20714"/>
      <w:bookmarkStart w:id="90" w:name="_Toc2314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24776"/>
      <w:bookmarkStart w:id="92" w:name="_Toc17111"/>
      <w:bookmarkStart w:id="93" w:name="_Toc7905"/>
      <w:bookmarkStart w:id="94" w:name="_Toc4428"/>
      <w:bookmarkStart w:id="95" w:name="_Toc19221"/>
      <w:bookmarkStart w:id="96" w:name="_Toc30804"/>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8532"/>
      <w:bookmarkStart w:id="98" w:name="_Toc14745"/>
      <w:bookmarkStart w:id="99" w:name="_Toc13330"/>
      <w:bookmarkStart w:id="100" w:name="_Toc4223"/>
      <w:bookmarkStart w:id="101" w:name="_Toc23630"/>
      <w:bookmarkStart w:id="102" w:name="_Toc25458"/>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66"/>
        <w:gridCol w:w="6570"/>
        <w:gridCol w:w="826"/>
      </w:tblGrid>
      <w:tr w14:paraId="1158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57" w:type="dxa"/>
            <w:gridSpan w:val="2"/>
            <w:noWrap w:val="0"/>
            <w:vAlign w:val="center"/>
          </w:tcPr>
          <w:p w14:paraId="650E9A63">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570" w:type="dxa"/>
            <w:noWrap w:val="0"/>
            <w:vAlign w:val="center"/>
          </w:tcPr>
          <w:p w14:paraId="3A65121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26" w:type="dxa"/>
            <w:noWrap w:val="0"/>
            <w:vAlign w:val="center"/>
          </w:tcPr>
          <w:p w14:paraId="2A5E265D">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3FBE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057" w:type="dxa"/>
            <w:gridSpan w:val="2"/>
            <w:noWrap w:val="0"/>
            <w:vAlign w:val="center"/>
          </w:tcPr>
          <w:p w14:paraId="758B5EFD">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675EA4F0">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570" w:type="dxa"/>
            <w:noWrap w:val="0"/>
            <w:vAlign w:val="center"/>
          </w:tcPr>
          <w:p w14:paraId="3E8417B5">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7AA96188">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26" w:type="dxa"/>
            <w:noWrap w:val="0"/>
            <w:vAlign w:val="center"/>
          </w:tcPr>
          <w:p w14:paraId="3DD7F124">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2405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1091" w:type="dxa"/>
            <w:vMerge w:val="restart"/>
            <w:noWrap w:val="0"/>
            <w:vAlign w:val="center"/>
          </w:tcPr>
          <w:p w14:paraId="6B0F8847">
            <w:pPr>
              <w:spacing w:line="360" w:lineRule="auto"/>
              <w:jc w:val="center"/>
              <w:rPr>
                <w:rFonts w:hint="eastAsia"/>
                <w:highlight w:val="none"/>
                <w:lang w:val="en-US" w:eastAsia="zh-CN"/>
              </w:rPr>
            </w:pPr>
            <w:r>
              <w:rPr>
                <w:rFonts w:hint="eastAsia"/>
                <w:highlight w:val="none"/>
                <w:lang w:val="en-US" w:eastAsia="zh-CN"/>
              </w:rPr>
              <w:t>技术</w:t>
            </w:r>
          </w:p>
          <w:p w14:paraId="54B935D9">
            <w:pPr>
              <w:spacing w:line="360" w:lineRule="auto"/>
              <w:jc w:val="center"/>
              <w:rPr>
                <w:rFonts w:hint="eastAsia"/>
                <w:highlight w:val="none"/>
                <w:lang w:val="en-US" w:eastAsia="zh-CN"/>
              </w:rPr>
            </w:pPr>
            <w:r>
              <w:rPr>
                <w:rFonts w:hint="eastAsia"/>
                <w:highlight w:val="none"/>
                <w:lang w:val="en-US" w:eastAsia="zh-CN"/>
              </w:rPr>
              <w:t>方案</w:t>
            </w:r>
          </w:p>
          <w:p w14:paraId="68132369">
            <w:pPr>
              <w:pStyle w:val="9"/>
              <w:ind w:left="0" w:leftChars="0" w:firstLine="0" w:firstLineChars="0"/>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cs="Times New Roman"/>
                <w:kern w:val="0"/>
                <w:sz w:val="24"/>
                <w:szCs w:val="22"/>
                <w:highlight w:val="none"/>
                <w:lang w:val="en-US" w:eastAsia="zh-CN" w:bidi="ar-SA"/>
              </w:rPr>
              <w:t>6</w:t>
            </w:r>
            <w:r>
              <w:rPr>
                <w:rFonts w:hint="eastAsia" w:ascii="宋体" w:cs="Times New Roman"/>
                <w:kern w:val="0"/>
                <w:sz w:val="24"/>
                <w:szCs w:val="22"/>
                <w:highlight w:val="none"/>
                <w:lang w:val="en-US" w:eastAsia="zh-CN" w:bidi="ar-SA"/>
              </w:rPr>
              <w:t>5</w:t>
            </w:r>
            <w:r>
              <w:rPr>
                <w:rFonts w:hint="eastAsia" w:ascii="宋体" w:hAnsi="Times New Roman" w:eastAsia="宋体" w:cs="Times New Roman"/>
                <w:kern w:val="0"/>
                <w:sz w:val="24"/>
                <w:szCs w:val="22"/>
                <w:highlight w:val="none"/>
                <w:lang w:val="en-US" w:eastAsia="zh-CN" w:bidi="ar-SA"/>
              </w:rPr>
              <w:t>分）</w:t>
            </w:r>
          </w:p>
        </w:tc>
        <w:tc>
          <w:tcPr>
            <w:tcW w:w="966" w:type="dxa"/>
            <w:noWrap w:val="0"/>
            <w:vAlign w:val="center"/>
          </w:tcPr>
          <w:p w14:paraId="5A090E14">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570" w:type="dxa"/>
            <w:noWrap w:val="0"/>
            <w:vAlign w:val="center"/>
          </w:tcPr>
          <w:p w14:paraId="55411B31">
            <w:p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总体服务方案根据本项目实际需求，从项目需求理解、实施计划、</w:t>
            </w:r>
            <w:r>
              <w:rPr>
                <w:rFonts w:hint="eastAsia" w:hAnsi="宋体" w:cs="宋体"/>
                <w:color w:val="auto"/>
                <w:highlight w:val="none"/>
                <w:lang w:val="en-US" w:eastAsia="zh-CN"/>
              </w:rPr>
              <w:t>活动方案</w:t>
            </w:r>
            <w:r>
              <w:rPr>
                <w:rFonts w:hint="default" w:ascii="宋体" w:hAnsi="宋体" w:eastAsia="宋体" w:cs="宋体"/>
                <w:color w:val="auto"/>
                <w:highlight w:val="none"/>
                <w:lang w:val="en-US" w:eastAsia="zh-CN"/>
              </w:rPr>
              <w:t>、项目预估成果，四个方面进行制定。方案各项内容全面详细、阐述条理清晰详尽、符合本项目采购需求，能有效保障本项目实施，得20分；每有一项缺项扣5分；每有一项内容存在缺陷，扣0-5分，扣完为止。备注：缺陷是指内容不合理、虽有内容但不完善、内容表述前后不一致、套用其他项目方案或与项目需求不匹配及其他不利于项目实施的等任意一种情形。 未提供不得分。</w:t>
            </w:r>
          </w:p>
        </w:tc>
        <w:tc>
          <w:tcPr>
            <w:tcW w:w="826" w:type="dxa"/>
            <w:noWrap w:val="0"/>
            <w:vAlign w:val="center"/>
          </w:tcPr>
          <w:p w14:paraId="7D896463">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20</w:t>
            </w:r>
            <w:r>
              <w:rPr>
                <w:rFonts w:hint="eastAsia" w:hAnsi="宋体" w:cs="宋体"/>
                <w:color w:val="auto"/>
                <w:szCs w:val="24"/>
                <w:highlight w:val="none"/>
              </w:rPr>
              <w:t>分</w:t>
            </w:r>
          </w:p>
        </w:tc>
      </w:tr>
      <w:tr w14:paraId="0A61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091" w:type="dxa"/>
            <w:vMerge w:val="continue"/>
            <w:noWrap w:val="0"/>
            <w:vAlign w:val="center"/>
          </w:tcPr>
          <w:p w14:paraId="69989E6B">
            <w:pPr>
              <w:spacing w:line="360" w:lineRule="auto"/>
              <w:ind w:firstLine="480" w:firstLineChars="200"/>
              <w:rPr>
                <w:rFonts w:hint="eastAsia" w:hAnsi="宋体" w:cs="宋体"/>
                <w:color w:val="auto"/>
                <w:szCs w:val="24"/>
                <w:highlight w:val="none"/>
              </w:rPr>
            </w:pPr>
          </w:p>
        </w:tc>
        <w:tc>
          <w:tcPr>
            <w:tcW w:w="966" w:type="dxa"/>
            <w:noWrap w:val="0"/>
            <w:vAlign w:val="center"/>
          </w:tcPr>
          <w:p w14:paraId="30C01CF4">
            <w:pPr>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实施</w:t>
            </w:r>
          </w:p>
          <w:p w14:paraId="321BA2F9">
            <w:pPr>
              <w:jc w:val="center"/>
              <w:rPr>
                <w:rFonts w:hint="default" w:hAnsi="宋体" w:eastAsia="宋体" w:cs="宋体"/>
                <w:color w:val="auto"/>
                <w:szCs w:val="24"/>
                <w:highlight w:val="none"/>
                <w:lang w:val="en-US" w:eastAsia="zh-CN"/>
              </w:rPr>
            </w:pPr>
            <w:r>
              <w:rPr>
                <w:rFonts w:hint="eastAsia" w:hAnsi="宋体" w:cs="宋体"/>
                <w:color w:val="auto"/>
                <w:sz w:val="24"/>
                <w:szCs w:val="24"/>
                <w:highlight w:val="none"/>
                <w:lang w:val="en-US" w:eastAsia="zh-CN"/>
              </w:rPr>
              <w:t>方案</w:t>
            </w:r>
          </w:p>
        </w:tc>
        <w:tc>
          <w:tcPr>
            <w:tcW w:w="6570" w:type="dxa"/>
            <w:noWrap w:val="0"/>
            <w:vAlign w:val="center"/>
          </w:tcPr>
          <w:p w14:paraId="5A9DA5DC">
            <w:pPr>
              <w:jc w:val="left"/>
              <w:rPr>
                <w:rFonts w:hint="eastAsia" w:eastAsia="宋体"/>
                <w:color w:val="auto"/>
                <w:highlight w:val="none"/>
                <w:lang w:eastAsia="zh-CN"/>
              </w:rPr>
            </w:pPr>
            <w:r>
              <w:rPr>
                <w:rFonts w:hint="eastAsia" w:eastAsia="宋体"/>
                <w:color w:val="auto"/>
                <w:highlight w:val="none"/>
                <w:lang w:eastAsia="zh-CN"/>
              </w:rPr>
              <w:t>根据项目特点，有针对性的组织实施方案，包括工作流程规划、各环节安排部署、各部门协调方案、进度保障方案及措施等。 ①组织实施方案全面合理，环节严谨明确，措施合理可行，完全贴合活动的要求，有效的保障实现项目预期目标，计10.1-15分； ②组织实施方案内容有1项缺漏的，计5.1-10分； ③组织实施方案有2项或以上缺漏，内容简略，计1-5分； ④未提供不得分。</w:t>
            </w:r>
          </w:p>
        </w:tc>
        <w:tc>
          <w:tcPr>
            <w:tcW w:w="826" w:type="dxa"/>
            <w:noWrap w:val="0"/>
            <w:vAlign w:val="center"/>
          </w:tcPr>
          <w:p w14:paraId="4E2339EA">
            <w:pPr>
              <w:spacing w:line="360" w:lineRule="auto"/>
              <w:jc w:val="center"/>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6717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91" w:type="dxa"/>
            <w:vMerge w:val="continue"/>
            <w:noWrap w:val="0"/>
            <w:vAlign w:val="center"/>
          </w:tcPr>
          <w:p w14:paraId="000EDCB9">
            <w:pPr>
              <w:spacing w:line="360" w:lineRule="auto"/>
              <w:ind w:firstLine="480" w:firstLineChars="200"/>
              <w:rPr>
                <w:rFonts w:hint="eastAsia" w:hAnsi="宋体" w:cs="宋体"/>
                <w:color w:val="auto"/>
                <w:szCs w:val="24"/>
                <w:highlight w:val="none"/>
              </w:rPr>
            </w:pPr>
          </w:p>
        </w:tc>
        <w:tc>
          <w:tcPr>
            <w:tcW w:w="966" w:type="dxa"/>
            <w:noWrap w:val="0"/>
            <w:vAlign w:val="center"/>
          </w:tcPr>
          <w:p w14:paraId="7D2401B9">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14:paraId="74458FAB">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保障</w:t>
            </w:r>
          </w:p>
        </w:tc>
        <w:tc>
          <w:tcPr>
            <w:tcW w:w="6570" w:type="dxa"/>
            <w:noWrap w:val="0"/>
            <w:vAlign w:val="center"/>
          </w:tcPr>
          <w:p w14:paraId="6AB32700">
            <w:pPr>
              <w:jc w:val="left"/>
              <w:rPr>
                <w:rFonts w:hint="eastAsia"/>
                <w:color w:val="auto"/>
                <w:highlight w:val="none"/>
              </w:rPr>
            </w:pPr>
            <w:r>
              <w:rPr>
                <w:rFonts w:hint="eastAsia" w:hAnsi="Times New Roman" w:cs="Times New Roman"/>
                <w:color w:val="auto"/>
                <w:highlight w:val="none"/>
                <w:lang w:val="en-US" w:eastAsia="zh-CN"/>
              </w:rPr>
              <w:t>对项目的质量保障进行承诺，并对分期实施和政策保障等内容提出可行的，有利于本项目顺利开展的建议；（技术服务意识强、项目质量保障措施及建议具体合理的得3-5分，技术服务意识较强、内容欠缺、质量保障措施及建议较合理的得1-3分）。</w:t>
            </w:r>
          </w:p>
        </w:tc>
        <w:tc>
          <w:tcPr>
            <w:tcW w:w="826" w:type="dxa"/>
            <w:noWrap w:val="0"/>
            <w:vAlign w:val="center"/>
          </w:tcPr>
          <w:p w14:paraId="5CC31037">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3041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091" w:type="dxa"/>
            <w:vMerge w:val="continue"/>
            <w:noWrap w:val="0"/>
            <w:vAlign w:val="center"/>
          </w:tcPr>
          <w:p w14:paraId="2A9A6129">
            <w:pPr>
              <w:spacing w:line="360" w:lineRule="auto"/>
              <w:ind w:firstLine="480" w:firstLineChars="200"/>
              <w:rPr>
                <w:rFonts w:hint="eastAsia" w:hAnsi="宋体" w:cs="宋体"/>
                <w:color w:val="auto"/>
                <w:szCs w:val="24"/>
                <w:highlight w:val="none"/>
              </w:rPr>
            </w:pPr>
          </w:p>
        </w:tc>
        <w:tc>
          <w:tcPr>
            <w:tcW w:w="966" w:type="dxa"/>
            <w:noWrap w:val="0"/>
            <w:vAlign w:val="center"/>
          </w:tcPr>
          <w:p w14:paraId="615BFDAF">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组织</w:t>
            </w:r>
          </w:p>
          <w:p w14:paraId="71F0533B">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协调</w:t>
            </w:r>
          </w:p>
        </w:tc>
        <w:tc>
          <w:tcPr>
            <w:tcW w:w="6570" w:type="dxa"/>
            <w:noWrap w:val="0"/>
            <w:vAlign w:val="center"/>
          </w:tcPr>
          <w:p w14:paraId="3C9122E7">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设计</w:t>
            </w:r>
            <w:r>
              <w:rPr>
                <w:rFonts w:hint="eastAsia" w:hAnsi="Times New Roman" w:cs="Times New Roman"/>
                <w:color w:val="auto"/>
                <w:highlight w:val="none"/>
                <w:lang w:val="en-US" w:eastAsia="zh-CN"/>
              </w:rPr>
              <w:t>等各环节的组织协调、质量保障措施系统全面，得8-10 分。</w:t>
            </w:r>
          </w:p>
          <w:p w14:paraId="2970EA55">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勘察设计</w:t>
            </w:r>
            <w:r>
              <w:rPr>
                <w:rFonts w:hint="eastAsia" w:hAnsi="Times New Roman" w:cs="Times New Roman"/>
                <w:color w:val="auto"/>
                <w:highlight w:val="none"/>
                <w:lang w:val="en-US" w:eastAsia="zh-CN"/>
              </w:rPr>
              <w:t>等各环节的组织协调、质量保障措施较为全面，得4-7 分。供应商仅针对本项目部分环节的组织协调、质量保障提供了相应措施，得0-3分。</w:t>
            </w:r>
          </w:p>
        </w:tc>
        <w:tc>
          <w:tcPr>
            <w:tcW w:w="826" w:type="dxa"/>
            <w:noWrap w:val="0"/>
            <w:vAlign w:val="center"/>
          </w:tcPr>
          <w:p w14:paraId="5EFF8449">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7BA7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1091" w:type="dxa"/>
            <w:vMerge w:val="continue"/>
            <w:noWrap w:val="0"/>
            <w:vAlign w:val="center"/>
          </w:tcPr>
          <w:p w14:paraId="34AC9786">
            <w:pPr>
              <w:spacing w:line="360" w:lineRule="auto"/>
              <w:ind w:firstLine="480" w:firstLineChars="200"/>
              <w:rPr>
                <w:rFonts w:hint="eastAsia" w:hAnsi="宋体" w:cs="宋体"/>
                <w:color w:val="auto"/>
                <w:szCs w:val="24"/>
                <w:highlight w:val="none"/>
              </w:rPr>
            </w:pPr>
          </w:p>
        </w:tc>
        <w:tc>
          <w:tcPr>
            <w:tcW w:w="966" w:type="dxa"/>
            <w:noWrap w:val="0"/>
            <w:vAlign w:val="center"/>
          </w:tcPr>
          <w:p w14:paraId="6CA2EF08">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应急处理预案</w:t>
            </w:r>
          </w:p>
        </w:tc>
        <w:tc>
          <w:tcPr>
            <w:tcW w:w="6570" w:type="dxa"/>
            <w:noWrap w:val="0"/>
            <w:vAlign w:val="center"/>
          </w:tcPr>
          <w:p w14:paraId="1FEE6610">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提供应急保障措施，对于各类突发事件具有应急响应方案，根据其响应方案是否得当以及预估损失程度等进行赋分。应急响应方案详细、合理可行，供应商所预估的紧急情况贴合本项目服务内容，得</w:t>
            </w:r>
            <w:r>
              <w:rPr>
                <w:rFonts w:hint="eastAsia" w:cs="Times New Roman"/>
                <w:color w:val="auto"/>
                <w:highlight w:val="none"/>
                <w:lang w:val="en-US" w:eastAsia="zh-CN"/>
              </w:rPr>
              <w:t>8-10</w:t>
            </w:r>
            <w:r>
              <w:rPr>
                <w:rFonts w:hint="eastAsia" w:hAnsi="Times New Roman" w:cs="Times New Roman"/>
                <w:color w:val="auto"/>
                <w:highlight w:val="none"/>
                <w:lang w:val="en-US" w:eastAsia="zh-CN"/>
              </w:rPr>
              <w:t>分；应急响应方案基本完善、可行性一般，供应商所预估的紧急情况基本合理，得</w:t>
            </w:r>
            <w:r>
              <w:rPr>
                <w:rFonts w:hint="eastAsia" w:cs="Times New Roman"/>
                <w:color w:val="auto"/>
                <w:highlight w:val="none"/>
                <w:lang w:val="en-US" w:eastAsia="zh-CN"/>
              </w:rPr>
              <w:t>4-7</w:t>
            </w:r>
            <w:r>
              <w:rPr>
                <w:rFonts w:hint="eastAsia" w:hAnsi="Times New Roman" w:cs="Times New Roman"/>
                <w:color w:val="auto"/>
                <w:highlight w:val="none"/>
                <w:lang w:val="en-US" w:eastAsia="zh-CN"/>
              </w:rPr>
              <w:t>分；应急响应方案简单笼统，供应商所预估的紧急情况处理预案简单粗略，得</w:t>
            </w:r>
            <w:r>
              <w:rPr>
                <w:rFonts w:hint="eastAsia" w:cs="Times New Roman"/>
                <w:color w:val="auto"/>
                <w:highlight w:val="none"/>
                <w:lang w:val="en-US" w:eastAsia="zh-CN"/>
              </w:rPr>
              <w:t>0-3</w:t>
            </w:r>
            <w:r>
              <w:rPr>
                <w:rFonts w:hint="eastAsia" w:hAnsi="Times New Roman" w:cs="Times New Roman"/>
                <w:color w:val="auto"/>
                <w:highlight w:val="none"/>
                <w:lang w:val="en-US" w:eastAsia="zh-CN"/>
              </w:rPr>
              <w:t>分。未提供不得分。</w:t>
            </w:r>
          </w:p>
        </w:tc>
        <w:tc>
          <w:tcPr>
            <w:tcW w:w="826" w:type="dxa"/>
            <w:noWrap w:val="0"/>
            <w:vAlign w:val="center"/>
          </w:tcPr>
          <w:p w14:paraId="042B48A4">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6507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91" w:type="dxa"/>
            <w:vMerge w:val="continue"/>
            <w:noWrap w:val="0"/>
            <w:vAlign w:val="center"/>
          </w:tcPr>
          <w:p w14:paraId="39F50657">
            <w:pPr>
              <w:spacing w:line="360" w:lineRule="auto"/>
              <w:ind w:firstLine="480" w:firstLineChars="200"/>
              <w:rPr>
                <w:rFonts w:hint="eastAsia" w:hAnsi="宋体" w:cs="宋体"/>
                <w:color w:val="auto"/>
                <w:szCs w:val="24"/>
                <w:highlight w:val="none"/>
              </w:rPr>
            </w:pPr>
          </w:p>
        </w:tc>
        <w:tc>
          <w:tcPr>
            <w:tcW w:w="966" w:type="dxa"/>
            <w:noWrap w:val="0"/>
            <w:vAlign w:val="center"/>
          </w:tcPr>
          <w:p w14:paraId="10327B48">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内容发布、审核流程</w:t>
            </w:r>
          </w:p>
        </w:tc>
        <w:tc>
          <w:tcPr>
            <w:tcW w:w="6570" w:type="dxa"/>
            <w:noWrap w:val="0"/>
            <w:vAlign w:val="center"/>
          </w:tcPr>
          <w:p w14:paraId="5B66E373">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制定严格的内容发布、审核流程。内容发布、审核流程具体、合理得</w:t>
            </w:r>
            <w:r>
              <w:rPr>
                <w:rFonts w:hint="eastAsia" w:cs="Times New Roman"/>
                <w:color w:val="auto"/>
                <w:highlight w:val="none"/>
                <w:lang w:val="en-US" w:eastAsia="zh-CN"/>
              </w:rPr>
              <w:t>3-5</w:t>
            </w:r>
            <w:r>
              <w:rPr>
                <w:rFonts w:hint="eastAsia" w:hAnsi="Times New Roman" w:cs="Times New Roman"/>
                <w:color w:val="auto"/>
                <w:highlight w:val="none"/>
                <w:lang w:val="en-US" w:eastAsia="zh-CN"/>
              </w:rPr>
              <w:t>分；内容发布、审核流程较具体、较合理得</w:t>
            </w:r>
            <w:r>
              <w:rPr>
                <w:rFonts w:hint="eastAsia" w:cs="Times New Roman"/>
                <w:color w:val="auto"/>
                <w:highlight w:val="none"/>
                <w:lang w:val="en-US" w:eastAsia="zh-CN"/>
              </w:rPr>
              <w:t>1-3</w:t>
            </w:r>
            <w:r>
              <w:rPr>
                <w:rFonts w:hint="eastAsia" w:hAnsi="Times New Roman" w:cs="Times New Roman"/>
                <w:color w:val="auto"/>
                <w:highlight w:val="none"/>
                <w:lang w:val="en-US" w:eastAsia="zh-CN"/>
              </w:rPr>
              <w:t>分；未提供不得分。</w:t>
            </w:r>
          </w:p>
        </w:tc>
        <w:tc>
          <w:tcPr>
            <w:tcW w:w="826" w:type="dxa"/>
            <w:noWrap w:val="0"/>
            <w:vAlign w:val="center"/>
          </w:tcPr>
          <w:p w14:paraId="79E2AE67">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3002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091" w:type="dxa"/>
            <w:vMerge w:val="restart"/>
            <w:noWrap w:val="0"/>
            <w:vAlign w:val="center"/>
          </w:tcPr>
          <w:p w14:paraId="523F2A8E">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14:paraId="435392A5">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14:paraId="5AC25108">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25</w:t>
            </w:r>
            <w:r>
              <w:rPr>
                <w:rFonts w:hint="eastAsia" w:hAnsi="宋体" w:cs="宋体"/>
                <w:color w:val="auto"/>
                <w:szCs w:val="24"/>
                <w:highlight w:val="none"/>
              </w:rPr>
              <w:t>分）</w:t>
            </w:r>
          </w:p>
        </w:tc>
        <w:tc>
          <w:tcPr>
            <w:tcW w:w="966" w:type="dxa"/>
            <w:noWrap w:val="0"/>
            <w:vAlign w:val="center"/>
          </w:tcPr>
          <w:p w14:paraId="605E398A">
            <w:pPr>
              <w:pStyle w:val="33"/>
              <w:jc w:val="center"/>
              <w:rPr>
                <w:rFonts w:hint="eastAsia" w:hAnsi="宋体" w:eastAsia="宋体" w:cs="宋体"/>
                <w:color w:val="auto"/>
                <w:highlight w:val="none"/>
              </w:rPr>
            </w:pPr>
            <w:r>
              <w:rPr>
                <w:rFonts w:hint="eastAsia" w:hAnsi="宋体" w:eastAsia="宋体" w:cs="宋体"/>
                <w:color w:val="auto"/>
                <w:highlight w:val="none"/>
              </w:rPr>
              <w:t>人员</w:t>
            </w:r>
          </w:p>
          <w:p w14:paraId="4B88788D">
            <w:pPr>
              <w:pStyle w:val="33"/>
              <w:jc w:val="center"/>
              <w:rPr>
                <w:rFonts w:hint="eastAsia" w:ascii="宋体" w:hAnsi="宋体" w:eastAsia="宋体" w:cs="宋体"/>
                <w:color w:val="auto"/>
                <w:highlight w:val="none"/>
              </w:rPr>
            </w:pPr>
            <w:r>
              <w:rPr>
                <w:rFonts w:hint="eastAsia" w:hAnsi="宋体" w:eastAsia="宋体" w:cs="宋体"/>
                <w:color w:val="auto"/>
                <w:highlight w:val="none"/>
              </w:rPr>
              <w:t>配置</w:t>
            </w:r>
          </w:p>
        </w:tc>
        <w:tc>
          <w:tcPr>
            <w:tcW w:w="6570" w:type="dxa"/>
            <w:noWrap w:val="0"/>
            <w:vAlign w:val="center"/>
          </w:tcPr>
          <w:p w14:paraId="05056427">
            <w:pPr>
              <w:jc w:val="left"/>
              <w:rPr>
                <w:rFonts w:hint="eastAsia"/>
                <w:highlight w:val="none"/>
              </w:rPr>
            </w:pPr>
            <w:r>
              <w:rPr>
                <w:rFonts w:hint="eastAsia" w:hAnsi="Times New Roman" w:cs="Times New Roman"/>
                <w:color w:val="auto"/>
                <w:highlight w:val="none"/>
                <w:lang w:val="en-US" w:eastAsia="zh-CN"/>
              </w:rPr>
              <w:t>供应商应提供详细、完善的项目管理方案，有详细的人员配置方案、健全的组织机构及工作安排，岗位分工明确，专业性强，同类项目经验丰富，得(6-10]分；有详细的人员配置方案、组织机构及工作安排基本完善、合理，岗位分工明确，具有较丰富的同类项目经验，得(3-6]分；有详细的人员配置方案，组织机构及工作安排合理性一般，岗位分工不清晰，缺少同类项目经验，得(0-3]分；未提供得0分。</w:t>
            </w:r>
          </w:p>
        </w:tc>
        <w:tc>
          <w:tcPr>
            <w:tcW w:w="826" w:type="dxa"/>
            <w:noWrap w:val="0"/>
            <w:vAlign w:val="center"/>
          </w:tcPr>
          <w:p w14:paraId="478E14D9">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r w14:paraId="424C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91" w:type="dxa"/>
            <w:vMerge w:val="continue"/>
            <w:noWrap w:val="0"/>
            <w:vAlign w:val="center"/>
          </w:tcPr>
          <w:p w14:paraId="184C3F80">
            <w:pPr>
              <w:spacing w:line="360" w:lineRule="auto"/>
              <w:rPr>
                <w:rFonts w:hint="eastAsia" w:hAnsi="宋体" w:cs="宋体"/>
                <w:color w:val="auto"/>
                <w:szCs w:val="24"/>
                <w:highlight w:val="none"/>
              </w:rPr>
            </w:pPr>
          </w:p>
        </w:tc>
        <w:tc>
          <w:tcPr>
            <w:tcW w:w="966" w:type="dxa"/>
            <w:noWrap w:val="0"/>
            <w:vAlign w:val="center"/>
          </w:tcPr>
          <w:p w14:paraId="6F7A91A6">
            <w:pPr>
              <w:pStyle w:val="33"/>
              <w:jc w:val="center"/>
              <w:rPr>
                <w:rFonts w:hint="eastAsia" w:hAnsi="宋体" w:eastAsia="宋体" w:cs="宋体"/>
                <w:color w:val="auto"/>
                <w:highlight w:val="none"/>
              </w:rPr>
            </w:pPr>
            <w:r>
              <w:rPr>
                <w:rFonts w:hint="eastAsia" w:hAnsi="宋体" w:eastAsia="宋体" w:cs="宋体"/>
                <w:color w:val="auto"/>
                <w:highlight w:val="none"/>
                <w:lang w:val="en-US" w:eastAsia="zh-CN"/>
              </w:rPr>
              <w:t>售后服务承诺</w:t>
            </w:r>
          </w:p>
        </w:tc>
        <w:tc>
          <w:tcPr>
            <w:tcW w:w="6570" w:type="dxa"/>
            <w:noWrap w:val="0"/>
            <w:vAlign w:val="center"/>
          </w:tcPr>
          <w:p w14:paraId="264986F0">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针对本采购项目及采购人实际需求提供详细具体可行的售后服务措施承诺及详尽可行的售后服务实施计划，并阐明可提供的咨询或后续服务内容计3-5分；提供的内容较为详尽，描述欠合理的计1-3分。</w:t>
            </w:r>
          </w:p>
        </w:tc>
        <w:tc>
          <w:tcPr>
            <w:tcW w:w="826" w:type="dxa"/>
            <w:noWrap w:val="0"/>
            <w:vAlign w:val="center"/>
          </w:tcPr>
          <w:p w14:paraId="0653E189">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27B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91" w:type="dxa"/>
            <w:vMerge w:val="continue"/>
            <w:noWrap w:val="0"/>
            <w:vAlign w:val="center"/>
          </w:tcPr>
          <w:p w14:paraId="23F95F1D">
            <w:pPr>
              <w:spacing w:line="360" w:lineRule="auto"/>
              <w:ind w:firstLine="480" w:firstLineChars="200"/>
              <w:rPr>
                <w:rFonts w:hint="eastAsia" w:hAnsi="宋体" w:cs="宋体"/>
                <w:color w:val="auto"/>
                <w:szCs w:val="24"/>
                <w:highlight w:val="none"/>
              </w:rPr>
            </w:pPr>
          </w:p>
        </w:tc>
        <w:tc>
          <w:tcPr>
            <w:tcW w:w="966" w:type="dxa"/>
            <w:noWrap w:val="0"/>
            <w:vAlign w:val="center"/>
          </w:tcPr>
          <w:p w14:paraId="1E21EB07">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570" w:type="dxa"/>
            <w:noWrap w:val="0"/>
            <w:vAlign w:val="center"/>
          </w:tcPr>
          <w:p w14:paraId="58A9E5CF">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2022年1月以后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2</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26" w:type="dxa"/>
            <w:noWrap w:val="0"/>
            <w:vAlign w:val="center"/>
          </w:tcPr>
          <w:p w14:paraId="0D7BA94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8788"/>
      <w:bookmarkStart w:id="104" w:name="_Toc2724"/>
      <w:bookmarkStart w:id="105" w:name="_Toc10029"/>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23705"/>
      <w:bookmarkStart w:id="107" w:name="_Toc24218"/>
      <w:bookmarkStart w:id="108" w:name="_Toc3424"/>
      <w:bookmarkStart w:id="109" w:name="_Toc20005"/>
      <w:bookmarkStart w:id="110" w:name="_Toc32476"/>
      <w:bookmarkStart w:id="111" w:name="_Toc26300"/>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条款号</w:t>
            </w:r>
          </w:p>
        </w:tc>
        <w:tc>
          <w:tcPr>
            <w:tcW w:w="8440" w:type="dxa"/>
            <w:vAlign w:val="center"/>
          </w:tcPr>
          <w:p w14:paraId="230CB97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1</w:t>
            </w:r>
          </w:p>
        </w:tc>
        <w:tc>
          <w:tcPr>
            <w:tcW w:w="8440" w:type="dxa"/>
            <w:vAlign w:val="center"/>
          </w:tcPr>
          <w:p w14:paraId="7425C9C2">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采购人名称：中共西安市委网络安全和信息化委员会办公室</w:t>
            </w:r>
          </w:p>
          <w:p w14:paraId="3CBA9BD3">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地      址：陕西省西安市凤城八路99号</w:t>
            </w:r>
          </w:p>
          <w:p w14:paraId="2D253657">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项目名称：</w:t>
            </w:r>
            <w:r>
              <w:rPr>
                <w:rFonts w:hint="eastAsia" w:hAnsi="宋体" w:cs="宋体"/>
                <w:color w:val="auto"/>
                <w:sz w:val="22"/>
                <w:szCs w:val="22"/>
                <w:highlight w:val="none"/>
                <w:lang w:eastAsia="zh-CN"/>
              </w:rPr>
              <w:t>2025双城记—“山河智链逐新致远”主题城市对话活动</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2</w:t>
            </w:r>
          </w:p>
        </w:tc>
        <w:tc>
          <w:tcPr>
            <w:tcW w:w="8440" w:type="dxa"/>
            <w:vAlign w:val="center"/>
          </w:tcPr>
          <w:p w14:paraId="4604D0A2">
            <w:pPr>
              <w:spacing w:line="360" w:lineRule="auto"/>
              <w:rPr>
                <w:rFonts w:hint="default" w:hAnsi="宋体" w:eastAsia="宋体" w:cs="宋体"/>
                <w:color w:val="auto"/>
                <w:sz w:val="22"/>
                <w:szCs w:val="22"/>
                <w:highlight w:val="none"/>
                <w:lang w:val="en-US" w:eastAsia="zh-CN"/>
              </w:rPr>
            </w:pPr>
            <w:r>
              <w:rPr>
                <w:rFonts w:hint="eastAsia" w:hAnsi="宋体" w:cs="宋体"/>
                <w:color w:val="auto"/>
                <w:sz w:val="22"/>
                <w:szCs w:val="22"/>
                <w:highlight w:val="none"/>
              </w:rPr>
              <w:t>项目实施地点：</w:t>
            </w:r>
            <w:r>
              <w:rPr>
                <w:rFonts w:hint="eastAsia" w:hAnsi="宋体" w:cs="宋体"/>
                <w:color w:val="auto"/>
                <w:sz w:val="22"/>
                <w:szCs w:val="22"/>
                <w:highlight w:val="none"/>
                <w:lang w:val="en-US" w:eastAsia="zh-CN"/>
              </w:rPr>
              <w:t>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3</w:t>
            </w:r>
          </w:p>
        </w:tc>
        <w:tc>
          <w:tcPr>
            <w:tcW w:w="8440" w:type="dxa"/>
            <w:vAlign w:val="center"/>
          </w:tcPr>
          <w:p w14:paraId="35848137">
            <w:pPr>
              <w:pStyle w:val="7"/>
              <w:ind w:firstLine="0" w:firstLineChars="0"/>
              <w:rPr>
                <w:rFonts w:hAnsi="宋体" w:cs="宋体"/>
                <w:color w:val="auto"/>
                <w:sz w:val="20"/>
                <w:szCs w:val="22"/>
                <w:highlight w:val="none"/>
              </w:rPr>
            </w:pPr>
            <w:r>
              <w:rPr>
                <w:rFonts w:hint="eastAsia" w:ascii="宋体" w:hAnsi="宋体" w:cs="宋体"/>
                <w:color w:val="auto"/>
                <w:sz w:val="22"/>
                <w:szCs w:val="22"/>
                <w:highlight w:val="none"/>
              </w:rPr>
              <w:t>服务期限：合同签订之日起至202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年9月</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2"/>
                <w:szCs w:val="22"/>
                <w:highlight w:val="none"/>
              </w:rPr>
            </w:pPr>
            <w:r>
              <w:rPr>
                <w:rFonts w:hint="eastAsia" w:hAnsi="宋体" w:cs="宋体"/>
                <w:color w:val="auto"/>
                <w:sz w:val="22"/>
                <w:szCs w:val="22"/>
                <w:highlight w:val="none"/>
              </w:rPr>
              <w:t>4</w:t>
            </w:r>
          </w:p>
        </w:tc>
        <w:tc>
          <w:tcPr>
            <w:tcW w:w="8440" w:type="dxa"/>
            <w:vAlign w:val="center"/>
          </w:tcPr>
          <w:p w14:paraId="6A9CC273">
            <w:pPr>
              <w:spacing w:line="360" w:lineRule="auto"/>
              <w:rPr>
                <w:rFonts w:hAnsi="宋体" w:cs="宋体"/>
                <w:b/>
                <w:color w:val="auto"/>
                <w:sz w:val="22"/>
                <w:szCs w:val="22"/>
                <w:highlight w:val="none"/>
              </w:rPr>
            </w:pPr>
            <w:r>
              <w:rPr>
                <w:rFonts w:hint="eastAsia" w:hAnsi="宋体" w:cs="宋体"/>
                <w:b/>
                <w:color w:val="auto"/>
                <w:sz w:val="22"/>
                <w:szCs w:val="22"/>
                <w:highlight w:val="none"/>
              </w:rPr>
              <w:t>付款：</w:t>
            </w:r>
          </w:p>
          <w:p w14:paraId="0247E17D">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1.合同总价即成交价，不受市场价变化或实际工作量变</w:t>
            </w:r>
            <w:bookmarkStart w:id="293" w:name="_GoBack"/>
            <w:bookmarkEnd w:id="293"/>
            <w:r>
              <w:rPr>
                <w:rFonts w:hint="eastAsia" w:hAnsi="宋体" w:cs="宋体"/>
                <w:color w:val="auto"/>
                <w:sz w:val="22"/>
                <w:szCs w:val="22"/>
                <w:highlight w:val="none"/>
              </w:rPr>
              <w:t>化的影响。供应商应在磋商报价表中标明完成本次磋商所要求的全部服务的所有费用。</w:t>
            </w:r>
          </w:p>
          <w:p w14:paraId="0B171F78">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2.付款方式和程序：</w:t>
            </w:r>
          </w:p>
          <w:p w14:paraId="746F0C34">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2.1由采购人负责结算，在付款前，供应商必须开具全额发票给采购人（附详细清单）。</w:t>
            </w:r>
          </w:p>
          <w:p w14:paraId="1D7F835B">
            <w:pPr>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2.2付款方式：</w:t>
            </w:r>
          </w:p>
          <w:p w14:paraId="3627868C">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服务费用分贰次支付，合同签订且供应商开具增值税正式发票后的10个工作日内，以银行转账形式向其支付本合同总费用的70%；合作结束后供应商提供结案报告，经市委网信办验收合格出具验收报告和绩效目标后30个工作日内，向供应商支付剩余30%服务费用。（具体以签订合同为准）。</w:t>
            </w:r>
          </w:p>
          <w:p w14:paraId="11EE0127">
            <w:pPr>
              <w:spacing w:line="360" w:lineRule="auto"/>
              <w:ind w:firstLine="442" w:firstLineChars="200"/>
              <w:rPr>
                <w:rFonts w:hAnsi="宋体" w:cs="宋体"/>
                <w:color w:val="auto"/>
                <w:sz w:val="22"/>
                <w:szCs w:val="22"/>
                <w:highlight w:val="none"/>
              </w:rPr>
            </w:pPr>
            <w:r>
              <w:rPr>
                <w:rFonts w:hint="eastAsia" w:hAnsi="宋体" w:cs="宋体"/>
                <w:b/>
                <w:color w:val="auto"/>
                <w:sz w:val="22"/>
                <w:szCs w:val="22"/>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2"/>
                <w:szCs w:val="22"/>
                <w:highlight w:val="none"/>
              </w:rPr>
            </w:pPr>
            <w:r>
              <w:rPr>
                <w:rFonts w:hint="eastAsia" w:hAnsi="宋体" w:cs="宋体"/>
                <w:color w:val="auto"/>
                <w:sz w:val="22"/>
                <w:szCs w:val="22"/>
                <w:highlight w:val="none"/>
              </w:rPr>
              <w:t>5</w:t>
            </w:r>
          </w:p>
        </w:tc>
        <w:tc>
          <w:tcPr>
            <w:tcW w:w="8440" w:type="dxa"/>
            <w:vAlign w:val="center"/>
          </w:tcPr>
          <w:p w14:paraId="7FC41AE5">
            <w:pPr>
              <w:spacing w:line="360" w:lineRule="auto"/>
              <w:rPr>
                <w:rFonts w:hAnsi="宋体" w:cs="宋体"/>
                <w:b/>
                <w:color w:val="auto"/>
                <w:sz w:val="22"/>
                <w:szCs w:val="22"/>
                <w:highlight w:val="none"/>
              </w:rPr>
            </w:pPr>
            <w:r>
              <w:rPr>
                <w:rFonts w:hint="eastAsia" w:hAnsi="宋体" w:cs="宋体"/>
                <w:b/>
                <w:color w:val="auto"/>
                <w:sz w:val="22"/>
                <w:szCs w:val="22"/>
                <w:highlight w:val="none"/>
              </w:rPr>
              <w:t>服务支持：</w:t>
            </w:r>
          </w:p>
          <w:p w14:paraId="49B1D659">
            <w:pPr>
              <w:spacing w:line="360" w:lineRule="auto"/>
              <w:ind w:firstLine="440" w:firstLineChars="200"/>
              <w:jc w:val="left"/>
              <w:rPr>
                <w:rFonts w:hAnsi="宋体" w:cs="宋体"/>
                <w:color w:val="auto"/>
                <w:sz w:val="22"/>
                <w:szCs w:val="22"/>
                <w:highlight w:val="none"/>
              </w:rPr>
            </w:pPr>
            <w:r>
              <w:rPr>
                <w:rFonts w:hint="eastAsia" w:hAnsi="宋体" w:cs="宋体"/>
                <w:bCs/>
                <w:color w:val="auto"/>
                <w:sz w:val="22"/>
                <w:szCs w:val="22"/>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2"/>
                <w:szCs w:val="22"/>
                <w:highlight w:val="none"/>
              </w:rPr>
            </w:pPr>
            <w:r>
              <w:rPr>
                <w:rFonts w:hint="eastAsia" w:hAnsi="宋体" w:cs="宋体"/>
                <w:color w:val="auto"/>
                <w:sz w:val="22"/>
                <w:szCs w:val="22"/>
                <w:highlight w:val="none"/>
              </w:rPr>
              <w:t>6</w:t>
            </w:r>
          </w:p>
        </w:tc>
        <w:tc>
          <w:tcPr>
            <w:tcW w:w="8440" w:type="dxa"/>
            <w:vAlign w:val="center"/>
          </w:tcPr>
          <w:p w14:paraId="53C90ADF">
            <w:pPr>
              <w:spacing w:line="360" w:lineRule="auto"/>
              <w:rPr>
                <w:rFonts w:hAnsi="宋体" w:cs="宋体"/>
                <w:b/>
                <w:color w:val="auto"/>
                <w:sz w:val="22"/>
                <w:szCs w:val="22"/>
                <w:highlight w:val="none"/>
              </w:rPr>
            </w:pPr>
            <w:r>
              <w:rPr>
                <w:rFonts w:hint="eastAsia" w:hAnsi="宋体" w:cs="宋体"/>
                <w:b/>
                <w:color w:val="auto"/>
                <w:sz w:val="22"/>
                <w:szCs w:val="22"/>
                <w:highlight w:val="none"/>
              </w:rPr>
              <w:t>知识产权、专利权：</w:t>
            </w:r>
          </w:p>
          <w:p w14:paraId="011EEA6E">
            <w:pPr>
              <w:tabs>
                <w:tab w:val="left" w:pos="498"/>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2"/>
                <w:szCs w:val="22"/>
                <w:highlight w:val="none"/>
              </w:rPr>
            </w:pPr>
            <w:r>
              <w:rPr>
                <w:rFonts w:hint="eastAsia" w:hAnsi="宋体" w:cs="宋体"/>
                <w:color w:val="auto"/>
                <w:sz w:val="22"/>
                <w:szCs w:val="22"/>
                <w:highlight w:val="none"/>
              </w:rPr>
              <w:t>7</w:t>
            </w:r>
          </w:p>
        </w:tc>
        <w:tc>
          <w:tcPr>
            <w:tcW w:w="8440" w:type="dxa"/>
            <w:vAlign w:val="center"/>
          </w:tcPr>
          <w:p w14:paraId="417F6DB1">
            <w:pPr>
              <w:spacing w:line="360" w:lineRule="auto"/>
              <w:rPr>
                <w:rFonts w:hAnsi="宋体" w:cs="宋体"/>
                <w:b/>
                <w:color w:val="auto"/>
                <w:sz w:val="22"/>
                <w:szCs w:val="22"/>
                <w:highlight w:val="none"/>
              </w:rPr>
            </w:pPr>
            <w:r>
              <w:rPr>
                <w:rFonts w:hint="eastAsia" w:hAnsi="宋体" w:cs="宋体"/>
                <w:b/>
                <w:color w:val="auto"/>
                <w:sz w:val="22"/>
                <w:szCs w:val="22"/>
                <w:highlight w:val="none"/>
              </w:rPr>
              <w:t>违约责任：</w:t>
            </w:r>
          </w:p>
          <w:p w14:paraId="11A3C416">
            <w:pPr>
              <w:tabs>
                <w:tab w:val="left" w:pos="152"/>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1、按《中华人民共和国民法典》中的相关条款执行。</w:t>
            </w:r>
          </w:p>
          <w:p w14:paraId="363EEA23">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8</w:t>
            </w:r>
          </w:p>
        </w:tc>
        <w:tc>
          <w:tcPr>
            <w:tcW w:w="8440" w:type="dxa"/>
            <w:vAlign w:val="center"/>
          </w:tcPr>
          <w:p w14:paraId="4EA77D40">
            <w:pPr>
              <w:spacing w:line="360" w:lineRule="auto"/>
              <w:rPr>
                <w:rFonts w:hAnsi="宋体" w:cs="宋体"/>
                <w:b/>
                <w:color w:val="auto"/>
                <w:sz w:val="22"/>
                <w:szCs w:val="22"/>
                <w:highlight w:val="none"/>
              </w:rPr>
            </w:pPr>
            <w:r>
              <w:rPr>
                <w:rFonts w:hint="eastAsia" w:hAnsi="宋体" w:cs="宋体"/>
                <w:b/>
                <w:color w:val="auto"/>
                <w:sz w:val="22"/>
                <w:szCs w:val="22"/>
                <w:highlight w:val="none"/>
              </w:rPr>
              <w:t>政府采购合同：</w:t>
            </w:r>
          </w:p>
          <w:p w14:paraId="580B0E61">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政府采购合同适用中华人民共和国民法典。采购人和供应商之间的权利和义务，应当按照平等、自愿的原则以合同方式约定。</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政府采购合同的双方当事人不得擅自变更、中止或者终止合同。</w:t>
            </w:r>
            <w:r>
              <w:rPr>
                <w:rFonts w:hint="eastAsia" w:hAnsi="宋体" w:cs="宋体"/>
                <w:color w:val="auto"/>
                <w:sz w:val="22"/>
                <w:szCs w:val="22"/>
                <w:highlight w:val="none"/>
              </w:rPr>
              <w:br w:type="textWrapping"/>
            </w:r>
            <w:r>
              <w:rPr>
                <w:rFonts w:hint="eastAsia" w:hAnsi="宋体" w:cs="宋体"/>
                <w:color w:val="auto"/>
                <w:sz w:val="22"/>
                <w:szCs w:val="22"/>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8333"/>
      <w:bookmarkStart w:id="113" w:name="_Toc423973075"/>
      <w:bookmarkStart w:id="114" w:name="_Toc19199"/>
      <w:bookmarkStart w:id="115" w:name="_Toc29888"/>
      <w:bookmarkStart w:id="116" w:name="_Toc389582037"/>
      <w:bookmarkStart w:id="117" w:name="_Toc26595"/>
      <w:bookmarkStart w:id="118" w:name="_Toc19246"/>
      <w:bookmarkStart w:id="119" w:name="_Toc4679"/>
      <w:bookmarkStart w:id="120" w:name="_Toc31520"/>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18120"/>
      <w:bookmarkStart w:id="122" w:name="_Toc5216"/>
      <w:bookmarkStart w:id="123" w:name="_Toc1362"/>
      <w:bookmarkStart w:id="124" w:name="_Toc22328"/>
      <w:bookmarkStart w:id="125" w:name="_Toc24004"/>
      <w:bookmarkStart w:id="126" w:name="_Toc7874"/>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20561"/>
      <w:bookmarkStart w:id="128" w:name="_Toc7965"/>
      <w:bookmarkStart w:id="129" w:name="_Toc24621"/>
      <w:bookmarkStart w:id="130" w:name="_Toc28398"/>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2025双城记—“山河智链逐新致远”主题城市对话活动</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2025双城记—“山河智链逐新致远”主题城市对话活动</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15362"/>
      <w:bookmarkStart w:id="132" w:name="_Toc8841"/>
      <w:bookmarkStart w:id="133" w:name="_Toc30883"/>
      <w:bookmarkStart w:id="134" w:name="_Toc7407"/>
      <w:bookmarkStart w:id="135" w:name="_Toc12769"/>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3926"/>
      <w:bookmarkStart w:id="137" w:name="_Toc29331"/>
      <w:bookmarkStart w:id="138" w:name="_Toc18749"/>
      <w:bookmarkStart w:id="139" w:name="_Toc8887"/>
      <w:bookmarkStart w:id="140" w:name="_Toc4137"/>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22511"/>
      <w:bookmarkStart w:id="142" w:name="_Toc23247"/>
      <w:bookmarkStart w:id="143" w:name="_Toc28664"/>
      <w:bookmarkStart w:id="144" w:name="_Toc9765"/>
      <w:bookmarkStart w:id="145" w:name="_Toc6296"/>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1110"/>
      <w:bookmarkStart w:id="147" w:name="_Toc21171"/>
      <w:bookmarkStart w:id="148" w:name="_Toc21714"/>
      <w:bookmarkStart w:id="149" w:name="_Toc9555"/>
      <w:bookmarkStart w:id="150" w:name="_Toc24406"/>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32459"/>
      <w:bookmarkStart w:id="152" w:name="_Toc15947"/>
      <w:bookmarkStart w:id="153" w:name="_Toc27382"/>
      <w:bookmarkStart w:id="154" w:name="_Toc15118"/>
      <w:bookmarkStart w:id="155" w:name="_Toc7966"/>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12558"/>
      <w:bookmarkStart w:id="157" w:name="_Toc23868"/>
      <w:bookmarkStart w:id="158" w:name="_Toc21314"/>
      <w:bookmarkStart w:id="159" w:name="_Toc9903"/>
      <w:bookmarkStart w:id="160" w:name="_Toc13959"/>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28855"/>
      <w:bookmarkStart w:id="162" w:name="_Toc22161"/>
      <w:bookmarkStart w:id="163" w:name="_Toc13572"/>
      <w:bookmarkStart w:id="164" w:name="_Toc12975"/>
      <w:bookmarkStart w:id="165" w:name="_Toc14409"/>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9858"/>
      <w:bookmarkStart w:id="167" w:name="_Toc30681"/>
      <w:bookmarkStart w:id="168" w:name="_Toc31076"/>
      <w:bookmarkStart w:id="169" w:name="_Toc7598"/>
      <w:bookmarkStart w:id="170" w:name="_Toc20026"/>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30630"/>
      <w:bookmarkStart w:id="172" w:name="_Toc27523"/>
      <w:bookmarkStart w:id="173" w:name="_Toc29958"/>
      <w:bookmarkStart w:id="174" w:name="_Toc13662"/>
      <w:bookmarkStart w:id="175" w:name="_Toc15856"/>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25612"/>
      <w:bookmarkStart w:id="177" w:name="_Toc18389"/>
      <w:bookmarkStart w:id="178" w:name="_Toc7342"/>
      <w:bookmarkStart w:id="179" w:name="_Toc11478"/>
      <w:bookmarkStart w:id="180" w:name="_Toc2858"/>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31909"/>
      <w:bookmarkStart w:id="182" w:name="_Toc18225"/>
      <w:bookmarkStart w:id="183" w:name="_Toc823"/>
      <w:bookmarkStart w:id="184" w:name="_Toc21232"/>
      <w:bookmarkStart w:id="185" w:name="_Toc18381"/>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8072"/>
      <w:bookmarkStart w:id="187" w:name="_Toc1119"/>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14D082DE">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仿宋" w:hAnsi="仿宋" w:eastAsia="仿宋" w:cs="仿宋"/>
          <w:sz w:val="24"/>
          <w:szCs w:val="24"/>
        </w:rPr>
      </w:pPr>
      <w:bookmarkStart w:id="189" w:name="_Toc403077646"/>
      <w:bookmarkStart w:id="190" w:name="_Toc5084"/>
      <w:bookmarkStart w:id="191" w:name="_Toc6373"/>
      <w:bookmarkStart w:id="192" w:name="_Toc363474025"/>
      <w:bookmarkStart w:id="193" w:name="_Toc423973079"/>
      <w:r>
        <w:rPr>
          <w:rFonts w:hint="eastAsia" w:ascii="仿宋" w:hAnsi="仿宋" w:eastAsia="仿宋" w:cs="仿宋"/>
          <w:sz w:val="24"/>
          <w:szCs w:val="24"/>
        </w:rPr>
        <w:t>自推出“双城记”IP项目以来，已成功举办多届，成为展示城市形象、促进城市间交流的重要平台。2025年，拟以多角度展现城市科技产业发展新貌为目标，以“山河智链 逐新致远”为主题，继续开展“双城记”主题城市对话活动，集中宣传代表我市重点发展方向的四大产业链群企业、研究院所，推动城市间的深度交流与合作。</w:t>
      </w:r>
    </w:p>
    <w:p w14:paraId="1E3932CD">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一、活动概述</w:t>
      </w:r>
    </w:p>
    <w:p w14:paraId="135EA623">
      <w:pPr>
        <w:pStyle w:val="20"/>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共享共通城市间新闻媒体、平台帐号、网络大</w:t>
      </w:r>
      <w:r>
        <w:rPr>
          <w:rFonts w:hint="eastAsia" w:ascii="仿宋" w:hAnsi="仿宋" w:eastAsia="仿宋" w:cs="仿宋"/>
          <w:sz w:val="24"/>
          <w:szCs w:val="24"/>
          <w:lang w:val="en-US"/>
        </w:rPr>
        <w:t>V等传播资源，增进交流、扩大影响。</w:t>
      </w:r>
      <w:r>
        <w:rPr>
          <w:rFonts w:hint="eastAsia" w:ascii="仿宋" w:hAnsi="仿宋" w:eastAsia="仿宋" w:cs="仿宋"/>
          <w:sz w:val="24"/>
          <w:szCs w:val="24"/>
          <w:lang w:val="en-US" w:eastAsia="zh-Hans"/>
        </w:rPr>
        <w:t>拟</w:t>
      </w:r>
      <w:r>
        <w:rPr>
          <w:rFonts w:hint="eastAsia" w:ascii="仿宋" w:hAnsi="仿宋" w:eastAsia="仿宋" w:cs="仿宋"/>
          <w:sz w:val="24"/>
          <w:szCs w:val="24"/>
          <w:lang w:val="en-US"/>
        </w:rPr>
        <w:t>邀约双方城市官方媒体代表，</w:t>
      </w:r>
      <w:r>
        <w:rPr>
          <w:rFonts w:hint="eastAsia" w:ascii="仿宋" w:hAnsi="仿宋" w:eastAsia="仿宋" w:cs="仿宋"/>
          <w:sz w:val="24"/>
          <w:szCs w:val="24"/>
          <w:lang w:val="en-US" w:bidi="ar"/>
        </w:rPr>
        <w:t>科技专家、非遗传承人、经济学家等多领域代表组成大V团，多维度呈现城市科技发展的新面貌新成果。重点关注光子、半导体、新能源、低空经济、非遗传承等新兴产业，展现科技如何赋能城市治理、产业升级和民生改善。</w:t>
      </w:r>
      <w:r>
        <w:rPr>
          <w:rFonts w:hint="eastAsia" w:ascii="仿宋" w:hAnsi="仿宋" w:eastAsia="仿宋" w:cs="仿宋"/>
          <w:sz w:val="24"/>
          <w:szCs w:val="24"/>
          <w:lang w:val="en-US"/>
        </w:rPr>
        <w:t>活动全程通过线上线下相结合的方式，让更多人了解和体验西安的科技</w:t>
      </w:r>
      <w:r>
        <w:rPr>
          <w:rFonts w:hint="eastAsia" w:ascii="仿宋" w:hAnsi="仿宋" w:eastAsia="仿宋" w:cs="仿宋"/>
          <w:sz w:val="24"/>
          <w:szCs w:val="24"/>
          <w:lang w:val="en-US" w:bidi="ar"/>
        </w:rPr>
        <w:t>“新力量”矩阵</w:t>
      </w:r>
      <w:r>
        <w:rPr>
          <w:rFonts w:hint="eastAsia" w:ascii="仿宋" w:hAnsi="仿宋" w:eastAsia="仿宋" w:cs="仿宋"/>
          <w:sz w:val="24"/>
          <w:szCs w:val="24"/>
          <w:lang w:val="en-US"/>
        </w:rPr>
        <w:t>，</w:t>
      </w:r>
      <w:r>
        <w:rPr>
          <w:rFonts w:hint="eastAsia" w:ascii="仿宋" w:hAnsi="仿宋" w:eastAsia="仿宋" w:cs="仿宋"/>
          <w:sz w:val="24"/>
          <w:szCs w:val="24"/>
          <w:lang w:val="en-US" w:eastAsia="zh-Hans"/>
        </w:rPr>
        <w:t>展现</w:t>
      </w:r>
      <w:r>
        <w:rPr>
          <w:rFonts w:hint="eastAsia" w:ascii="仿宋" w:hAnsi="仿宋" w:eastAsia="仿宋" w:cs="仿宋"/>
          <w:sz w:val="24"/>
          <w:szCs w:val="24"/>
          <w:lang w:val="en-US"/>
        </w:rPr>
        <w:t>城市间</w:t>
      </w:r>
      <w:r>
        <w:rPr>
          <w:rFonts w:hint="eastAsia" w:ascii="仿宋" w:hAnsi="仿宋" w:eastAsia="仿宋" w:cs="仿宋"/>
          <w:sz w:val="24"/>
          <w:szCs w:val="24"/>
          <w:lang w:val="en-US" w:eastAsia="zh-Hans"/>
        </w:rPr>
        <w:t>交流对话的</w:t>
      </w:r>
      <w:r>
        <w:rPr>
          <w:rFonts w:hint="eastAsia" w:ascii="仿宋" w:hAnsi="仿宋" w:eastAsia="仿宋" w:cs="仿宋"/>
          <w:sz w:val="24"/>
          <w:szCs w:val="24"/>
          <w:lang w:val="en-US"/>
        </w:rPr>
        <w:t>双</w:t>
      </w:r>
      <w:r>
        <w:rPr>
          <w:rFonts w:hint="eastAsia" w:ascii="仿宋" w:hAnsi="仿宋" w:eastAsia="仿宋" w:cs="仿宋"/>
          <w:sz w:val="24"/>
          <w:szCs w:val="24"/>
          <w:lang w:val="en-US" w:eastAsia="zh-Hans"/>
        </w:rPr>
        <w:t>边风采</w:t>
      </w:r>
      <w:r>
        <w:rPr>
          <w:rFonts w:hint="eastAsia" w:ascii="仿宋" w:hAnsi="仿宋" w:eastAsia="仿宋" w:cs="仿宋"/>
          <w:sz w:val="24"/>
          <w:szCs w:val="24"/>
          <w:lang w:eastAsia="zh-Hans"/>
        </w:rPr>
        <w:t>，</w:t>
      </w:r>
      <w:r>
        <w:rPr>
          <w:rFonts w:hint="eastAsia" w:ascii="仿宋" w:hAnsi="仿宋" w:eastAsia="仿宋" w:cs="仿宋"/>
          <w:sz w:val="24"/>
          <w:szCs w:val="24"/>
          <w:lang w:val="en-US"/>
        </w:rPr>
        <w:t>共同营造良好的网上舆论氛围</w:t>
      </w:r>
      <w:r>
        <w:rPr>
          <w:rFonts w:hint="eastAsia" w:ascii="仿宋" w:hAnsi="仿宋" w:eastAsia="仿宋" w:cs="仿宋"/>
          <w:sz w:val="24"/>
          <w:szCs w:val="24"/>
        </w:rPr>
        <w:t>。</w:t>
      </w:r>
    </w:p>
    <w:p w14:paraId="31184104">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活动时间</w:t>
      </w:r>
    </w:p>
    <w:p w14:paraId="0A83080E">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left="480" w:leftChars="200"/>
        <w:textAlignment w:val="auto"/>
        <w:rPr>
          <w:rFonts w:hint="eastAsia" w:ascii="仿宋" w:hAnsi="仿宋" w:eastAsia="仿宋" w:cs="仿宋"/>
          <w:kern w:val="2"/>
          <w:sz w:val="24"/>
          <w:szCs w:val="24"/>
        </w:rPr>
      </w:pPr>
      <w:r>
        <w:rPr>
          <w:rFonts w:hint="eastAsia" w:ascii="仿宋" w:hAnsi="仿宋" w:eastAsia="仿宋" w:cs="仿宋"/>
          <w:kern w:val="2"/>
          <w:sz w:val="24"/>
          <w:szCs w:val="24"/>
        </w:rPr>
        <w:t>202</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年5月——9月</w:t>
      </w:r>
    </w:p>
    <w:p w14:paraId="5FD8AD24">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三、合作城市</w:t>
      </w:r>
    </w:p>
    <w:p w14:paraId="51F181C2">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left="480" w:leftChars="200"/>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供应商拟定合作城市后报采购人，经采购人同意后实施活动。</w:t>
      </w:r>
    </w:p>
    <w:p w14:paraId="07EBDE74">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四、活动内容</w:t>
      </w:r>
    </w:p>
    <w:p w14:paraId="60777B78">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kern w:val="2"/>
          <w:sz w:val="24"/>
          <w:szCs w:val="24"/>
        </w:rPr>
        <w:t>线下主题大V行（2场）</w:t>
      </w:r>
      <w:r>
        <w:rPr>
          <w:rFonts w:hint="eastAsia" w:ascii="仿宋" w:hAnsi="仿宋" w:eastAsia="仿宋" w:cs="仿宋"/>
          <w:b/>
          <w:bCs/>
          <w:kern w:val="2"/>
          <w:sz w:val="24"/>
          <w:szCs w:val="24"/>
          <w:lang w:eastAsia="zh-CN"/>
        </w:rPr>
        <w:t>，</w:t>
      </w:r>
      <w:r>
        <w:rPr>
          <w:rFonts w:hint="eastAsia" w:ascii="仿宋" w:hAnsi="仿宋" w:eastAsia="仿宋" w:cs="仿宋"/>
          <w:sz w:val="24"/>
          <w:szCs w:val="24"/>
        </w:rPr>
        <w:t>组织双方城市大V团，</w:t>
      </w:r>
      <w:r>
        <w:rPr>
          <w:rFonts w:hint="eastAsia" w:ascii="仿宋" w:hAnsi="仿宋" w:eastAsia="仿宋" w:cs="仿宋"/>
          <w:b/>
          <w:bCs/>
          <w:sz w:val="24"/>
          <w:szCs w:val="24"/>
        </w:rPr>
        <w:t>请进来 走进西安</w:t>
      </w:r>
      <w:r>
        <w:rPr>
          <w:rFonts w:hint="eastAsia" w:ascii="仿宋" w:hAnsi="仿宋" w:eastAsia="仿宋" w:cs="仿宋"/>
          <w:b/>
          <w:bCs/>
          <w:sz w:val="24"/>
          <w:szCs w:val="24"/>
          <w:lang w:eastAsia="zh-CN"/>
        </w:rPr>
        <w:t>，</w:t>
      </w:r>
      <w:r>
        <w:rPr>
          <w:rFonts w:hint="eastAsia" w:ascii="仿宋" w:hAnsi="仿宋" w:eastAsia="仿宋" w:cs="仿宋"/>
          <w:sz w:val="24"/>
          <w:szCs w:val="24"/>
        </w:rPr>
        <w:t>重点打卡西安的</w:t>
      </w:r>
      <w:r>
        <w:rPr>
          <w:rFonts w:hint="eastAsia" w:ascii="仿宋" w:hAnsi="仿宋" w:eastAsia="仿宋" w:cs="仿宋"/>
          <w:kern w:val="0"/>
          <w:sz w:val="24"/>
          <w:szCs w:val="24"/>
          <w:lang w:bidi="ar"/>
        </w:rPr>
        <w:t>光子、半导体、新能源、低空经济、非遗传承</w:t>
      </w:r>
      <w:r>
        <w:rPr>
          <w:rFonts w:hint="eastAsia" w:ascii="仿宋" w:hAnsi="仿宋" w:eastAsia="仿宋" w:cs="仿宋"/>
          <w:sz w:val="24"/>
          <w:szCs w:val="24"/>
        </w:rPr>
        <w:t>等特色企业或者产业园区</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rPr>
        <w:t>走出去 探访联动</w:t>
      </w:r>
      <w:r>
        <w:rPr>
          <w:rFonts w:hint="eastAsia" w:ascii="仿宋" w:hAnsi="仿宋" w:eastAsia="仿宋" w:cs="仿宋"/>
          <w:b/>
          <w:bCs/>
          <w:sz w:val="24"/>
          <w:szCs w:val="24"/>
          <w:lang w:val="en-US" w:eastAsia="zh-CN"/>
        </w:rPr>
        <w:t>，</w:t>
      </w:r>
      <w:r>
        <w:rPr>
          <w:rFonts w:hint="eastAsia" w:ascii="仿宋" w:hAnsi="仿宋" w:eastAsia="仿宋" w:cs="仿宋"/>
          <w:sz w:val="24"/>
          <w:szCs w:val="24"/>
        </w:rPr>
        <w:t>探访具有共通属性的重点城市，组成“双城”CP。</w:t>
      </w:r>
    </w:p>
    <w:p w14:paraId="35A1B646">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主题研讨（1场）</w:t>
      </w:r>
      <w:r>
        <w:rPr>
          <w:rFonts w:hint="eastAsia" w:ascii="仿宋" w:hAnsi="仿宋" w:eastAsia="仿宋" w:cs="仿宋"/>
          <w:b/>
          <w:bCs/>
          <w:sz w:val="24"/>
          <w:szCs w:val="24"/>
          <w:lang w:eastAsia="zh-CN"/>
        </w:rPr>
        <w:t>，</w:t>
      </w:r>
      <w:r>
        <w:rPr>
          <w:rFonts w:hint="eastAsia" w:ascii="仿宋" w:hAnsi="仿宋" w:eastAsia="仿宋" w:cs="仿宋"/>
          <w:sz w:val="24"/>
          <w:szCs w:val="24"/>
        </w:rPr>
        <w:t>以“科技赋能新经济”为主题进行座谈交流。</w:t>
      </w:r>
    </w:p>
    <w:p w14:paraId="3F7C402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kern w:val="2"/>
          <w:sz w:val="24"/>
          <w:szCs w:val="24"/>
        </w:rPr>
        <w:t>线上活动</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rPr>
        <w:t>1场</w:t>
      </w:r>
      <w:r>
        <w:rPr>
          <w:rFonts w:hint="eastAsia" w:ascii="仿宋" w:hAnsi="仿宋" w:eastAsia="仿宋" w:cs="仿宋"/>
          <w:b/>
          <w:bCs/>
          <w:kern w:val="2"/>
          <w:sz w:val="24"/>
          <w:szCs w:val="24"/>
          <w:lang w:eastAsia="zh-CN"/>
        </w:rPr>
        <w:t>），</w:t>
      </w:r>
      <w:r>
        <w:rPr>
          <w:rFonts w:hint="eastAsia" w:ascii="仿宋" w:hAnsi="仿宋" w:eastAsia="仿宋" w:cs="仿宋"/>
          <w:sz w:val="24"/>
          <w:szCs w:val="24"/>
        </w:rPr>
        <w:t>鼓励网友拍摄城市新貌，上传社交媒体，形成全民参与的氛围。</w:t>
      </w:r>
    </w:p>
    <w:p w14:paraId="1CB5035D">
      <w:pPr>
        <w:pStyle w:val="19"/>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五、活动宣传</w:t>
      </w:r>
    </w:p>
    <w:p w14:paraId="03D9CC0A">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Style w:val="29"/>
          <w:rFonts w:hint="eastAsia" w:ascii="宋体" w:eastAsia="宋体" w:cs="宋体"/>
          <w:color w:val="auto"/>
          <w:sz w:val="36"/>
          <w:szCs w:val="21"/>
          <w:highlight w:val="none"/>
        </w:rPr>
      </w:pPr>
      <w:r>
        <w:rPr>
          <w:rFonts w:hint="eastAsia" w:ascii="仿宋" w:hAnsi="仿宋" w:eastAsia="仿宋" w:cs="仿宋"/>
          <w:sz w:val="24"/>
          <w:szCs w:val="24"/>
        </w:rPr>
        <w:t>大V团深度解读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制作</w:t>
      </w:r>
      <w:r>
        <w:rPr>
          <w:rFonts w:hint="eastAsia" w:ascii="仿宋" w:hAnsi="仿宋" w:eastAsia="仿宋" w:cs="仿宋"/>
          <w:kern w:val="0"/>
          <w:sz w:val="24"/>
          <w:szCs w:val="24"/>
          <w:lang w:bidi="ar"/>
        </w:rPr>
        <w:t>图文专题</w:t>
      </w:r>
      <w:r>
        <w:rPr>
          <w:rFonts w:hint="eastAsia" w:ascii="仿宋" w:hAnsi="仿宋" w:eastAsia="仿宋" w:cs="仿宋"/>
          <w:kern w:val="0"/>
          <w:sz w:val="24"/>
          <w:szCs w:val="24"/>
          <w:lang w:eastAsia="zh-CN" w:bidi="ar"/>
        </w:rPr>
        <w:t>、</w:t>
      </w:r>
      <w:r>
        <w:rPr>
          <w:rFonts w:hint="eastAsia" w:ascii="仿宋" w:hAnsi="仿宋" w:eastAsia="仿宋" w:cs="仿宋"/>
          <w:sz w:val="24"/>
          <w:szCs w:val="24"/>
        </w:rPr>
        <w:t>融媒体产品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实现</w:t>
      </w:r>
      <w:r>
        <w:rPr>
          <w:rFonts w:hint="eastAsia" w:ascii="仿宋" w:hAnsi="仿宋" w:eastAsia="仿宋" w:cs="仿宋"/>
          <w:sz w:val="24"/>
          <w:szCs w:val="24"/>
        </w:rPr>
        <w:t>全媒体传播。</w:t>
      </w:r>
    </w:p>
    <w:p w14:paraId="731EA5DB">
      <w:pPr>
        <w:jc w:val="center"/>
        <w:rPr>
          <w:rStyle w:val="29"/>
          <w:rFonts w:hint="eastAsia" w:ascii="宋体" w:eastAsia="宋体" w:cs="宋体"/>
          <w:color w:val="auto"/>
          <w:sz w:val="36"/>
          <w:szCs w:val="21"/>
          <w:highlight w:val="none"/>
        </w:rPr>
      </w:pPr>
      <w:r>
        <w:rPr>
          <w:rStyle w:val="29"/>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SXZCZB2025-ZCCS-0519</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604D6DCE">
      <w:pPr>
        <w:jc w:val="center"/>
        <w:rPr>
          <w:rFonts w:hint="eastAsia" w:hAnsi="宋体" w:cs="宋体"/>
          <w:b/>
          <w:color w:val="auto"/>
          <w:sz w:val="56"/>
          <w:szCs w:val="56"/>
          <w:highlight w:val="none"/>
          <w:lang w:eastAsia="zh-CN"/>
        </w:rPr>
      </w:pPr>
      <w:r>
        <w:rPr>
          <w:rFonts w:hint="eastAsia" w:hAnsi="宋体" w:cs="宋体"/>
          <w:b/>
          <w:color w:val="auto"/>
          <w:sz w:val="56"/>
          <w:szCs w:val="56"/>
          <w:highlight w:val="none"/>
          <w:lang w:eastAsia="zh-CN"/>
        </w:rPr>
        <w:t>2025双城记—“山河智链逐新致远”主题城市对话活动</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363474027"/>
      <w:bookmarkStart w:id="197" w:name="_Toc403077648"/>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28508"/>
      <w:bookmarkStart w:id="200" w:name="_Toc32002"/>
      <w:bookmarkStart w:id="201" w:name="_Toc6128"/>
      <w:bookmarkStart w:id="202" w:name="_Toc15762"/>
      <w:bookmarkStart w:id="203" w:name="_Toc16320"/>
      <w:bookmarkStart w:id="204" w:name="_Toc4367"/>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363474030"/>
      <w:bookmarkStart w:id="206" w:name="_Toc27989"/>
      <w:bookmarkStart w:id="207" w:name="_Toc403077651"/>
      <w:bookmarkStart w:id="208" w:name="_Toc9730"/>
      <w:bookmarkStart w:id="209" w:name="_Toc732"/>
      <w:bookmarkStart w:id="210" w:name="_Toc28910"/>
      <w:bookmarkStart w:id="211" w:name="_Toc13482"/>
      <w:bookmarkStart w:id="212" w:name="_Toc17800"/>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12732"/>
      <w:bookmarkStart w:id="214" w:name="_Toc11518"/>
      <w:bookmarkStart w:id="215" w:name="_Toc29008"/>
      <w:bookmarkStart w:id="216" w:name="_Toc1405"/>
      <w:bookmarkStart w:id="217" w:name="_Toc7982"/>
      <w:bookmarkStart w:id="218" w:name="_Toc32277"/>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9760"/>
      <w:bookmarkStart w:id="221" w:name="_Toc19127"/>
      <w:bookmarkStart w:id="222" w:name="_Toc8370"/>
      <w:bookmarkStart w:id="223" w:name="_Toc8017"/>
      <w:bookmarkStart w:id="224" w:name="_Toc9220"/>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5944"/>
      <w:bookmarkStart w:id="227" w:name="_Toc24059"/>
      <w:bookmarkStart w:id="228" w:name="_Toc32541"/>
      <w:bookmarkStart w:id="229" w:name="_Toc32126"/>
      <w:bookmarkStart w:id="230" w:name="_Toc3628"/>
      <w:bookmarkStart w:id="231" w:name="_Toc24936"/>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23455"/>
      <w:bookmarkStart w:id="233" w:name="_Toc9218"/>
      <w:bookmarkStart w:id="234" w:name="_Toc1379"/>
      <w:bookmarkStart w:id="235" w:name="_Toc21284"/>
      <w:bookmarkStart w:id="236" w:name="_Toc2621"/>
      <w:bookmarkStart w:id="237" w:name="_Toc15265"/>
      <w:bookmarkStart w:id="238" w:name="_Toc5662"/>
      <w:bookmarkStart w:id="239" w:name="_Toc8845"/>
    </w:p>
    <w:p w14:paraId="70D1C1A2">
      <w:pPr>
        <w:spacing w:line="360" w:lineRule="auto"/>
        <w:rPr>
          <w:rFonts w:hAnsi="宋体" w:cs="宋体"/>
          <w:b/>
          <w:bCs/>
          <w:color w:val="auto"/>
          <w:sz w:val="30"/>
          <w:szCs w:val="30"/>
          <w:highlight w:val="none"/>
        </w:rPr>
      </w:pPr>
      <w:bookmarkStart w:id="240" w:name="_Toc4503"/>
      <w:bookmarkStart w:id="241" w:name="_Toc3626"/>
      <w:bookmarkStart w:id="242" w:name="_Toc31151"/>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3386"/>
      <w:bookmarkStart w:id="246" w:name="_Toc1542"/>
      <w:bookmarkStart w:id="247" w:name="_Toc27470"/>
      <w:bookmarkStart w:id="248" w:name="_Toc7544"/>
      <w:bookmarkStart w:id="249" w:name="_Toc3253"/>
      <w:bookmarkStart w:id="250" w:name="_Toc11212"/>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403077657"/>
      <w:bookmarkStart w:id="252" w:name="_Toc363474034"/>
      <w:r>
        <w:rPr>
          <w:rFonts w:hint="eastAsia" w:hAnsi="宋体" w:cs="宋体"/>
          <w:b/>
          <w:bCs/>
          <w:color w:val="auto"/>
          <w:sz w:val="30"/>
          <w:szCs w:val="30"/>
          <w:highlight w:val="none"/>
        </w:rPr>
        <w:br w:type="page"/>
      </w:r>
      <w:bookmarkStart w:id="253" w:name="_Toc7842"/>
      <w:bookmarkStart w:id="254" w:name="_Toc13983"/>
      <w:bookmarkStart w:id="255" w:name="_Toc6077"/>
      <w:bookmarkStart w:id="256" w:name="_Toc29285"/>
      <w:bookmarkStart w:id="257" w:name="_Toc32016"/>
      <w:bookmarkStart w:id="258" w:name="_Toc6273"/>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5C300B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7575C06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0B9440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6EF811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个月的纳税证明或完税证明（任意税种），依法免税的单位应提供相关证明材料；</w:t>
      </w:r>
    </w:p>
    <w:p w14:paraId="0BA998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w:t>
      </w:r>
      <w:r>
        <w:rPr>
          <w:rFonts w:hint="eastAsia" w:cs="宋体"/>
          <w:szCs w:val="24"/>
          <w:highlight w:val="none"/>
          <w:lang w:val="en-US" w:eastAsia="zh-CN"/>
        </w:rPr>
        <w:t>任意1</w:t>
      </w:r>
      <w:r>
        <w:rPr>
          <w:rFonts w:hint="eastAsia" w:hAnsi="宋体" w:cs="宋体"/>
          <w:szCs w:val="24"/>
          <w:highlight w:val="none"/>
          <w:lang w:val="en-US" w:eastAsia="zh-CN"/>
        </w:rPr>
        <w:t>个月的社会保障资金缴存单据或社保机构开具的社会保险参保缴费情况证明，依法不需要缴纳社会保障资金的单位应提供相关证明材料；</w:t>
      </w:r>
    </w:p>
    <w:p w14:paraId="7ED107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（6）供应商通过“信用中国”网站(www.creditchina.gov.cn)、中国政府采购网(www.ccgp.gov.cn)等查询相关主体信用记录，提供“信用中国”网站下载的《信用信息报告》；</w:t>
      </w:r>
    </w:p>
    <w:p w14:paraId="08C7397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7D4227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57E0D3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79F92C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b w:val="0"/>
          <w:bCs w:val="0"/>
          <w:color w:val="auto"/>
          <w:sz w:val="28"/>
          <w:szCs w:val="28"/>
          <w:highlight w:val="none"/>
        </w:rPr>
      </w:pPr>
      <w:r>
        <w:rPr>
          <w:rFonts w:hint="eastAsia" w:hAnsi="宋体" w:cs="宋体"/>
          <w:szCs w:val="24"/>
          <w:highlight w:val="none"/>
          <w:lang w:val="en-US" w:eastAsia="zh-CN"/>
        </w:rPr>
        <w:t>（10）本项目不接受联合体磋商（提供承诺书）。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6853"/>
      <w:bookmarkStart w:id="260" w:name="_Toc24739"/>
      <w:bookmarkStart w:id="261" w:name="_Toc22315"/>
      <w:bookmarkStart w:id="262" w:name="_Toc19114"/>
      <w:bookmarkStart w:id="263" w:name="_Toc23859"/>
      <w:bookmarkStart w:id="264" w:name="_Toc12717"/>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25119"/>
      <w:bookmarkStart w:id="266" w:name="_Toc17513"/>
      <w:bookmarkStart w:id="267" w:name="_Toc29387"/>
      <w:bookmarkStart w:id="268" w:name="_Toc6055"/>
      <w:bookmarkStart w:id="269" w:name="_Toc13906"/>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1869530">
      <w:pPr>
        <w:pStyle w:val="8"/>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72" w:name="_Toc29482"/>
      <w:bookmarkStart w:id="273" w:name="_Toc2812"/>
      <w:bookmarkStart w:id="274" w:name="_Toc32573"/>
      <w:r>
        <w:rPr>
          <w:rFonts w:hint="eastAsia" w:hAnsi="宋体" w:cs="宋体"/>
          <w:b/>
          <w:color w:val="auto"/>
          <w:sz w:val="28"/>
          <w:szCs w:val="28"/>
          <w:highlight w:val="none"/>
        </w:rPr>
        <w:t>附件2：中小企业声明函</w:t>
      </w:r>
      <w:bookmarkEnd w:id="270"/>
      <w:bookmarkEnd w:id="271"/>
      <w:bookmarkEnd w:id="272"/>
      <w:bookmarkEnd w:id="273"/>
      <w:bookmarkEnd w:id="274"/>
    </w:p>
    <w:p w14:paraId="70E8A17E">
      <w:pPr>
        <w:spacing w:beforeLines="50" w:afterLines="50" w:line="360" w:lineRule="auto"/>
        <w:jc w:val="center"/>
        <w:rPr>
          <w:rFonts w:hAnsi="宋体" w:cs="宋体"/>
          <w:b/>
          <w:color w:val="auto"/>
          <w:sz w:val="28"/>
          <w:szCs w:val="28"/>
          <w:highlight w:val="none"/>
        </w:rPr>
      </w:pPr>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76" w:name="_Toc5964"/>
      <w:bookmarkStart w:id="277" w:name="_Toc13530"/>
      <w:bookmarkStart w:id="278" w:name="_Toc12704"/>
      <w:bookmarkStart w:id="279" w:name="_Toc8863"/>
      <w:bookmarkStart w:id="280" w:name="_Toc10758"/>
      <w:r>
        <w:rPr>
          <w:rFonts w:hint="eastAsia" w:hAnsi="宋体" w:cs="宋体"/>
          <w:b/>
          <w:color w:val="auto"/>
          <w:sz w:val="28"/>
          <w:szCs w:val="28"/>
          <w:highlight w:val="none"/>
        </w:rPr>
        <w:t>附件3：磋商产品属节能、环境标志产品列表（如有）</w:t>
      </w:r>
      <w:bookmarkEnd w:id="276"/>
      <w:bookmarkEnd w:id="277"/>
      <w:bookmarkEnd w:id="278"/>
      <w:bookmarkEnd w:id="279"/>
      <w:bookmarkEnd w:id="280"/>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75"/>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5"/>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81" w:name="_Toc27124"/>
      <w:bookmarkStart w:id="282" w:name="_Toc22425"/>
      <w:bookmarkStart w:id="283" w:name="_Toc11235"/>
      <w:bookmarkStart w:id="284" w:name="_Toc29025"/>
      <w:bookmarkStart w:id="285" w:name="_Toc11066"/>
      <w:r>
        <w:rPr>
          <w:rFonts w:hint="eastAsia" w:hAnsi="宋体" w:cs="宋体"/>
          <w:b/>
          <w:bCs/>
          <w:color w:val="auto"/>
          <w:spacing w:val="6"/>
          <w:sz w:val="30"/>
          <w:szCs w:val="30"/>
          <w:highlight w:val="none"/>
        </w:rPr>
        <w:t>附件4：残疾人福利性单位声明函（如有）</w:t>
      </w:r>
      <w:bookmarkEnd w:id="281"/>
      <w:bookmarkEnd w:id="282"/>
      <w:bookmarkEnd w:id="283"/>
      <w:bookmarkEnd w:id="284"/>
      <w:bookmarkEnd w:id="285"/>
    </w:p>
    <w:p w14:paraId="334000A8">
      <w:pPr>
        <w:spacing w:line="588" w:lineRule="exact"/>
        <w:jc w:val="center"/>
        <w:rPr>
          <w:rFonts w:hAnsi="宋体" w:cs="宋体"/>
          <w:b/>
          <w:color w:val="auto"/>
          <w:spacing w:val="6"/>
          <w:sz w:val="32"/>
          <w:szCs w:val="32"/>
          <w:highlight w:val="none"/>
        </w:rPr>
      </w:pPr>
      <w:bookmarkStart w:id="286" w:name="OLE_LINK14"/>
      <w:bookmarkStart w:id="287" w:name="OLE_LINK13"/>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19526"/>
      <w:bookmarkStart w:id="289" w:name="_Toc2119"/>
      <w:bookmarkStart w:id="290" w:name="_Toc2139"/>
      <w:bookmarkStart w:id="291" w:name="_Toc29109"/>
      <w:bookmarkStart w:id="292" w:name="_Toc23160"/>
      <w:r>
        <w:rPr>
          <w:rFonts w:hint="eastAsia" w:hAnsi="宋体" w:cs="宋体"/>
          <w:b/>
          <w:color w:val="auto"/>
          <w:sz w:val="28"/>
          <w:szCs w:val="28"/>
          <w:highlight w:val="none"/>
        </w:rPr>
        <w:t>附件5：质疑函范本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2025双城记—“山河智链逐新致远”主题城市对话活动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CD7E5B"/>
    <w:rsid w:val="0EC42C1D"/>
    <w:rsid w:val="0FB71F81"/>
    <w:rsid w:val="0FCB77DB"/>
    <w:rsid w:val="0FD83CA6"/>
    <w:rsid w:val="108274B3"/>
    <w:rsid w:val="10BD35C7"/>
    <w:rsid w:val="10C03B1A"/>
    <w:rsid w:val="110A4333"/>
    <w:rsid w:val="11933EF1"/>
    <w:rsid w:val="124E6541"/>
    <w:rsid w:val="13055EFC"/>
    <w:rsid w:val="1408016B"/>
    <w:rsid w:val="14FF19C2"/>
    <w:rsid w:val="16D004E2"/>
    <w:rsid w:val="16D34E48"/>
    <w:rsid w:val="17381DE3"/>
    <w:rsid w:val="175400B6"/>
    <w:rsid w:val="17E77172"/>
    <w:rsid w:val="18243F2C"/>
    <w:rsid w:val="18624A54"/>
    <w:rsid w:val="19F1107F"/>
    <w:rsid w:val="1A6A586E"/>
    <w:rsid w:val="1A7840BB"/>
    <w:rsid w:val="1A7F74B5"/>
    <w:rsid w:val="1AB77E2C"/>
    <w:rsid w:val="1B917B2A"/>
    <w:rsid w:val="1BAE4D2B"/>
    <w:rsid w:val="1BF20D44"/>
    <w:rsid w:val="1BF70EFF"/>
    <w:rsid w:val="1D6C4D32"/>
    <w:rsid w:val="1D8C396C"/>
    <w:rsid w:val="1E47352A"/>
    <w:rsid w:val="1E474499"/>
    <w:rsid w:val="1E616F4E"/>
    <w:rsid w:val="1E7D10B6"/>
    <w:rsid w:val="1E9329DA"/>
    <w:rsid w:val="1F126C7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E01C20"/>
    <w:rsid w:val="29E55A22"/>
    <w:rsid w:val="2AF552B4"/>
    <w:rsid w:val="2B372839"/>
    <w:rsid w:val="2B934FAD"/>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C81974"/>
    <w:rsid w:val="31CF685F"/>
    <w:rsid w:val="3231334B"/>
    <w:rsid w:val="331040BE"/>
    <w:rsid w:val="333E1EEE"/>
    <w:rsid w:val="355C5974"/>
    <w:rsid w:val="358723B5"/>
    <w:rsid w:val="359C6A8A"/>
    <w:rsid w:val="361433DA"/>
    <w:rsid w:val="36745C27"/>
    <w:rsid w:val="37662F7D"/>
    <w:rsid w:val="38325D99"/>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06B590C"/>
    <w:rsid w:val="42377DAE"/>
    <w:rsid w:val="429D651C"/>
    <w:rsid w:val="42B37C55"/>
    <w:rsid w:val="42F00D2B"/>
    <w:rsid w:val="430B7CC0"/>
    <w:rsid w:val="43305EF3"/>
    <w:rsid w:val="45A81449"/>
    <w:rsid w:val="45D148E1"/>
    <w:rsid w:val="477E6905"/>
    <w:rsid w:val="47BA5602"/>
    <w:rsid w:val="47CB7BCD"/>
    <w:rsid w:val="48723E9C"/>
    <w:rsid w:val="48A948A9"/>
    <w:rsid w:val="48F344FE"/>
    <w:rsid w:val="496B79EC"/>
    <w:rsid w:val="49BD79B3"/>
    <w:rsid w:val="49C82C57"/>
    <w:rsid w:val="4A02381D"/>
    <w:rsid w:val="4A1C0EB1"/>
    <w:rsid w:val="4A5E47CC"/>
    <w:rsid w:val="4AAC2C6F"/>
    <w:rsid w:val="4B9C1A50"/>
    <w:rsid w:val="4BAD77B9"/>
    <w:rsid w:val="4C966BC0"/>
    <w:rsid w:val="4D1E03A6"/>
    <w:rsid w:val="4D3038E5"/>
    <w:rsid w:val="4D477799"/>
    <w:rsid w:val="4D596375"/>
    <w:rsid w:val="4DEB6377"/>
    <w:rsid w:val="4DED6593"/>
    <w:rsid w:val="4E7E7EDA"/>
    <w:rsid w:val="4EA053B3"/>
    <w:rsid w:val="4F0B353D"/>
    <w:rsid w:val="4F0D5377"/>
    <w:rsid w:val="50121437"/>
    <w:rsid w:val="50132763"/>
    <w:rsid w:val="509203B3"/>
    <w:rsid w:val="50DF5A3C"/>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90A2C81"/>
    <w:rsid w:val="59361347"/>
    <w:rsid w:val="593908DE"/>
    <w:rsid w:val="59875AED"/>
    <w:rsid w:val="598A113A"/>
    <w:rsid w:val="59A66EED"/>
    <w:rsid w:val="5A4E220C"/>
    <w:rsid w:val="5AF150AF"/>
    <w:rsid w:val="5C06474A"/>
    <w:rsid w:val="5D500F29"/>
    <w:rsid w:val="5D5905FD"/>
    <w:rsid w:val="5D822C5A"/>
    <w:rsid w:val="5D93740B"/>
    <w:rsid w:val="5DD46E27"/>
    <w:rsid w:val="5E421FD0"/>
    <w:rsid w:val="5E7A79CF"/>
    <w:rsid w:val="5EAA2796"/>
    <w:rsid w:val="5ED0632D"/>
    <w:rsid w:val="5ED51AA0"/>
    <w:rsid w:val="5F1C7961"/>
    <w:rsid w:val="5F864151"/>
    <w:rsid w:val="60032A91"/>
    <w:rsid w:val="60637039"/>
    <w:rsid w:val="60C74A21"/>
    <w:rsid w:val="61195669"/>
    <w:rsid w:val="61397DAE"/>
    <w:rsid w:val="61B50D1E"/>
    <w:rsid w:val="62AE5E99"/>
    <w:rsid w:val="633F11E7"/>
    <w:rsid w:val="638A1AF5"/>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E237E7E"/>
    <w:rsid w:val="6E960558"/>
    <w:rsid w:val="6F386134"/>
    <w:rsid w:val="6F944668"/>
    <w:rsid w:val="6F995F63"/>
    <w:rsid w:val="70406237"/>
    <w:rsid w:val="70C5413D"/>
    <w:rsid w:val="70FE3161"/>
    <w:rsid w:val="71BC1928"/>
    <w:rsid w:val="723E1DBC"/>
    <w:rsid w:val="73C72DDD"/>
    <w:rsid w:val="7436299A"/>
    <w:rsid w:val="74393A30"/>
    <w:rsid w:val="74C552BF"/>
    <w:rsid w:val="74F97939"/>
    <w:rsid w:val="75102D70"/>
    <w:rsid w:val="76047015"/>
    <w:rsid w:val="76214E9E"/>
    <w:rsid w:val="76E06023"/>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27006</Words>
  <Characters>28767</Characters>
  <Lines>245</Lines>
  <Paragraphs>69</Paragraphs>
  <TotalTime>40</TotalTime>
  <ScaleCrop>false</ScaleCrop>
  <LinksUpToDate>false</LinksUpToDate>
  <CharactersWithSpaces>32431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2025-05-21T06:29:52Z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12D31501B1064D93852A700EDCD94387_13</vt:lpwstr>
  </property>
  <property fmtid="{D5CDD505-2E9C-101B-9397-08002B2CF9AE}" pid="4" name="KSOTemplateDocerSaveRecord">
    <vt:lpwstr>eyJoZGlkIjoiMDc2YjExZDk4YmRkMTFlODc4NDZiMTVkOTg4ODNhMmEiLCJ1c2VySWQiOiI1OTI1NjQzNTQifQ==</vt:lpwstr>
  </property>
</Properties>
</file>