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237219BE">
      <w:pPr>
        <w:pStyle w:val="33"/>
        <w:jc w:val="center"/>
        <w:rPr>
          <w:rFonts w:hint="eastAsia" w:ascii="黑体" w:hAnsi="黑体" w:eastAsia="黑体" w:cs="黑体"/>
          <w:b/>
          <w:bCs/>
          <w:color w:val="auto"/>
          <w:sz w:val="52"/>
          <w:szCs w:val="52"/>
          <w:lang w:val="en-US" w:eastAsia="zh-CN"/>
        </w:rPr>
      </w:pPr>
      <w:r>
        <w:rPr>
          <w:rFonts w:hint="eastAsia" w:ascii="黑体" w:hAnsi="黑体" w:eastAsia="黑体" w:cs="黑体"/>
          <w:b/>
          <w:bCs/>
          <w:color w:val="auto"/>
          <w:sz w:val="52"/>
          <w:szCs w:val="52"/>
          <w:lang w:val="en-US" w:eastAsia="zh-CN"/>
        </w:rPr>
        <w:t>吴起县2024年度集体土地所有权确权登记成果更新工作采购项目</w:t>
      </w:r>
    </w:p>
    <w:p w14:paraId="70C6A480">
      <w:pPr>
        <w:pStyle w:val="33"/>
        <w:jc w:val="center"/>
        <w:rPr>
          <w:rFonts w:hint="eastAsia" w:ascii="黑体" w:hAnsi="黑体" w:eastAsia="黑体" w:cs="黑体"/>
          <w:b/>
          <w:bCs/>
          <w:color w:val="auto"/>
          <w:sz w:val="72"/>
          <w:szCs w:val="72"/>
          <w:lang w:val="en-US" w:eastAsia="zh-CN"/>
        </w:rPr>
      </w:pPr>
    </w:p>
    <w:p w14:paraId="768AD705">
      <w:pPr>
        <w:pStyle w:val="33"/>
        <w:jc w:val="center"/>
        <w:rPr>
          <w:rFonts w:hint="eastAsia" w:ascii="黑体" w:hAnsi="黑体" w:eastAsia="黑体" w:cs="黑体"/>
          <w:b/>
          <w:bCs/>
          <w:color w:val="auto"/>
          <w:sz w:val="72"/>
          <w:szCs w:val="72"/>
          <w:lang w:val="en-US" w:eastAsia="zh-CN"/>
        </w:rPr>
      </w:pPr>
    </w:p>
    <w:p w14:paraId="2E193428">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项目编号：HC-ZFCG-2025-016</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6734839E">
      <w:pPr>
        <w:pStyle w:val="33"/>
        <w:ind w:firstLine="3373" w:firstLineChars="1200"/>
        <w:rPr>
          <w:rFonts w:hint="eastAsia" w:ascii="宋体" w:hAnsi="宋体" w:eastAsia="宋体" w:cs="宋体"/>
          <w:b/>
          <w:bCs/>
          <w:color w:val="auto"/>
          <w:sz w:val="28"/>
          <w:szCs w:val="28"/>
          <w:lang w:eastAsia="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cs="宋体"/>
          <w:i w:val="0"/>
          <w:caps w:val="0"/>
          <w:spacing w:val="0"/>
          <w:sz w:val="28"/>
          <w:szCs w:val="48"/>
          <w:shd w:val="clear" w:fill="FFFFFF"/>
          <w:lang w:val="en-US" w:eastAsia="zh-CN"/>
        </w:rPr>
        <w:t>第一章  竞争性磋商公告</w:t>
      </w:r>
      <w:r>
        <w:rPr>
          <w:sz w:val="28"/>
          <w:szCs w:val="36"/>
        </w:rPr>
        <w:tab/>
      </w:r>
      <w:r>
        <w:rPr>
          <w:sz w:val="28"/>
          <w:szCs w:val="36"/>
        </w:rPr>
        <w:fldChar w:fldCharType="begin"/>
      </w:r>
      <w:r>
        <w:rPr>
          <w:sz w:val="28"/>
          <w:szCs w:val="36"/>
        </w:rPr>
        <w:instrText xml:space="preserve"> PAGEREF _Toc16228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sz w:val="28"/>
          <w:szCs w:val="36"/>
        </w:rPr>
        <w:t>第二章</w:t>
      </w:r>
      <w:r>
        <w:rPr>
          <w:rFonts w:hint="eastAsia"/>
          <w:sz w:val="28"/>
          <w:szCs w:val="36"/>
          <w:lang w:val="en-US" w:eastAsia="zh-CN"/>
        </w:rPr>
        <w:t xml:space="preserve">  </w:t>
      </w:r>
      <w:r>
        <w:rPr>
          <w:rFonts w:hint="eastAsia"/>
          <w:sz w:val="28"/>
          <w:szCs w:val="36"/>
        </w:rPr>
        <w:t>供应商须知</w:t>
      </w:r>
      <w:r>
        <w:rPr>
          <w:sz w:val="28"/>
          <w:szCs w:val="36"/>
        </w:rPr>
        <w:tab/>
      </w:r>
      <w:r>
        <w:rPr>
          <w:sz w:val="28"/>
          <w:szCs w:val="36"/>
        </w:rPr>
        <w:fldChar w:fldCharType="begin"/>
      </w:r>
      <w:r>
        <w:rPr>
          <w:sz w:val="28"/>
          <w:szCs w:val="36"/>
        </w:rPr>
        <w:instrText xml:space="preserve"> PAGEREF _Toc23634 \h </w:instrText>
      </w:r>
      <w:r>
        <w:rPr>
          <w:sz w:val="28"/>
          <w:szCs w:val="36"/>
        </w:rPr>
        <w:fldChar w:fldCharType="separate"/>
      </w:r>
      <w:r>
        <w:rPr>
          <w:sz w:val="28"/>
          <w:szCs w:val="36"/>
        </w:rPr>
        <w:t>5</w:t>
      </w:r>
      <w:r>
        <w:rPr>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sz w:val="28"/>
          <w:szCs w:val="36"/>
          <w:lang w:val="en-US"/>
        </w:rPr>
        <w:t xml:space="preserve">第三章 </w:t>
      </w:r>
      <w:r>
        <w:rPr>
          <w:rFonts w:hint="eastAsia"/>
          <w:sz w:val="28"/>
          <w:szCs w:val="36"/>
          <w:lang w:val="zh-CN"/>
        </w:rPr>
        <w:t>采购清单</w:t>
      </w:r>
      <w:r>
        <w:rPr>
          <w:rFonts w:hint="eastAsia"/>
          <w:sz w:val="28"/>
          <w:szCs w:val="36"/>
          <w:lang w:val="en-US" w:eastAsia="zh-CN"/>
        </w:rPr>
        <w:t>及服务要求</w:t>
      </w:r>
      <w:r>
        <w:rPr>
          <w:sz w:val="28"/>
          <w:szCs w:val="36"/>
        </w:rPr>
        <w:tab/>
      </w:r>
      <w:r>
        <w:rPr>
          <w:sz w:val="28"/>
          <w:szCs w:val="36"/>
        </w:rPr>
        <w:fldChar w:fldCharType="begin"/>
      </w:r>
      <w:r>
        <w:rPr>
          <w:sz w:val="28"/>
          <w:szCs w:val="36"/>
        </w:rPr>
        <w:instrText xml:space="preserve"> PAGEREF _Toc14884 \h </w:instrText>
      </w:r>
      <w:r>
        <w:rPr>
          <w:sz w:val="28"/>
          <w:szCs w:val="36"/>
        </w:rPr>
        <w:fldChar w:fldCharType="separate"/>
      </w:r>
      <w:r>
        <w:rPr>
          <w:sz w:val="28"/>
          <w:szCs w:val="36"/>
        </w:rPr>
        <w:t>28</w:t>
      </w:r>
      <w:r>
        <w:rPr>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sz w:val="28"/>
          <w:szCs w:val="36"/>
          <w:lang w:val="zh-CN" w:eastAsia="zh-CN"/>
        </w:rPr>
        <w:t>第四章</w:t>
      </w:r>
      <w:r>
        <w:rPr>
          <w:rFonts w:hint="eastAsia"/>
          <w:sz w:val="28"/>
          <w:szCs w:val="36"/>
          <w:lang w:val="en-US" w:eastAsia="zh-CN"/>
        </w:rPr>
        <w:t xml:space="preserve">  </w:t>
      </w:r>
      <w:r>
        <w:rPr>
          <w:rFonts w:hint="eastAsia"/>
          <w:sz w:val="28"/>
          <w:szCs w:val="36"/>
          <w:lang w:val="zh-CN" w:eastAsia="zh-CN"/>
        </w:rPr>
        <w:t>合同主要条款</w:t>
      </w:r>
      <w:r>
        <w:rPr>
          <w:sz w:val="28"/>
          <w:szCs w:val="36"/>
        </w:rPr>
        <w:tab/>
      </w:r>
      <w:r>
        <w:rPr>
          <w:sz w:val="28"/>
          <w:szCs w:val="36"/>
        </w:rPr>
        <w:fldChar w:fldCharType="begin"/>
      </w:r>
      <w:r>
        <w:rPr>
          <w:sz w:val="28"/>
          <w:szCs w:val="36"/>
        </w:rPr>
        <w:instrText xml:space="preserve"> PAGEREF _Toc11984 \h </w:instrText>
      </w:r>
      <w:r>
        <w:rPr>
          <w:sz w:val="28"/>
          <w:szCs w:val="36"/>
        </w:rPr>
        <w:fldChar w:fldCharType="separate"/>
      </w:r>
      <w:r>
        <w:rPr>
          <w:sz w:val="28"/>
          <w:szCs w:val="36"/>
        </w:rPr>
        <w:t>29</w:t>
      </w:r>
      <w:r>
        <w:rPr>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eastAsia="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sz w:val="28"/>
          <w:szCs w:val="36"/>
          <w:lang w:val="zh-CN"/>
        </w:rPr>
        <w:t>第五章</w:t>
      </w:r>
      <w:r>
        <w:rPr>
          <w:rFonts w:hint="eastAsia"/>
          <w:sz w:val="28"/>
          <w:szCs w:val="36"/>
        </w:rPr>
        <w:t xml:space="preserve">  </w:t>
      </w:r>
      <w:r>
        <w:rPr>
          <w:rFonts w:hint="eastAsia"/>
          <w:sz w:val="28"/>
          <w:szCs w:val="36"/>
          <w:lang w:val="zh-CN"/>
        </w:rPr>
        <w:t>磋商响应文件格式</w:t>
      </w:r>
      <w:r>
        <w:rPr>
          <w:sz w:val="28"/>
          <w:szCs w:val="36"/>
        </w:rPr>
        <w:tab/>
      </w:r>
      <w:r>
        <w:rPr>
          <w:rFonts w:hint="eastAsia"/>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吴起县2024年度集体土地所有权确权登记成果更新工作采购项目</w:t>
      </w:r>
      <w:r>
        <w:rPr>
          <w:rFonts w:hint="eastAsia" w:ascii="微软雅黑" w:hAnsi="微软雅黑" w:eastAsia="微软雅黑" w:cs="微软雅黑"/>
          <w:i w:val="0"/>
          <w:iCs w:val="0"/>
          <w:caps w:val="0"/>
          <w:color w:val="000000"/>
          <w:spacing w:val="0"/>
          <w:sz w:val="21"/>
          <w:szCs w:val="21"/>
          <w:shd w:val="clear" w:color="auto" w:fill="FFFFFF"/>
        </w:rPr>
        <w:t>采购项目的潜在供应商应在延安市吴起县陈蒿湾石油小区门面房 A（2）4-1 四楼华春公司获取采购文件，并于</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 202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03</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日 </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10</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时00分 </w:t>
      </w:r>
      <w:r>
        <w:rPr>
          <w:rFonts w:hint="eastAsia" w:ascii="微软雅黑" w:hAnsi="微软雅黑" w:eastAsia="微软雅黑" w:cs="微软雅黑"/>
          <w:i w:val="0"/>
          <w:iCs w:val="0"/>
          <w:caps w:val="0"/>
          <w:color w:val="000000"/>
          <w:spacing w:val="0"/>
          <w:sz w:val="21"/>
          <w:szCs w:val="21"/>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w:t>
      </w:r>
      <w:r>
        <w:rPr>
          <w:rFonts w:hint="eastAsia" w:ascii="微软雅黑" w:hAnsi="微软雅黑" w:eastAsia="微软雅黑" w:cs="微软雅黑"/>
          <w:i w:val="0"/>
          <w:iCs w:val="0"/>
          <w:caps w:val="0"/>
          <w:color w:val="000000"/>
          <w:spacing w:val="0"/>
          <w:sz w:val="21"/>
          <w:szCs w:val="21"/>
          <w:shd w:val="clear" w:color="auto" w:fill="FFFFFF"/>
          <w:lang w:eastAsia="zh-CN"/>
        </w:rPr>
        <w:t>HC-ZFCG-2025-016</w:t>
      </w:r>
    </w:p>
    <w:p w14:paraId="72CEFA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吴起县2024年度集体土地所有权确权登记成果更新工作采购项目</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eastAsia="zh-CN"/>
        </w:rPr>
        <w:t>524000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吴起县2024年度集体土地所有权确权登记成果更新工作采购项目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eastAsia="zh-CN"/>
        </w:rPr>
        <w:t>524000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合同包最高限价：</w:t>
      </w:r>
      <w:r>
        <w:rPr>
          <w:rFonts w:hint="eastAsia" w:ascii="微软雅黑" w:hAnsi="微软雅黑" w:eastAsia="微软雅黑" w:cs="微软雅黑"/>
          <w:i w:val="0"/>
          <w:iCs w:val="0"/>
          <w:caps w:val="0"/>
          <w:color w:val="333333"/>
          <w:spacing w:val="0"/>
          <w:sz w:val="21"/>
          <w:szCs w:val="21"/>
          <w:shd w:val="clear" w:fill="FFFFFF"/>
          <w:lang w:eastAsia="zh-CN"/>
        </w:rPr>
        <w:t>524000</w:t>
      </w:r>
      <w:r>
        <w:rPr>
          <w:rFonts w:ascii="微软雅黑" w:hAnsi="微软雅黑" w:eastAsia="微软雅黑" w:cs="微软雅黑"/>
          <w:i w:val="0"/>
          <w:iCs w:val="0"/>
          <w:caps w:val="0"/>
          <w:color w:val="333333"/>
          <w:spacing w:val="0"/>
          <w:sz w:val="21"/>
          <w:szCs w:val="21"/>
          <w:shd w:val="clear" w:fill="FFFFFF"/>
        </w:rPr>
        <w:t>.00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吴起县2024年度集体土地所有权确权登记成果更新工作采购项目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eastAsia="zh-CN"/>
              </w:rPr>
              <w:t>524000</w:t>
            </w:r>
            <w:r>
              <w:rPr>
                <w:rFonts w:ascii="微软雅黑" w:hAnsi="微软雅黑" w:eastAsia="微软雅黑" w:cs="微软雅黑"/>
                <w:i w:val="0"/>
                <w:iCs w:val="0"/>
                <w:caps w:val="0"/>
                <w:color w:val="333333"/>
                <w:spacing w:val="0"/>
                <w:sz w:val="21"/>
                <w:szCs w:val="21"/>
                <w:shd w:val="clear" w:fill="FFFFFF"/>
              </w:rPr>
              <w:t>.00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eastAsia="zh-CN"/>
              </w:rPr>
              <w:t>524000</w:t>
            </w:r>
            <w:r>
              <w:rPr>
                <w:rFonts w:ascii="微软雅黑" w:hAnsi="微软雅黑" w:eastAsia="微软雅黑" w:cs="微软雅黑"/>
                <w:i w:val="0"/>
                <w:iCs w:val="0"/>
                <w:caps w:val="0"/>
                <w:color w:val="333333"/>
                <w:spacing w:val="0"/>
                <w:sz w:val="21"/>
                <w:szCs w:val="21"/>
                <w:shd w:val="clear" w:fill="FFFFFF"/>
              </w:rPr>
              <w:t>.00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eastAsia="zh-CN"/>
        </w:rPr>
        <w:t>自合同签订之日起1年</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吴起县2024年度集体土地所有权确权登记成果更新工作采购项目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吴起县2024年度集体土地所有权确权登记成果更新工作采购项目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0EA0C79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（4）供应商须具备测绘主管部门颁发的测绘乙级以上（含乙级）资质和土地规划乙级以上（含乙级）</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拟派项目负责人须具有注册测绘师资格或具备测绘、地理信息、土地资源管理等相关专业的中级及以上职称；</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w:t>
      </w:r>
      <w:r>
        <w:rPr>
          <w:rFonts w:hint="eastAsia" w:ascii="微软雅黑" w:hAnsi="微软雅黑" w:eastAsia="微软雅黑" w:cs="微软雅黑"/>
          <w:i w:val="0"/>
          <w:iCs w:val="0"/>
          <w:caps w:val="0"/>
          <w:color w:val="333333"/>
          <w:spacing w:val="0"/>
          <w:sz w:val="21"/>
          <w:szCs w:val="21"/>
          <w:shd w:val="clear" w:fill="FFFFFF"/>
          <w:lang w:eastAsia="zh-CN"/>
        </w:rPr>
        <w:t>2023或2024年</w:t>
      </w:r>
      <w:r>
        <w:rPr>
          <w:rFonts w:hint="eastAsia" w:ascii="微软雅黑" w:hAnsi="微软雅黑" w:eastAsia="微软雅黑" w:cs="微软雅黑"/>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2025年05月2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2</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w:t>
      </w:r>
      <w:r>
        <w:rPr>
          <w:rFonts w:hint="eastAsia" w:ascii="微软雅黑" w:hAnsi="微软雅黑" w:eastAsia="微软雅黑" w:cs="微软雅黑"/>
          <w:i w:val="0"/>
          <w:iCs w:val="0"/>
          <w:caps w:val="0"/>
          <w:color w:val="000000"/>
          <w:spacing w:val="0"/>
          <w:sz w:val="21"/>
          <w:szCs w:val="21"/>
          <w:highlight w:val="none"/>
          <w:shd w:val="clear" w:color="auto" w:fill="FFFFFF"/>
        </w:rPr>
        <w:t>至</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2025年05月2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8</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w:t>
      </w:r>
      <w:r>
        <w:rPr>
          <w:rFonts w:hint="eastAsia" w:ascii="微软雅黑" w:hAnsi="微软雅黑" w:eastAsia="微软雅黑" w:cs="微软雅黑"/>
          <w:i w:val="0"/>
          <w:iCs w:val="0"/>
          <w:caps w:val="0"/>
          <w:color w:val="000000"/>
          <w:spacing w:val="0"/>
          <w:sz w:val="21"/>
          <w:szCs w:val="21"/>
          <w:highlight w:val="none"/>
          <w:shd w:val="clear" w:color="auto" w:fill="FFFFFF"/>
        </w:rPr>
        <w:t>，每天上午08:00:00至12:00:00，下午12:00:00至17:00:00</w:t>
      </w:r>
      <w:r>
        <w:rPr>
          <w:rFonts w:hint="eastAsia" w:ascii="微软雅黑" w:hAnsi="微软雅黑" w:eastAsia="微软雅黑" w:cs="微软雅黑"/>
          <w:i w:val="0"/>
          <w:iCs w:val="0"/>
          <w:caps w:val="0"/>
          <w:color w:val="000000"/>
          <w:spacing w:val="0"/>
          <w:sz w:val="21"/>
          <w:szCs w:val="21"/>
          <w:shd w:val="clear" w:color="auto" w:fill="FFFFFF"/>
        </w:rPr>
        <w:t>（北京时间）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06</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03</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日10时00分00秒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2025年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06</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03</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日10时00分00秒</w:t>
      </w:r>
      <w:r>
        <w:rPr>
          <w:rFonts w:hint="eastAsia" w:ascii="微软雅黑" w:hAnsi="微软雅黑" w:eastAsia="微软雅黑" w:cs="微软雅黑"/>
          <w:i w:val="0"/>
          <w:iCs w:val="0"/>
          <w:caps w:val="0"/>
          <w:color w:val="000000"/>
          <w:spacing w:val="0"/>
          <w:sz w:val="21"/>
          <w:szCs w:val="21"/>
          <w:shd w:val="clear" w:color="auto" w:fill="FFFFFF"/>
        </w:rPr>
        <w:t>（北京时间）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联系方式：19909111139</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3634"/>
      <w:bookmarkStart w:id="2" w:name="_Toc25499"/>
      <w:r>
        <w:rPr>
          <w:rFonts w:hint="eastAsia"/>
          <w:color w:val="auto"/>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侯</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电话：19909111139</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524000.00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自合同签订之日起1年</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日10时00分00秒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Style w:val="47"/>
                <w:rFonts w:hint="eastAsia"/>
                <w:lang w:val="en-US" w:eastAsia="zh-CN"/>
              </w:rPr>
              <w:t>5000</w:t>
            </w:r>
            <w:r>
              <w:rPr>
                <w:rFonts w:hint="eastAsia" w:ascii="宋体" w:hAnsi="宋体" w:eastAsia="宋体" w:cs="宋体"/>
                <w:color w:val="auto"/>
                <w:kern w:val="0"/>
                <w:sz w:val="24"/>
                <w:szCs w:val="24"/>
                <w:highlight w:val="none"/>
                <w:shd w:val="clear" w:color="auto" w:fill="auto"/>
                <w:lang w:val="en-US" w:eastAsia="zh-CN"/>
              </w:rPr>
              <w:t>.00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伍仟元整</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转账备注：吴起县2024年度集体土地所有权确权登记成果更新工作采购项目磋商保证金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tabs>
          <w:tab w:val="left" w:pos="5252"/>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val="en-US" w:eastAsia="zh-CN"/>
        </w:rPr>
        <w:tab/>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合同包1(吴起县2024年度集体土地所有权确权登记成果更新工作采购项目)落实政府采购政策需满足的资格要求如下:</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合同包1(吴起县2024年度集体土地所有权确权登记成果更新工作采购项目)特定资格要求如下: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测绘主管部门颁发的测绘乙级以上（含乙级）资质和土地规划乙级以上（含乙级），拟派项目负责人须具有注册测绘师资格或具备测绘、地理信息、土地资源管理等相关专业的中级及以上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吴起县2024年度集体土地所有权确权登记成果更新工作采购项目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6503A6A3">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供应商须具备测绘主管部门颁发的测绘乙级以上（含乙级）资质和土地规划乙级以上（含乙级），拟派项目负责人须具有注册测绘师资格或具备测绘、地理信息、土地资源管理等相关专业的中级及以上职称；</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03E3F156">
      <w:pPr>
        <w:kinsoku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本项目专门面向中小企业采购，供应商须为中型、小型、微型企业，并提供《中小企业声明函》（采购标的对应所属行业为其他未列明行业，声明函格式按照《政府采购促进中小企业发展管理办法》（财库〔2020〕46 号）要求提供）。</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5000.00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伍仟元整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吴起县2024年度集体土地所有权确权登记成果更新工作采购项目磋商保证金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cs="宋体" w:eastAsiaTheme="minorEastAsia"/>
                <w:color w:val="auto"/>
                <w:sz w:val="24"/>
                <w:szCs w:val="24"/>
                <w:lang w:val="en-US" w:eastAsia="zh-CN"/>
              </w:rPr>
            </w:pPr>
            <w:r>
              <w:rPr>
                <w:rFonts w:hint="eastAsia" w:hAnsi="宋体" w:cs="宋体"/>
                <w:color w:val="auto"/>
                <w:sz w:val="24"/>
                <w:lang w:eastAsia="zh-CN" w:bidi="ar"/>
              </w:rPr>
              <w:t>财务状况及基本账户</w:t>
            </w:r>
            <w:r>
              <w:rPr>
                <w:rFonts w:hint="eastAsia" w:ascii="宋体" w:hAnsi="宋体" w:cs="宋体"/>
                <w:color w:val="auto"/>
                <w:sz w:val="24"/>
                <w:lang w:bidi="ar"/>
              </w:rPr>
              <w:t>开户许可证</w:t>
            </w:r>
            <w:r>
              <w:rPr>
                <w:rFonts w:hint="eastAsia" w:ascii="宋体" w:hAnsi="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eastAsia="zh-CN"/>
              </w:rPr>
              <w:t>2023或2024年</w:t>
            </w:r>
            <w:r>
              <w:rPr>
                <w:rFonts w:hint="eastAsia" w:ascii="宋体" w:hAnsi="宋体" w:eastAsia="宋体" w:cs="宋体"/>
                <w:color w:val="auto"/>
                <w:sz w:val="24"/>
                <w:szCs w:val="24"/>
              </w:rPr>
              <w:t>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797" w:type="dxa"/>
            <w:vAlign w:val="center"/>
          </w:tcPr>
          <w:p w14:paraId="08BD086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447311E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具备测绘主管部门颁发的测绘乙级以上（含乙级）资质和土地规划乙级以上（含乙级）</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439EE8C">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具有注册测绘师资格或具备测绘、地理信息、土地资源管理等相关专业的中级及以上职称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21266719">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r w14:paraId="4024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797" w:type="dxa"/>
            <w:vAlign w:val="center"/>
          </w:tcPr>
          <w:p w14:paraId="649131E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2408" w:type="dxa"/>
            <w:vAlign w:val="center"/>
          </w:tcPr>
          <w:p w14:paraId="372D904C">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中小企业声明函</w:t>
            </w:r>
          </w:p>
        </w:tc>
        <w:tc>
          <w:tcPr>
            <w:tcW w:w="5355" w:type="dxa"/>
            <w:vAlign w:val="center"/>
          </w:tcPr>
          <w:p w14:paraId="1C39789E">
            <w:pPr>
              <w:jc w:val="both"/>
              <w:rPr>
                <w:rFonts w:hint="eastAsia" w:ascii="宋体" w:hAnsi="宋体" w:eastAsia="宋体" w:cs="宋体"/>
                <w:color w:val="auto"/>
                <w:sz w:val="24"/>
                <w:szCs w:val="24"/>
              </w:rPr>
            </w:pPr>
            <w:r>
              <w:rPr>
                <w:rFonts w:hint="eastAsia" w:ascii="微软雅黑" w:hAnsi="微软雅黑" w:eastAsia="微软雅黑" w:cs="微软雅黑"/>
                <w:i w:val="0"/>
                <w:iCs w:val="0"/>
                <w:caps w:val="0"/>
                <w:color w:val="333333"/>
                <w:spacing w:val="0"/>
                <w:sz w:val="21"/>
                <w:szCs w:val="21"/>
                <w:shd w:val="clear" w:fill="FFFFFF"/>
              </w:rPr>
              <w:t>本项目专门面向中小企业采购，供应商须为中型、小型、微型企业，并提供《中小企业声明函》（采购标的对应所属行业为其他未列明行业，声明函格式按照《政府采购促进中小企业发展管理办法》（财库〔2020〕46 号）要求提供）。</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楷体"/>
                <w:color w:val="auto"/>
                <w:sz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勘测、制图等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cstheme="minorBidi"/>
                <w:color w:val="auto"/>
                <w:kern w:val="2"/>
                <w:sz w:val="24"/>
                <w:szCs w:val="24"/>
                <w:highlight w:val="none"/>
                <w:lang w:val="en-US" w:eastAsia="zh-CN" w:bidi="ar-SA"/>
              </w:rPr>
              <w:br w:type="textWrapping"/>
            </w:r>
            <w:r>
              <w:rPr>
                <w:rFonts w:hint="eastAsia" w:ascii="宋体" w:hAnsi="宋体" w:cstheme="minorBidi"/>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Theme="minorEastAsia" w:cstheme="minorBidi"/>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center"/>
              <w:rPr>
                <w:rFonts w:hint="eastAsia" w:ascii="宋体" w:hAnsi="宋体" w:cstheme="minorBidi"/>
                <w:color w:val="auto"/>
                <w:kern w:val="2"/>
                <w:sz w:val="24"/>
                <w:szCs w:val="24"/>
                <w:highlight w:val="none"/>
                <w:lang w:val="en-US" w:eastAsia="zh-CN" w:bidi="ar-SA"/>
              </w:rPr>
            </w:pPr>
            <w:r>
              <w:rPr>
                <w:rFonts w:hint="eastAsia" w:ascii="宋体" w:hAnsi="宋体" w:cstheme="minorBidi"/>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w:t>
      </w:r>
      <w:bookmarkStart w:id="48" w:name="_GoBack"/>
      <w:bookmarkEnd w:id="48"/>
      <w:r>
        <w:rPr>
          <w:rFonts w:hint="eastAsia" w:ascii="宋体" w:hAnsi="宋体" w:eastAsia="宋体" w:cs="宋体"/>
          <w:color w:val="auto"/>
          <w:sz w:val="24"/>
          <w:szCs w:val="24"/>
          <w:highlight w:val="none"/>
        </w:rPr>
        <w:t>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368E609F">
      <w:pPr>
        <w:pStyle w:val="32"/>
        <w:rPr>
          <w:rFonts w:hint="eastAsia" w:ascii="宋体" w:hAnsi="宋体" w:eastAsia="宋体" w:cs="宋体"/>
          <w:color w:val="auto"/>
          <w:sz w:val="24"/>
          <w:szCs w:val="24"/>
          <w:highlight w:val="none"/>
        </w:rPr>
      </w:pPr>
    </w:p>
    <w:p w14:paraId="41AE7112">
      <w:pPr>
        <w:pStyle w:val="32"/>
        <w:rPr>
          <w:rFonts w:hint="eastAsia" w:ascii="宋体" w:hAnsi="宋体" w:eastAsia="宋体" w:cs="宋体"/>
          <w:color w:val="auto"/>
          <w:sz w:val="24"/>
          <w:szCs w:val="24"/>
          <w:highlight w:val="none"/>
        </w:rPr>
      </w:pPr>
    </w:p>
    <w:p w14:paraId="56438106">
      <w:pPr>
        <w:pStyle w:val="2"/>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16C163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eastAsia="zh-CN"/>
        </w:rPr>
      </w:pPr>
      <w:bookmarkStart w:id="4" w:name="_Toc27404"/>
      <w:bookmarkStart w:id="5" w:name="_Toc1848"/>
      <w:bookmarkStart w:id="6" w:name="_Toc24816"/>
      <w:bookmarkStart w:id="7" w:name="_Toc16998"/>
      <w:bookmarkStart w:id="8" w:name="_Toc30864"/>
      <w:bookmarkStart w:id="9" w:name="_Toc30180"/>
      <w:bookmarkStart w:id="10" w:name="_Toc25179"/>
      <w:bookmarkStart w:id="11" w:name="_Toc255573137"/>
      <w:r>
        <w:rPr>
          <w:rFonts w:hint="eastAsia" w:ascii="宋体" w:hAnsi="宋体" w:eastAsia="宋体" w:cs="宋体"/>
          <w:b/>
          <w:bCs/>
          <w:sz w:val="24"/>
          <w:szCs w:val="24"/>
          <w:highlight w:val="none"/>
          <w:lang w:eastAsia="zh-CN"/>
        </w:rPr>
        <w:t>服务内容</w:t>
      </w:r>
    </w:p>
    <w:p w14:paraId="34038BFD">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根据《陕西省自然资源厅办公室关于进一步应用集体土地所有权确权登记成果开展权属审核的通知》（陕自然资办发〔2024〕93号）工作安排，本次招标要求供应商围绕吴起县集体土地所有权登记工作，开展一系列技术服务。需严格依照《不动产登记数据库标准》等相关规范，全面梳理现有成果，搭建完善集体土地所有权登记数据库，清晰呈现土地权属、界址、面积等信息，生成精准地籍图。对发生变化的集体土地所有权，及时开展补充地籍调查，借助不动产登记系统完成变更、转移、注销等登记业务。完成更新后，按县级单位整理成果与地籍图，离线汇交至上级主管部门，并确保成果纳入省级不动产登记数据库。自2024年起，构建“日常 + 定期”更新机制。日常依据土地征收批准文件等及时登记；定期结合年度国土变更调查，核实完善成果，维持其现势性与准确性。在自然资源管理业务环节，充分运用登记成果开展土地权属审核，为吴起县自然资源管理提供坚实数据支撑 。</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二</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t>自合同签订之日起1年</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color w:val="auto"/>
          <w:lang w:val="zh-CN" w:eastAsia="zh-CN"/>
        </w:rPr>
      </w:pP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7339"/>
      <w:bookmarkStart w:id="14" w:name="_Toc31452"/>
      <w:bookmarkStart w:id="15" w:name="_Toc25239"/>
      <w:bookmarkStart w:id="16" w:name="_Toc17776"/>
      <w:bookmarkStart w:id="17" w:name="_Toc26448"/>
      <w:bookmarkStart w:id="18" w:name="_Toc20285"/>
      <w:bookmarkStart w:id="19" w:name="_Toc5971"/>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eastAsiaTheme="minorEastAsia" w:cstheme="minorEastAsia"/>
          <w:spacing w:val="17"/>
          <w:sz w:val="24"/>
          <w:szCs w:val="24"/>
          <w:lang w:val="en-US" w:eastAsia="zh-CN"/>
        </w:rPr>
        <w:t>吴起县自然资源局</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eastAsiaTheme="minorEastAsia" w:cstheme="minorEastAsia"/>
          <w:spacing w:val="17"/>
          <w:sz w:val="24"/>
          <w:szCs w:val="24"/>
          <w:lang w:val="en-US" w:eastAsia="zh-CN"/>
        </w:rPr>
        <w:t>吴起县自然资源局（以下简称甲方）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2"/>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3D8BF5D">
      <w:pPr>
        <w:spacing w:line="360" w:lineRule="auto"/>
        <w:jc w:val="center"/>
        <w:rPr>
          <w:rFonts w:hint="eastAsia" w:ascii="微软雅黑" w:hAnsi="微软雅黑" w:eastAsia="微软雅黑" w:cs="微软雅黑"/>
          <w:b w:val="0"/>
          <w:bCs/>
          <w:color w:val="auto"/>
          <w:sz w:val="48"/>
          <w:szCs w:val="48"/>
          <w:highlight w:val="none"/>
        </w:rPr>
      </w:pPr>
      <w:r>
        <w:rPr>
          <w:rFonts w:hint="eastAsia" w:ascii="微软雅黑" w:hAnsi="微软雅黑" w:eastAsia="微软雅黑" w:cs="微软雅黑"/>
          <w:b w:val="0"/>
          <w:bCs/>
          <w:color w:val="auto"/>
          <w:sz w:val="48"/>
          <w:szCs w:val="48"/>
          <w:highlight w:val="none"/>
          <w:lang w:val="en-US" w:eastAsia="zh-CN"/>
        </w:rPr>
        <w:t>吴起县2024年度集体土地所有权确权登记成果更新工作采购项目</w:t>
      </w:r>
    </w:p>
    <w:p w14:paraId="5DD61AF0">
      <w:pPr>
        <w:spacing w:line="360" w:lineRule="auto"/>
        <w:jc w:val="both"/>
        <w:rPr>
          <w:rFonts w:hint="eastAsia" w:ascii="宋体" w:hAnsi="宋体" w:eastAsia="宋体" w:cs="宋体"/>
          <w:b/>
          <w:bCs w:val="0"/>
          <w:color w:val="auto"/>
          <w:spacing w:val="4"/>
          <w:sz w:val="52"/>
          <w:szCs w:val="52"/>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HC-ZFCG-2025-016</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rPr>
      </w:pPr>
    </w:p>
    <w:p w14:paraId="47AF6983">
      <w:pPr>
        <w:pStyle w:val="17"/>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01637983"/>
            <w:bookmarkStart w:id="24" w:name="_Toc214090951"/>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01637985"/>
            <w:bookmarkStart w:id="28" w:name="_Toc214090953"/>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01637988"/>
            <w:bookmarkStart w:id="34" w:name="_Toc214090956"/>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01637989"/>
            <w:bookmarkStart w:id="36" w:name="_Toc214090957"/>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lang w:val="en-US" w:eastAsia="zh-CN"/>
        </w:rPr>
      </w:pPr>
      <w:r>
        <w:rPr>
          <w:rFonts w:hint="eastAsia"/>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highlight w:val="none"/>
          <w:lang w:val="en-US" w:eastAsia="zh-CN"/>
        </w:rPr>
        <w:t>（3）供应商须具备测绘主管部门颁发的测绘乙级以上（含乙级）资质和土地规划乙级以上（含乙级），拟派项目负责人须具有注册测绘师资格或具备测绘、地理信息、土地资源管理等相关专业的中级及以上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17"/>
        <w:widowControl w:val="0"/>
        <w:numPr>
          <w:ilvl w:val="0"/>
          <w:numId w:val="0"/>
        </w:numPr>
        <w:spacing w:after="120" w:afterLines="0" w:line="480" w:lineRule="auto"/>
        <w:jc w:val="both"/>
        <w:rPr>
          <w:rFonts w:hint="eastAsia"/>
          <w:lang w:val="en-US" w:eastAsia="zh-CN"/>
        </w:rPr>
      </w:pPr>
    </w:p>
    <w:p w14:paraId="4E546540">
      <w:pPr>
        <w:pStyle w:val="17"/>
        <w:widowControl w:val="0"/>
        <w:numPr>
          <w:ilvl w:val="0"/>
          <w:numId w:val="0"/>
        </w:numPr>
        <w:spacing w:after="120" w:afterLines="0" w:line="480" w:lineRule="auto"/>
        <w:jc w:val="both"/>
        <w:rPr>
          <w:rFonts w:hint="eastAsia"/>
          <w:lang w:val="en-US" w:eastAsia="zh-CN"/>
        </w:rPr>
      </w:pPr>
    </w:p>
    <w:p w14:paraId="2D56F32C">
      <w:pPr>
        <w:pStyle w:val="17"/>
        <w:widowControl w:val="0"/>
        <w:numPr>
          <w:ilvl w:val="0"/>
          <w:numId w:val="0"/>
        </w:numPr>
        <w:spacing w:after="120" w:afterLines="0" w:line="480" w:lineRule="auto"/>
        <w:jc w:val="both"/>
        <w:rPr>
          <w:rFonts w:hint="eastAsia"/>
          <w:lang w:val="en-US" w:eastAsia="zh-CN"/>
        </w:rPr>
      </w:pPr>
    </w:p>
    <w:p w14:paraId="7E5FA39B">
      <w:pPr>
        <w:pStyle w:val="17"/>
        <w:widowControl w:val="0"/>
        <w:numPr>
          <w:ilvl w:val="0"/>
          <w:numId w:val="0"/>
        </w:numPr>
        <w:spacing w:after="120" w:afterLines="0" w:line="480" w:lineRule="auto"/>
        <w:jc w:val="both"/>
        <w:rPr>
          <w:rFonts w:hint="eastAsia"/>
          <w:lang w:val="en-US" w:eastAsia="zh-CN"/>
        </w:rPr>
      </w:pPr>
    </w:p>
    <w:p w14:paraId="096D81A3">
      <w:pPr>
        <w:pStyle w:val="17"/>
        <w:widowControl w:val="0"/>
        <w:numPr>
          <w:ilvl w:val="0"/>
          <w:numId w:val="0"/>
        </w:numPr>
        <w:spacing w:after="120" w:afterLines="0" w:line="480" w:lineRule="auto"/>
        <w:jc w:val="both"/>
        <w:rPr>
          <w:rFonts w:hint="eastAsia"/>
          <w:lang w:val="en-US" w:eastAsia="zh-CN"/>
        </w:rPr>
      </w:pPr>
    </w:p>
    <w:p w14:paraId="0111FDBF">
      <w:pPr>
        <w:pStyle w:val="17"/>
        <w:widowControl w:val="0"/>
        <w:numPr>
          <w:ilvl w:val="0"/>
          <w:numId w:val="0"/>
        </w:numPr>
        <w:spacing w:after="120" w:afterLines="0" w:line="480" w:lineRule="auto"/>
        <w:jc w:val="both"/>
        <w:rPr>
          <w:rFonts w:hint="eastAsia"/>
          <w:lang w:val="en-US" w:eastAsia="zh-CN"/>
        </w:rPr>
      </w:pPr>
    </w:p>
    <w:p w14:paraId="17466E6C">
      <w:pPr>
        <w:pStyle w:val="17"/>
        <w:widowControl w:val="0"/>
        <w:numPr>
          <w:ilvl w:val="0"/>
          <w:numId w:val="0"/>
        </w:numPr>
        <w:spacing w:after="120" w:afterLines="0" w:line="480" w:lineRule="auto"/>
        <w:jc w:val="both"/>
        <w:rPr>
          <w:rFonts w:hint="eastAsia"/>
          <w:lang w:val="en-US" w:eastAsia="zh-CN"/>
        </w:rPr>
      </w:pPr>
    </w:p>
    <w:p w14:paraId="6E746004">
      <w:pPr>
        <w:pStyle w:val="17"/>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4AB1D18E">
      <w:pPr>
        <w:spacing w:line="360" w:lineRule="auto"/>
        <w:ind w:firstLine="964" w:firstLineChars="400"/>
        <w:jc w:val="center"/>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rPr>
            </w:pPr>
            <w:r>
              <w:rPr>
                <w:rFonts w:hint="eastAsia" w:ascii="宋体" w:hAnsi="宋体"/>
                <w:color w:val="auto"/>
                <w:sz w:val="28"/>
                <w:szCs w:val="28"/>
              </w:rPr>
              <w:t>用户</w:t>
            </w:r>
          </w:p>
          <w:p w14:paraId="0C8BD832">
            <w:pPr>
              <w:jc w:val="center"/>
              <w:rPr>
                <w:rFonts w:ascii="宋体" w:hAnsi="宋体"/>
                <w:color w:val="auto"/>
                <w:sz w:val="28"/>
                <w:szCs w:val="28"/>
              </w:rPr>
            </w:pPr>
            <w:r>
              <w:rPr>
                <w:rFonts w:hint="eastAsia" w:ascii="宋体" w:hAnsi="宋体"/>
                <w:color w:val="auto"/>
                <w:sz w:val="28"/>
                <w:szCs w:val="28"/>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2F1A319E">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6297_WPSOffice_Level2"/>
      <w:bookmarkStart w:id="41" w:name="_Toc14125_WPSOffice_Level2"/>
      <w:bookmarkStart w:id="42" w:name="_Toc10578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6574_WPSOffice_Level2"/>
      <w:bookmarkStart w:id="44" w:name="_Toc20668_WPSOffice_Level2"/>
      <w:bookmarkStart w:id="45" w:name="_Toc1335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shd w:val="clear" w:color="auto" w:fill="auto"/>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shd w:val="clear" w:color="auto" w:fill="auto"/>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shd w:val="clear" w:color="auto" w:fill="auto"/>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shd w:val="clear" w:color="auto" w:fill="auto"/>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shd w:val="clear" w:color="auto" w:fill="auto"/>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shd w:val="clear" w:color="auto" w:fill="auto"/>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shd w:val="clear" w:color="auto" w:fill="auto"/>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shd w:val="clear" w:color="auto" w:fill="auto"/>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4740"/>
    <w:rsid w:val="04C75C30"/>
    <w:rsid w:val="04D42230"/>
    <w:rsid w:val="04D859D7"/>
    <w:rsid w:val="04E02C97"/>
    <w:rsid w:val="04ED6A73"/>
    <w:rsid w:val="04F70AD0"/>
    <w:rsid w:val="04FC14C7"/>
    <w:rsid w:val="05115DBF"/>
    <w:rsid w:val="0519086C"/>
    <w:rsid w:val="0520325D"/>
    <w:rsid w:val="05340028"/>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793284"/>
    <w:rsid w:val="09957ABD"/>
    <w:rsid w:val="09A07855"/>
    <w:rsid w:val="09A453E0"/>
    <w:rsid w:val="09C83501"/>
    <w:rsid w:val="09F07E4F"/>
    <w:rsid w:val="0A147887"/>
    <w:rsid w:val="0A1C2837"/>
    <w:rsid w:val="0A2A1C4F"/>
    <w:rsid w:val="0A383BA6"/>
    <w:rsid w:val="0A435709"/>
    <w:rsid w:val="0A5926E3"/>
    <w:rsid w:val="0A6939E6"/>
    <w:rsid w:val="0A6940B3"/>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4B67AE"/>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B646C"/>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5673AF"/>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240EAB"/>
    <w:rsid w:val="2C46418A"/>
    <w:rsid w:val="2C473039"/>
    <w:rsid w:val="2C485384"/>
    <w:rsid w:val="2C4C1C05"/>
    <w:rsid w:val="2C4D3C0E"/>
    <w:rsid w:val="2C533D2B"/>
    <w:rsid w:val="2C551A6B"/>
    <w:rsid w:val="2C6A3044"/>
    <w:rsid w:val="2C710C50"/>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1163E"/>
    <w:rsid w:val="2E2D19AE"/>
    <w:rsid w:val="2E760467"/>
    <w:rsid w:val="2E775BCE"/>
    <w:rsid w:val="2E834BA5"/>
    <w:rsid w:val="2E8D1CFC"/>
    <w:rsid w:val="2EB94C49"/>
    <w:rsid w:val="2EC07862"/>
    <w:rsid w:val="2ED2016C"/>
    <w:rsid w:val="2ED353FE"/>
    <w:rsid w:val="2EED309C"/>
    <w:rsid w:val="2EFF4098"/>
    <w:rsid w:val="2F3B28A7"/>
    <w:rsid w:val="2F4759D3"/>
    <w:rsid w:val="2F6A6270"/>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4E3C27"/>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2B408E"/>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5860E5"/>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1458D"/>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27C4A"/>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725DAF"/>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C569B8"/>
    <w:rsid w:val="50E26696"/>
    <w:rsid w:val="50F31AA1"/>
    <w:rsid w:val="510B7A55"/>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C80A51"/>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03B60"/>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5A1E94"/>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27C7"/>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31F72"/>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83D59"/>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60CC4"/>
    <w:rsid w:val="77484441"/>
    <w:rsid w:val="774D0E54"/>
    <w:rsid w:val="77754523"/>
    <w:rsid w:val="77972AD8"/>
    <w:rsid w:val="77A61E98"/>
    <w:rsid w:val="77A86F03"/>
    <w:rsid w:val="77A9027B"/>
    <w:rsid w:val="77B13D57"/>
    <w:rsid w:val="77BF451D"/>
    <w:rsid w:val="77BF5FFA"/>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384885"/>
    <w:rsid w:val="7D464E50"/>
    <w:rsid w:val="7D5745A2"/>
    <w:rsid w:val="7D784C86"/>
    <w:rsid w:val="7D9A2284"/>
    <w:rsid w:val="7DBD11CE"/>
    <w:rsid w:val="7DC42EDA"/>
    <w:rsid w:val="7DE32D8C"/>
    <w:rsid w:val="7DE82687"/>
    <w:rsid w:val="7E017023"/>
    <w:rsid w:val="7E090761"/>
    <w:rsid w:val="7E0B3D48"/>
    <w:rsid w:val="7E0D5D12"/>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next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link w:val="47"/>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character" w:customStyle="1" w:styleId="47">
    <w:name w:val="样式1 Char"/>
    <w:link w:val="34"/>
    <w:qFormat/>
    <w:uiPriority w:val="0"/>
    <w:rPr>
      <w:rFonts w:ascii="宋体" w:hAnsi="宋体"/>
      <w:b/>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15638</Words>
  <Characters>16259</Characters>
  <Lines>0</Lines>
  <Paragraphs>0</Paragraphs>
  <TotalTime>12</TotalTime>
  <ScaleCrop>false</ScaleCrop>
  <LinksUpToDate>false</LinksUpToDate>
  <CharactersWithSpaces>16386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NTKO</cp:lastModifiedBy>
  <cp:lastPrinted>2025-03-10T08:07:00Z</cp:lastPrinted>
  <dcterms:modified xsi:type="dcterms:W3CDTF">2025-06-03T03:57:59Z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eyJoZGlkIjoiOGQ2N2U4ZmJjNTBjMTIyYjYwNTFjZDYwYjE5ODZmN2YiLCJ1c2VySWQiOiIxMjU4Mjc0Mjk3In0=</vt:lpwstr>
  </property>
</Properties>
</file>