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BA39B">
      <w:pPr>
        <w:numPr>
          <w:ilvl w:val="-1"/>
          <w:numId w:val="0"/>
        </w:numPr>
        <w:spacing w:line="360" w:lineRule="auto"/>
        <w:ind w:firstLine="0" w:firstLineChars="0"/>
        <w:jc w:val="center"/>
        <w:outlineLvl w:val="0"/>
        <w:rPr>
          <w:rFonts w:hint="eastAsia"/>
          <w:lang w:val="en-US" w:eastAsia="zh-CN"/>
        </w:rPr>
      </w:pPr>
      <w:r>
        <w:rPr>
          <w:rStyle w:val="5"/>
          <w:rFonts w:hint="eastAsia" w:ascii="仿宋" w:hAnsi="仿宋" w:eastAsia="仿宋" w:cs="仿宋"/>
          <w:b/>
          <w:color w:val="auto"/>
          <w:kern w:val="2"/>
          <w:sz w:val="44"/>
          <w:szCs w:val="44"/>
          <w:highlight w:val="none"/>
        </w:rPr>
        <w:t>采购内容及技术要求</w:t>
      </w:r>
    </w:p>
    <w:p w14:paraId="34A8640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Cs/>
          <w:color w:val="auto"/>
          <w:sz w:val="24"/>
          <w:szCs w:val="24"/>
          <w:highlight w:val="none"/>
          <w:lang w:eastAsia="zh-CN"/>
        </w:rPr>
      </w:pPr>
      <w:bookmarkStart w:id="0" w:name="_Toc339114187"/>
      <w:bookmarkStart w:id="1" w:name="_Toc331665135"/>
      <w:bookmarkStart w:id="2" w:name="_Toc316486464"/>
      <w:r>
        <w:rPr>
          <w:rFonts w:hint="eastAsia" w:ascii="仿宋" w:hAnsi="仿宋" w:eastAsia="仿宋" w:cs="仿宋"/>
          <w:b/>
          <w:bCs w:val="0"/>
          <w:color w:val="auto"/>
          <w:sz w:val="24"/>
          <w:szCs w:val="24"/>
          <w:highlight w:val="none"/>
          <w:lang w:eastAsia="zh-CN"/>
        </w:rPr>
        <w:t>一、项目名称</w:t>
      </w:r>
      <w:r>
        <w:rPr>
          <w:rFonts w:hint="eastAsia" w:ascii="仿宋" w:hAnsi="仿宋" w:eastAsia="仿宋" w:cs="仿宋"/>
          <w:bCs/>
          <w:color w:val="auto"/>
          <w:sz w:val="24"/>
          <w:szCs w:val="24"/>
          <w:highlight w:val="none"/>
          <w:lang w:eastAsia="zh-CN"/>
        </w:rPr>
        <w:t>：</w:t>
      </w:r>
      <w:r>
        <w:rPr>
          <w:rStyle w:val="5"/>
          <w:rFonts w:hint="eastAsia" w:ascii="仿宋" w:hAnsi="仿宋" w:eastAsia="仿宋"/>
          <w:lang w:val="en-US" w:eastAsia="zh-CN"/>
        </w:rPr>
        <w:t>长庆石化搬迁现场土工布覆盖及建筑垃圾清运项目</w:t>
      </w:r>
      <w:r>
        <w:rPr>
          <w:rFonts w:hint="eastAsia" w:ascii="仿宋" w:hAnsi="仿宋" w:eastAsia="仿宋" w:cs="仿宋"/>
          <w:bCs/>
          <w:color w:val="auto"/>
          <w:sz w:val="24"/>
          <w:szCs w:val="24"/>
          <w:highlight w:val="none"/>
          <w:lang w:eastAsia="zh-CN"/>
        </w:rPr>
        <w:t>。</w:t>
      </w:r>
    </w:p>
    <w:p w14:paraId="3107D46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eastAsia="zh-CN"/>
        </w:rPr>
        <w:t>二、项目地点：</w:t>
      </w:r>
      <w:r>
        <w:rPr>
          <w:rFonts w:hint="eastAsia" w:ascii="仿宋" w:hAnsi="仿宋" w:eastAsia="仿宋" w:cs="仿宋"/>
          <w:b w:val="0"/>
          <w:bCs/>
          <w:color w:val="auto"/>
          <w:sz w:val="24"/>
          <w:szCs w:val="24"/>
          <w:highlight w:val="none"/>
          <w:lang w:val="en-US" w:eastAsia="zh-CN"/>
        </w:rPr>
        <w:t>采</w:t>
      </w:r>
      <w:r>
        <w:rPr>
          <w:rStyle w:val="5"/>
          <w:rFonts w:hint="eastAsia" w:ascii="仿宋" w:hAnsi="仿宋" w:eastAsia="仿宋" w:cs="Times New Roman"/>
          <w:b w:val="0"/>
          <w:bCs/>
          <w:lang w:val="en-US" w:eastAsia="zh-CN"/>
        </w:rPr>
        <w:t>购人指定地点</w:t>
      </w:r>
    </w:p>
    <w:p w14:paraId="29229193">
      <w:pPr>
        <w:keepNext w:val="0"/>
        <w:keepLines w:val="0"/>
        <w:pageBreakBefore w:val="0"/>
        <w:widowControl/>
        <w:kinsoku w:val="0"/>
        <w:wordWrap/>
        <w:overflowPunct/>
        <w:topLinePunct w:val="0"/>
        <w:autoSpaceDE w:val="0"/>
        <w:autoSpaceDN w:val="0"/>
        <w:bidi w:val="0"/>
        <w:adjustRightInd w:val="0"/>
        <w:snapToGrid w:val="0"/>
        <w:spacing w:before="74" w:line="360" w:lineRule="auto"/>
        <w:ind w:left="0" w:right="0" w:firstLine="482" w:firstLineChars="200"/>
        <w:textAlignment w:val="baseline"/>
        <w:rPr>
          <w:rFonts w:hint="eastAsia"/>
        </w:rPr>
      </w:pPr>
      <w:r>
        <w:rPr>
          <w:rFonts w:hint="eastAsia" w:ascii="仿宋" w:hAnsi="仿宋" w:eastAsia="仿宋" w:cs="仿宋"/>
          <w:b/>
          <w:bCs w:val="0"/>
          <w:color w:val="auto"/>
          <w:kern w:val="2"/>
          <w:sz w:val="24"/>
          <w:szCs w:val="24"/>
          <w:highlight w:val="none"/>
          <w:lang w:val="en-US" w:eastAsia="zh-CN" w:bidi="ar-SA"/>
        </w:rPr>
        <w:t>三、项目概况：</w:t>
      </w:r>
      <w:r>
        <w:rPr>
          <w:rFonts w:hint="eastAsia" w:ascii="仿宋" w:hAnsi="仿宋" w:eastAsia="仿宋" w:cs="仿宋"/>
          <w:b w:val="0"/>
          <w:bCs/>
          <w:color w:val="auto"/>
          <w:kern w:val="2"/>
          <w:sz w:val="24"/>
          <w:szCs w:val="24"/>
          <w:highlight w:val="none"/>
          <w:lang w:val="en-US" w:eastAsia="zh-CN" w:bidi="ar-SA"/>
        </w:rPr>
        <w:t>按照西咸新区秦汉新城大气污染治理专项行动领导小组办公室关于各类施工项目、裸露地块网覆盖及环保督办工作要求，我部需对辖区内拆迁工地及储备土地进行全面覆盖。经核查我辖区长庆石化搬迁现场约107亩裸露土地需覆盖及历史遗留建筑垃圾需清运，需购买土工布约2500卷；人工约150人次；建筑垃圾约5500立方米。</w:t>
      </w:r>
    </w:p>
    <w:bookmarkEnd w:id="0"/>
    <w:bookmarkEnd w:id="1"/>
    <w:bookmarkEnd w:id="2"/>
    <w:p w14:paraId="1F948E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firstLineChars="200"/>
        <w:textAlignment w:val="baseline"/>
        <w:rPr>
          <w:rFonts w:hint="eastAsia" w:ascii="仿宋" w:hAnsi="仿宋" w:eastAsia="仿宋" w:cs="仿宋"/>
          <w:b/>
          <w:bCs/>
          <w:color w:val="auto"/>
          <w:spacing w:val="4"/>
          <w:sz w:val="24"/>
          <w:szCs w:val="24"/>
          <w:highlight w:val="none"/>
        </w:rPr>
      </w:pPr>
      <w:r>
        <w:rPr>
          <w:rFonts w:hint="eastAsia" w:ascii="仿宋" w:hAnsi="仿宋" w:eastAsia="仿宋" w:cs="仿宋"/>
          <w:b/>
          <w:bCs/>
          <w:color w:val="auto"/>
          <w:spacing w:val="4"/>
          <w:sz w:val="24"/>
          <w:szCs w:val="24"/>
          <w:highlight w:val="none"/>
          <w:lang w:val="en-US" w:eastAsia="zh-CN"/>
        </w:rPr>
        <w:t>四</w:t>
      </w:r>
      <w:r>
        <w:rPr>
          <w:rFonts w:hint="eastAsia" w:ascii="仿宋" w:hAnsi="仿宋" w:eastAsia="仿宋" w:cs="仿宋"/>
          <w:b/>
          <w:bCs/>
          <w:color w:val="auto"/>
          <w:spacing w:val="4"/>
          <w:sz w:val="24"/>
          <w:szCs w:val="24"/>
          <w:highlight w:val="none"/>
        </w:rPr>
        <w:t>、计划</w:t>
      </w:r>
      <w:r>
        <w:rPr>
          <w:rFonts w:hint="eastAsia" w:ascii="仿宋" w:hAnsi="仿宋" w:eastAsia="仿宋" w:cs="仿宋"/>
          <w:b/>
          <w:bCs/>
          <w:color w:val="auto"/>
          <w:spacing w:val="4"/>
          <w:sz w:val="24"/>
          <w:szCs w:val="24"/>
          <w:highlight w:val="none"/>
          <w:lang w:val="en-US" w:eastAsia="zh-CN"/>
        </w:rPr>
        <w:t>服务期</w:t>
      </w:r>
      <w:r>
        <w:rPr>
          <w:rFonts w:hint="eastAsia" w:ascii="仿宋" w:hAnsi="仿宋" w:eastAsia="仿宋" w:cs="仿宋"/>
          <w:b/>
          <w:bCs/>
          <w:color w:val="auto"/>
          <w:spacing w:val="4"/>
          <w:sz w:val="24"/>
          <w:szCs w:val="24"/>
          <w:highlight w:val="none"/>
        </w:rPr>
        <w:t>及项目实施地点</w:t>
      </w:r>
    </w:p>
    <w:p w14:paraId="65C0B8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(1)计划</w:t>
      </w:r>
      <w:r>
        <w:rPr>
          <w:rFonts w:hint="eastAsia" w:ascii="仿宋" w:hAnsi="仿宋" w:eastAsia="仿宋" w:cs="仿宋"/>
          <w:color w:val="auto"/>
          <w:spacing w:val="4"/>
          <w:sz w:val="24"/>
          <w:szCs w:val="24"/>
          <w:highlight w:val="none"/>
          <w:lang w:val="en-US" w:eastAsia="zh-CN"/>
        </w:rPr>
        <w:t>服务期</w:t>
      </w:r>
      <w:r>
        <w:rPr>
          <w:rFonts w:hint="eastAsia" w:ascii="仿宋" w:hAnsi="仿宋" w:eastAsia="仿宋" w:cs="仿宋"/>
          <w:color w:val="auto"/>
          <w:spacing w:val="4"/>
          <w:sz w:val="24"/>
          <w:szCs w:val="24"/>
          <w:highlight w:val="none"/>
        </w:rPr>
        <w:t>：自合同签订之日起15个日历日。</w:t>
      </w:r>
    </w:p>
    <w:p w14:paraId="2CA0BA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rPr>
        <w:t>(2)项目实施地点：采购人指定地点</w:t>
      </w:r>
      <w:r>
        <w:rPr>
          <w:rFonts w:hint="eastAsia" w:ascii="仿宋" w:hAnsi="仿宋" w:eastAsia="仿宋" w:cs="仿宋"/>
          <w:color w:val="auto"/>
          <w:spacing w:val="4"/>
          <w:sz w:val="24"/>
          <w:szCs w:val="24"/>
          <w:highlight w:val="none"/>
          <w:lang w:eastAsia="zh-CN"/>
        </w:rPr>
        <w:t>。</w:t>
      </w:r>
    </w:p>
    <w:p w14:paraId="36E4C2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firstLineChars="200"/>
        <w:textAlignment w:val="baseline"/>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五、技术需求标准及依据</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5"/>
        <w:gridCol w:w="2446"/>
        <w:gridCol w:w="1481"/>
        <w:gridCol w:w="1483"/>
        <w:gridCol w:w="1484"/>
      </w:tblGrid>
      <w:tr w14:paraId="7B023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953" w:type="pct"/>
            <w:tcBorders>
              <w:tl2br w:val="nil"/>
              <w:tr2bl w:val="nil"/>
            </w:tcBorders>
            <w:noWrap w:val="0"/>
            <w:vAlign w:val="center"/>
          </w:tcPr>
          <w:p w14:paraId="6BCA0472">
            <w:pPr>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产品名称</w:t>
            </w:r>
          </w:p>
        </w:tc>
        <w:tc>
          <w:tcPr>
            <w:tcW w:w="1435" w:type="pct"/>
            <w:tcBorders>
              <w:tl2br w:val="nil"/>
              <w:tr2bl w:val="nil"/>
            </w:tcBorders>
            <w:noWrap w:val="0"/>
            <w:vAlign w:val="center"/>
          </w:tcPr>
          <w:p w14:paraId="7AE71F62">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Style w:val="6"/>
                <w:rFonts w:hint="eastAsia" w:ascii="仿宋" w:hAnsi="仿宋" w:eastAsia="仿宋" w:cs="仿宋"/>
                <w:b/>
                <w:bCs/>
                <w:sz w:val="24"/>
                <w:szCs w:val="24"/>
                <w:lang w:val="en-US" w:eastAsia="zh-CN" w:bidi="ar"/>
              </w:rPr>
              <w:t>规格</w:t>
            </w:r>
          </w:p>
        </w:tc>
        <w:tc>
          <w:tcPr>
            <w:tcW w:w="869" w:type="pct"/>
            <w:tcBorders>
              <w:tl2br w:val="nil"/>
              <w:tr2bl w:val="nil"/>
            </w:tcBorders>
            <w:noWrap w:val="0"/>
            <w:vAlign w:val="center"/>
          </w:tcPr>
          <w:p w14:paraId="366CBA98">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材质</w:t>
            </w:r>
          </w:p>
        </w:tc>
        <w:tc>
          <w:tcPr>
            <w:tcW w:w="870" w:type="pct"/>
            <w:tcBorders>
              <w:tl2br w:val="nil"/>
              <w:tr2bl w:val="nil"/>
            </w:tcBorders>
            <w:noWrap w:val="0"/>
            <w:vAlign w:val="center"/>
          </w:tcPr>
          <w:p w14:paraId="2F306A10">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单价最高限价（元）</w:t>
            </w:r>
          </w:p>
        </w:tc>
        <w:tc>
          <w:tcPr>
            <w:tcW w:w="870" w:type="pct"/>
            <w:tcBorders>
              <w:tl2br w:val="nil"/>
              <w:tr2bl w:val="nil"/>
            </w:tcBorders>
            <w:noWrap w:val="0"/>
            <w:vAlign w:val="center"/>
          </w:tcPr>
          <w:p w14:paraId="43D6CE46">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单位</w:t>
            </w:r>
          </w:p>
        </w:tc>
      </w:tr>
      <w:tr w14:paraId="6F22C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953" w:type="pct"/>
            <w:tcBorders>
              <w:tl2br w:val="nil"/>
              <w:tr2bl w:val="nil"/>
            </w:tcBorders>
            <w:shd w:val="clear" w:color="auto" w:fill="auto"/>
            <w:noWrap w:val="0"/>
            <w:vAlign w:val="center"/>
          </w:tcPr>
          <w:p w14:paraId="168AC6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rPr>
              <w:t>土工布</w:t>
            </w:r>
          </w:p>
        </w:tc>
        <w:tc>
          <w:tcPr>
            <w:tcW w:w="1435" w:type="pct"/>
            <w:tcBorders>
              <w:tl2br w:val="nil"/>
              <w:tr2bl w:val="nil"/>
            </w:tcBorders>
            <w:shd w:val="clear" w:color="auto" w:fill="auto"/>
            <w:noWrap w:val="0"/>
            <w:vAlign w:val="center"/>
          </w:tcPr>
          <w:p w14:paraId="6DF9D745">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bidi="ar-SA"/>
              </w:rPr>
              <w:t>3*30m，厚度2mm</w:t>
            </w:r>
          </w:p>
        </w:tc>
        <w:tc>
          <w:tcPr>
            <w:tcW w:w="869" w:type="pct"/>
            <w:tcBorders>
              <w:tl2br w:val="nil"/>
              <w:tr2bl w:val="nil"/>
            </w:tcBorders>
            <w:shd w:val="clear" w:color="auto" w:fill="auto"/>
            <w:noWrap w:val="0"/>
            <w:vAlign w:val="center"/>
          </w:tcPr>
          <w:p w14:paraId="27DA6330">
            <w:pPr>
              <w:keepNext w:val="0"/>
              <w:keepLines w:val="0"/>
              <w:widowControl/>
              <w:suppressLineNumbers w:val="0"/>
              <w:jc w:val="center"/>
              <w:textAlignment w:val="top"/>
              <w:rPr>
                <w:rFonts w:hint="eastAsia" w:ascii="仿宋" w:hAnsi="仿宋" w:eastAsia="仿宋" w:cs="仿宋"/>
                <w:b w:val="0"/>
                <w:bCs w:val="0"/>
                <w:color w:val="auto"/>
                <w:sz w:val="24"/>
                <w:szCs w:val="24"/>
                <w:highlight w:val="none"/>
                <w:lang w:val="en-US" w:eastAsia="zh-CN" w:bidi="ar-SA"/>
              </w:rPr>
            </w:pPr>
            <w:r>
              <w:rPr>
                <w:rFonts w:hint="default" w:ascii="仿宋" w:hAnsi="仿宋" w:eastAsia="仿宋" w:cs="仿宋"/>
                <w:b w:val="0"/>
                <w:bCs/>
                <w:color w:val="auto"/>
                <w:kern w:val="2"/>
                <w:sz w:val="24"/>
                <w:szCs w:val="24"/>
                <w:highlight w:val="none"/>
                <w:lang w:val="en-US" w:eastAsia="zh-CN" w:bidi="ar-SA"/>
              </w:rPr>
              <w:t>聚酯纤维覆盖</w:t>
            </w:r>
          </w:p>
        </w:tc>
        <w:tc>
          <w:tcPr>
            <w:tcW w:w="870" w:type="pct"/>
            <w:tcBorders>
              <w:tl2br w:val="nil"/>
              <w:tr2bl w:val="nil"/>
            </w:tcBorders>
            <w:shd w:val="clear" w:color="auto" w:fill="auto"/>
            <w:noWrap w:val="0"/>
            <w:vAlign w:val="center"/>
          </w:tcPr>
          <w:p w14:paraId="1B1F16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69</w:t>
            </w:r>
          </w:p>
        </w:tc>
        <w:tc>
          <w:tcPr>
            <w:tcW w:w="870" w:type="pct"/>
            <w:tcBorders>
              <w:tl2br w:val="nil"/>
              <w:tr2bl w:val="nil"/>
            </w:tcBorders>
            <w:shd w:val="clear" w:color="auto" w:fill="auto"/>
            <w:noWrap w:val="0"/>
            <w:vAlign w:val="center"/>
          </w:tcPr>
          <w:p w14:paraId="3E4E09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卷</w:t>
            </w:r>
          </w:p>
        </w:tc>
      </w:tr>
      <w:tr w14:paraId="15574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953" w:type="pct"/>
            <w:tcBorders>
              <w:tl2br w:val="nil"/>
              <w:tr2bl w:val="nil"/>
            </w:tcBorders>
            <w:shd w:val="clear" w:color="auto" w:fill="auto"/>
            <w:noWrap w:val="0"/>
            <w:vAlign w:val="center"/>
          </w:tcPr>
          <w:p w14:paraId="23B8A1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人工</w:t>
            </w:r>
          </w:p>
        </w:tc>
        <w:tc>
          <w:tcPr>
            <w:tcW w:w="1435" w:type="pct"/>
            <w:tcBorders>
              <w:tl2br w:val="nil"/>
              <w:tr2bl w:val="nil"/>
            </w:tcBorders>
            <w:shd w:val="clear" w:color="auto" w:fill="auto"/>
            <w:noWrap w:val="0"/>
            <w:vAlign w:val="center"/>
          </w:tcPr>
          <w:p w14:paraId="4D3795CB">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bidi="ar-SA"/>
              </w:rPr>
              <w:t>/</w:t>
            </w:r>
          </w:p>
        </w:tc>
        <w:tc>
          <w:tcPr>
            <w:tcW w:w="869" w:type="pct"/>
            <w:tcBorders>
              <w:tl2br w:val="nil"/>
              <w:tr2bl w:val="nil"/>
            </w:tcBorders>
            <w:shd w:val="clear" w:color="auto" w:fill="auto"/>
            <w:noWrap w:val="0"/>
            <w:vAlign w:val="center"/>
          </w:tcPr>
          <w:p w14:paraId="0EC85A28">
            <w:pPr>
              <w:keepNext w:val="0"/>
              <w:keepLines w:val="0"/>
              <w:widowControl/>
              <w:suppressLineNumbers w:val="0"/>
              <w:jc w:val="center"/>
              <w:textAlignment w:val="top"/>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w:t>
            </w:r>
          </w:p>
        </w:tc>
        <w:tc>
          <w:tcPr>
            <w:tcW w:w="870" w:type="pct"/>
            <w:tcBorders>
              <w:tl2br w:val="nil"/>
              <w:tr2bl w:val="nil"/>
            </w:tcBorders>
            <w:shd w:val="clear" w:color="auto" w:fill="auto"/>
            <w:noWrap w:val="0"/>
            <w:vAlign w:val="center"/>
          </w:tcPr>
          <w:p w14:paraId="44CEEF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200</w:t>
            </w:r>
          </w:p>
        </w:tc>
        <w:tc>
          <w:tcPr>
            <w:tcW w:w="870" w:type="pct"/>
            <w:tcBorders>
              <w:tl2br w:val="nil"/>
              <w:tr2bl w:val="nil"/>
            </w:tcBorders>
            <w:shd w:val="clear" w:color="auto" w:fill="auto"/>
            <w:noWrap w:val="0"/>
            <w:vAlign w:val="center"/>
          </w:tcPr>
          <w:p w14:paraId="65B7F4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元/工日</w:t>
            </w:r>
          </w:p>
        </w:tc>
      </w:tr>
      <w:tr w14:paraId="36E2D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953" w:type="pct"/>
            <w:tcBorders>
              <w:tl2br w:val="nil"/>
              <w:tr2bl w:val="nil"/>
            </w:tcBorders>
            <w:shd w:val="clear" w:color="auto" w:fill="auto"/>
            <w:noWrap w:val="0"/>
            <w:vAlign w:val="center"/>
          </w:tcPr>
          <w:p w14:paraId="1032F1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建筑垃圾，装车及外运(自行消纳)</w:t>
            </w:r>
          </w:p>
        </w:tc>
        <w:tc>
          <w:tcPr>
            <w:tcW w:w="1435" w:type="pct"/>
            <w:tcBorders>
              <w:tl2br w:val="nil"/>
              <w:tr2bl w:val="nil"/>
            </w:tcBorders>
            <w:shd w:val="clear" w:color="auto" w:fill="auto"/>
            <w:noWrap w:val="0"/>
            <w:vAlign w:val="center"/>
          </w:tcPr>
          <w:p w14:paraId="1E478F8A">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bidi="ar-SA"/>
              </w:rPr>
              <w:t>暂估量：5500立方米</w:t>
            </w:r>
          </w:p>
        </w:tc>
        <w:tc>
          <w:tcPr>
            <w:tcW w:w="869" w:type="pct"/>
            <w:tcBorders>
              <w:tl2br w:val="nil"/>
              <w:tr2bl w:val="nil"/>
            </w:tcBorders>
            <w:shd w:val="clear" w:color="auto" w:fill="auto"/>
            <w:noWrap w:val="0"/>
            <w:vAlign w:val="center"/>
          </w:tcPr>
          <w:p w14:paraId="3E6976A4">
            <w:pPr>
              <w:keepNext w:val="0"/>
              <w:keepLines w:val="0"/>
              <w:widowControl/>
              <w:suppressLineNumbers w:val="0"/>
              <w:jc w:val="center"/>
              <w:textAlignment w:val="top"/>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w:t>
            </w:r>
          </w:p>
        </w:tc>
        <w:tc>
          <w:tcPr>
            <w:tcW w:w="870" w:type="pct"/>
            <w:tcBorders>
              <w:tl2br w:val="nil"/>
              <w:tr2bl w:val="nil"/>
            </w:tcBorders>
            <w:shd w:val="clear" w:color="auto" w:fill="auto"/>
            <w:noWrap w:val="0"/>
            <w:vAlign w:val="center"/>
          </w:tcPr>
          <w:p w14:paraId="1EF3A9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109.84</w:t>
            </w:r>
          </w:p>
        </w:tc>
        <w:tc>
          <w:tcPr>
            <w:tcW w:w="870" w:type="pct"/>
            <w:tcBorders>
              <w:tl2br w:val="nil"/>
              <w:tr2bl w:val="nil"/>
            </w:tcBorders>
            <w:shd w:val="clear" w:color="auto" w:fill="auto"/>
            <w:noWrap w:val="0"/>
            <w:vAlign w:val="center"/>
          </w:tcPr>
          <w:p w14:paraId="104D8E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立方米</w:t>
            </w:r>
          </w:p>
        </w:tc>
      </w:tr>
    </w:tbl>
    <w:p w14:paraId="7AC610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firstLineChars="200"/>
        <w:textAlignment w:val="baseline"/>
        <w:rPr>
          <w:rFonts w:hint="eastAsia" w:ascii="仿宋" w:hAnsi="仿宋" w:eastAsia="仿宋" w:cs="仿宋"/>
          <w:b/>
          <w:bCs/>
          <w:color w:val="auto"/>
          <w:spacing w:val="4"/>
          <w:sz w:val="24"/>
          <w:szCs w:val="24"/>
          <w:highlight w:val="none"/>
        </w:rPr>
      </w:pPr>
      <w:r>
        <w:rPr>
          <w:rFonts w:hint="eastAsia" w:ascii="仿宋" w:hAnsi="仿宋" w:eastAsia="仿宋" w:cs="仿宋"/>
          <w:b/>
          <w:bCs/>
          <w:color w:val="auto"/>
          <w:spacing w:val="4"/>
          <w:sz w:val="24"/>
          <w:szCs w:val="24"/>
          <w:highlight w:val="none"/>
          <w:lang w:val="en-US" w:eastAsia="zh-CN"/>
        </w:rPr>
        <w:t>六</w:t>
      </w:r>
      <w:r>
        <w:rPr>
          <w:rFonts w:hint="eastAsia" w:ascii="仿宋" w:hAnsi="仿宋" w:eastAsia="仿宋" w:cs="仿宋"/>
          <w:b/>
          <w:bCs/>
          <w:color w:val="auto"/>
          <w:spacing w:val="4"/>
          <w:sz w:val="24"/>
          <w:szCs w:val="24"/>
          <w:highlight w:val="none"/>
        </w:rPr>
        <w:t>、采购要求</w:t>
      </w:r>
    </w:p>
    <w:p w14:paraId="73F43F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(一)拉运标准</w:t>
      </w:r>
    </w:p>
    <w:p w14:paraId="1FE12F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1.灯光明。工地出口照明装置能正常使用，保证车辆在出口冲洗、检查时视线清晰。</w:t>
      </w:r>
    </w:p>
    <w:p w14:paraId="0F8232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2.探头清。施工前定岗人员应对设备检查，保持完好，并指向冲洗台，监控画面清晰。</w:t>
      </w:r>
    </w:p>
    <w:p w14:paraId="6A525F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3.设施好。自动冲洗台、高压水枪应保持完好，能正常冲洗使用。洗车槽、排水沟排水畅通。</w:t>
      </w:r>
    </w:p>
    <w:p w14:paraId="2136D4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4.车冲洗。所有渣土车必须经过冲洗区经冲洗后方可驶出工地。车辆应在冲洗平台滞留冲洗。(对现场不宜设置自动冲洗台的，应在洗车槽内用高压水枪对车轮、档板及放大字牌进行冲洗。</w:t>
      </w:r>
    </w:p>
    <w:p w14:paraId="714800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5.出口净。工地出口有专门的管理和保洁人员，做到一车清。出口处应视情铺设20-50米铺垫，防止污染路面。</w:t>
      </w:r>
    </w:p>
    <w:p w14:paraId="75EBE3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6.拉运现场降尘措施到位。</w:t>
      </w:r>
    </w:p>
    <w:p w14:paraId="65BF28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val="en-US" w:eastAsia="zh-CN" w:bidi="ar"/>
        </w:rPr>
        <w:t>七</w:t>
      </w:r>
      <w:r>
        <w:rPr>
          <w:rFonts w:hint="eastAsia" w:ascii="仿宋" w:hAnsi="仿宋" w:eastAsia="仿宋" w:cs="仿宋"/>
          <w:b/>
          <w:bCs/>
          <w:color w:val="auto"/>
          <w:kern w:val="0"/>
          <w:sz w:val="24"/>
          <w:highlight w:val="none"/>
          <w:lang w:bidi="ar"/>
        </w:rPr>
        <w:t>、安全及环保要求</w:t>
      </w:r>
    </w:p>
    <w:p w14:paraId="219BCB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1.乙方应遵守工程建设安全生产及环保有关管理规定，制定安全生产及防污降尘施工制度，采取必要的安全防护及治污减霾措施，严格按照安全及环保标准组织施工，并随时接受行业安全、环保检查人员依法实施的监督检查，消除事故隐患。乙方实施安全生产、文明施工、治污减霾措施的费用自行承担。</w:t>
      </w:r>
    </w:p>
    <w:p w14:paraId="6F6A0D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2.乙方必须设置足够的专职安全员、环保员，负责施工现场安全生产、治污减霾的监督检查工作。</w:t>
      </w:r>
    </w:p>
    <w:p w14:paraId="1AEB80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3.乙方在进行清运时应按安全及环保规范进行作业,其工人的安全保护及现场的治污减霾等措施要到位；加强对施工人员的安全、环保教育,乙方对清运过程的安全负全责。在清运过程中所造成的工伤等事故或其他经济损失，概由乙方负责。</w:t>
      </w:r>
    </w:p>
    <w:p w14:paraId="7135E9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4.乙方在清运过程中应做好安全防护工作，确保甲方的设备、人员的安全，如因乙方的安全防护措施不当，造成的一切损失由乙方承担。</w:t>
      </w:r>
    </w:p>
    <w:p w14:paraId="5D0838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5.乙方应当制定安全事故应急救援预案，配备应急救援人员，配备必要的应急救援器材、设备。</w:t>
      </w:r>
    </w:p>
    <w:p w14:paraId="028233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6.乙方必须为现场管理人员及施工人员购买人身意外伤害保险，保险期须由本工程开工至竣工验收合格为止，保险须以乙方的名义投保。保险赔偿责任不足的部分乙方必须无条件承担。</w:t>
      </w:r>
    </w:p>
    <w:p w14:paraId="6B8AE734">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B2DB3"/>
    <w:rsid w:val="200B0D98"/>
    <w:rsid w:val="49DB37BB"/>
    <w:rsid w:val="606B2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宋体" w:hAnsi="Times New Roman" w:eastAsia="宋体" w:cstheme="minorBidi"/>
      <w:sz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character" w:customStyle="1" w:styleId="5">
    <w:name w:val="NormalCharacter"/>
    <w:autoRedefine/>
    <w:qFormat/>
    <w:uiPriority w:val="0"/>
  </w:style>
  <w:style w:type="character" w:customStyle="1" w:styleId="6">
    <w:name w:val="font21"/>
    <w:basedOn w:val="4"/>
    <w:autoRedefine/>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2025-06-05T08:01:00Z</dcterms:created>
  <dc:creator>echo</dc:creator>
  <cp:lastModifiedBy>echo</cp:lastModifiedBy>
  <dcterms:modified xsi:type="dcterms:W3CDTF">2025-06-05T08:01:29Z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B3B89EACF579456E8D0223CD3D779B4A_11</vt:lpwstr>
  </property>
  <property fmtid="{D5CDD505-2E9C-101B-9397-08002B2CF9AE}" pid="4" name="KSOTemplateDocerSaveRecord">
    <vt:lpwstr>eyJoZGlkIjoiMTU1MjA4MDE1M2UyNDQ5OTZmNTY2MzZkYzY2NjJiOTQiLCJ1c2VySWQiOiIyNDg2NTg2NDAifQ==</vt:lpwstr>
  </property>
</Properties>
</file>