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0AEFA">
      <w:pPr>
        <w:keepNext w:val="0"/>
        <w:keepLines w:val="0"/>
        <w:pageBreakBefore w:val="0"/>
        <w:widowControl w:val="0"/>
        <w:pBdr>
          <w:bottom w:val="single" w:color="auto" w:sz="4" w:space="1"/>
        </w:pBdr>
        <w:kinsoku/>
        <w:wordWrap/>
        <w:overflowPunct/>
        <w:topLinePunct w:val="0"/>
        <w:autoSpaceDE/>
        <w:autoSpaceDN/>
        <w:bidi w:val="0"/>
        <w:adjustRightInd/>
        <w:snapToGrid w:val="0"/>
        <w:spacing w:before="312" w:beforeLines="100" w:line="460" w:lineRule="exact"/>
        <w:ind w:left="420" w:hanging="420"/>
        <w:textAlignment w:val="auto"/>
        <w:rPr>
          <w:rFonts w:hint="default" w:ascii="仿宋" w:hAnsi="仿宋" w:eastAsia="仿宋" w:cs="仿宋"/>
          <w:b/>
          <w:sz w:val="28"/>
          <w:szCs w:val="28"/>
          <w:lang w:val="en-US" w:eastAsia="zh-CN"/>
        </w:rPr>
      </w:pPr>
      <w:r>
        <w:rPr>
          <w:rFonts w:hint="eastAsia" w:ascii="仿宋" w:hAnsi="仿宋" w:eastAsia="仿宋" w:cs="仿宋"/>
          <w:b/>
          <w:sz w:val="28"/>
          <w:szCs w:val="28"/>
        </w:rPr>
        <w:t>一、项目概况</w:t>
      </w:r>
      <w:r>
        <w:rPr>
          <w:rFonts w:hint="eastAsia" w:ascii="仿宋" w:hAnsi="仿宋" w:eastAsia="仿宋" w:cs="仿宋"/>
          <w:b/>
          <w:sz w:val="28"/>
          <w:szCs w:val="28"/>
          <w:lang w:val="en-US" w:eastAsia="zh-CN"/>
        </w:rPr>
        <w:t>及内容</w:t>
      </w:r>
    </w:p>
    <w:p w14:paraId="3797BEF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sz w:val="24"/>
          <w:szCs w:val="24"/>
        </w:rPr>
        <w:t>西安市高陵区国有资产清产核资第三方机构服务</w:t>
      </w:r>
      <w:r>
        <w:rPr>
          <w:rFonts w:hint="eastAsia" w:ascii="仿宋" w:hAnsi="仿宋" w:eastAsia="仿宋" w:cs="仿宋"/>
          <w:sz w:val="24"/>
          <w:szCs w:val="24"/>
          <w:lang w:eastAsia="zh-CN"/>
        </w:rPr>
        <w:t>，</w:t>
      </w:r>
      <w:r>
        <w:rPr>
          <w:rFonts w:hint="eastAsia" w:ascii="仿宋" w:hAnsi="仿宋" w:eastAsia="仿宋" w:cs="仿宋"/>
          <w:sz w:val="24"/>
          <w:szCs w:val="24"/>
        </w:rPr>
        <w:t>辅助区级各有关部门，对全区行政事业单位（国有企业）国有资产进行核实、认定，出具资产清查核实报告和资产盘活处置意见。</w:t>
      </w:r>
    </w:p>
    <w:p w14:paraId="0170CC25">
      <w:pPr>
        <w:keepNext w:val="0"/>
        <w:keepLines w:val="0"/>
        <w:pageBreakBefore w:val="0"/>
        <w:widowControl w:val="0"/>
        <w:pBdr>
          <w:bottom w:val="single" w:color="auto" w:sz="4" w:space="1"/>
        </w:pBdr>
        <w:kinsoku/>
        <w:wordWrap/>
        <w:overflowPunct/>
        <w:topLinePunct w:val="0"/>
        <w:autoSpaceDE/>
        <w:autoSpaceDN/>
        <w:bidi w:val="0"/>
        <w:adjustRightInd/>
        <w:snapToGrid w:val="0"/>
        <w:spacing w:before="312" w:beforeLines="100" w:line="460" w:lineRule="exact"/>
        <w:ind w:left="420" w:hanging="420"/>
        <w:textAlignment w:val="auto"/>
        <w:rPr>
          <w:rFonts w:hint="eastAsia" w:ascii="仿宋" w:hAnsi="仿宋" w:eastAsia="仿宋" w:cs="仿宋"/>
          <w:b/>
          <w:sz w:val="28"/>
          <w:szCs w:val="28"/>
        </w:rPr>
      </w:pPr>
      <w:r>
        <w:rPr>
          <w:rFonts w:hint="eastAsia" w:ascii="仿宋" w:hAnsi="仿宋" w:eastAsia="仿宋" w:cs="仿宋"/>
          <w:b/>
          <w:sz w:val="28"/>
          <w:szCs w:val="28"/>
        </w:rPr>
        <w:t>二、服务要求</w:t>
      </w:r>
      <w:bookmarkStart w:id="0" w:name="_GoBack"/>
      <w:bookmarkEnd w:id="0"/>
    </w:p>
    <w:p w14:paraId="45396F67">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8"/>
          <w:lang w:val="en-US" w:eastAsia="zh-CN"/>
        </w:rPr>
      </w:pPr>
      <w:r>
        <w:rPr>
          <w:rFonts w:hint="eastAsia" w:ascii="仿宋" w:hAnsi="仿宋" w:eastAsia="仿宋" w:cs="仿宋"/>
          <w:b/>
          <w:bCs/>
          <w:color w:val="auto"/>
          <w:sz w:val="24"/>
          <w:szCs w:val="28"/>
          <w:lang w:eastAsia="zh-CN"/>
        </w:rPr>
        <w:t>（</w:t>
      </w:r>
      <w:r>
        <w:rPr>
          <w:rFonts w:hint="eastAsia" w:ascii="仿宋" w:hAnsi="仿宋" w:eastAsia="仿宋" w:cs="仿宋"/>
          <w:b/>
          <w:bCs/>
          <w:color w:val="auto"/>
          <w:sz w:val="24"/>
          <w:szCs w:val="28"/>
          <w:lang w:val="en-US" w:eastAsia="zh-CN"/>
        </w:rPr>
        <w:t>一）清查原则</w:t>
      </w:r>
    </w:p>
    <w:p w14:paraId="7363C72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按照“统一政策、统一方法、统一步骤、统一要求、自下而上、分级实施”原则，对全区国有资产情况进行全面清理和核查。通过清查核实，真实、完整反映全区国有资产使用和管理状况，进一步加强对国有资产的监督管理，促进资产管理和预算管理有机结合，在摸清资产底数的基础上，盘活利用闲置资产，真正达到“资源变资本、资本变资产、资产变资金”的目的。</w:t>
      </w:r>
    </w:p>
    <w:p w14:paraId="122170A3">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8"/>
          <w:lang w:val="en-US" w:eastAsia="zh-CN"/>
        </w:rPr>
      </w:pPr>
      <w:r>
        <w:rPr>
          <w:rFonts w:hint="eastAsia" w:ascii="仿宋" w:hAnsi="仿宋" w:eastAsia="仿宋" w:cs="仿宋"/>
          <w:b/>
          <w:bCs/>
          <w:color w:val="auto"/>
          <w:sz w:val="24"/>
          <w:szCs w:val="28"/>
          <w:lang w:val="en-US" w:eastAsia="zh-CN"/>
        </w:rPr>
        <w:t>（二）清查基准日、范围和报表内容</w:t>
      </w:r>
    </w:p>
    <w:p w14:paraId="6E3D813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1、清查基准日以2025年4月30日为资产清查的基准日。</w:t>
      </w:r>
    </w:p>
    <w:p w14:paraId="1AF4A6C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2、清查范围</w:t>
      </w:r>
    </w:p>
    <w:p w14:paraId="0DE34DA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行政事业单位：区教育局、区住建局、区农林局、区科工局、区交通运输局、区卫健局、区文体广电局、区民政局、区城管执法局、公安高陵分局、区市场监管局、区水务局、区供销社等13个部门系统及7个街道办事处。有必要时，将延伸至其他部门单位。</w:t>
      </w:r>
    </w:p>
    <w:p w14:paraId="6C55976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（2）2025年4月30日以前注册登记，正常运营的国有企业。</w:t>
      </w:r>
    </w:p>
    <w:p w14:paraId="364B07E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3、清查内容</w:t>
      </w:r>
    </w:p>
    <w:p w14:paraId="0D724BD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2025年4月30日前以上区级部门、街办及其下属单位、社会团体、国有企业的所有资产，不论其来源性质，进行全面清查。重点对各单位闲置资源、资产进行重点清查盘点，建立资产底册。</w:t>
      </w:r>
    </w:p>
    <w:p w14:paraId="13F93027">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default" w:ascii="仿宋" w:hAnsi="仿宋" w:eastAsia="仿宋" w:cs="仿宋"/>
          <w:b/>
          <w:bCs/>
          <w:color w:val="auto"/>
          <w:sz w:val="24"/>
          <w:szCs w:val="28"/>
          <w:lang w:val="en-US" w:eastAsia="zh-CN"/>
        </w:rPr>
      </w:pPr>
      <w:r>
        <w:rPr>
          <w:rFonts w:hint="eastAsia" w:ascii="仿宋" w:hAnsi="仿宋" w:eastAsia="仿宋" w:cs="仿宋"/>
          <w:b/>
          <w:bCs/>
          <w:color w:val="auto"/>
          <w:sz w:val="24"/>
          <w:szCs w:val="28"/>
          <w:lang w:eastAsia="zh-CN"/>
        </w:rPr>
        <w:t>（</w:t>
      </w:r>
      <w:r>
        <w:rPr>
          <w:rFonts w:hint="eastAsia" w:ascii="仿宋" w:hAnsi="仿宋" w:eastAsia="仿宋" w:cs="仿宋"/>
          <w:b/>
          <w:bCs/>
          <w:color w:val="auto"/>
          <w:sz w:val="24"/>
          <w:szCs w:val="28"/>
          <w:lang w:val="en-US" w:eastAsia="zh-CN"/>
        </w:rPr>
        <w:t>三）服务步骤</w:t>
      </w:r>
    </w:p>
    <w:p w14:paraId="5B77827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auto"/>
          <w:sz w:val="24"/>
          <w:szCs w:val="28"/>
          <w:lang w:val="en-US" w:eastAsia="zh-CN"/>
        </w:rPr>
      </w:pPr>
      <w:r>
        <w:rPr>
          <w:rFonts w:hint="eastAsia" w:ascii="仿宋" w:hAnsi="仿宋" w:eastAsia="仿宋" w:cs="仿宋"/>
          <w:b w:val="0"/>
          <w:bCs w:val="0"/>
          <w:color w:val="auto"/>
          <w:sz w:val="24"/>
          <w:szCs w:val="28"/>
          <w:lang w:val="en-US" w:eastAsia="zh-CN"/>
        </w:rPr>
        <w:t>1、资产清查核对</w:t>
      </w:r>
    </w:p>
    <w:p w14:paraId="2D97004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eastAsia="zh-CN"/>
        </w:rPr>
        <w:t>由区财政局牵头，各相关部门协助配合，第三方机构介入进行资产核实、认定，检查资产清查结果，损溢认定证据资料收集的完整性、合理性，出具经济鉴证证明。</w:t>
      </w:r>
    </w:p>
    <w:p w14:paraId="694A4B2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auto"/>
          <w:sz w:val="24"/>
          <w:szCs w:val="28"/>
          <w:lang w:val="en-US" w:eastAsia="zh-CN"/>
        </w:rPr>
      </w:pPr>
      <w:r>
        <w:rPr>
          <w:rFonts w:hint="eastAsia" w:ascii="仿宋" w:hAnsi="仿宋" w:eastAsia="仿宋" w:cs="仿宋"/>
          <w:b w:val="0"/>
          <w:bCs w:val="0"/>
          <w:color w:val="auto"/>
          <w:sz w:val="24"/>
          <w:szCs w:val="28"/>
          <w:lang w:val="en-US" w:eastAsia="zh-CN"/>
        </w:rPr>
        <w:t>资产清查核对主要包括以下内容：</w:t>
      </w:r>
    </w:p>
    <w:p w14:paraId="06B2269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（1）货币资金的清查</w:t>
      </w:r>
    </w:p>
    <w:p w14:paraId="63C12CC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重点确保货币资金完整性和安全性。</w:t>
      </w:r>
    </w:p>
    <w:p w14:paraId="220EDB9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①现金清查，现金资产清查做到账实相符。</w:t>
      </w:r>
    </w:p>
    <w:p w14:paraId="75D14AD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②银行存款清查，对涉及的所有银行存款账户进行自查，落实银行存款的账实相符。</w:t>
      </w:r>
    </w:p>
    <w:p w14:paraId="6E5666D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w:t>
      </w:r>
      <w:r>
        <w:rPr>
          <w:rFonts w:hint="default" w:ascii="仿宋" w:hAnsi="仿宋" w:eastAsia="仿宋" w:cs="仿宋"/>
          <w:color w:val="auto"/>
          <w:sz w:val="24"/>
          <w:szCs w:val="28"/>
          <w:lang w:val="en-US" w:eastAsia="zh-CN"/>
        </w:rPr>
        <w:t>固定资产的清查固定资产清查</w:t>
      </w:r>
    </w:p>
    <w:p w14:paraId="003A494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主要分为三类</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房屋、土地、其他固定资产清查</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将房屋、土地等重大资产资源的清查作为本次资产清查的重点。</w:t>
      </w:r>
    </w:p>
    <w:p w14:paraId="2B0B362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①房屋、土地清查</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以单位自查上报的房屋、土地信息表及有关文书资料为基础，按照清查流程分步实施。</w:t>
      </w:r>
    </w:p>
    <w:p w14:paraId="6D42C95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单位上报的房屋、土地信息表与财务明细账进行核对，确认房屋、土地是否全部入账，按已入账、未入账信息详细记录。</w:t>
      </w:r>
    </w:p>
    <w:p w14:paraId="7C58F1B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单位上报的房屋、土地信息表中注明有产权证书的，应查看土地证、房屋产权证、购房合同所列信息是否与信息表内容一致</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房屋、土地有出租、出借、报废、拆除等情况的，需查看拆迁协议、出租出借合同等相关证明文件是否准确、完整</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确认房屋、土地产权是否清晰。</w:t>
      </w:r>
    </w:p>
    <w:p w14:paraId="6B2AF3B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依据完善后的房屋信息表对房屋进行现场实盘，核查房屋的使用性质、使用状态、位置是否与信息表一致，对实盘中发现的问题做好记录。</w:t>
      </w:r>
    </w:p>
    <w:p w14:paraId="0B09C8A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②其他固定资产</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除房屋、土地外的其他固定资产对实物、资产台账、财务数据进行核查，应做到账账相符、账实相符。</w:t>
      </w:r>
    </w:p>
    <w:p w14:paraId="4F27C5B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③毁损、报废的固定资产</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扣除残值、保险赔偿和责任人赔偿后的差额部分，根据国家有关技术鉴定部门或具有技术鉴定资格的第三方机构出具的技术鉴定证明、毁损报废说明、赔偿责任认定说明和内部核批文件等认定。</w:t>
      </w:r>
    </w:p>
    <w:p w14:paraId="38CCAC4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④被盗的固定资产</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扣除保险理赔及责任人赔偿后的部分，可以根据公安机关案件受理证明或结案证明、责任认定及赔偿情况说明进行损失认定。</w:t>
      </w:r>
    </w:p>
    <w:p w14:paraId="66E23D3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（3）</w:t>
      </w:r>
      <w:r>
        <w:rPr>
          <w:rFonts w:hint="default" w:ascii="仿宋" w:hAnsi="仿宋" w:eastAsia="仿宋" w:cs="仿宋"/>
          <w:color w:val="auto"/>
          <w:sz w:val="24"/>
          <w:szCs w:val="28"/>
          <w:lang w:val="en-US" w:eastAsia="zh-CN"/>
        </w:rPr>
        <w:t>在建工程的清查</w:t>
      </w:r>
    </w:p>
    <w:p w14:paraId="14BEA58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在建工程</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包括基建项目</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清查的范围和内容主要是在建或停缓建的基建项目、技术改造项目，包括完工未交付使用、交付使用未验收入账等工程项目、长期挂账但实际已经停工报废的项目。</w:t>
      </w:r>
    </w:p>
    <w:p w14:paraId="062383A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4</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无形资产的清查</w:t>
      </w:r>
    </w:p>
    <w:p w14:paraId="6F10B10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无形资产应逐项清查、核实入账依据，获取资产产权证书或使用权证书、购买合同、发票或投入协议、第三方机构的评估报告或相关部门的鉴定报告，检查摊销金额是否计算正确。账面无形资产已证明被其他新技术所代替或已超过了法律保护期限的，依据有关技术部门提供的鉴定材料，进行财务处理。</w:t>
      </w:r>
    </w:p>
    <w:p w14:paraId="1C6493F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5</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往来账款的清查</w:t>
      </w:r>
    </w:p>
    <w:p w14:paraId="6C00673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往来款项应逐一与对方单位核对，对有争议的债权要认真清理、查证、核实，必要时向前追溯至原始发生日，重新明确债权关系。对经确认无法收回的款项，要明确责任，依照国家现行制度和资产清查规定进行处理。</w:t>
      </w:r>
    </w:p>
    <w:p w14:paraId="3DF7591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6</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其他行政事业性国有资产的清查</w:t>
      </w:r>
    </w:p>
    <w:p w14:paraId="5B16966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行政事业性国有资产包括政府储备土地、委托代理资产、公共基础设施</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交通、水利、市政</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、保障性住房、政府储备物资、文物文化资产等。对存在的其他行政事业性国有资产的实物、资产台账、财务数据进行核查。</w:t>
      </w:r>
    </w:p>
    <w:p w14:paraId="39F3199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7</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对外投资情况的清查</w:t>
      </w:r>
    </w:p>
    <w:p w14:paraId="7AC012A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对全区所有国有企业及所属控股、参股企业的经营状态、短期投资、长期投资</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长期债权投资、长期股权投资</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、投资时间、投资额、持股比例及变化情况、历年分红情况等进行全面核查。</w:t>
      </w:r>
    </w:p>
    <w:p w14:paraId="4BD21E8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8"/>
          <w:lang w:val="en-US" w:eastAsia="zh-CN"/>
        </w:rPr>
      </w:pPr>
      <w:r>
        <w:rPr>
          <w:rFonts w:hint="default" w:ascii="仿宋" w:hAnsi="仿宋" w:eastAsia="仿宋" w:cs="仿宋"/>
          <w:color w:val="auto"/>
          <w:sz w:val="24"/>
          <w:szCs w:val="28"/>
          <w:lang w:val="en-US" w:eastAsia="zh-CN"/>
        </w:rPr>
        <w:t>3</w:t>
      </w:r>
      <w:r>
        <w:rPr>
          <w:rFonts w:hint="eastAsia" w:ascii="仿宋" w:hAnsi="仿宋" w:eastAsia="仿宋" w:cs="仿宋"/>
          <w:color w:val="auto"/>
          <w:sz w:val="24"/>
          <w:szCs w:val="28"/>
          <w:lang w:val="en-US" w:eastAsia="zh-CN"/>
        </w:rPr>
        <w:t>、</w:t>
      </w:r>
      <w:r>
        <w:rPr>
          <w:rFonts w:hint="default" w:ascii="仿宋" w:hAnsi="仿宋" w:eastAsia="仿宋" w:cs="仿宋"/>
          <w:color w:val="auto"/>
          <w:sz w:val="24"/>
          <w:szCs w:val="28"/>
          <w:lang w:val="en-US" w:eastAsia="zh-CN"/>
        </w:rPr>
        <w:t>资产清查结果申报审核</w:t>
      </w:r>
    </w:p>
    <w:p w14:paraId="6C4C2D2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szCs w:val="24"/>
          <w:lang w:val="en-US" w:eastAsia="zh-CN"/>
        </w:rPr>
      </w:pPr>
      <w:r>
        <w:rPr>
          <w:rFonts w:hint="default" w:ascii="仿宋" w:hAnsi="仿宋" w:eastAsia="仿宋" w:cs="仿宋"/>
          <w:color w:val="auto"/>
          <w:sz w:val="24"/>
          <w:szCs w:val="28"/>
          <w:lang w:val="en-US" w:eastAsia="zh-CN"/>
        </w:rPr>
        <w:t>第三方机构依据本次资产清查工作方案，通过对各单位的资产清查，结合各单位上报的资产盘点汇总表及相关附表和资产盘点工作报告，进行认定，出具资产清查报告和闲置资产盘活处置意见。重点关注资产损溢金额较大、权属不清、资金挂账及对外投资等项目，并对资产清查报告的准确性、完整性和可靠性承担责任。</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4071455"/>
    <w:rsid w:val="069D2020"/>
    <w:rsid w:val="0AE0030A"/>
    <w:rsid w:val="0B343278"/>
    <w:rsid w:val="0E7D2A40"/>
    <w:rsid w:val="0F2065EE"/>
    <w:rsid w:val="0FD07BC2"/>
    <w:rsid w:val="12A165D1"/>
    <w:rsid w:val="150426E8"/>
    <w:rsid w:val="19960E59"/>
    <w:rsid w:val="1B921C64"/>
    <w:rsid w:val="1CC809BB"/>
    <w:rsid w:val="1F833B0E"/>
    <w:rsid w:val="20B028B6"/>
    <w:rsid w:val="221F633D"/>
    <w:rsid w:val="234779DE"/>
    <w:rsid w:val="23842C5A"/>
    <w:rsid w:val="23E40719"/>
    <w:rsid w:val="257162C9"/>
    <w:rsid w:val="25CF7AC3"/>
    <w:rsid w:val="25DA6BFA"/>
    <w:rsid w:val="28C12D1F"/>
    <w:rsid w:val="2A00687A"/>
    <w:rsid w:val="2A16511E"/>
    <w:rsid w:val="2A56595E"/>
    <w:rsid w:val="2AA13507"/>
    <w:rsid w:val="2B942D1F"/>
    <w:rsid w:val="32582CF8"/>
    <w:rsid w:val="32EC4C19"/>
    <w:rsid w:val="33AE1D74"/>
    <w:rsid w:val="358B5193"/>
    <w:rsid w:val="36A245AD"/>
    <w:rsid w:val="37533A8E"/>
    <w:rsid w:val="380649B3"/>
    <w:rsid w:val="38942F4C"/>
    <w:rsid w:val="3C4D31A2"/>
    <w:rsid w:val="3D5C1616"/>
    <w:rsid w:val="3DC72AE0"/>
    <w:rsid w:val="3E340CF7"/>
    <w:rsid w:val="40A927FD"/>
    <w:rsid w:val="41433130"/>
    <w:rsid w:val="414557F4"/>
    <w:rsid w:val="414F3518"/>
    <w:rsid w:val="423D5A66"/>
    <w:rsid w:val="428D5E99"/>
    <w:rsid w:val="42BD444E"/>
    <w:rsid w:val="45C4267A"/>
    <w:rsid w:val="48F13D1A"/>
    <w:rsid w:val="4BC66911"/>
    <w:rsid w:val="4BCF252A"/>
    <w:rsid w:val="502C7E07"/>
    <w:rsid w:val="549F50BF"/>
    <w:rsid w:val="55823A64"/>
    <w:rsid w:val="5AD80196"/>
    <w:rsid w:val="5E482EBE"/>
    <w:rsid w:val="613C0293"/>
    <w:rsid w:val="61CC0880"/>
    <w:rsid w:val="61EF6210"/>
    <w:rsid w:val="637A715D"/>
    <w:rsid w:val="657A0163"/>
    <w:rsid w:val="67BB1AC2"/>
    <w:rsid w:val="68A65054"/>
    <w:rsid w:val="6CF445AF"/>
    <w:rsid w:val="6D8A40AB"/>
    <w:rsid w:val="71152CAD"/>
    <w:rsid w:val="716A5681"/>
    <w:rsid w:val="793B4F2E"/>
    <w:rsid w:val="7BBA5F0E"/>
    <w:rsid w:val="7DEE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5"/>
    <w:semiHidden/>
    <w:unhideWhenUsed/>
    <w:qFormat/>
    <w:uiPriority w:val="99"/>
    <w:pPr>
      <w:jc w:val="left"/>
    </w:pPr>
  </w:style>
  <w:style w:type="paragraph" w:styleId="3">
    <w:name w:val="Balloon Text"/>
    <w:basedOn w:val="1"/>
    <w:link w:val="37"/>
    <w:semiHidden/>
    <w:unhideWhenUsed/>
    <w:qFormat/>
    <w:uiPriority w:val="99"/>
    <w:rPr>
      <w:sz w:val="18"/>
      <w:szCs w:val="18"/>
    </w:rPr>
  </w:style>
  <w:style w:type="paragraph" w:styleId="4">
    <w:name w:val="footer"/>
    <w:basedOn w:val="1"/>
    <w:link w:val="34"/>
    <w:unhideWhenUsed/>
    <w:qFormat/>
    <w:uiPriority w:val="99"/>
    <w:pPr>
      <w:tabs>
        <w:tab w:val="center" w:pos="4153"/>
        <w:tab w:val="right" w:pos="8306"/>
      </w:tabs>
      <w:snapToGrid w:val="0"/>
      <w:jc w:val="left"/>
    </w:pPr>
    <w:rPr>
      <w:sz w:val="18"/>
      <w:szCs w:val="18"/>
    </w:rPr>
  </w:style>
  <w:style w:type="paragraph" w:styleId="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6"/>
    <w:semiHidden/>
    <w:unhideWhenUsed/>
    <w:qFormat/>
    <w:uiPriority w:val="99"/>
    <w:rPr>
      <w:b/>
      <w:bCs/>
    </w:rPr>
  </w:style>
  <w:style w:type="paragraph" w:styleId="7">
    <w:name w:val="Body Text First Indent 2"/>
    <w:semiHidden/>
    <w:unhideWhenUsed/>
    <w:qFormat/>
    <w:uiPriority w:val="99"/>
    <w:pPr>
      <w:widowControl w:val="0"/>
      <w:ind w:left="420" w:leftChars="200" w:firstLine="420" w:firstLineChars="200"/>
      <w:jc w:val="both"/>
    </w:pPr>
    <w:rPr>
      <w:rFonts w:ascii="Times New Roman" w:hAnsi="Times New Roman" w:eastAsia="宋体" w:cs="Times New Roman"/>
      <w:kern w:val="2"/>
      <w:sz w:val="21"/>
      <w:lang w:val="en-US" w:eastAsia="zh-CN" w:bidi="ar-SA"/>
    </w:rPr>
  </w:style>
  <w:style w:type="character" w:styleId="10">
    <w:name w:val="annotation reference"/>
    <w:basedOn w:val="9"/>
    <w:semiHidden/>
    <w:unhideWhenUsed/>
    <w:qFormat/>
    <w:uiPriority w:val="99"/>
    <w:rPr>
      <w:sz w:val="21"/>
      <w:szCs w:val="21"/>
    </w:rPr>
  </w:style>
  <w:style w:type="paragraph" w:customStyle="1" w:styleId="11">
    <w:name w:val="※封面大标题"/>
    <w:basedOn w:val="1"/>
    <w:next w:val="1"/>
    <w:qFormat/>
    <w:uiPriority w:val="0"/>
    <w:pPr>
      <w:widowControl/>
      <w:jc w:val="center"/>
    </w:pPr>
    <w:rPr>
      <w:rFonts w:ascii="华文中宋" w:hAnsi="华文中宋" w:eastAsia="华文中宋"/>
      <w:sz w:val="96"/>
      <w:szCs w:val="96"/>
    </w:rPr>
  </w:style>
  <w:style w:type="paragraph" w:customStyle="1" w:styleId="12">
    <w:name w:val="※封面题颌"/>
    <w:basedOn w:val="1"/>
    <w:next w:val="1"/>
    <w:qFormat/>
    <w:uiPriority w:val="0"/>
    <w:pPr>
      <w:widowControl/>
      <w:jc w:val="center"/>
    </w:pPr>
    <w:rPr>
      <w:rFonts w:ascii="Calibri Light" w:hAnsi="Calibri Light" w:eastAsia="华文仿宋"/>
      <w:sz w:val="36"/>
      <w:szCs w:val="36"/>
    </w:rPr>
  </w:style>
  <w:style w:type="paragraph" w:customStyle="1" w:styleId="13">
    <w:name w:val="※封面题眉"/>
    <w:basedOn w:val="1"/>
    <w:next w:val="11"/>
    <w:qFormat/>
    <w:uiPriority w:val="0"/>
    <w:pPr>
      <w:widowControl/>
      <w:jc w:val="center"/>
    </w:pPr>
    <w:rPr>
      <w:rFonts w:ascii="华文仿宋" w:hAnsi="华文仿宋" w:eastAsia="华文仿宋"/>
      <w:sz w:val="52"/>
      <w:szCs w:val="28"/>
    </w:rPr>
  </w:style>
  <w:style w:type="paragraph" w:customStyle="1" w:styleId="14">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5">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6">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7">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8">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9">
    <w:name w:val="※小标题 一"/>
    <w:basedOn w:val="18"/>
    <w:next w:val="18"/>
    <w:qFormat/>
    <w:uiPriority w:val="0"/>
    <w:pPr>
      <w:spacing w:before="120" w:line="240" w:lineRule="auto"/>
      <w:outlineLvl w:val="2"/>
    </w:pPr>
    <w:rPr>
      <w:b/>
      <w:color w:val="203864" w:themeColor="accent5" w:themeShade="80"/>
      <w:sz w:val="32"/>
    </w:rPr>
  </w:style>
  <w:style w:type="paragraph" w:customStyle="1" w:styleId="20">
    <w:name w:val="※小标题（1）"/>
    <w:basedOn w:val="1"/>
    <w:next w:val="18"/>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1">
    <w:name w:val="※小标题（一）"/>
    <w:basedOn w:val="1"/>
    <w:next w:val="18"/>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2">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3">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4">
    <w:name w:val="※页眉"/>
    <w:basedOn w:val="18"/>
    <w:qFormat/>
    <w:uiPriority w:val="0"/>
    <w:pPr>
      <w:pBdr>
        <w:bottom w:val="single" w:color="auto" w:sz="4" w:space="1"/>
      </w:pBdr>
      <w:spacing w:line="240" w:lineRule="atLeast"/>
      <w:jc w:val="right"/>
    </w:pPr>
    <w:rPr>
      <w:rFonts w:ascii="宋体" w:hAnsi="宋体" w:eastAsia="宋体"/>
      <w:sz w:val="18"/>
    </w:rPr>
  </w:style>
  <w:style w:type="paragraph" w:customStyle="1" w:styleId="25">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6">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7">
    <w:name w:val="※章节标题（第Z部分分项）"/>
    <w:basedOn w:val="26"/>
    <w:qFormat/>
    <w:uiPriority w:val="0"/>
    <w:pPr>
      <w:outlineLvl w:val="2"/>
    </w:pPr>
  </w:style>
  <w:style w:type="paragraph" w:customStyle="1" w:styleId="28">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9">
    <w:name w:val="※正文（缩进2）"/>
    <w:basedOn w:val="18"/>
    <w:qFormat/>
    <w:uiPriority w:val="0"/>
    <w:pPr>
      <w:ind w:firstLine="200" w:firstLineChars="200"/>
    </w:pPr>
  </w:style>
  <w:style w:type="paragraph" w:customStyle="1" w:styleId="30">
    <w:name w:val="※正文（缩进4）"/>
    <w:basedOn w:val="18"/>
    <w:qFormat/>
    <w:uiPriority w:val="0"/>
    <w:pPr>
      <w:ind w:firstLine="400" w:firstLineChars="400"/>
    </w:pPr>
  </w:style>
  <w:style w:type="paragraph" w:customStyle="1" w:styleId="31">
    <w:name w:val="样式"/>
    <w:link w:val="32"/>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2">
    <w:name w:val="样式 Char Char"/>
    <w:link w:val="31"/>
    <w:qFormat/>
    <w:locked/>
    <w:uiPriority w:val="0"/>
    <w:rPr>
      <w:rFonts w:ascii="宋体" w:hAnsi="宋体" w:eastAsia="宋体" w:cs="宋体"/>
      <w:kern w:val="0"/>
      <w:sz w:val="24"/>
      <w:szCs w:val="24"/>
    </w:rPr>
  </w:style>
  <w:style w:type="character" w:customStyle="1" w:styleId="33">
    <w:name w:val="页眉 Char"/>
    <w:basedOn w:val="9"/>
    <w:link w:val="5"/>
    <w:qFormat/>
    <w:uiPriority w:val="99"/>
    <w:rPr>
      <w:rFonts w:ascii="Calibri" w:hAnsi="Calibri" w:eastAsia="宋体" w:cs="Times New Roman"/>
      <w:sz w:val="18"/>
      <w:szCs w:val="18"/>
    </w:rPr>
  </w:style>
  <w:style w:type="character" w:customStyle="1" w:styleId="34">
    <w:name w:val="页脚 Char"/>
    <w:basedOn w:val="9"/>
    <w:link w:val="4"/>
    <w:qFormat/>
    <w:uiPriority w:val="99"/>
    <w:rPr>
      <w:rFonts w:ascii="Calibri" w:hAnsi="Calibri" w:eastAsia="宋体" w:cs="Times New Roman"/>
      <w:sz w:val="18"/>
      <w:szCs w:val="18"/>
    </w:rPr>
  </w:style>
  <w:style w:type="character" w:customStyle="1" w:styleId="35">
    <w:name w:val="批注文字 Char"/>
    <w:basedOn w:val="9"/>
    <w:link w:val="2"/>
    <w:semiHidden/>
    <w:qFormat/>
    <w:uiPriority w:val="99"/>
    <w:rPr>
      <w:rFonts w:ascii="Calibri" w:hAnsi="Calibri" w:eastAsia="宋体" w:cs="Times New Roman"/>
    </w:rPr>
  </w:style>
  <w:style w:type="character" w:customStyle="1" w:styleId="36">
    <w:name w:val="批注主题 Char"/>
    <w:basedOn w:val="35"/>
    <w:link w:val="6"/>
    <w:semiHidden/>
    <w:qFormat/>
    <w:uiPriority w:val="99"/>
    <w:rPr>
      <w:rFonts w:ascii="Calibri" w:hAnsi="Calibri" w:eastAsia="宋体" w:cs="Times New Roman"/>
      <w:b/>
      <w:bCs/>
    </w:rPr>
  </w:style>
  <w:style w:type="character" w:customStyle="1" w:styleId="37">
    <w:name w:val="批注框文本 Char"/>
    <w:basedOn w:val="9"/>
    <w:link w:val="3"/>
    <w:semiHidden/>
    <w:qFormat/>
    <w:uiPriority w:val="99"/>
    <w:rPr>
      <w:rFonts w:ascii="Calibri" w:hAnsi="Calibri" w:eastAsia="宋体" w:cs="Times New Roman"/>
      <w:sz w:val="18"/>
      <w:szCs w:val="18"/>
    </w:rPr>
  </w:style>
  <w:style w:type="character" w:customStyle="1" w:styleId="38">
    <w:name w:val="font21"/>
    <w:basedOn w:val="9"/>
    <w:qFormat/>
    <w:uiPriority w:val="0"/>
    <w:rPr>
      <w:rFonts w:hint="eastAsia" w:ascii="宋体" w:hAnsi="宋体" w:eastAsia="宋体" w:cs="宋体"/>
      <w:color w:val="000000"/>
      <w:sz w:val="18"/>
      <w:szCs w:val="18"/>
      <w:u w:val="none"/>
    </w:rPr>
  </w:style>
  <w:style w:type="character" w:customStyle="1" w:styleId="39">
    <w:name w:val="font5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3766</Words>
  <Characters>3975</Characters>
  <Lines>21</Lines>
  <Paragraphs>6</Paragraphs>
  <TotalTime>55</TotalTime>
  <ScaleCrop>false</ScaleCrop>
  <LinksUpToDate>false</LinksUpToDate>
  <CharactersWithSpaces>3992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AD-PC</cp:lastModifiedBy>
  <dcterms:modified xsi:type="dcterms:W3CDTF">2025-06-08T05:49:50Z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10A64037A19A48258154501FC0E68EB6_13</vt:lpwstr>
  </property>
  <property fmtid="{D5CDD505-2E9C-101B-9397-08002B2CF9AE}" pid="4" name="KSOTemplateDocerSaveRecord">
    <vt:lpwstr>eyJoZGlkIjoiZjQ1YmQ1ZjkwNjdlMmQyMmYyMjU3ZDJiMWE2Yjk5NmEifQ==</vt:lpwstr>
  </property>
</Properties>
</file>