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D8CC2">
      <w:pPr>
        <w:pStyle w:val="2"/>
        <w:pageBreakBefore w:val="0"/>
        <w:numPr>
          <w:numId w:val="0"/>
        </w:numPr>
        <w:kinsoku/>
        <w:wordWrap/>
        <w:topLinePunct w:val="0"/>
        <w:bidi w:val="0"/>
        <w:spacing w:line="520" w:lineRule="exact"/>
        <w:ind w:right="0" w:rightChars="0"/>
        <w:jc w:val="center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采购内容及要求</w:t>
      </w:r>
    </w:p>
    <w:p w14:paraId="415B943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4" w:line="360" w:lineRule="auto"/>
        <w:ind w:right="135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一、材料参数要求</w:t>
      </w:r>
    </w:p>
    <w:tbl>
      <w:tblPr>
        <w:tblStyle w:val="3"/>
        <w:tblW w:w="8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6035"/>
      </w:tblGrid>
      <w:tr w14:paraId="7FC7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5AEB6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草丝材质</w:t>
            </w:r>
          </w:p>
        </w:tc>
        <w:tc>
          <w:tcPr>
            <w:tcW w:w="6035" w:type="dxa"/>
            <w:noWrap w:val="0"/>
            <w:vAlign w:val="center"/>
          </w:tcPr>
          <w:p w14:paraId="28530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改性高分子材料</w:t>
            </w:r>
          </w:p>
        </w:tc>
      </w:tr>
      <w:tr w14:paraId="3BAA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35754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草坪高度</w:t>
            </w:r>
          </w:p>
        </w:tc>
        <w:tc>
          <w:tcPr>
            <w:tcW w:w="6035" w:type="dxa"/>
            <w:noWrap w:val="0"/>
            <w:vAlign w:val="center"/>
          </w:tcPr>
          <w:p w14:paraId="44DF3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1mm</w:t>
            </w:r>
          </w:p>
        </w:tc>
      </w:tr>
      <w:tr w14:paraId="0CC0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7954A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草丝颜色</w:t>
            </w:r>
          </w:p>
        </w:tc>
        <w:tc>
          <w:tcPr>
            <w:tcW w:w="6035" w:type="dxa"/>
            <w:noWrap w:val="0"/>
            <w:vAlign w:val="center"/>
          </w:tcPr>
          <w:p w14:paraId="49C87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绿/深蓝/浅蓝/灰</w:t>
            </w:r>
          </w:p>
        </w:tc>
      </w:tr>
      <w:tr w14:paraId="497D0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204DB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草丝纤度（Dtex）</w:t>
            </w:r>
          </w:p>
        </w:tc>
        <w:tc>
          <w:tcPr>
            <w:tcW w:w="6035" w:type="dxa"/>
            <w:noWrap w:val="0"/>
            <w:vAlign w:val="center"/>
          </w:tcPr>
          <w:p w14:paraId="675DD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7000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±5%</w:t>
            </w:r>
          </w:p>
        </w:tc>
      </w:tr>
      <w:tr w14:paraId="2523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239C2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横向密度（inch）</w:t>
            </w:r>
          </w:p>
        </w:tc>
        <w:tc>
          <w:tcPr>
            <w:tcW w:w="6035" w:type="dxa"/>
            <w:noWrap w:val="0"/>
            <w:vAlign w:val="center"/>
          </w:tcPr>
          <w:p w14:paraId="4ACAF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210行/m     </w:t>
            </w:r>
          </w:p>
        </w:tc>
      </w:tr>
      <w:tr w14:paraId="7119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2B7D4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纵向密度（簇/m）</w:t>
            </w:r>
          </w:p>
        </w:tc>
        <w:tc>
          <w:tcPr>
            <w:tcW w:w="6035" w:type="dxa"/>
            <w:noWrap w:val="0"/>
            <w:vAlign w:val="center"/>
          </w:tcPr>
          <w:p w14:paraId="6F674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305簇/m      ±2%</w:t>
            </w:r>
          </w:p>
        </w:tc>
      </w:tr>
      <w:tr w14:paraId="2829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31900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簇密度（簇/㎡）</w:t>
            </w:r>
          </w:p>
        </w:tc>
        <w:tc>
          <w:tcPr>
            <w:tcW w:w="6035" w:type="dxa"/>
            <w:noWrap w:val="0"/>
            <w:vAlign w:val="center"/>
          </w:tcPr>
          <w:p w14:paraId="61411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64050簇/㎡   ±2%</w:t>
            </w:r>
          </w:p>
        </w:tc>
      </w:tr>
      <w:tr w14:paraId="57EB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7A72A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底布材料</w:t>
            </w:r>
          </w:p>
        </w:tc>
        <w:tc>
          <w:tcPr>
            <w:tcW w:w="6035" w:type="dxa"/>
            <w:noWrap w:val="0"/>
            <w:vAlign w:val="center"/>
          </w:tcPr>
          <w:p w14:paraId="64029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双层PP增强毛面基布+特种网格底布</w:t>
            </w:r>
          </w:p>
        </w:tc>
      </w:tr>
      <w:tr w14:paraId="2259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39713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背胶材料</w:t>
            </w:r>
          </w:p>
        </w:tc>
        <w:tc>
          <w:tcPr>
            <w:tcW w:w="6035" w:type="dxa"/>
            <w:noWrap w:val="0"/>
            <w:vAlign w:val="center"/>
          </w:tcPr>
          <w:p w14:paraId="6E211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绿色环保亮面SPU背胶</w:t>
            </w:r>
          </w:p>
        </w:tc>
      </w:tr>
      <w:tr w14:paraId="0FC6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69119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渗水孔直径（mm）</w:t>
            </w:r>
          </w:p>
        </w:tc>
        <w:tc>
          <w:tcPr>
            <w:tcW w:w="6035" w:type="dxa"/>
            <w:noWrap w:val="0"/>
            <w:vAlign w:val="center"/>
          </w:tcPr>
          <w:p w14:paraId="68364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 xml:space="preserve">  ±2mm</w:t>
            </w:r>
          </w:p>
        </w:tc>
      </w:tr>
      <w:tr w14:paraId="0BE17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12EE5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渗水性</w:t>
            </w:r>
          </w:p>
        </w:tc>
        <w:tc>
          <w:tcPr>
            <w:tcW w:w="6035" w:type="dxa"/>
            <w:noWrap w:val="0"/>
            <w:vAlign w:val="center"/>
          </w:tcPr>
          <w:p w14:paraId="58FE8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孔式排水  透水率:≧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升/分钟/ ㎡(无填充物)</w:t>
            </w:r>
          </w:p>
        </w:tc>
      </w:tr>
      <w:tr w14:paraId="23BB3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54A5C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幅宽（m）</w:t>
            </w:r>
          </w:p>
        </w:tc>
        <w:tc>
          <w:tcPr>
            <w:tcW w:w="6035" w:type="dxa"/>
            <w:noWrap w:val="0"/>
            <w:vAlign w:val="center"/>
          </w:tcPr>
          <w:p w14:paraId="3BE1C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4   ±2cm</w:t>
            </w:r>
          </w:p>
        </w:tc>
      </w:tr>
      <w:tr w14:paraId="58E8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7EB66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卷长（m）</w:t>
            </w:r>
          </w:p>
        </w:tc>
        <w:tc>
          <w:tcPr>
            <w:tcW w:w="6035" w:type="dxa"/>
            <w:noWrap w:val="0"/>
            <w:vAlign w:val="center"/>
          </w:tcPr>
          <w:p w14:paraId="741D3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25   ±20cm</w:t>
            </w:r>
          </w:p>
        </w:tc>
      </w:tr>
      <w:tr w14:paraId="6EBC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763C5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阻燃性</w:t>
            </w:r>
          </w:p>
        </w:tc>
        <w:tc>
          <w:tcPr>
            <w:tcW w:w="6035" w:type="dxa"/>
            <w:noWrap w:val="0"/>
            <w:vAlign w:val="center"/>
          </w:tcPr>
          <w:p w14:paraId="79AD5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1级</w:t>
            </w:r>
          </w:p>
        </w:tc>
      </w:tr>
      <w:tr w14:paraId="6B47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402BF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色牢度</w:t>
            </w:r>
          </w:p>
        </w:tc>
        <w:tc>
          <w:tcPr>
            <w:tcW w:w="6035" w:type="dxa"/>
            <w:noWrap w:val="0"/>
            <w:vAlign w:val="center"/>
          </w:tcPr>
          <w:p w14:paraId="04638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&gt;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 w14:paraId="6AF2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08E24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技术要求</w:t>
            </w:r>
          </w:p>
        </w:tc>
        <w:tc>
          <w:tcPr>
            <w:tcW w:w="6035" w:type="dxa"/>
            <w:noWrap w:val="0"/>
            <w:vAlign w:val="center"/>
          </w:tcPr>
          <w:p w14:paraId="01D38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场地图案除生产宽度限制外，需为一体定制，不能采用拼接；</w:t>
            </w:r>
          </w:p>
          <w:p w14:paraId="1C6DF3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标线、色块、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站点需为一体定制。</w:t>
            </w:r>
          </w:p>
        </w:tc>
      </w:tr>
      <w:tr w14:paraId="0AC46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0FA51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样品提供</w:t>
            </w:r>
          </w:p>
        </w:tc>
        <w:tc>
          <w:tcPr>
            <w:tcW w:w="6035" w:type="dxa"/>
            <w:noWrap w:val="0"/>
            <w:vAlign w:val="center"/>
          </w:tcPr>
          <w:p w14:paraId="2BAD6D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为现场检验产品质量及后期比样验收，需提供绿色/深蓝/浅蓝/灰80cmX80cm以上规格的样品各一块</w:t>
            </w:r>
          </w:p>
        </w:tc>
      </w:tr>
      <w:tr w14:paraId="49A9B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5B892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适合场地</w:t>
            </w:r>
          </w:p>
        </w:tc>
        <w:tc>
          <w:tcPr>
            <w:tcW w:w="6035" w:type="dxa"/>
            <w:noWrap w:val="0"/>
            <w:vAlign w:val="center"/>
          </w:tcPr>
          <w:p w14:paraId="5381CF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幼儿园活动场地、休闲景观场地等</w:t>
            </w:r>
          </w:p>
        </w:tc>
      </w:tr>
    </w:tbl>
    <w:p w14:paraId="05CB096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1、样品要求</w:t>
      </w:r>
    </w:p>
    <w:p w14:paraId="482F963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样品制作的标准和要求：各供应商的样品必须满足采购人参数要求。</w:t>
      </w:r>
    </w:p>
    <w:p w14:paraId="038F3E4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2、样品的递交</w:t>
      </w:r>
    </w:p>
    <w:p w14:paraId="079207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（1）递交样品截止时间：同提交响应文件截止时间，随响应文件一起递交。</w:t>
      </w:r>
    </w:p>
    <w:p w14:paraId="4E475D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（2）递交地点：同响应文件提交地点。</w:t>
      </w:r>
    </w:p>
    <w:p w14:paraId="54D677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（3）供应商代表必须在递交样品截止时间前将样品送达指定地点，逾期不予受理。</w:t>
      </w:r>
    </w:p>
    <w:p w14:paraId="24A72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（4）采购人、采购代理机构对递交的样品进行检查，统一编号并封样留存，作为产品检验的依据。</w:t>
      </w:r>
    </w:p>
    <w:p w14:paraId="34DEFD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（5）评审样品中有重大缺陷的将无法通过符合性审查。</w:t>
      </w:r>
    </w:p>
    <w:p w14:paraId="6D9C1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（6）现场评审内容:</w:t>
      </w:r>
    </w:p>
    <w:p w14:paraId="0820C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外观：应无破损，表而应无明显胶斑，底背涂胶应均匀，应无明显漏针</w:t>
      </w:r>
    </w:p>
    <w:p w14:paraId="45AF37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纵向密度：305簇/m ±2%</w:t>
      </w:r>
    </w:p>
    <w:p w14:paraId="58DD80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横向密度：210行/米</w:t>
      </w:r>
    </w:p>
    <w:p w14:paraId="45C74F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底背：涂胶均匀，绿色亮面，不掉渣</w:t>
      </w:r>
    </w:p>
    <w:p w14:paraId="2EC3EDF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520" w:lineRule="exact"/>
        <w:ind w:right="-29" w:firstLine="261" w:firstLineChars="100"/>
        <w:jc w:val="both"/>
        <w:textAlignment w:val="auto"/>
        <w:rPr>
          <w:rFonts w:hint="default"/>
          <w:b/>
          <w:color w:val="auto"/>
          <w:spacing w:val="10"/>
          <w:sz w:val="24"/>
          <w:lang w:val="en-US" w:eastAsia="zh-CN"/>
        </w:rPr>
      </w:pPr>
      <w:r>
        <w:rPr>
          <w:rFonts w:hint="eastAsia"/>
          <w:b/>
          <w:color w:val="auto"/>
          <w:spacing w:val="10"/>
          <w:sz w:val="24"/>
          <w:lang w:val="en-US" w:eastAsia="zh-CN"/>
        </w:rPr>
        <w:t>二、相关检测要求</w:t>
      </w:r>
    </w:p>
    <w:p w14:paraId="40E3848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、为保证人造草坪质量，投标文件中需提供具有CMA、CNAS认可的第三方检测机构出具的通过新国标GB36246-2018《中小学合成材料面层运动场地》标准，对有害物质含量、有害物质释放量、物理机械性能检测结果均为合格的检测报告，加盖生产厂商公章；</w:t>
      </w:r>
    </w:p>
    <w:p w14:paraId="7B6200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2、为保证人造草坪质量，投标文件中需提供具有CMA、CNAS认可的第三方检测机构出具的通过新国标GB/T20394-2019《体育用人造草》28项检测结果均为合格的检测报告，加盖生产厂商公章；</w:t>
      </w:r>
    </w:p>
    <w:p w14:paraId="19CF7275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3、为保证厂家及产品对环境的环保，投标文件中需提供依据GB/T24021-2001idt ISO14021:1999《环境管理环境标志与声明 自我环境声明（Ⅱ型环保标志）》要求的中国环境标志(Ⅱ型)产品认证证书，加盖生产厂商公章；</w:t>
      </w:r>
    </w:p>
    <w:bookmarkEnd w:id="0"/>
    <w:p w14:paraId="6C91387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4、为保证人造草坪的环保性能，投标文件中需提供依据欧盟第1907/2006号REACH法规对人造草坪的249种高关注物质进行筛分的SGS检测报告，加盖生产厂商公章；</w:t>
      </w:r>
    </w:p>
    <w:p w14:paraId="3E90ADC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5、为保证人造草坪的环保安全无毒害，投标文件中需提供对人造草坪的草丝、底布、背胶分别进行特定元素迁移测试检测，检测结果均未超过限量的检测报告，加盖生产厂商公章；</w:t>
      </w:r>
    </w:p>
    <w:p w14:paraId="5888834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6、为保证人造草坪的阻燃性能，投标文件中需提供具有CMA、CNAS认可的第三方检测机构出具的符合GB 8624-2012《建筑材料及制品燃烧性能分级》标准，达到B1级阻燃检测报告，加盖生产厂商公章；</w:t>
      </w:r>
    </w:p>
    <w:p w14:paraId="0145FAC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7、为保证人造草坪的抗静电性能，投标文件中需提供第三方检测机构出具的依据GB/T12703.4-2010《静电性能的评定》标准，抗静电等级为B级以上的的检测报告，加盖生产厂商公章；</w:t>
      </w:r>
    </w:p>
    <w:p w14:paraId="403697E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8、为保证人造草坪的环保性能和无毒无害，提供所供产品的人造草坪厂家根据 《ASTM G21-15》标准， 由国内权威检测机构出具的草坪不含真菌的检测报告。 所检测真菌种类为：黑曲霉、绿色木霉、球毛壳霉、出芽短梗霉、绳状青霉，检测级别为:0 级，加盖生产厂商公章；</w:t>
      </w:r>
    </w:p>
    <w:p w14:paraId="29A6C8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9、为保证人造草坪的环保性能和无毒无害，提供具有CMA、CNAS认可的第三方检测机构出具的依据《GB/T21604-2022化学品急性皮肤刺激性/腐蚀性试验方法》标准，无刺激性的检测报告，加盖生产厂商公章。</w:t>
      </w:r>
    </w:p>
    <w:p w14:paraId="1914952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注：以上要求的所有检测报告供应商须全部提供，未提供视为重大负偏离，按无效响应文件处理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D946DC"/>
    <w:multiLevelType w:val="singleLevel"/>
    <w:tmpl w:val="A9D946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C2027"/>
    <w:rsid w:val="5ECE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500" w:lineRule="atLeast"/>
      <w:ind w:left="0" w:right="0"/>
      <w:jc w:val="both"/>
      <w:outlineLvl w:val="1"/>
    </w:pPr>
    <w:rPr>
      <w:rFonts w:ascii="Arial" w:hAnsi="Arial" w:eastAsia="黑体" w:cs="Times New Roman"/>
      <w:b/>
      <w:bCs/>
      <w:kern w:val="2"/>
      <w:sz w:val="28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1121</Words>
  <Characters>1308</Characters>
  <Lines>0</Lines>
  <Paragraphs>0</Paragraphs>
  <TotalTime>0</TotalTime>
  <ScaleCrop>false</ScaleCrop>
  <LinksUpToDate>false</LinksUpToDate>
  <CharactersWithSpaces>1342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2025-06-09T07:07:00Z</dcterms:created>
  <dc:creator>Administrator</dc:creator>
  <cp:lastModifiedBy>招标代理公司-宋璟雯</cp:lastModifiedBy>
  <dcterms:modified xsi:type="dcterms:W3CDTF">2025-06-09T07:16:46Z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eyJoZGlkIjoiNjMzZmQ0ZDk5YzU0YjllNTdjMTBiZDMxYTg3ZmM2YmYiLCJ1c2VySWQiOiIxMzU4MjU4NDA5In0=</vt:lpwstr>
  </property>
  <property fmtid="{D5CDD505-2E9C-101B-9397-08002B2CF9AE}" pid="4" name="ICV">
    <vt:lpwstr>F5BC1F4FAE524D8587C1A22BEB5EFB73_12</vt:lpwstr>
  </property>
</Properties>
</file>