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4"/>
        <w:gridCol w:w="483"/>
        <w:gridCol w:w="7040"/>
      </w:tblGrid>
      <w:tr w14:paraId="135F8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2163E058">
            <w:pPr>
              <w:ind w:firstLine="0" w:firstLineChars="0"/>
            </w:pPr>
            <w:r>
              <w:t>参数性质</w:t>
            </w:r>
          </w:p>
        </w:tc>
        <w:tc>
          <w:tcPr>
            <w:tcW w:w="483" w:type="dxa"/>
          </w:tcPr>
          <w:p w14:paraId="2F63AE9A">
            <w:pPr>
              <w:ind w:firstLine="0" w:firstLineChars="0"/>
            </w:pPr>
            <w:r>
              <w:t>序号</w:t>
            </w:r>
          </w:p>
        </w:tc>
        <w:tc>
          <w:tcPr>
            <w:tcW w:w="7040" w:type="dxa"/>
          </w:tcPr>
          <w:p w14:paraId="499D7D43">
            <w:pPr>
              <w:ind w:firstLine="0" w:firstLineChars="0"/>
            </w:pPr>
            <w:r>
              <w:t>技术参数与性能指标</w:t>
            </w:r>
          </w:p>
        </w:tc>
      </w:tr>
      <w:tr w14:paraId="104D3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18DC4D81">
            <w:pPr>
              <w:ind w:firstLine="0" w:firstLineChars="0"/>
            </w:pPr>
          </w:p>
        </w:tc>
        <w:tc>
          <w:tcPr>
            <w:tcW w:w="483" w:type="dxa"/>
          </w:tcPr>
          <w:p w14:paraId="39EF4B68">
            <w:pPr>
              <w:ind w:firstLine="0" w:firstLineChars="0"/>
            </w:pPr>
            <w:r>
              <w:t>1</w:t>
            </w:r>
          </w:p>
        </w:tc>
        <w:tc>
          <w:tcPr>
            <w:tcW w:w="7040" w:type="dxa"/>
          </w:tcPr>
          <w:p w14:paraId="6BE7C198">
            <w:pPr>
              <w:ind w:firstLine="0" w:firstLineChars="0"/>
              <w:rPr>
                <w:rFonts w:cs="宋体"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防火墙（1套）</w:t>
            </w:r>
          </w:p>
          <w:p w14:paraId="731F20E2">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（1）标准机架式设备，冗余电源，配置≥6个千兆电口,≥6个千兆光口，不少于6个万兆光口，网络层吞吐量≥50Gbps，应用层吞吐量≥40Gbps；新建连接数≥35万，并发连接数≥1200万，IPSec VPN 隧道数≥2000，IPSec VPN 吞吐≥3G，具有SSL VPN 能力。</w:t>
            </w:r>
          </w:p>
          <w:p w14:paraId="53BA6F36">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（2）内置专用操作系统，支持静态路由，动态路由（OSPF、RIP、BGP、ISIS等），VLAN间路由，单臂路由，组播路由等。</w:t>
            </w:r>
          </w:p>
          <w:p w14:paraId="13C52D48">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（3）支持链路负载均衡和链路健康检查，支持轮询、加权轮询、就近选路、优先级、带宽比率等多种链路负载均衡算法，支持备用选路算法，支持链路过载保护；</w:t>
            </w:r>
          </w:p>
          <w:p w14:paraId="100582E5">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（4）支持一体化安全策略配置，可以通过一条策略实现用户认证、IPS、AV、URL过滤、协议控制、流量控制、并发、新建限制、垃圾邮件过滤、审计等功能,简化用户管理。</w:t>
            </w:r>
          </w:p>
          <w:p w14:paraId="3696A134">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5）支持策略命中数显示及策略变更信息管理，支持查看变更策略、变更动作、变更时间、修改人、登陆IP，支持对变更前后的策略进行直观对比，并能一键还原配置。（需提供产品功能截图证明或第三方检测报告，并加盖公章）</w:t>
            </w:r>
          </w:p>
          <w:p w14:paraId="3452F484">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（6）支持主流IP、ICMP、TCP、UDP、DNS、HTTP、HTTPS、SIP、NTP泛洪攻击防护。</w:t>
            </w:r>
          </w:p>
          <w:p w14:paraId="467A958E">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（7）支持与入侵防御联动，获取设备上的威胁检测结果，实现动态阻断并可自定义阻断时间。（需提供产品功能截图证明并加盖公章）</w:t>
            </w:r>
          </w:p>
          <w:p w14:paraId="3BE4C6C3">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（8）支持行为分析功能，对新建连接数、并发连接数、流量等数据进行统计分析，建立业务行为基线，对异常行为进行告警；支持行为分析监控展示，可展示不同行为分析策略的实时数据和基线数据趋势。</w:t>
            </w:r>
          </w:p>
          <w:p w14:paraId="5D91A833">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（9）支持多对一、一对多和一对一等NAT方式以及NAT44 、NAT64、NAT66地址转换方式。</w:t>
            </w:r>
          </w:p>
          <w:p w14:paraId="2F1B1333">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（10）支持虚拟防火墙的创建、启动、关闭、删除功能；虚拟防火墙可独立管理，独立保存配置；虚拟防火墙具备独立会话管理、NAT、安全策略等功能。</w:t>
            </w:r>
          </w:p>
          <w:p w14:paraId="6B6442F3">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（11）支持通过学习资产的访问流量、访问次数数据，生成资产行为画像，实际行为出现偏差时判定异常并产生告警。（需提供产品功能截图证明或第三方检测报告，并加盖公章）</w:t>
            </w:r>
          </w:p>
          <w:p w14:paraId="7205A54A">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（12）要求所投产品具备《网络关键设备和网络安全专用产品目录》相应的认证证书或检测证书，提供证明文件；</w:t>
            </w:r>
          </w:p>
          <w:p w14:paraId="45DCCBE7">
            <w:pPr>
              <w:ind w:firstLine="0" w:firstLineChars="0"/>
              <w:rPr>
                <w:rFonts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b/>
                <w:bCs/>
                <w:color w:val="000000" w:themeColor="text1"/>
                <w14:textFill>
                  <w14:solidFill>
                    <w14:schemeClr w14:val="tx1"/>
                  </w14:solidFill>
                </w14:textFill>
              </w:rPr>
              <w:t>（13）本次产品要求提供原厂质保服务3年。</w:t>
            </w:r>
          </w:p>
        </w:tc>
      </w:tr>
      <w:tr w14:paraId="7A64E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7B18DFC2">
            <w:pPr>
              <w:ind w:firstLine="0" w:firstLineChars="0"/>
            </w:pPr>
          </w:p>
        </w:tc>
        <w:tc>
          <w:tcPr>
            <w:tcW w:w="483" w:type="dxa"/>
          </w:tcPr>
          <w:p w14:paraId="1668D16D">
            <w:pPr>
              <w:ind w:firstLine="0" w:firstLineChars="0"/>
            </w:pPr>
            <w:r>
              <w:rPr>
                <w:rFonts w:hint="eastAsia"/>
              </w:rPr>
              <w:t>2</w:t>
            </w:r>
          </w:p>
        </w:tc>
        <w:tc>
          <w:tcPr>
            <w:tcW w:w="7040" w:type="dxa"/>
          </w:tcPr>
          <w:p w14:paraId="4BA10CB9">
            <w:pPr>
              <w:ind w:firstLine="0" w:firstLineChars="0"/>
              <w:rPr>
                <w:rFonts w:cs="仿宋_GB2312" w:asciiTheme="minorEastAsia" w:hAnsiTheme="minorEastAsia" w:eastAsiaTheme="minorEastAsia"/>
                <w:b/>
                <w:bCs/>
                <w:color w:val="000000" w:themeColor="text1"/>
                <w14:textFill>
                  <w14:solidFill>
                    <w14:schemeClr w14:val="tx1"/>
                  </w14:solidFill>
                </w14:textFill>
              </w:rPr>
            </w:pPr>
            <w:r>
              <w:rPr>
                <w:rFonts w:hint="eastAsia" w:cs="仿宋_GB2312" w:asciiTheme="minorEastAsia" w:hAnsiTheme="minorEastAsia" w:eastAsiaTheme="minorEastAsia"/>
                <w:b/>
                <w:bCs/>
                <w:color w:val="000000" w:themeColor="text1"/>
                <w14:textFill>
                  <w14:solidFill>
                    <w14:schemeClr w14:val="tx1"/>
                  </w14:solidFill>
                </w14:textFill>
              </w:rPr>
              <w:t>上网行为管理（1套）</w:t>
            </w:r>
          </w:p>
          <w:p w14:paraId="34D81EF7">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（1）标准机架式设备，冗余电源，配置不少于2个千兆电口，不少于6个万兆光口，网络层吞吐量≥20Gbps，应用层吞吐量≥15Gbps；带宽性能≥10Gb，并发连接数≥800万，支持用户数≥100000。</w:t>
            </w:r>
          </w:p>
          <w:p w14:paraId="7B5118DB">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（2）部署模式支持路由模式、透明（网桥）模式、混合模式，支持镜像接口，部署模式切换无需重启设备。透明、路由模式下支持将多条链路带宽进行捆绑。支持配置基于用户和应用均为任意的5元组的IPv6策略。</w:t>
            </w:r>
          </w:p>
          <w:p w14:paraId="6271F083">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（3）支持创建用户组、用户，各分组能继承父组策略，用户能继承组的策略。</w:t>
            </w:r>
          </w:p>
          <w:p w14:paraId="1EC4512F">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4）支持通道化的QoS，支持基于源地址、用户、服务、应用、时间进行带宽控制，并支持配置保障带宽、限制带宽、带宽借用、每IP带宽、流量限额、带宽优先级等QoS动作，时间选择支持基于日计划、周计划、单次计划等；支持流量和时长的月限额。（需提供产品功能截图证明并加盖公章）</w:t>
            </w:r>
          </w:p>
          <w:p w14:paraId="173B5BFE">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（5）支持多种认证方式，包括本地用户名密码、第三方服务器、短信认证、二维码认证等。</w:t>
            </w:r>
          </w:p>
          <w:p w14:paraId="5045B20D">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6）支持周期性将http流量重定向到指定公告页面，能够为上网用户在浏览器进行网站浏览时周期性的对其展示公告页面；公告页面可指定url使用外部公告页面，重定向公告页面的周期可自定义重定向间隔时间，或是自定义访问次数到达指定次数后进行重定向，以及在指定时间内访问网站到达指定次数后进行重定向到公告页面。（需提供产品功能截图证明并加盖公章）</w:t>
            </w:r>
          </w:p>
          <w:p w14:paraId="342797C8">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（7）支持对僵尸网络主机进行识别，发现风险后，可对风险主机进行阻断、冻结或者告警处置。</w:t>
            </w:r>
          </w:p>
          <w:p w14:paraId="44B36368">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8）设备内置海量预分类的URL地址库，能够针对：网上购物、成人内容、求职招聘、宗教、在线影音及下载、游戏资讯、网上聊天、个人网站及博客、色情、赌博、非法药物、风水命理、娱乐场所、汽车、餐饮、钓鱼及恶意网站、网上银行、在线支付等各种URL类型做识别和分类，同时所有URL类型都支持区分“网站浏览”、“文件上传”、“其他上传”、“HTTPS”等细分行为并分别做权限控制。</w:t>
            </w:r>
          </w:p>
          <w:p w14:paraId="4AF2B20D">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（9）DHCP静态分配：支持配置DHCPv4固定地址的IP-（MAC/Option82/主机名）绑定；</w:t>
            </w:r>
          </w:p>
          <w:p w14:paraId="54661166">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（10）从内网整体网络的宏观角度展现网络使用概况、上网目的地分布、热门应用流量分布、网站类型分析、终端类型分析、在线人群趋势、违规行为统计等多维度全方位展现网络的使用综合态势；</w:t>
            </w:r>
          </w:p>
          <w:p w14:paraId="243AD99A">
            <w:pPr>
              <w:ind w:firstLine="0" w:firstLineChars="0"/>
              <w:rPr>
                <w:rFonts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（11）要求所投产品具备《网络关键设备和网络安全专用产品目录》相应的认证证书或检测证书，提供证明文件</w:t>
            </w:r>
          </w:p>
          <w:p w14:paraId="6519AED0">
            <w:pPr>
              <w:ind w:firstLine="0" w:firstLineChars="0"/>
              <w:rPr>
                <w:rFonts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（12）本次产品要求提供3年原厂维保服务及规则库升级许可的承诺。</w:t>
            </w:r>
          </w:p>
        </w:tc>
      </w:tr>
      <w:tr w14:paraId="3B639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67CCA2AF">
            <w:pPr>
              <w:ind w:firstLine="0" w:firstLineChars="0"/>
            </w:pPr>
          </w:p>
        </w:tc>
        <w:tc>
          <w:tcPr>
            <w:tcW w:w="483" w:type="dxa"/>
          </w:tcPr>
          <w:p w14:paraId="23A0CA58">
            <w:pPr>
              <w:ind w:firstLine="0" w:firstLineChars="0"/>
            </w:pPr>
            <w:r>
              <w:rPr>
                <w:rFonts w:hint="eastAsia"/>
              </w:rPr>
              <w:t>3</w:t>
            </w:r>
          </w:p>
        </w:tc>
        <w:tc>
          <w:tcPr>
            <w:tcW w:w="7040" w:type="dxa"/>
          </w:tcPr>
          <w:p w14:paraId="20618DE7">
            <w:pPr>
              <w:ind w:firstLine="0" w:firstLineChars="0"/>
              <w:rPr>
                <w:rFonts w:cs="仿宋_GB2312" w:asciiTheme="minorEastAsia" w:hAnsiTheme="minorEastAsia" w:eastAsiaTheme="minorEastAsia"/>
                <w:b/>
                <w:bCs/>
                <w:color w:val="000000" w:themeColor="text1"/>
                <w14:textFill>
                  <w14:solidFill>
                    <w14:schemeClr w14:val="tx1"/>
                  </w14:solidFill>
                </w14:textFill>
              </w:rPr>
            </w:pPr>
            <w:r>
              <w:rPr>
                <w:rFonts w:hint="eastAsia" w:cs="仿宋_GB2312" w:asciiTheme="minorEastAsia" w:hAnsiTheme="minorEastAsia" w:eastAsiaTheme="minorEastAsia"/>
                <w:b/>
                <w:bCs/>
                <w:color w:val="000000" w:themeColor="text1"/>
                <w14:textFill>
                  <w14:solidFill>
                    <w14:schemeClr w14:val="tx1"/>
                  </w14:solidFill>
                </w14:textFill>
              </w:rPr>
              <w:t>项目团队要求</w:t>
            </w:r>
          </w:p>
          <w:p w14:paraId="0286FF29">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为保证本项目的交付质量，在系统实施期间，投标人必须派遣至少1名项目经理、4名网络安全技术工程师（提供人员认证证书（项目经理证书：PMP认证、信息系统项目管理师、CCRC信息安全保障人员认证证书CISAW；团队成员证书：注册信息安全工程师CISP）及在所在单位近3个月的社保缴纳证明）协助项目管理、系统安装、调试、集成测试、培训上线，并随时响应用户的各种技术需求。</w:t>
            </w:r>
          </w:p>
          <w:p w14:paraId="3BAC8624">
            <w:pPr>
              <w:ind w:firstLine="0" w:firstLineChars="0"/>
              <w:rPr>
                <w:rFonts w:cs="仿宋_GB2312" w:asciiTheme="minorEastAsia" w:hAnsiTheme="minorEastAsia" w:eastAsiaTheme="minorEastAsia"/>
                <w:b/>
                <w:bCs/>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同时，为保障服务质量，投标人应根据现场需求提供定期（包括风险评估、优化改善、特殊时段驻场等）或不定期（故障响应、请求响应、保障服务等）的技术支持。</w:t>
            </w:r>
          </w:p>
        </w:tc>
      </w:tr>
      <w:tr w14:paraId="214C2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51755A1E">
            <w:pPr>
              <w:ind w:firstLine="0" w:firstLineChars="0"/>
            </w:pPr>
          </w:p>
        </w:tc>
        <w:tc>
          <w:tcPr>
            <w:tcW w:w="483" w:type="dxa"/>
          </w:tcPr>
          <w:p w14:paraId="5C875B04">
            <w:pPr>
              <w:ind w:firstLine="0" w:firstLineChars="0"/>
            </w:pPr>
            <w:r>
              <w:rPr>
                <w:rFonts w:hint="eastAsia"/>
              </w:rPr>
              <w:t>4</w:t>
            </w:r>
          </w:p>
        </w:tc>
        <w:tc>
          <w:tcPr>
            <w:tcW w:w="7040" w:type="dxa"/>
          </w:tcPr>
          <w:p w14:paraId="234DC175">
            <w:pPr>
              <w:ind w:firstLine="0" w:firstLineChars="0"/>
              <w:rPr>
                <w:rFonts w:cs="仿宋_GB2312" w:asciiTheme="minorEastAsia" w:hAnsiTheme="minorEastAsia" w:eastAsiaTheme="minorEastAsia"/>
                <w:b/>
                <w:bCs/>
                <w:color w:val="000000" w:themeColor="text1"/>
                <w14:textFill>
                  <w14:solidFill>
                    <w14:schemeClr w14:val="tx1"/>
                  </w14:solidFill>
                </w14:textFill>
              </w:rPr>
            </w:pPr>
            <w:r>
              <w:rPr>
                <w:rFonts w:hint="eastAsia" w:cs="仿宋_GB2312" w:asciiTheme="minorEastAsia" w:hAnsiTheme="minorEastAsia" w:eastAsiaTheme="minorEastAsia"/>
                <w:b/>
                <w:bCs/>
                <w:color w:val="000000" w:themeColor="text1"/>
                <w14:textFill>
                  <w14:solidFill>
                    <w14:schemeClr w14:val="tx1"/>
                  </w14:solidFill>
                </w14:textFill>
              </w:rPr>
              <w:t>业务保障要求</w:t>
            </w:r>
          </w:p>
          <w:p w14:paraId="32980BF0">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为保障业务连续性，投标人具备在2小时内到场服务并提供专项备品备件的能力，需提供承诺函。</w:t>
            </w:r>
          </w:p>
          <w:p w14:paraId="202E3C07">
            <w:pPr>
              <w:ind w:firstLine="0" w:firstLineChars="0"/>
              <w:rPr>
                <w:rFonts w:cs="仿宋_GB2312" w:asciiTheme="minorEastAsia" w:hAnsiTheme="minorEastAsia" w:eastAsiaTheme="minorEastAsia"/>
                <w:b/>
                <w:bCs/>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投标人需提供系统应急方案，确保在突发紧急状况下能够快速响应，缩短业务系统中断时间，降低系统风险。</w:t>
            </w:r>
          </w:p>
        </w:tc>
      </w:tr>
      <w:tr w14:paraId="695FB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14E479C0">
            <w:pPr>
              <w:ind w:firstLine="0" w:firstLineChars="0"/>
            </w:pPr>
          </w:p>
        </w:tc>
        <w:tc>
          <w:tcPr>
            <w:tcW w:w="483" w:type="dxa"/>
          </w:tcPr>
          <w:p w14:paraId="6DA0DD28">
            <w:pPr>
              <w:ind w:firstLine="0" w:firstLineChars="0"/>
            </w:pPr>
            <w:r>
              <w:rPr>
                <w:rFonts w:hint="eastAsia"/>
              </w:rPr>
              <w:t>5</w:t>
            </w:r>
          </w:p>
        </w:tc>
        <w:tc>
          <w:tcPr>
            <w:tcW w:w="7040" w:type="dxa"/>
          </w:tcPr>
          <w:p w14:paraId="07BB88C4">
            <w:pPr>
              <w:ind w:firstLine="0" w:firstLineChars="0"/>
              <w:rPr>
                <w:rFonts w:cs="仿宋_GB2312" w:asciiTheme="minorEastAsia" w:hAnsiTheme="minorEastAsia" w:eastAsiaTheme="minorEastAsia"/>
                <w:b/>
                <w:bCs/>
                <w:color w:val="000000" w:themeColor="text1"/>
                <w14:textFill>
                  <w14:solidFill>
                    <w14:schemeClr w14:val="tx1"/>
                  </w14:solidFill>
                </w14:textFill>
              </w:rPr>
            </w:pPr>
            <w:r>
              <w:rPr>
                <w:rFonts w:hint="eastAsia" w:cs="仿宋_GB2312" w:asciiTheme="minorEastAsia" w:hAnsiTheme="minorEastAsia" w:eastAsiaTheme="minorEastAsia"/>
                <w:b/>
                <w:bCs/>
                <w:color w:val="000000" w:themeColor="text1"/>
                <w14:textFill>
                  <w14:solidFill>
                    <w14:schemeClr w14:val="tx1"/>
                  </w14:solidFill>
                </w14:textFill>
              </w:rPr>
              <w:t>设备巡检要求</w:t>
            </w:r>
          </w:p>
          <w:p w14:paraId="0C022B2D">
            <w:pPr>
              <w:ind w:firstLine="0" w:firstLineChars="0"/>
              <w:rPr>
                <w:rFonts w:cs="仿宋_GB2312" w:asciiTheme="minorEastAsia" w:hAnsiTheme="minorEastAsia" w:eastAsiaTheme="minorEastAsia"/>
                <w:b/>
                <w:bCs/>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质保期内，每季度定期提供设备全面巡检服务，记录设备的运行状态，发现并排除系统故障，调整系统运行参数，保证系统运行在良好状态。及时响应我校的调试、优化及故障排除，确保服服务范围内设备无故障、稳定运行，并交付《巡检报告》。</w:t>
            </w:r>
          </w:p>
        </w:tc>
      </w:tr>
      <w:tr w14:paraId="5E6EF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3CE674BF">
            <w:pPr>
              <w:ind w:firstLine="0" w:firstLineChars="0"/>
            </w:pPr>
          </w:p>
        </w:tc>
        <w:tc>
          <w:tcPr>
            <w:tcW w:w="483" w:type="dxa"/>
          </w:tcPr>
          <w:p w14:paraId="48F4D5CB">
            <w:pPr>
              <w:ind w:firstLine="0" w:firstLineChars="0"/>
            </w:pPr>
            <w:r>
              <w:rPr>
                <w:rFonts w:hint="eastAsia"/>
              </w:rPr>
              <w:t>6</w:t>
            </w:r>
          </w:p>
        </w:tc>
        <w:tc>
          <w:tcPr>
            <w:tcW w:w="7040" w:type="dxa"/>
          </w:tcPr>
          <w:p w14:paraId="433B9E8E">
            <w:pPr>
              <w:ind w:firstLine="0" w:firstLineChars="0"/>
              <w:rPr>
                <w:rFonts w:cs="仿宋_GB2312" w:asciiTheme="minorEastAsia" w:hAnsiTheme="minorEastAsia" w:eastAsiaTheme="minorEastAsia"/>
                <w:b/>
                <w:bCs/>
                <w:color w:val="000000" w:themeColor="text1"/>
                <w14:textFill>
                  <w14:solidFill>
                    <w14:schemeClr w14:val="tx1"/>
                  </w14:solidFill>
                </w14:textFill>
              </w:rPr>
            </w:pPr>
            <w:r>
              <w:rPr>
                <w:rFonts w:hint="eastAsia" w:cs="仿宋_GB2312" w:asciiTheme="minorEastAsia" w:hAnsiTheme="minorEastAsia" w:eastAsiaTheme="minorEastAsia"/>
                <w:b/>
                <w:bCs/>
                <w:color w:val="000000" w:themeColor="text1"/>
                <w14:textFill>
                  <w14:solidFill>
                    <w14:schemeClr w14:val="tx1"/>
                  </w14:solidFill>
                </w14:textFill>
              </w:rPr>
              <w:t>项目实施</w:t>
            </w:r>
          </w:p>
          <w:p w14:paraId="2DAEB918">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（1）投标人根据陕西邮电职业技术学院实际情况提供完善的核心网络架构规划，如网络拓扑图、IPV6地址规划等，并提供设计、施工方案，按照校方要求对所有安全设备配置进行调整及优化工作。</w:t>
            </w:r>
          </w:p>
          <w:p w14:paraId="0F957FF4">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（2）项目施工包含设备安装部署、设备所需光模块，辅材及人工等。</w:t>
            </w:r>
          </w:p>
          <w:p w14:paraId="3C6888DA">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服务期内对校园网络资产全面梳理（内容包含：IP、终端/服务器、网络安全设备等），资产可通过自动或手动配置新增，资产信息全面收录到防火墙集中监控；资产发生变更时，根据上报的信息进行确认更新。</w:t>
            </w:r>
          </w:p>
          <w:p w14:paraId="4A91084B">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（4）服务期内对资产进行统计和管理，可实时查看资产详情、漏洞详情、脆弱等级、安全状态、所处位置、风险等级/安全评分、安全防护策略，并对资产进行分组和防护优化。</w:t>
            </w:r>
          </w:p>
          <w:p w14:paraId="0A667492">
            <w:pPr>
              <w:ind w:firstLine="0" w:firstLineChars="0"/>
              <w:rPr>
                <w:rFonts w:cs="仿宋_GB2312" w:asciiTheme="minorEastAsia" w:hAnsiTheme="minorEastAsia" w:eastAsiaTheme="minorEastAsia"/>
                <w:b/>
                <w:bCs/>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（5）服务期内根据服务器数据报文流量进行统计（提供日报/周报），包括各个服务器的服务器IP、上行流量、下行流量、总流量以及新建会话数。</w:t>
            </w:r>
          </w:p>
        </w:tc>
      </w:tr>
      <w:tr w14:paraId="384EC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7F4C44B3">
            <w:pPr>
              <w:ind w:firstLine="0" w:firstLineChars="0"/>
            </w:pPr>
          </w:p>
        </w:tc>
        <w:tc>
          <w:tcPr>
            <w:tcW w:w="483" w:type="dxa"/>
          </w:tcPr>
          <w:p w14:paraId="0AAE312C">
            <w:pPr>
              <w:ind w:firstLine="0" w:firstLineChars="0"/>
            </w:pPr>
            <w:r>
              <w:rPr>
                <w:rFonts w:hint="eastAsia"/>
              </w:rPr>
              <w:t>7</w:t>
            </w:r>
          </w:p>
        </w:tc>
        <w:tc>
          <w:tcPr>
            <w:tcW w:w="7040" w:type="dxa"/>
          </w:tcPr>
          <w:p w14:paraId="50962A85">
            <w:pPr>
              <w:ind w:firstLine="0" w:firstLineChars="0"/>
              <w:rPr>
                <w:rFonts w:cs="仿宋_GB2312" w:asciiTheme="minorEastAsia" w:hAnsiTheme="minorEastAsia" w:eastAsiaTheme="minorEastAsia"/>
                <w:b/>
                <w:bCs/>
                <w:color w:val="000000" w:themeColor="text1"/>
                <w14:textFill>
                  <w14:solidFill>
                    <w14:schemeClr w14:val="tx1"/>
                  </w14:solidFill>
                </w14:textFill>
              </w:rPr>
            </w:pPr>
            <w:r>
              <w:rPr>
                <w:rFonts w:hint="eastAsia" w:cs="仿宋_GB2312" w:asciiTheme="minorEastAsia" w:hAnsiTheme="minorEastAsia" w:eastAsiaTheme="minorEastAsia"/>
                <w:b/>
                <w:bCs/>
                <w:color w:val="000000" w:themeColor="text1"/>
                <w14:textFill>
                  <w14:solidFill>
                    <w14:schemeClr w14:val="tx1"/>
                  </w14:solidFill>
                </w14:textFill>
              </w:rPr>
              <w:t>项目验收要求</w:t>
            </w:r>
          </w:p>
          <w:p w14:paraId="1695F8FB">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拟制详细的设计、施工方案，方案中应至少包含但不限于设计详细的网络优化建议、实施计划方案、完善的培训售后方案等。验收资料包括但不限于以下内容：</w:t>
            </w:r>
          </w:p>
          <w:p w14:paraId="41333F4F">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1、网络优化建议</w:t>
            </w:r>
          </w:p>
          <w:p w14:paraId="6791EE36">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2、实施计划方案</w:t>
            </w:r>
          </w:p>
          <w:p w14:paraId="39CDB2FE">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3、运维巡检方案</w:t>
            </w:r>
          </w:p>
          <w:p w14:paraId="6740616B">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4、网络拓扑、网络资产清单</w:t>
            </w:r>
          </w:p>
          <w:p w14:paraId="45B0C0DD">
            <w:pPr>
              <w:ind w:firstLine="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5、设备配置资料</w:t>
            </w:r>
          </w:p>
          <w:p w14:paraId="22FDC946">
            <w:pPr>
              <w:ind w:firstLine="0" w:firstLineChars="0"/>
              <w:rPr>
                <w:rFonts w:cs="仿宋_GB2312" w:asciiTheme="minorEastAsia" w:hAnsiTheme="minorEastAsia" w:eastAsiaTheme="minorEastAsia"/>
                <w:b/>
                <w:bCs/>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6、项目自检报告</w:t>
            </w:r>
          </w:p>
        </w:tc>
      </w:tr>
    </w:tbl>
    <w:p w14:paraId="720B4FF5">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462AD"/>
    <w:multiLevelType w:val="multilevel"/>
    <w:tmpl w:val="55D462AD"/>
    <w:lvl w:ilvl="0" w:tentative="0">
      <w:start w:val="1"/>
      <w:numFmt w:val="decimal"/>
      <w:pStyle w:val="4"/>
      <w:lvlText w:val="%1."/>
      <w:lvlJc w:val="left"/>
      <w:pPr>
        <w:tabs>
          <w:tab w:val="left" w:pos="425"/>
        </w:tabs>
        <w:ind w:left="425" w:hanging="425"/>
      </w:pPr>
      <w:rPr>
        <w:rFonts w:hint="eastAsia" w:eastAsia="宋体"/>
        <w:b/>
        <w:i w:val="0"/>
        <w:sz w:val="24"/>
        <w:szCs w:val="24"/>
      </w:rPr>
    </w:lvl>
    <w:lvl w:ilvl="1" w:tentative="0">
      <w:start w:val="1"/>
      <w:numFmt w:val="decimal"/>
      <w:lvlText w:val="%1.%2."/>
      <w:lvlJc w:val="left"/>
      <w:pPr>
        <w:tabs>
          <w:tab w:val="left" w:pos="567"/>
        </w:tabs>
        <w:ind w:left="567" w:hanging="567"/>
      </w:pPr>
      <w:rPr>
        <w:rFonts w:hint="eastAsia" w:ascii="宋体" w:hAnsi="宋体" w:eastAsia="宋体"/>
        <w:b/>
        <w:i w:val="0"/>
        <w:color w:val="auto"/>
        <w:sz w:val="24"/>
        <w:szCs w:val="24"/>
        <w:u w:val="none"/>
      </w:rPr>
    </w:lvl>
    <w:lvl w:ilvl="2" w:tentative="0">
      <w:start w:val="1"/>
      <w:numFmt w:val="decimal"/>
      <w:lvlText w:val="%1.%2.%3."/>
      <w:lvlJc w:val="left"/>
      <w:pPr>
        <w:tabs>
          <w:tab w:val="left" w:pos="709"/>
        </w:tabs>
        <w:ind w:left="709" w:hanging="709"/>
      </w:pPr>
      <w:rPr>
        <w:rFonts w:hint="eastAsia" w:ascii="宋体" w:hAnsi="宋体" w:eastAsia="宋体"/>
        <w:caps w:val="0"/>
        <w:strike w:val="0"/>
        <w:dstrike w:val="0"/>
        <w:shadow w:val="0"/>
        <w:emboss w:val="0"/>
        <w:imprint w:val="0"/>
        <w:vanish w:val="0"/>
        <w:vertAlign w:val="baseline"/>
      </w:rPr>
    </w:lvl>
    <w:lvl w:ilvl="3" w:tentative="0">
      <w:start w:val="1"/>
      <w:numFmt w:val="decimal"/>
      <w:lvlText w:val="%1.%2.%3.%4."/>
      <w:lvlJc w:val="left"/>
      <w:pPr>
        <w:tabs>
          <w:tab w:val="left" w:pos="851"/>
        </w:tabs>
        <w:ind w:left="851" w:hanging="851"/>
      </w:pPr>
      <w:rPr>
        <w:rFonts w:hint="eastAsia" w:ascii="宋体" w:hAnsi="宋体" w:eastAsia="宋体"/>
        <w:b/>
        <w:sz w:val="24"/>
        <w:szCs w:val="24"/>
      </w:rPr>
    </w:lvl>
    <w:lvl w:ilvl="4" w:tentative="0">
      <w:start w:val="1"/>
      <w:numFmt w:val="decimal"/>
      <w:pStyle w:val="7"/>
      <w:lvlText w:val="%1.%2.%3.%4.%5."/>
      <w:lvlJc w:val="left"/>
      <w:pPr>
        <w:tabs>
          <w:tab w:val="left" w:pos="992"/>
        </w:tabs>
        <w:ind w:left="992" w:hanging="992"/>
      </w:pPr>
      <w:rPr>
        <w:rFonts w:hint="eastAsia"/>
        <w:b/>
        <w:i w:val="0"/>
        <w:sz w:val="24"/>
        <w:szCs w:val="24"/>
      </w:rPr>
    </w:lvl>
    <w:lvl w:ilvl="5" w:tentative="0">
      <w:start w:val="1"/>
      <w:numFmt w:val="decimal"/>
      <w:pStyle w:val="8"/>
      <w:lvlText w:val="%1.%2.%3.%4.%5.%6."/>
      <w:lvlJc w:val="left"/>
      <w:pPr>
        <w:tabs>
          <w:tab w:val="left" w:pos="1134"/>
        </w:tabs>
        <w:ind w:left="1134" w:hanging="1134"/>
      </w:pPr>
      <w:rPr>
        <w:rFonts w:hint="eastAsia" w:ascii="宋体" w:hAnsi="宋体" w:eastAsia="宋体"/>
      </w:rPr>
    </w:lvl>
    <w:lvl w:ilvl="6" w:tentative="0">
      <w:start w:val="1"/>
      <w:numFmt w:val="decimal"/>
      <w:pStyle w:val="9"/>
      <w:lvlText w:val="%1.%2.%3.%4.%5.%6.%7."/>
      <w:lvlJc w:val="left"/>
      <w:pPr>
        <w:tabs>
          <w:tab w:val="left" w:pos="1276"/>
        </w:tabs>
        <w:ind w:left="1276" w:hanging="1276"/>
      </w:pPr>
      <w:rPr>
        <w:rFonts w:hint="eastAsia" w:ascii="宋体" w:hAnsi="宋体" w:eastAsia="宋体"/>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874D3"/>
    <w:rsid w:val="47A00955"/>
    <w:rsid w:val="60CF045C"/>
    <w:rsid w:val="67C14DF2"/>
    <w:rsid w:val="7CDE0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02" w:firstLineChars="200"/>
    </w:pPr>
    <w:rPr>
      <w:rFonts w:eastAsia="宋体" w:asciiTheme="minorHAnsi" w:hAnsiTheme="minorHAnsi" w:cstheme="minorBidi"/>
      <w:kern w:val="2"/>
      <w:sz w:val="24"/>
      <w:szCs w:val="24"/>
      <w:lang w:val="en-US" w:eastAsia="zh-CN" w:bidi="ar-SA"/>
    </w:rPr>
  </w:style>
  <w:style w:type="paragraph" w:styleId="4">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5">
    <w:name w:val="heading 2"/>
    <w:basedOn w:val="1"/>
    <w:next w:val="1"/>
    <w:link w:val="14"/>
    <w:semiHidden/>
    <w:unhideWhenUsed/>
    <w:qFormat/>
    <w:uiPriority w:val="0"/>
    <w:pPr>
      <w:keepNext/>
      <w:keepLines/>
      <w:spacing w:before="260" w:after="260" w:line="360" w:lineRule="auto"/>
      <w:outlineLvl w:val="1"/>
    </w:pPr>
    <w:rPr>
      <w:rFonts w:ascii="宋体" w:hAnsi="宋体" w:eastAsia="宋体"/>
      <w:b/>
      <w:bCs/>
      <w:sz w:val="24"/>
      <w:szCs w:val="18"/>
    </w:rPr>
  </w:style>
  <w:style w:type="paragraph" w:styleId="6">
    <w:name w:val="heading 3"/>
    <w:basedOn w:val="1"/>
    <w:next w:val="1"/>
    <w:link w:val="15"/>
    <w:semiHidden/>
    <w:unhideWhenUsed/>
    <w:qFormat/>
    <w:uiPriority w:val="0"/>
    <w:pPr>
      <w:keepNext/>
      <w:keepLines/>
      <w:spacing w:before="260" w:after="260" w:line="360" w:lineRule="auto"/>
      <w:ind w:left="0" w:firstLine="0"/>
      <w:outlineLvl w:val="2"/>
    </w:pPr>
    <w:rPr>
      <w:rFonts w:ascii="Times New Roman" w:hAnsi="Times New Roman" w:eastAsia="宋体"/>
      <w:b/>
      <w:bCs/>
      <w:sz w:val="24"/>
      <w:szCs w:val="32"/>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2" w:hanging="992"/>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6" w:hanging="127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9" w:hanging="1559"/>
      <w:outlineLvl w:val="8"/>
    </w:pPr>
    <w:rPr>
      <w:rFonts w:ascii="Arial" w:hAnsi="Arial" w:eastAsia="黑体"/>
      <w:sz w:val="21"/>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rPr>
      <w:rFonts w:ascii="Times New Roman" w:hAnsi="Times New Roman" w:cs="Times New Roman"/>
      <w:szCs w:val="20"/>
    </w:rPr>
  </w:style>
  <w:style w:type="paragraph" w:customStyle="1" w:styleId="3">
    <w:name w:val="Char1"/>
    <w:basedOn w:val="1"/>
    <w:qFormat/>
    <w:uiPriority w:val="0"/>
    <w:rPr>
      <w:szCs w:val="21"/>
    </w:rPr>
  </w:style>
  <w:style w:type="character" w:customStyle="1" w:styleId="14">
    <w:name w:val="标题 2 Char"/>
    <w:link w:val="5"/>
    <w:qFormat/>
    <w:uiPriority w:val="0"/>
    <w:rPr>
      <w:rFonts w:ascii="宋体" w:hAnsi="宋体" w:eastAsia="宋体"/>
      <w:b/>
      <w:bCs/>
      <w:kern w:val="2"/>
      <w:sz w:val="24"/>
      <w:szCs w:val="18"/>
    </w:rPr>
  </w:style>
  <w:style w:type="character" w:customStyle="1" w:styleId="15">
    <w:name w:val="标题 3 Char"/>
    <w:link w:val="6"/>
    <w:qFormat/>
    <w:uiPriority w:val="0"/>
    <w:rPr>
      <w:rFonts w:ascii="Times New Roman" w:hAnsi="Times New Roman" w:eastAsia="宋体"/>
      <w:b/>
      <w:bCs/>
      <w:kern w:val="2"/>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2022-09-07T05:52:00Z</dcterms:created>
  <dc:creator>Administrator</dc:creator>
  <cp:lastModifiedBy>尊贵的VIP</cp:lastModifiedBy>
  <dcterms:modified xsi:type="dcterms:W3CDTF">2025-06-12T06:28:11Z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466DA3339AB84D6DADD071CF891D7CBE</vt:lpwstr>
  </property>
  <property fmtid="{D5CDD505-2E9C-101B-9397-08002B2CF9AE}" pid="4" name="KSOTemplateDocerSaveRecord">
    <vt:lpwstr>eyJoZGlkIjoiNzQ2Y2ZmOTBkMTUyODBhYTJmYzM2MWM5NGIxYjkxMDYiLCJ1c2VySWQiOiIzMjcyNTYzNzcifQ==</vt:lpwstr>
  </property>
</Properties>
</file>