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3589">
      <w:pPr>
        <w:jc w:val="center"/>
        <w:outlineLvl w:val="9"/>
        <w:rPr>
          <w:rFonts w:hint="eastAsia" w:ascii="宋体" w:hAnsi="宋体"/>
          <w:b/>
          <w:bCs/>
          <w:color w:val="auto"/>
          <w:szCs w:val="21"/>
        </w:rPr>
      </w:pPr>
    </w:p>
    <w:p w14:paraId="5F2A4B2C">
      <w:pPr>
        <w:jc w:val="center"/>
        <w:outlineLvl w:val="9"/>
        <w:rPr>
          <w:rFonts w:hint="eastAsia" w:ascii="宋体" w:hAnsi="宋体"/>
          <w:b/>
          <w:color w:val="auto"/>
          <w:sz w:val="44"/>
        </w:rPr>
      </w:pPr>
    </w:p>
    <w:p w14:paraId="0410AD6C">
      <w:pPr>
        <w:jc w:val="center"/>
        <w:outlineLvl w:val="9"/>
        <w:rPr>
          <w:rFonts w:hint="eastAsia" w:ascii="宋体" w:hAnsi="宋体"/>
          <w:b/>
          <w:color w:val="auto"/>
          <w:sz w:val="44"/>
        </w:rPr>
      </w:pPr>
    </w:p>
    <w:sdt>
      <w:sdtPr>
        <w:rPr>
          <w:rFonts w:ascii="宋体" w:hAnsi="宋体" w:eastAsia="宋体" w:cs="Times New Roman"/>
          <w:color w:val="auto"/>
          <w:kern w:val="2"/>
          <w:sz w:val="21"/>
          <w:szCs w:val="24"/>
          <w:lang w:val="en-US" w:eastAsia="zh-CN" w:bidi="ar-SA"/>
        </w:rPr>
        <w:id w:val="147464462"/>
        <w15:color w:val="DBDBDB"/>
        <w:docPartObj>
          <w:docPartGallery w:val="Table of Contents"/>
          <w:docPartUnique/>
        </w:docPartObj>
      </w:sdtPr>
      <w:sdtEndPr>
        <w:rPr>
          <w:rFonts w:hint="eastAsia" w:ascii="宋体" w:hAnsi="宋体" w:eastAsia="宋体" w:cs="Times New Roman"/>
          <w:color w:val="auto"/>
          <w:kern w:val="2"/>
          <w:sz w:val="21"/>
          <w:szCs w:val="24"/>
          <w:lang w:val="en-US" w:eastAsia="zh-CN" w:bidi="ar-SA"/>
        </w:rPr>
      </w:sdtEndPr>
      <w:sdtContent>
        <w:p w14:paraId="6B024532">
          <w:pPr>
            <w:spacing w:before="0" w:beforeLines="0" w:after="0" w:afterLines="0" w:line="240" w:lineRule="auto"/>
            <w:ind w:left="0" w:leftChars="0" w:right="0" w:rightChars="0" w:firstLine="0" w:firstLineChars="0"/>
            <w:jc w:val="center"/>
            <w:rPr>
              <w:rFonts w:hint="eastAsia" w:ascii="宋体" w:hAnsi="宋体" w:cs="Times New Roman"/>
              <w:b/>
              <w:bCs w:val="0"/>
              <w:color w:val="auto"/>
              <w:sz w:val="44"/>
              <w:highlight w:val="none"/>
            </w:rPr>
          </w:pPr>
          <w:r>
            <w:rPr>
              <w:rFonts w:hint="eastAsia" w:ascii="宋体" w:hAnsi="宋体" w:cs="Times New Roman"/>
              <w:b/>
              <w:bCs w:val="0"/>
              <w:color w:val="auto"/>
              <w:sz w:val="44"/>
              <w:highlight w:val="none"/>
            </w:rPr>
            <w:t>目</w:t>
          </w:r>
          <w:r>
            <w:rPr>
              <w:rFonts w:hint="eastAsia" w:ascii="宋体" w:hAnsi="宋体" w:cs="Times New Roman"/>
              <w:b/>
              <w:bCs w:val="0"/>
              <w:color w:val="auto"/>
              <w:sz w:val="44"/>
              <w:highlight w:val="none"/>
              <w:lang w:val="en-US" w:eastAsia="zh-CN"/>
            </w:rPr>
            <w:t xml:space="preserve">  </w:t>
          </w:r>
          <w:r>
            <w:rPr>
              <w:rFonts w:hint="eastAsia" w:ascii="宋体" w:hAnsi="宋体" w:cs="Times New Roman"/>
              <w:b/>
              <w:bCs w:val="0"/>
              <w:color w:val="auto"/>
              <w:sz w:val="44"/>
              <w:highlight w:val="none"/>
            </w:rPr>
            <w:t>录</w:t>
          </w:r>
        </w:p>
        <w:p w14:paraId="1F0571CB">
          <w:pPr>
            <w:pStyle w:val="24"/>
            <w:rPr>
              <w:rFonts w:hint="eastAsia"/>
              <w:color w:val="auto"/>
            </w:rPr>
          </w:pPr>
        </w:p>
        <w:p w14:paraId="58D899EC">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_Toc609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第一部分  竞争性磋商公告</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_Toc609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0E618214">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_Toc3789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第二部分  磋商须知前附表及磋商须知</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_Toc3789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7</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6521D942">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_Toc33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部分  评审方法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_Toc33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6141309D">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_Toc21357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部分  合同文本及主要条款</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_Toc21357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30</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01183FD2">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_Toc13448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 xml:space="preserve">部分  </w:t>
          </w:r>
          <w:r>
            <w:rPr>
              <w:rFonts w:hint="eastAsia" w:ascii="宋体" w:hAnsi="宋体" w:eastAsia="宋体" w:cs="宋体"/>
              <w:b/>
              <w:bCs/>
              <w:color w:val="auto"/>
              <w:sz w:val="28"/>
              <w:szCs w:val="28"/>
              <w:lang w:val="en-US" w:eastAsia="zh-CN"/>
            </w:rPr>
            <w:t>技术标准和要求</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_Toc13448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90</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34427B23">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_Toc16787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部分  磋商响应文件格式</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_Toc16787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1F8F17C7">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_Toc332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部分</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工程量清单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_Toc332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115</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7C8AFB9A">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_Toc26056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w:t>
          </w: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部分</w:t>
          </w:r>
          <w:r>
            <w:rPr>
              <w:rFonts w:hint="eastAsia" w:ascii="宋体" w:hAnsi="宋体" w:eastAsia="宋体" w:cs="宋体"/>
              <w:b/>
              <w:bCs/>
              <w:color w:val="auto"/>
              <w:sz w:val="28"/>
              <w:szCs w:val="28"/>
              <w:lang w:val="en-US" w:eastAsia="zh-CN"/>
            </w:rPr>
            <w:t xml:space="preserve">  图纸</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_Toc26056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126</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14:paraId="1B20155B">
          <w:pPr>
            <w:pStyle w:val="18"/>
            <w:keepNext w:val="0"/>
            <w:keepLines w:val="0"/>
            <w:pageBreakBefore w:val="0"/>
            <w:widowControl w:val="0"/>
            <w:tabs>
              <w:tab w:val="right" w:leader="middleDot" w:pos="9070"/>
            </w:tabs>
            <w:kinsoku/>
            <w:wordWrap/>
            <w:overflowPunct/>
            <w:topLinePunct w:val="0"/>
            <w:autoSpaceDE/>
            <w:autoSpaceDN/>
            <w:bidi w:val="0"/>
            <w:adjustRightInd/>
            <w:snapToGrid/>
            <w:spacing w:line="600" w:lineRule="exact"/>
            <w:textAlignment w:val="auto"/>
            <w:outlineLvl w:val="9"/>
            <w:rPr>
              <w:rFonts w:hint="eastAsia" w:ascii="宋体" w:hAnsi="宋体" w:eastAsia="宋体" w:cs="Times New Roman"/>
              <w:color w:val="auto"/>
              <w:kern w:val="2"/>
              <w:sz w:val="21"/>
              <w:szCs w:val="24"/>
              <w:lang w:val="en-US" w:eastAsia="zh-CN" w:bidi="ar-SA"/>
            </w:rPr>
          </w:pPr>
          <w:r>
            <w:rPr>
              <w:rFonts w:hint="eastAsia" w:ascii="宋体" w:hAnsi="宋体" w:eastAsia="宋体" w:cs="宋体"/>
              <w:b/>
              <w:bCs/>
              <w:color w:val="auto"/>
              <w:sz w:val="28"/>
              <w:szCs w:val="28"/>
            </w:rPr>
            <w:fldChar w:fldCharType="end"/>
          </w:r>
        </w:p>
      </w:sdtContent>
    </w:sdt>
    <w:p w14:paraId="0080B0F7">
      <w:pPr>
        <w:pStyle w:val="24"/>
        <w:rPr>
          <w:rFonts w:hint="eastAsia"/>
          <w:color w:val="auto"/>
        </w:rPr>
      </w:pPr>
    </w:p>
    <w:p w14:paraId="3909D994">
      <w:pPr>
        <w:keepNext w:val="0"/>
        <w:keepLines w:val="0"/>
        <w:pageBreakBefore w:val="0"/>
        <w:widowControl w:val="0"/>
        <w:kinsoku/>
        <w:wordWrap/>
        <w:overflowPunct/>
        <w:topLinePunct w:val="0"/>
        <w:autoSpaceDE/>
        <w:autoSpaceDN/>
        <w:bidi w:val="0"/>
        <w:adjustRightInd/>
        <w:snapToGrid/>
        <w:spacing w:line="900" w:lineRule="exact"/>
        <w:ind w:firstLine="838" w:firstLineChars="298"/>
        <w:textAlignment w:val="auto"/>
        <w:outlineLvl w:val="9"/>
        <w:rPr>
          <w:rFonts w:hint="eastAsia" w:ascii="宋体" w:hAnsi="宋体" w:cs="宋体"/>
          <w:b/>
          <w:color w:val="auto"/>
          <w:sz w:val="28"/>
          <w:szCs w:val="28"/>
        </w:rPr>
      </w:pPr>
    </w:p>
    <w:p w14:paraId="6D2AB014">
      <w:pPr>
        <w:pStyle w:val="24"/>
        <w:rPr>
          <w:rFonts w:hint="eastAsia"/>
          <w:color w:val="auto"/>
        </w:rPr>
      </w:pPr>
    </w:p>
    <w:p w14:paraId="58A5C653">
      <w:pPr>
        <w:pStyle w:val="16"/>
        <w:outlineLvl w:val="9"/>
        <w:rPr>
          <w:rFonts w:hint="eastAsia" w:ascii="宋体" w:hAnsi="宋体"/>
          <w:b/>
          <w:color w:val="auto"/>
          <w:sz w:val="32"/>
        </w:rPr>
      </w:pPr>
    </w:p>
    <w:p w14:paraId="261B6FE8">
      <w:pPr>
        <w:pStyle w:val="16"/>
        <w:outlineLvl w:val="9"/>
        <w:rPr>
          <w:rFonts w:hint="eastAsia" w:ascii="宋体" w:hAnsi="宋体"/>
          <w:b/>
          <w:color w:val="auto"/>
          <w:sz w:val="32"/>
        </w:rPr>
      </w:pPr>
    </w:p>
    <w:p w14:paraId="75B0B66C">
      <w:pPr>
        <w:pStyle w:val="16"/>
        <w:outlineLvl w:val="9"/>
        <w:rPr>
          <w:rFonts w:hint="eastAsia" w:ascii="宋体" w:hAnsi="宋体"/>
          <w:b/>
          <w:color w:val="auto"/>
          <w:sz w:val="32"/>
        </w:rPr>
      </w:pPr>
    </w:p>
    <w:p w14:paraId="0B8D3DFD">
      <w:pPr>
        <w:pStyle w:val="16"/>
        <w:outlineLvl w:val="9"/>
        <w:rPr>
          <w:rFonts w:hint="eastAsia" w:ascii="宋体" w:hAnsi="宋体"/>
          <w:b/>
          <w:color w:val="auto"/>
          <w:sz w:val="32"/>
        </w:rPr>
      </w:pPr>
    </w:p>
    <w:p w14:paraId="37FDBECB">
      <w:pPr>
        <w:pStyle w:val="16"/>
        <w:outlineLvl w:val="9"/>
        <w:rPr>
          <w:rFonts w:hint="eastAsia" w:ascii="宋体" w:hAnsi="宋体"/>
          <w:b/>
          <w:color w:val="auto"/>
          <w:sz w:val="32"/>
        </w:rPr>
      </w:pPr>
    </w:p>
    <w:p w14:paraId="51908521">
      <w:pPr>
        <w:pStyle w:val="16"/>
        <w:outlineLvl w:val="9"/>
        <w:rPr>
          <w:rFonts w:hint="eastAsia" w:ascii="宋体" w:hAnsi="宋体"/>
          <w:b/>
          <w:color w:val="auto"/>
          <w:sz w:val="32"/>
        </w:rPr>
      </w:pPr>
    </w:p>
    <w:p w14:paraId="69A9B2D0">
      <w:pPr>
        <w:pStyle w:val="16"/>
        <w:outlineLvl w:val="9"/>
        <w:rPr>
          <w:rFonts w:hint="eastAsia" w:ascii="宋体" w:hAnsi="宋体"/>
          <w:b/>
          <w:color w:val="auto"/>
          <w:sz w:val="32"/>
        </w:rPr>
      </w:pPr>
    </w:p>
    <w:p w14:paraId="1A0733E7">
      <w:pPr>
        <w:pStyle w:val="16"/>
        <w:outlineLvl w:val="9"/>
        <w:rPr>
          <w:rFonts w:hint="eastAsia" w:ascii="宋体" w:hAnsi="宋体"/>
          <w:b/>
          <w:color w:val="auto"/>
          <w:sz w:val="32"/>
        </w:rPr>
      </w:pPr>
    </w:p>
    <w:p w14:paraId="5567405F">
      <w:pPr>
        <w:pStyle w:val="16"/>
        <w:outlineLvl w:val="9"/>
        <w:rPr>
          <w:rFonts w:hint="eastAsia" w:ascii="宋体" w:hAnsi="宋体"/>
          <w:b/>
          <w:color w:val="auto"/>
          <w:sz w:val="32"/>
        </w:rPr>
      </w:pPr>
    </w:p>
    <w:p w14:paraId="6093BEE6">
      <w:pPr>
        <w:pStyle w:val="16"/>
        <w:tabs>
          <w:tab w:val="clear" w:pos="4153"/>
        </w:tabs>
        <w:jc w:val="right"/>
        <w:outlineLvl w:val="9"/>
        <w:rPr>
          <w:rFonts w:hint="eastAsia" w:ascii="宋体" w:hAnsi="宋体" w:eastAsia="宋体"/>
          <w:b/>
          <w:color w:val="auto"/>
          <w:sz w:val="32"/>
          <w:lang w:val="en-US" w:eastAsia="zh-CN"/>
        </w:rPr>
      </w:pPr>
    </w:p>
    <w:p w14:paraId="5C75473B">
      <w:pPr>
        <w:pStyle w:val="16"/>
        <w:outlineLvl w:val="9"/>
        <w:rPr>
          <w:rFonts w:hint="eastAsia" w:ascii="宋体" w:hAnsi="宋体"/>
          <w:b/>
          <w:color w:val="auto"/>
          <w:sz w:val="32"/>
        </w:rPr>
      </w:pPr>
    </w:p>
    <w:p w14:paraId="5D7F296B">
      <w:pPr>
        <w:pStyle w:val="16"/>
        <w:outlineLvl w:val="9"/>
        <w:rPr>
          <w:rFonts w:hint="eastAsia" w:ascii="宋体" w:hAnsi="宋体"/>
          <w:b/>
          <w:color w:val="auto"/>
          <w:sz w:val="10"/>
          <w:szCs w:val="10"/>
        </w:rPr>
      </w:pPr>
      <w:bookmarkStart w:id="0" w:name="_Toc12963"/>
      <w:bookmarkStart w:id="1" w:name="_Toc25938"/>
    </w:p>
    <w:p w14:paraId="349032D6">
      <w:pPr>
        <w:spacing w:line="560" w:lineRule="exact"/>
        <w:jc w:val="center"/>
        <w:outlineLvl w:val="0"/>
        <w:rPr>
          <w:rFonts w:hint="eastAsia" w:ascii="宋体" w:hAnsi="宋体" w:cs="宋体"/>
          <w:b/>
          <w:bCs/>
          <w:color w:val="auto"/>
          <w:sz w:val="30"/>
          <w:szCs w:val="30"/>
        </w:rPr>
      </w:pPr>
      <w:bookmarkStart w:id="2" w:name="_Toc1649"/>
      <w:bookmarkStart w:id="3" w:name="_Toc609"/>
      <w:bookmarkStart w:id="4" w:name="_Toc11351"/>
      <w:r>
        <w:rPr>
          <w:rFonts w:hint="eastAsia" w:ascii="宋体" w:hAnsi="宋体"/>
          <w:b/>
          <w:color w:val="auto"/>
          <w:sz w:val="36"/>
        </w:rPr>
        <w:t>第一部分  竞争性磋商公告</w:t>
      </w:r>
      <w:bookmarkEnd w:id="0"/>
      <w:bookmarkEnd w:id="1"/>
      <w:bookmarkEnd w:id="2"/>
      <w:bookmarkEnd w:id="3"/>
      <w:bookmarkEnd w:id="4"/>
    </w:p>
    <w:p w14:paraId="25302069">
      <w:pPr>
        <w:keepNext w:val="0"/>
        <w:keepLines w:val="0"/>
        <w:pageBreakBefore w:val="0"/>
        <w:kinsoku/>
        <w:wordWrap/>
        <w:overflowPunct/>
        <w:topLinePunct w:val="0"/>
        <w:autoSpaceDE/>
        <w:autoSpaceDN/>
        <w:bidi w:val="0"/>
        <w:adjustRightInd/>
        <w:snapToGrid/>
        <w:spacing w:line="384" w:lineRule="auto"/>
        <w:jc w:val="left"/>
        <w:textAlignment w:val="auto"/>
        <w:outlineLvl w:val="9"/>
        <w:rPr>
          <w:rFonts w:hint="eastAsia" w:ascii="宋体" w:hAnsi="宋体" w:eastAsia="宋体" w:cs="宋体"/>
          <w:b/>
          <w:bCs/>
          <w:color w:val="auto"/>
          <w:sz w:val="24"/>
          <w:szCs w:val="24"/>
          <w:highlight w:val="none"/>
          <w:lang w:val="en-US" w:eastAsia="zh-CN"/>
        </w:rPr>
      </w:pPr>
      <w:bookmarkStart w:id="5" w:name="_Toc26780"/>
      <w:bookmarkStart w:id="6" w:name="_Toc20832"/>
      <w:bookmarkStart w:id="7" w:name="_Toc21638"/>
      <w:bookmarkStart w:id="8" w:name="_Toc15532"/>
      <w:r>
        <w:rPr>
          <w:rFonts w:hint="eastAsia" w:ascii="宋体" w:hAnsi="宋体" w:eastAsia="宋体" w:cs="宋体"/>
          <w:b/>
          <w:bCs/>
          <w:color w:val="auto"/>
          <w:sz w:val="24"/>
          <w:szCs w:val="24"/>
          <w:highlight w:val="none"/>
          <w:lang w:val="en-US" w:eastAsia="zh-CN"/>
        </w:rPr>
        <w:t>项目概况</w:t>
      </w:r>
    </w:p>
    <w:p w14:paraId="4CC7D3F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cs="宋体"/>
          <w:i w:val="0"/>
          <w:iCs w:val="0"/>
          <w:caps w:val="0"/>
          <w:color w:val="auto"/>
          <w:spacing w:val="0"/>
          <w:sz w:val="24"/>
          <w:szCs w:val="24"/>
          <w:shd w:val="clear" w:color="auto" w:fill="FFFFFF"/>
          <w:lang w:val="en-US" w:eastAsia="zh-CN"/>
        </w:rPr>
        <w:t>富平县2025年农村饮水工程维修养护项目</w:t>
      </w:r>
      <w:r>
        <w:rPr>
          <w:rFonts w:hint="eastAsia" w:ascii="宋体" w:hAnsi="宋体" w:eastAsia="宋体" w:cs="宋体"/>
          <w:i w:val="0"/>
          <w:iCs w:val="0"/>
          <w:caps w:val="0"/>
          <w:color w:val="auto"/>
          <w:spacing w:val="0"/>
          <w:sz w:val="24"/>
          <w:szCs w:val="24"/>
          <w:shd w:val="clear" w:color="auto" w:fill="FFFFFF"/>
          <w:lang w:val="en-US" w:eastAsia="zh-CN"/>
        </w:rPr>
        <w:t>采购项目的潜在供应商应在华春众创工场（富平）（详细地址：富平县富兴路中段西侧紫御台B区商务楼四层）</w:t>
      </w:r>
      <w:r>
        <w:rPr>
          <w:rFonts w:hint="eastAsia" w:ascii="宋体" w:hAnsi="宋体" w:eastAsia="宋体" w:cs="宋体"/>
          <w:i w:val="0"/>
          <w:iCs w:val="0"/>
          <w:caps w:val="0"/>
          <w:color w:val="auto"/>
          <w:spacing w:val="-6"/>
          <w:sz w:val="24"/>
          <w:szCs w:val="24"/>
          <w:shd w:val="clear" w:color="auto" w:fill="FFFFFF"/>
          <w:lang w:val="en-US" w:eastAsia="zh-CN"/>
        </w:rPr>
        <w:t>获取采购文件，并</w:t>
      </w:r>
      <w:r>
        <w:rPr>
          <w:rFonts w:hint="eastAsia" w:ascii="宋体" w:hAnsi="宋体" w:eastAsia="宋体" w:cs="宋体"/>
          <w:i w:val="0"/>
          <w:iCs w:val="0"/>
          <w:caps w:val="0"/>
          <w:color w:val="auto"/>
          <w:spacing w:val="-6"/>
          <w:sz w:val="24"/>
          <w:szCs w:val="24"/>
          <w:highlight w:val="none"/>
          <w:shd w:val="clear" w:color="auto" w:fill="FFFFFF"/>
          <w:lang w:val="en-US" w:eastAsia="zh-CN"/>
        </w:rPr>
        <w:t>于</w:t>
      </w:r>
      <w:r>
        <w:rPr>
          <w:rFonts w:hint="eastAsia" w:cs="宋体"/>
          <w:i w:val="0"/>
          <w:iCs w:val="0"/>
          <w:caps w:val="0"/>
          <w:color w:val="auto"/>
          <w:spacing w:val="-6"/>
          <w:sz w:val="24"/>
          <w:szCs w:val="24"/>
          <w:highlight w:val="none"/>
          <w:shd w:val="clear" w:color="auto" w:fill="FFFFFF"/>
          <w:lang w:val="en-US" w:eastAsia="zh-CN"/>
        </w:rPr>
        <w:t>2025</w:t>
      </w:r>
      <w:r>
        <w:rPr>
          <w:rFonts w:hint="eastAsia" w:ascii="宋体" w:hAnsi="宋体" w:eastAsia="宋体" w:cs="宋体"/>
          <w:i w:val="0"/>
          <w:iCs w:val="0"/>
          <w:caps w:val="0"/>
          <w:color w:val="auto"/>
          <w:spacing w:val="-6"/>
          <w:sz w:val="24"/>
          <w:szCs w:val="24"/>
          <w:highlight w:val="none"/>
          <w:shd w:val="clear" w:color="auto" w:fill="FFFFFF"/>
          <w:lang w:val="en-US" w:eastAsia="zh-CN"/>
        </w:rPr>
        <w:t>年</w:t>
      </w:r>
      <w:r>
        <w:rPr>
          <w:rFonts w:hint="eastAsia" w:cs="宋体"/>
          <w:i w:val="0"/>
          <w:iCs w:val="0"/>
          <w:caps w:val="0"/>
          <w:color w:val="auto"/>
          <w:spacing w:val="-6"/>
          <w:sz w:val="24"/>
          <w:szCs w:val="24"/>
          <w:highlight w:val="none"/>
          <w:shd w:val="clear" w:color="auto" w:fill="FFFFFF"/>
          <w:lang w:val="en-US" w:eastAsia="zh-CN"/>
        </w:rPr>
        <w:t>06</w:t>
      </w:r>
      <w:r>
        <w:rPr>
          <w:rFonts w:hint="eastAsia" w:ascii="宋体" w:hAnsi="宋体" w:eastAsia="宋体" w:cs="宋体"/>
          <w:i w:val="0"/>
          <w:iCs w:val="0"/>
          <w:caps w:val="0"/>
          <w:color w:val="auto"/>
          <w:spacing w:val="-6"/>
          <w:sz w:val="24"/>
          <w:szCs w:val="24"/>
          <w:highlight w:val="none"/>
          <w:shd w:val="clear" w:color="auto" w:fill="FFFFFF"/>
          <w:lang w:val="en-US" w:eastAsia="zh-CN"/>
        </w:rPr>
        <w:t>月</w:t>
      </w:r>
      <w:r>
        <w:rPr>
          <w:rFonts w:hint="eastAsia" w:cs="宋体"/>
          <w:i w:val="0"/>
          <w:iCs w:val="0"/>
          <w:caps w:val="0"/>
          <w:color w:val="auto"/>
          <w:spacing w:val="-6"/>
          <w:sz w:val="24"/>
          <w:szCs w:val="24"/>
          <w:highlight w:val="none"/>
          <w:shd w:val="clear" w:color="auto" w:fill="FFFFFF"/>
          <w:lang w:val="en-US" w:eastAsia="zh-CN"/>
        </w:rPr>
        <w:t>17</w:t>
      </w:r>
      <w:r>
        <w:rPr>
          <w:rFonts w:hint="eastAsia" w:ascii="宋体" w:hAnsi="宋体" w:eastAsia="宋体" w:cs="宋体"/>
          <w:i w:val="0"/>
          <w:iCs w:val="0"/>
          <w:caps w:val="0"/>
          <w:color w:val="auto"/>
          <w:spacing w:val="-6"/>
          <w:sz w:val="24"/>
          <w:szCs w:val="24"/>
          <w:highlight w:val="none"/>
          <w:shd w:val="clear" w:color="auto" w:fill="FFFFFF"/>
          <w:lang w:val="en-US" w:eastAsia="zh-CN"/>
        </w:rPr>
        <w:t>日</w:t>
      </w:r>
      <w:r>
        <w:rPr>
          <w:rFonts w:hint="eastAsia" w:cs="宋体"/>
          <w:i w:val="0"/>
          <w:iCs w:val="0"/>
          <w:caps w:val="0"/>
          <w:color w:val="auto"/>
          <w:spacing w:val="-6"/>
          <w:sz w:val="24"/>
          <w:szCs w:val="24"/>
          <w:highlight w:val="none"/>
          <w:shd w:val="clear" w:color="auto" w:fill="FFFFFF"/>
          <w:lang w:val="en-US" w:eastAsia="zh-CN"/>
        </w:rPr>
        <w:t>14</w:t>
      </w:r>
      <w:r>
        <w:rPr>
          <w:rFonts w:hint="eastAsia" w:ascii="宋体" w:hAnsi="宋体" w:eastAsia="宋体" w:cs="宋体"/>
          <w:i w:val="0"/>
          <w:iCs w:val="0"/>
          <w:caps w:val="0"/>
          <w:color w:val="auto"/>
          <w:spacing w:val="-6"/>
          <w:sz w:val="24"/>
          <w:szCs w:val="24"/>
          <w:highlight w:val="none"/>
          <w:shd w:val="clear" w:color="auto" w:fill="FFFFFF"/>
          <w:lang w:val="en-US" w:eastAsia="zh-CN"/>
        </w:rPr>
        <w:t>时30分（北</w:t>
      </w:r>
      <w:r>
        <w:rPr>
          <w:rFonts w:hint="eastAsia" w:ascii="宋体" w:hAnsi="宋体" w:eastAsia="宋体" w:cs="宋体"/>
          <w:i w:val="0"/>
          <w:iCs w:val="0"/>
          <w:caps w:val="0"/>
          <w:color w:val="auto"/>
          <w:spacing w:val="-6"/>
          <w:sz w:val="24"/>
          <w:szCs w:val="24"/>
          <w:shd w:val="clear" w:color="auto" w:fill="FFFFFF"/>
          <w:lang w:val="en-US" w:eastAsia="zh-CN"/>
        </w:rPr>
        <w:t>京时间）前提交响应文件。</w:t>
      </w:r>
    </w:p>
    <w:p w14:paraId="7EDDD98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一、项目基本情况</w:t>
      </w:r>
    </w:p>
    <w:p w14:paraId="7121D8E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default" w:cs="宋体"/>
          <w:b w:val="0"/>
          <w:bCs w:val="0"/>
          <w:i w:val="0"/>
          <w:iCs w:val="0"/>
          <w:caps w:val="0"/>
          <w:color w:val="auto"/>
          <w:spacing w:val="0"/>
          <w:sz w:val="24"/>
          <w:szCs w:val="24"/>
          <w:highlight w:val="yellow"/>
          <w:shd w:val="clear" w:color="auto" w:fill="FFFFFF"/>
          <w:lang w:val="en-US" w:eastAsia="zh-CN"/>
        </w:rPr>
      </w:pP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项目编</w:t>
      </w:r>
      <w:r>
        <w:rPr>
          <w:rFonts w:hint="eastAsia" w:cs="宋体"/>
          <w:b w:val="0"/>
          <w:bCs w:val="0"/>
          <w:i w:val="0"/>
          <w:iCs w:val="0"/>
          <w:caps w:val="0"/>
          <w:color w:val="auto"/>
          <w:spacing w:val="0"/>
          <w:sz w:val="24"/>
          <w:szCs w:val="24"/>
          <w:highlight w:val="none"/>
          <w:shd w:val="clear" w:color="auto" w:fill="FFFFFF"/>
          <w:lang w:val="en-US" w:eastAsia="zh-CN"/>
        </w:rPr>
        <w:t>号：HCF2025—CGZB—015</w:t>
      </w:r>
    </w:p>
    <w:p w14:paraId="1C22EC7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cs="宋体"/>
          <w:b w:val="0"/>
          <w:bCs w:val="0"/>
          <w:i w:val="0"/>
          <w:iCs w:val="0"/>
          <w:caps w:val="0"/>
          <w:color w:val="auto"/>
          <w:spacing w:val="0"/>
          <w:sz w:val="24"/>
          <w:szCs w:val="24"/>
          <w:shd w:val="clear" w:color="auto" w:fill="FFFFFF"/>
          <w:lang w:val="en-US" w:eastAsia="zh-CN"/>
        </w:rPr>
      </w:pPr>
      <w:r>
        <w:rPr>
          <w:rFonts w:hint="eastAsia" w:cs="宋体"/>
          <w:b w:val="0"/>
          <w:bCs w:val="0"/>
          <w:i w:val="0"/>
          <w:iCs w:val="0"/>
          <w:caps w:val="0"/>
          <w:color w:val="auto"/>
          <w:spacing w:val="0"/>
          <w:sz w:val="24"/>
          <w:szCs w:val="24"/>
          <w:shd w:val="clear" w:color="auto" w:fill="FFFFFF"/>
          <w:lang w:val="en-US" w:eastAsia="zh-CN"/>
        </w:rPr>
        <w:t>项目名称：富平县2025年农村饮水工程维修养护项目</w:t>
      </w:r>
    </w:p>
    <w:p w14:paraId="34F4112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cs="宋体"/>
          <w:b w:val="0"/>
          <w:bCs w:val="0"/>
          <w:i w:val="0"/>
          <w:iCs w:val="0"/>
          <w:caps w:val="0"/>
          <w:color w:val="auto"/>
          <w:spacing w:val="0"/>
          <w:sz w:val="24"/>
          <w:szCs w:val="24"/>
          <w:shd w:val="clear" w:color="auto" w:fill="FFFFFF"/>
          <w:lang w:val="en-US" w:eastAsia="zh-CN"/>
        </w:rPr>
      </w:pPr>
      <w:r>
        <w:rPr>
          <w:rFonts w:hint="eastAsia" w:cs="宋体"/>
          <w:b w:val="0"/>
          <w:bCs w:val="0"/>
          <w:i w:val="0"/>
          <w:iCs w:val="0"/>
          <w:caps w:val="0"/>
          <w:color w:val="auto"/>
          <w:spacing w:val="0"/>
          <w:sz w:val="24"/>
          <w:szCs w:val="24"/>
          <w:shd w:val="clear" w:color="auto" w:fill="FFFFFF"/>
          <w:lang w:val="en-US" w:eastAsia="zh-CN"/>
        </w:rPr>
        <w:t>采购方式：竞争性磋商</w:t>
      </w:r>
    </w:p>
    <w:p w14:paraId="421E7D9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cs="宋体"/>
          <w:b w:val="0"/>
          <w:bCs w:val="0"/>
          <w:i w:val="0"/>
          <w:iCs w:val="0"/>
          <w:caps w:val="0"/>
          <w:color w:val="auto"/>
          <w:spacing w:val="0"/>
          <w:sz w:val="24"/>
          <w:szCs w:val="24"/>
          <w:highlight w:val="yellow"/>
          <w:shd w:val="clear" w:color="auto" w:fill="FFFFFF"/>
          <w:lang w:val="en-US" w:eastAsia="zh-CN"/>
        </w:rPr>
      </w:pPr>
      <w:r>
        <w:rPr>
          <w:rFonts w:hint="eastAsia" w:cs="宋体"/>
          <w:b w:val="0"/>
          <w:bCs w:val="0"/>
          <w:i w:val="0"/>
          <w:iCs w:val="0"/>
          <w:caps w:val="0"/>
          <w:color w:val="auto"/>
          <w:spacing w:val="0"/>
          <w:sz w:val="24"/>
          <w:szCs w:val="24"/>
          <w:shd w:val="clear" w:color="auto" w:fill="FFFFFF"/>
          <w:lang w:val="en-US" w:eastAsia="zh-CN"/>
        </w:rPr>
        <w:t>预算金额：</w:t>
      </w:r>
      <w:r>
        <w:rPr>
          <w:rFonts w:hint="eastAsia" w:cs="宋体"/>
          <w:b w:val="0"/>
          <w:bCs w:val="0"/>
          <w:i w:val="0"/>
          <w:iCs w:val="0"/>
          <w:caps w:val="0"/>
          <w:color w:val="auto"/>
          <w:spacing w:val="0"/>
          <w:sz w:val="24"/>
          <w:szCs w:val="24"/>
          <w:highlight w:val="none"/>
          <w:shd w:val="clear" w:color="auto" w:fill="FFFFFF"/>
          <w:lang w:val="en-US" w:eastAsia="zh-CN"/>
        </w:rPr>
        <w:t>1,400,000.00元</w:t>
      </w:r>
    </w:p>
    <w:p w14:paraId="58AAA3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cs="宋体"/>
          <w:b w:val="0"/>
          <w:bCs w:val="0"/>
          <w:i w:val="0"/>
          <w:iCs w:val="0"/>
          <w:caps w:val="0"/>
          <w:color w:val="auto"/>
          <w:spacing w:val="0"/>
          <w:sz w:val="24"/>
          <w:szCs w:val="24"/>
          <w:shd w:val="clear" w:color="auto" w:fill="FFFFFF"/>
          <w:lang w:val="en-US" w:eastAsia="zh-CN"/>
        </w:rPr>
      </w:pPr>
      <w:r>
        <w:rPr>
          <w:rFonts w:hint="eastAsia" w:cs="宋体"/>
          <w:b w:val="0"/>
          <w:bCs w:val="0"/>
          <w:i w:val="0"/>
          <w:iCs w:val="0"/>
          <w:caps w:val="0"/>
          <w:color w:val="auto"/>
          <w:spacing w:val="0"/>
          <w:sz w:val="24"/>
          <w:szCs w:val="24"/>
          <w:shd w:val="clear" w:color="auto" w:fill="FFFFFF"/>
          <w:lang w:val="en-US" w:eastAsia="zh-CN"/>
        </w:rPr>
        <w:t>采购需求：</w:t>
      </w:r>
    </w:p>
    <w:p w14:paraId="1076BFD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cs="宋体"/>
          <w:b w:val="0"/>
          <w:bCs w:val="0"/>
          <w:i w:val="0"/>
          <w:iCs w:val="0"/>
          <w:caps w:val="0"/>
          <w:color w:val="auto"/>
          <w:spacing w:val="0"/>
          <w:sz w:val="24"/>
          <w:szCs w:val="24"/>
          <w:shd w:val="clear" w:color="auto" w:fill="FFFFFF"/>
          <w:lang w:val="en-US" w:eastAsia="zh-CN"/>
        </w:rPr>
      </w:pPr>
      <w:r>
        <w:rPr>
          <w:rFonts w:hint="eastAsia" w:cs="宋体"/>
          <w:b w:val="0"/>
          <w:bCs w:val="0"/>
          <w:i w:val="0"/>
          <w:iCs w:val="0"/>
          <w:caps w:val="0"/>
          <w:color w:val="auto"/>
          <w:spacing w:val="0"/>
          <w:sz w:val="24"/>
          <w:szCs w:val="24"/>
          <w:shd w:val="clear" w:color="auto" w:fill="FFFFFF"/>
          <w:lang w:val="en-US" w:eastAsia="zh-CN"/>
        </w:rPr>
        <w:t>合同包1(富平县2025年农村饮水工程维修养护项目):</w:t>
      </w:r>
    </w:p>
    <w:p w14:paraId="31D1A06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cs="宋体"/>
          <w:b w:val="0"/>
          <w:bCs w:val="0"/>
          <w:i w:val="0"/>
          <w:iCs w:val="0"/>
          <w:caps w:val="0"/>
          <w:color w:val="auto"/>
          <w:spacing w:val="0"/>
          <w:sz w:val="24"/>
          <w:szCs w:val="24"/>
          <w:shd w:val="clear" w:color="auto" w:fill="FFFFFF"/>
          <w:lang w:val="en-US" w:eastAsia="zh-CN"/>
        </w:rPr>
      </w:pPr>
      <w:r>
        <w:rPr>
          <w:rFonts w:hint="eastAsia" w:cs="宋体"/>
          <w:b w:val="0"/>
          <w:bCs w:val="0"/>
          <w:i w:val="0"/>
          <w:iCs w:val="0"/>
          <w:caps w:val="0"/>
          <w:color w:val="auto"/>
          <w:spacing w:val="0"/>
          <w:sz w:val="24"/>
          <w:szCs w:val="24"/>
          <w:shd w:val="clear" w:color="auto" w:fill="FFFFFF"/>
          <w:lang w:val="en-US" w:eastAsia="zh-CN"/>
        </w:rPr>
        <w:t>合同包预算金额：</w:t>
      </w:r>
      <w:r>
        <w:rPr>
          <w:rFonts w:hint="eastAsia" w:cs="宋体"/>
          <w:b w:val="0"/>
          <w:bCs w:val="0"/>
          <w:i w:val="0"/>
          <w:iCs w:val="0"/>
          <w:caps w:val="0"/>
          <w:color w:val="auto"/>
          <w:spacing w:val="0"/>
          <w:sz w:val="24"/>
          <w:szCs w:val="24"/>
          <w:highlight w:val="none"/>
          <w:shd w:val="clear" w:color="auto" w:fill="FFFFFF"/>
          <w:lang w:val="en-US" w:eastAsia="zh-CN"/>
        </w:rPr>
        <w:t>1,400,000.00元</w:t>
      </w:r>
    </w:p>
    <w:p w14:paraId="7261AB0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cs="宋体"/>
          <w:b w:val="0"/>
          <w:bCs w:val="0"/>
          <w:i w:val="0"/>
          <w:iCs w:val="0"/>
          <w:caps w:val="0"/>
          <w:color w:val="auto"/>
          <w:spacing w:val="0"/>
          <w:sz w:val="24"/>
          <w:szCs w:val="24"/>
          <w:highlight w:val="none"/>
          <w:shd w:val="clear" w:color="auto" w:fill="FFFFFF"/>
          <w:lang w:val="en-US" w:eastAsia="zh-CN"/>
        </w:rPr>
      </w:pPr>
      <w:r>
        <w:rPr>
          <w:rFonts w:hint="eastAsia" w:cs="宋体"/>
          <w:b w:val="0"/>
          <w:bCs w:val="0"/>
          <w:i w:val="0"/>
          <w:iCs w:val="0"/>
          <w:caps w:val="0"/>
          <w:color w:val="auto"/>
          <w:spacing w:val="0"/>
          <w:sz w:val="24"/>
          <w:szCs w:val="24"/>
          <w:highlight w:val="none"/>
          <w:shd w:val="clear" w:color="auto" w:fill="FFFFFF"/>
          <w:lang w:val="en-US" w:eastAsia="zh-CN"/>
        </w:rPr>
        <w:t>合同包最高限价：1,395,483.37元</w:t>
      </w:r>
    </w:p>
    <w:tbl>
      <w:tblPr>
        <w:tblStyle w:val="25"/>
        <w:tblW w:w="90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8"/>
        <w:gridCol w:w="1149"/>
        <w:gridCol w:w="1762"/>
        <w:gridCol w:w="1053"/>
        <w:gridCol w:w="1382"/>
        <w:gridCol w:w="1515"/>
        <w:gridCol w:w="1573"/>
      </w:tblGrid>
      <w:tr w14:paraId="1D5D49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0" w:hRule="atLeast"/>
          <w:tblHeader/>
        </w:trPr>
        <w:tc>
          <w:tcPr>
            <w:tcW w:w="5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5E5A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1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12A0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17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91A39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10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C3D4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数量</w:t>
            </w:r>
          </w:p>
          <w:p w14:paraId="62D426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（单位）</w:t>
            </w:r>
          </w:p>
        </w:tc>
        <w:tc>
          <w:tcPr>
            <w:tcW w:w="13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8EE4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049A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E8E8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color w:val="auto"/>
                <w:sz w:val="21"/>
                <w:szCs w:val="21"/>
                <w:highlight w:val="none"/>
              </w:rPr>
            </w:pPr>
            <w:r>
              <w:rPr>
                <w:rFonts w:ascii="宋体" w:hAnsi="宋体" w:eastAsia="宋体" w:cs="宋体"/>
                <w:b/>
                <w:bCs/>
                <w:color w:val="auto"/>
                <w:kern w:val="0"/>
                <w:sz w:val="21"/>
                <w:szCs w:val="21"/>
                <w:lang w:val="en-US" w:eastAsia="zh-CN" w:bidi="ar"/>
              </w:rPr>
              <w:t>最高限价(元)</w:t>
            </w:r>
          </w:p>
        </w:tc>
      </w:tr>
      <w:tr w14:paraId="2D7A81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5" w:hRule="atLeast"/>
        </w:trPr>
        <w:tc>
          <w:tcPr>
            <w:tcW w:w="5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A0AA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1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36A4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i w:val="0"/>
                <w:iCs w:val="0"/>
                <w:caps w:val="0"/>
                <w:color w:val="333333"/>
                <w:spacing w:val="0"/>
                <w:sz w:val="21"/>
                <w:szCs w:val="21"/>
                <w:shd w:val="clear" w:fill="FFFFFF"/>
              </w:rPr>
              <w:t>其他</w:t>
            </w:r>
            <w:r>
              <w:rPr>
                <w:rFonts w:hint="eastAsia" w:ascii="宋体" w:hAnsi="宋体" w:cs="宋体"/>
                <w:i w:val="0"/>
                <w:iCs w:val="0"/>
                <w:caps w:val="0"/>
                <w:color w:val="333333"/>
                <w:spacing w:val="0"/>
                <w:sz w:val="21"/>
                <w:szCs w:val="21"/>
                <w:shd w:val="clear" w:fill="FFFFFF"/>
                <w:lang w:val="en-US" w:eastAsia="zh-CN"/>
              </w:rPr>
              <w:t>建筑工程</w:t>
            </w:r>
          </w:p>
        </w:tc>
        <w:tc>
          <w:tcPr>
            <w:tcW w:w="17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FF97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富平县2025年农村饮水工程维修养护项目</w:t>
            </w:r>
          </w:p>
        </w:tc>
        <w:tc>
          <w:tcPr>
            <w:tcW w:w="10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1290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1(项)</w:t>
            </w:r>
          </w:p>
        </w:tc>
        <w:tc>
          <w:tcPr>
            <w:tcW w:w="13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9990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详见采购</w:t>
            </w:r>
          </w:p>
          <w:p w14:paraId="1706BB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文件</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ECD6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1,400,000.00</w:t>
            </w:r>
          </w:p>
        </w:tc>
        <w:tc>
          <w:tcPr>
            <w:tcW w:w="1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33D8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1,395,483.37</w:t>
            </w:r>
          </w:p>
        </w:tc>
      </w:tr>
    </w:tbl>
    <w:p w14:paraId="0A7E3B9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本合同包不接受联合体投标</w:t>
      </w:r>
    </w:p>
    <w:p w14:paraId="2867B2F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合同履行期限：具体服务起止日期以合同签订时间为准</w:t>
      </w:r>
    </w:p>
    <w:p w14:paraId="0DEC355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二、申请人的资格要求：</w:t>
      </w:r>
    </w:p>
    <w:p w14:paraId="088B8BF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1.满足《中华人民共和国政府采购法》第二十二条规定;</w:t>
      </w:r>
    </w:p>
    <w:p w14:paraId="28FC366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2.落实政府采购政策需满足的资格要求：</w:t>
      </w:r>
    </w:p>
    <w:p w14:paraId="7D2E67B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lang w:val="en-US" w:eastAsia="zh-CN"/>
        </w:rPr>
        <w:t>合同包1(</w:t>
      </w:r>
      <w:r>
        <w:rPr>
          <w:rFonts w:hint="eastAsia" w:cs="宋体"/>
          <w:i w:val="0"/>
          <w:iCs w:val="0"/>
          <w:caps w:val="0"/>
          <w:color w:val="auto"/>
          <w:spacing w:val="0"/>
          <w:sz w:val="24"/>
          <w:szCs w:val="24"/>
          <w:shd w:val="clear" w:color="auto" w:fill="FFFFFF"/>
          <w:lang w:val="en-US" w:eastAsia="zh-CN"/>
        </w:rPr>
        <w:t>富平县2025年农村饮水工程维修养护项目</w:t>
      </w:r>
      <w:r>
        <w:rPr>
          <w:rFonts w:hint="eastAsia" w:ascii="宋体" w:hAnsi="宋体" w:eastAsia="宋体" w:cs="宋体"/>
          <w:i w:val="0"/>
          <w:iCs w:val="0"/>
          <w:caps w:val="0"/>
          <w:color w:val="auto"/>
          <w:spacing w:val="0"/>
          <w:sz w:val="24"/>
          <w:szCs w:val="24"/>
          <w:shd w:val="clear" w:color="auto" w:fill="FFFFFF"/>
          <w:lang w:val="en-US" w:eastAsia="zh-CN"/>
        </w:rPr>
        <w:t>)落实政府采购政策需满足的资格要求如下：详见竞争性磋商文件。</w:t>
      </w:r>
      <w:r>
        <w:rPr>
          <w:rFonts w:hint="eastAsia" w:ascii="宋体" w:hAnsi="宋体" w:eastAsia="宋体" w:cs="宋体"/>
          <w:i w:val="0"/>
          <w:iCs w:val="0"/>
          <w:caps w:val="0"/>
          <w:color w:val="auto"/>
          <w:spacing w:val="0"/>
          <w:sz w:val="24"/>
          <w:szCs w:val="24"/>
          <w:shd w:val="clear" w:color="auto" w:fill="FFFFFF"/>
          <w:lang w:val="en-US" w:eastAsia="zh-CN"/>
        </w:rPr>
        <w:br w:type="textWrapping"/>
      </w:r>
      <w:r>
        <w:rPr>
          <w:rFonts w:hint="eastAsia" w:ascii="宋体" w:hAnsi="宋体" w:eastAsia="宋体" w:cs="宋体"/>
          <w:i w:val="0"/>
          <w:iCs w:val="0"/>
          <w:caps w:val="0"/>
          <w:color w:val="auto"/>
          <w:spacing w:val="0"/>
          <w:sz w:val="24"/>
          <w:szCs w:val="24"/>
          <w:shd w:val="clear" w:color="auto" w:fill="FFFFFF"/>
          <w:lang w:val="en-US" w:eastAsia="zh-CN"/>
        </w:rPr>
        <w:t xml:space="preserve">    </w:t>
      </w:r>
      <w:r>
        <w:rPr>
          <w:rFonts w:hint="eastAsia" w:ascii="宋体" w:hAnsi="宋体" w:eastAsia="宋体" w:cs="宋体"/>
          <w:sz w:val="24"/>
          <w:szCs w:val="24"/>
        </w:rPr>
        <w:t>（1）《节能产品政府采购实施意见》（财库〔2004〕185号）；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（4）三部门联合发布《关于促进残疾人就业政府采购政策的通知》（财库〔2017〕141号）；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（6）《关于促进政府采购公平竞争优化营商环境的通知》</w:t>
      </w:r>
      <w:r>
        <w:rPr>
          <w:rFonts w:hint="eastAsia" w:ascii="宋体" w:hAnsi="宋体" w:eastAsia="宋体" w:cs="宋体"/>
          <w:spacing w:val="-11"/>
          <w:sz w:val="24"/>
          <w:szCs w:val="24"/>
        </w:rPr>
        <w:t>（财库〔2019〕38</w:t>
      </w:r>
      <w:r>
        <w:rPr>
          <w:rFonts w:hint="eastAsia" w:ascii="宋体" w:hAnsi="宋体" w:eastAsia="宋体" w:cs="宋体"/>
          <w:sz w:val="24"/>
          <w:szCs w:val="24"/>
        </w:rPr>
        <w:t>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（7）《财政部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（8）陕西省财政厅《关于进一步加强政府绿色采购有关问题的通知》（陕财办采〔2021〕29号）；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（9）陕西省财政厅关于印发《陕西省中小企业政府采购信用融资办法》（陕</w:t>
      </w:r>
      <w:r>
        <w:rPr>
          <w:rFonts w:hint="eastAsia" w:ascii="宋体" w:hAnsi="宋体" w:eastAsia="宋体" w:cs="宋体"/>
          <w:sz w:val="24"/>
          <w:szCs w:val="24"/>
        </w:rPr>
        <w:br w:type="textWrapping"/>
      </w:r>
      <w:r>
        <w:rPr>
          <w:rFonts w:hint="eastAsia" w:ascii="宋体" w:hAnsi="宋体" w:eastAsia="宋体" w:cs="宋体"/>
          <w:sz w:val="24"/>
          <w:szCs w:val="24"/>
        </w:rPr>
        <w:t>财办采〔2018〕23号）；</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（10）《陕西省财政厅关于加快推进我省中小企业政府采购信用融资工作的通知》（陕财办采〔2020〕15号）；</w:t>
      </w:r>
    </w:p>
    <w:p w14:paraId="480DE1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宋体" w:hAnsi="宋体" w:eastAsia="宋体" w:cs="宋体"/>
          <w:sz w:val="24"/>
          <w:szCs w:val="24"/>
        </w:rPr>
      </w:pPr>
      <w:r>
        <w:rPr>
          <w:rFonts w:hint="eastAsia" w:ascii="宋体" w:hAnsi="宋体" w:eastAsia="宋体" w:cs="宋体"/>
          <w:sz w:val="24"/>
          <w:szCs w:val="24"/>
        </w:rPr>
        <w:t>（11）《政府采购促进中小企业发展管理办法》（财库〔2020〕46号）；</w:t>
      </w:r>
    </w:p>
    <w:p w14:paraId="2728925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宋体" w:hAnsi="宋体" w:eastAsia="宋体" w:cs="宋体"/>
          <w:sz w:val="24"/>
          <w:szCs w:val="24"/>
        </w:rPr>
      </w:pPr>
      <w:r>
        <w:rPr>
          <w:rFonts w:hint="eastAsia" w:ascii="宋体" w:hAnsi="宋体" w:eastAsia="宋体" w:cs="宋体"/>
          <w:sz w:val="24"/>
          <w:szCs w:val="24"/>
        </w:rPr>
        <w:t>（12）《关于进一步加大政府采购支持中小企业力度的通知》（财库〔2022〕19号）；</w:t>
      </w:r>
    </w:p>
    <w:p w14:paraId="60E700E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宋体" w:hAnsi="宋体" w:eastAsia="宋体" w:cs="宋体"/>
          <w:sz w:val="24"/>
          <w:szCs w:val="24"/>
        </w:rPr>
      </w:pPr>
      <w:r>
        <w:rPr>
          <w:rFonts w:hint="eastAsia" w:ascii="宋体" w:hAnsi="宋体" w:eastAsia="宋体" w:cs="宋体"/>
          <w:sz w:val="24"/>
          <w:szCs w:val="24"/>
        </w:rPr>
        <w:t>（13）《陕西省财政厅关于进一步落实政府采购支持中小企业相关政策的通知》（陕财办采〔2023〕3号）；</w:t>
      </w:r>
    </w:p>
    <w:p w14:paraId="05D65B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20" w:lineRule="exact"/>
        <w:ind w:left="0" w:right="0" w:firstLine="482"/>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sz w:val="24"/>
          <w:szCs w:val="24"/>
        </w:rPr>
        <w:t>（14）《陕西省财政厅关于进一步优化政府采购营商环境有关事项的通知》（陕财办采〔2023〕4号）。</w:t>
      </w:r>
    </w:p>
    <w:p w14:paraId="36B36E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3.本项目的特定资格要求：</w:t>
      </w:r>
    </w:p>
    <w:p w14:paraId="1EED6E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合同包1(</w:t>
      </w:r>
      <w:r>
        <w:rPr>
          <w:rFonts w:hint="eastAsia" w:cs="宋体"/>
          <w:i w:val="0"/>
          <w:iCs w:val="0"/>
          <w:caps w:val="0"/>
          <w:color w:val="auto"/>
          <w:spacing w:val="0"/>
          <w:sz w:val="24"/>
          <w:szCs w:val="24"/>
          <w:shd w:val="clear" w:color="auto" w:fill="FFFFFF"/>
          <w:lang w:val="en-US" w:eastAsia="zh-CN"/>
        </w:rPr>
        <w:t>富平县2025年农村饮水工程维修养护项目</w:t>
      </w:r>
      <w:r>
        <w:rPr>
          <w:rFonts w:hint="eastAsia" w:ascii="宋体" w:hAnsi="宋体" w:eastAsia="宋体" w:cs="宋体"/>
          <w:i w:val="0"/>
          <w:iCs w:val="0"/>
          <w:caps w:val="0"/>
          <w:color w:val="auto"/>
          <w:spacing w:val="0"/>
          <w:sz w:val="24"/>
          <w:szCs w:val="24"/>
          <w:shd w:val="clear" w:color="auto" w:fill="FFFFFF"/>
          <w:lang w:val="en-US" w:eastAsia="zh-CN"/>
        </w:rPr>
        <w:t>)特定资格要求如下:</w:t>
      </w:r>
    </w:p>
    <w:p w14:paraId="6CDC91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（1）具有独立承担民事责任能力的法人、其他组织或自然人，提供合法有效年报合格的统一社会信用代码营业执照或事业单位法人证书等国家规定的相关证明，自然人参与的提供其身份证明；</w:t>
      </w:r>
    </w:p>
    <w:p w14:paraId="7A1B82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（2）提供法定代表人授权委托书原件（附法定代表人、被授权人身份证复印件）及被授权人身份证原件（法定代表人参会只须提供其身份证原件）； </w:t>
      </w:r>
    </w:p>
    <w:p w14:paraId="4AB11A4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sz w:val="24"/>
          <w:szCs w:val="24"/>
          <w:highlight w:val="none"/>
          <w:lang w:val="en-US" w:eastAsia="zh-CN"/>
        </w:rPr>
        <w:t xml:space="preserve">须具备水利水电工程施工总承包三级及以上资质； </w:t>
      </w:r>
    </w:p>
    <w:p w14:paraId="18B499F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val="0"/>
          <w:bCs w:val="0"/>
          <w:sz w:val="24"/>
          <w:szCs w:val="24"/>
          <w:highlight w:val="none"/>
          <w:lang w:val="en-US" w:eastAsia="zh-CN"/>
        </w:rPr>
        <w:t>须具有建设行政主管部门核发有效的安全生产许可证；</w:t>
      </w:r>
    </w:p>
    <w:p w14:paraId="607D557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（5）拟派项目经理须具备水利水电工程注册建造师二级及以上资格和有效的安全生产考核证书，须提供项目经理无在建工程的相关证明材料或承诺书</w:t>
      </w:r>
      <w:r>
        <w:rPr>
          <w:rFonts w:hint="eastAsia" w:ascii="宋体" w:hAnsi="宋体" w:eastAsia="宋体" w:cs="宋体"/>
          <w:b w:val="0"/>
          <w:bCs w:val="0"/>
          <w:sz w:val="24"/>
          <w:szCs w:val="24"/>
          <w:highlight w:val="none"/>
          <w:lang w:val="en-US" w:eastAsia="zh-CN"/>
        </w:rPr>
        <w:t>；</w:t>
      </w:r>
    </w:p>
    <w:p w14:paraId="7F0D96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ascii="宋体" w:hAnsi="宋体" w:eastAsia="宋体" w:cs="宋体"/>
          <w:sz w:val="24"/>
          <w:szCs w:val="24"/>
        </w:rPr>
        <w:t>须提供</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cs="宋体"/>
          <w:sz w:val="24"/>
          <w:szCs w:val="24"/>
          <w:lang w:val="en-US" w:eastAsia="zh-CN"/>
        </w:rPr>
        <w:t>至今任意一年</w:t>
      </w:r>
      <w:r>
        <w:rPr>
          <w:rFonts w:ascii="宋体" w:hAnsi="宋体" w:eastAsia="宋体" w:cs="宋体"/>
          <w:sz w:val="24"/>
          <w:szCs w:val="24"/>
        </w:rPr>
        <w:t>经审计的财务报告（成立时间至提交</w:t>
      </w:r>
      <w:r>
        <w:rPr>
          <w:rFonts w:hint="eastAsia" w:cs="宋体"/>
          <w:sz w:val="24"/>
          <w:szCs w:val="24"/>
          <w:lang w:val="en-US" w:eastAsia="zh-CN"/>
        </w:rPr>
        <w:t>磋商</w:t>
      </w:r>
      <w:r>
        <w:rPr>
          <w:rFonts w:hint="eastAsia" w:eastAsia="宋体" w:cs="宋体"/>
          <w:sz w:val="24"/>
          <w:szCs w:val="24"/>
          <w:lang w:val="en-US" w:eastAsia="zh-CN"/>
        </w:rPr>
        <w:t>响应文件</w:t>
      </w:r>
      <w:r>
        <w:rPr>
          <w:rFonts w:ascii="宋体" w:hAnsi="宋体" w:eastAsia="宋体" w:cs="宋体"/>
          <w:sz w:val="24"/>
          <w:szCs w:val="24"/>
        </w:rPr>
        <w:t>截止时间不足一年的可提供成立后任意时段的财务报表）</w:t>
      </w:r>
      <w:r>
        <w:rPr>
          <w:rFonts w:hint="eastAsia" w:ascii="宋体" w:hAnsi="宋体" w:eastAsia="宋体" w:cs="宋体"/>
          <w:color w:val="auto"/>
          <w:sz w:val="24"/>
          <w:szCs w:val="24"/>
          <w:highlight w:val="none"/>
          <w:lang w:eastAsia="zh-CN"/>
        </w:rPr>
        <w:t xml:space="preserve">； </w:t>
      </w:r>
    </w:p>
    <w:p w14:paraId="0101DA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）须提供依法缴纳税收的良好记录（提供磋商响应文件递交截止时间前六个月内任意一个月份的缴纳凭据复印件并加盖单位公章。依法免税或开标前一年内零申报的供应商应提供相关证明文件）；</w:t>
      </w:r>
    </w:p>
    <w:p w14:paraId="48DEE2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）须提供依法缴纳社会保障资金的良好记录（提供磋商响应文件递交截止时间前六个月内任意一个月份的缴纳凭据复印件并加盖单位公章。依法不需要缴纳社会保障资金的供应商应提供相关证明文件）； </w:t>
      </w:r>
    </w:p>
    <w:p w14:paraId="1F96A7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投标截止日前不得为“信用中国”网站（www.creditchina.gov.cn）中列入失信被执行人、重大税收违法失信主体和政府采购严重违法失信行为记录名单的供应商；不得为“中国政府采购网”（www.ccgp.gov.cn）政府采购严重违法失信行为信息记录</w:t>
      </w:r>
      <w:r>
        <w:rPr>
          <w:rFonts w:hint="eastAsia" w:ascii="宋体" w:hAnsi="宋体" w:cs="宋体"/>
          <w:color w:val="auto"/>
          <w:sz w:val="24"/>
          <w:szCs w:val="24"/>
          <w:highlight w:val="none"/>
          <w:lang w:val="en-US" w:eastAsia="zh-CN"/>
        </w:rPr>
        <w:t>名单</w:t>
      </w:r>
      <w:r>
        <w:rPr>
          <w:rFonts w:hint="eastAsia" w:ascii="宋体" w:hAnsi="宋体" w:eastAsia="宋体" w:cs="宋体"/>
          <w:color w:val="auto"/>
          <w:sz w:val="24"/>
          <w:szCs w:val="24"/>
          <w:highlight w:val="none"/>
          <w:lang w:val="en-US" w:eastAsia="zh-CN"/>
        </w:rPr>
        <w:t>中被财政部门禁止参加政府采购活动的供应商（最终以采购代理机构评审现场查询结果为准）；</w:t>
      </w:r>
    </w:p>
    <w:p w14:paraId="7D708C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磋商保证金</w:t>
      </w:r>
      <w:r>
        <w:rPr>
          <w:rFonts w:hint="eastAsia" w:ascii="宋体" w:hAnsi="宋体" w:eastAsia="宋体" w:cs="宋体"/>
          <w:color w:val="auto"/>
          <w:sz w:val="24"/>
          <w:szCs w:val="24"/>
          <w:highlight w:val="none"/>
        </w:rPr>
        <w:t>银行转账凭证</w:t>
      </w:r>
      <w:r>
        <w:rPr>
          <w:rFonts w:hint="eastAsia" w:ascii="宋体" w:hAnsi="宋体" w:eastAsia="宋体" w:cs="宋体"/>
          <w:b w:val="0"/>
          <w:bCs w:val="0"/>
          <w:sz w:val="24"/>
          <w:szCs w:val="24"/>
          <w:highlight w:val="none"/>
          <w:lang w:val="en-US" w:eastAsia="zh-CN" w:bidi="ar-SA"/>
        </w:rPr>
        <w:t>及基本存款账户信息</w:t>
      </w:r>
      <w:r>
        <w:rPr>
          <w:rFonts w:hint="eastAsia" w:ascii="宋体" w:hAnsi="宋体" w:eastAsia="宋体" w:cs="宋体"/>
          <w:color w:val="auto"/>
          <w:sz w:val="24"/>
          <w:szCs w:val="24"/>
          <w:highlight w:val="none"/>
        </w:rPr>
        <w:t>复印件或</w:t>
      </w:r>
      <w:r>
        <w:rPr>
          <w:rFonts w:hint="eastAsia" w:ascii="宋体" w:hAnsi="宋体" w:eastAsia="宋体" w:cs="宋体"/>
          <w:color w:val="auto"/>
          <w:sz w:val="24"/>
          <w:szCs w:val="24"/>
          <w:highlight w:val="none"/>
          <w:lang w:val="en-US" w:eastAsia="zh-CN"/>
        </w:rPr>
        <w:t>金融机构、担保机构</w:t>
      </w:r>
      <w:r>
        <w:rPr>
          <w:rFonts w:hint="eastAsia" w:ascii="宋体" w:hAnsi="宋体" w:eastAsia="宋体" w:cs="宋体"/>
          <w:color w:val="auto"/>
          <w:sz w:val="24"/>
          <w:szCs w:val="24"/>
          <w:highlight w:val="none"/>
        </w:rPr>
        <w:t>出具的保函</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lang w:val="en-US" w:eastAsia="zh-CN"/>
        </w:rPr>
        <w:t>复印件均须加盖公章</w:t>
      </w:r>
      <w:r>
        <w:rPr>
          <w:rFonts w:hint="eastAsia" w:ascii="宋体" w:hAnsi="宋体" w:eastAsia="宋体" w:cs="宋体"/>
          <w:color w:val="auto"/>
          <w:sz w:val="24"/>
          <w:szCs w:val="24"/>
          <w:highlight w:val="none"/>
        </w:rPr>
        <w:t xml:space="preserve">； </w:t>
      </w:r>
    </w:p>
    <w:p w14:paraId="25D2D3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）提供近三年内在经营活动中无重大违法记录的书面声明；</w:t>
      </w:r>
      <w:r>
        <w:rPr>
          <w:rFonts w:hint="eastAsia" w:ascii="宋体" w:hAnsi="宋体" w:eastAsia="宋体" w:cs="宋体"/>
          <w:color w:val="auto"/>
          <w:sz w:val="24"/>
          <w:szCs w:val="24"/>
          <w:highlight w:val="none"/>
        </w:rPr>
        <w:t xml:space="preserve"> </w:t>
      </w:r>
    </w:p>
    <w:p w14:paraId="25A835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）提供单位负责人为同一人或者存在直接控股、管理关系的不同供应商，不得参加同一合同项下的政府采购活动的书面声明； </w:t>
      </w:r>
      <w:r>
        <w:rPr>
          <w:rFonts w:hint="eastAsia" w:ascii="宋体" w:hAnsi="宋体" w:eastAsia="宋体" w:cs="宋体"/>
          <w:color w:val="auto"/>
          <w:sz w:val="24"/>
          <w:szCs w:val="24"/>
          <w:highlight w:val="none"/>
        </w:rPr>
        <w:t xml:space="preserve"> </w:t>
      </w:r>
    </w:p>
    <w:p w14:paraId="1A71CF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提供具有履行本合同所必需的设备和专业技术能力的说明及承诺</w:t>
      </w:r>
      <w:r>
        <w:rPr>
          <w:rFonts w:hint="eastAsia" w:ascii="宋体" w:hAnsi="宋体" w:eastAsia="宋体" w:cs="宋体"/>
          <w:color w:val="auto"/>
          <w:sz w:val="24"/>
          <w:szCs w:val="24"/>
          <w:highlight w:val="none"/>
          <w:lang w:eastAsia="zh-CN"/>
        </w:rPr>
        <w:t>；</w:t>
      </w:r>
    </w:p>
    <w:p w14:paraId="470A2141">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 xml:space="preserve">本项目专门面向中小企业采购，供应商须提供《中小企业声明函》。    </w:t>
      </w:r>
    </w:p>
    <w:p w14:paraId="5C74A2EB">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color w:val="auto"/>
          <w:sz w:val="24"/>
          <w:szCs w:val="24"/>
        </w:rPr>
        <w:t>注：对于可通过互联网或相关信息系统查询的信息，可不提供纸质材料。</w:t>
      </w:r>
    </w:p>
    <w:p w14:paraId="6B727D9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三、获取</w:t>
      </w:r>
      <w:r>
        <w:rPr>
          <w:rFonts w:hint="eastAsia" w:cs="宋体"/>
          <w:b/>
          <w:bCs/>
          <w:i w:val="0"/>
          <w:iCs w:val="0"/>
          <w:caps w:val="0"/>
          <w:color w:val="auto"/>
          <w:spacing w:val="0"/>
          <w:sz w:val="24"/>
          <w:szCs w:val="24"/>
          <w:shd w:val="clear" w:color="auto" w:fill="FFFFFF"/>
          <w:lang w:val="en-US" w:eastAsia="zh-CN"/>
        </w:rPr>
        <w:t>采购</w:t>
      </w:r>
      <w:r>
        <w:rPr>
          <w:rFonts w:hint="eastAsia" w:ascii="宋体" w:hAnsi="宋体" w:eastAsia="宋体" w:cs="宋体"/>
          <w:b/>
          <w:bCs/>
          <w:i w:val="0"/>
          <w:iCs w:val="0"/>
          <w:caps w:val="0"/>
          <w:color w:val="auto"/>
          <w:spacing w:val="0"/>
          <w:sz w:val="24"/>
          <w:szCs w:val="24"/>
          <w:shd w:val="clear" w:color="auto" w:fill="FFFFFF"/>
          <w:lang w:val="en-US" w:eastAsia="zh-CN"/>
        </w:rPr>
        <w:t>文件</w:t>
      </w:r>
    </w:p>
    <w:p w14:paraId="6BB4B7B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时间：</w:t>
      </w:r>
      <w:r>
        <w:rPr>
          <w:rFonts w:hint="eastAsia" w:cs="宋体"/>
          <w:i w:val="0"/>
          <w:iCs w:val="0"/>
          <w:caps w:val="0"/>
          <w:color w:val="auto"/>
          <w:spacing w:val="0"/>
          <w:sz w:val="24"/>
          <w:szCs w:val="24"/>
          <w:highlight w:val="none"/>
          <w:shd w:val="clear" w:color="auto" w:fill="FFFFFF"/>
          <w:lang w:val="en-US" w:eastAsia="zh-CN"/>
        </w:rPr>
        <w:t>2025</w:t>
      </w:r>
      <w:r>
        <w:rPr>
          <w:rFonts w:hint="eastAsia" w:ascii="宋体" w:hAnsi="宋体" w:eastAsia="宋体" w:cs="宋体"/>
          <w:i w:val="0"/>
          <w:iCs w:val="0"/>
          <w:caps w:val="0"/>
          <w:color w:val="auto"/>
          <w:spacing w:val="0"/>
          <w:sz w:val="24"/>
          <w:szCs w:val="24"/>
          <w:highlight w:val="none"/>
          <w:shd w:val="clear" w:color="auto" w:fill="FFFFFF"/>
          <w:lang w:val="en-US" w:eastAsia="zh-CN"/>
        </w:rPr>
        <w:t>年</w:t>
      </w:r>
      <w:r>
        <w:rPr>
          <w:rFonts w:hint="eastAsia" w:cs="宋体"/>
          <w:i w:val="0"/>
          <w:iCs w:val="0"/>
          <w:caps w:val="0"/>
          <w:color w:val="auto"/>
          <w:spacing w:val="0"/>
          <w:sz w:val="24"/>
          <w:szCs w:val="24"/>
          <w:highlight w:val="none"/>
          <w:shd w:val="clear" w:color="auto" w:fill="FFFFFF"/>
          <w:lang w:val="en-US" w:eastAsia="zh-CN"/>
        </w:rPr>
        <w:t>06</w:t>
      </w:r>
      <w:r>
        <w:rPr>
          <w:rFonts w:hint="eastAsia" w:ascii="宋体" w:hAnsi="宋体" w:eastAsia="宋体" w:cs="宋体"/>
          <w:i w:val="0"/>
          <w:iCs w:val="0"/>
          <w:caps w:val="0"/>
          <w:color w:val="auto"/>
          <w:spacing w:val="0"/>
          <w:sz w:val="24"/>
          <w:szCs w:val="24"/>
          <w:highlight w:val="none"/>
          <w:shd w:val="clear" w:color="auto" w:fill="FFFFFF"/>
          <w:lang w:val="en-US" w:eastAsia="zh-CN"/>
        </w:rPr>
        <w:t>月</w:t>
      </w:r>
      <w:r>
        <w:rPr>
          <w:rFonts w:hint="eastAsia" w:cs="宋体"/>
          <w:i w:val="0"/>
          <w:iCs w:val="0"/>
          <w:caps w:val="0"/>
          <w:color w:val="auto"/>
          <w:spacing w:val="0"/>
          <w:sz w:val="24"/>
          <w:szCs w:val="24"/>
          <w:highlight w:val="none"/>
          <w:shd w:val="clear" w:color="auto" w:fill="FFFFFF"/>
          <w:lang w:val="en-US" w:eastAsia="zh-CN"/>
        </w:rPr>
        <w:t>03</w:t>
      </w:r>
      <w:r>
        <w:rPr>
          <w:rFonts w:hint="eastAsia" w:ascii="宋体" w:hAnsi="宋体" w:eastAsia="宋体" w:cs="宋体"/>
          <w:i w:val="0"/>
          <w:iCs w:val="0"/>
          <w:caps w:val="0"/>
          <w:color w:val="auto"/>
          <w:spacing w:val="0"/>
          <w:sz w:val="24"/>
          <w:szCs w:val="24"/>
          <w:highlight w:val="none"/>
          <w:shd w:val="clear" w:color="auto" w:fill="FFFFFF"/>
          <w:lang w:val="en-US" w:eastAsia="zh-CN"/>
        </w:rPr>
        <w:t>日至</w:t>
      </w:r>
      <w:r>
        <w:rPr>
          <w:rFonts w:hint="eastAsia" w:cs="宋体"/>
          <w:i w:val="0"/>
          <w:iCs w:val="0"/>
          <w:caps w:val="0"/>
          <w:color w:val="auto"/>
          <w:spacing w:val="0"/>
          <w:sz w:val="24"/>
          <w:szCs w:val="24"/>
          <w:highlight w:val="none"/>
          <w:shd w:val="clear" w:color="auto" w:fill="FFFFFF"/>
          <w:lang w:val="en-US" w:eastAsia="zh-CN"/>
        </w:rPr>
        <w:t>2025</w:t>
      </w:r>
      <w:r>
        <w:rPr>
          <w:rFonts w:hint="eastAsia" w:ascii="宋体" w:hAnsi="宋体" w:eastAsia="宋体" w:cs="宋体"/>
          <w:i w:val="0"/>
          <w:iCs w:val="0"/>
          <w:caps w:val="0"/>
          <w:color w:val="auto"/>
          <w:spacing w:val="0"/>
          <w:sz w:val="24"/>
          <w:szCs w:val="24"/>
          <w:highlight w:val="none"/>
          <w:shd w:val="clear" w:color="auto" w:fill="FFFFFF"/>
          <w:lang w:val="en-US" w:eastAsia="zh-CN"/>
        </w:rPr>
        <w:t>年</w:t>
      </w:r>
      <w:r>
        <w:rPr>
          <w:rFonts w:hint="eastAsia" w:cs="宋体"/>
          <w:i w:val="0"/>
          <w:iCs w:val="0"/>
          <w:caps w:val="0"/>
          <w:color w:val="auto"/>
          <w:spacing w:val="0"/>
          <w:sz w:val="24"/>
          <w:szCs w:val="24"/>
          <w:highlight w:val="none"/>
          <w:shd w:val="clear" w:color="auto" w:fill="FFFFFF"/>
          <w:lang w:val="en-US" w:eastAsia="zh-CN"/>
        </w:rPr>
        <w:t>06</w:t>
      </w:r>
      <w:r>
        <w:rPr>
          <w:rFonts w:hint="eastAsia" w:ascii="宋体" w:hAnsi="宋体" w:eastAsia="宋体" w:cs="宋体"/>
          <w:i w:val="0"/>
          <w:iCs w:val="0"/>
          <w:caps w:val="0"/>
          <w:color w:val="auto"/>
          <w:spacing w:val="0"/>
          <w:sz w:val="24"/>
          <w:szCs w:val="24"/>
          <w:highlight w:val="none"/>
          <w:shd w:val="clear" w:color="auto" w:fill="FFFFFF"/>
          <w:lang w:val="en-US" w:eastAsia="zh-CN"/>
        </w:rPr>
        <w:t>月</w:t>
      </w:r>
      <w:r>
        <w:rPr>
          <w:rFonts w:hint="eastAsia"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lang w:val="en-US" w:eastAsia="zh-CN"/>
        </w:rPr>
        <w:t>日，</w:t>
      </w:r>
      <w:r>
        <w:rPr>
          <w:rFonts w:hint="eastAsia" w:ascii="宋体" w:hAnsi="宋体" w:eastAsia="宋体" w:cs="宋体"/>
          <w:b w:val="0"/>
          <w:color w:val="auto"/>
          <w:kern w:val="0"/>
          <w:sz w:val="24"/>
          <w:szCs w:val="24"/>
          <w:highlight w:val="none"/>
          <w:lang w:val="en-US" w:eastAsia="zh-CN" w:bidi="ar"/>
        </w:rPr>
        <w:t>每天上午08:</w:t>
      </w:r>
      <w:r>
        <w:rPr>
          <w:rFonts w:hint="eastAsia" w:cs="宋体"/>
          <w:b w:val="0"/>
          <w:color w:val="auto"/>
          <w:kern w:val="0"/>
          <w:sz w:val="24"/>
          <w:szCs w:val="24"/>
          <w:highlight w:val="none"/>
          <w:lang w:val="en-US" w:eastAsia="zh-CN" w:bidi="ar"/>
        </w:rPr>
        <w:t>0</w:t>
      </w:r>
      <w:r>
        <w:rPr>
          <w:rFonts w:hint="eastAsia" w:ascii="宋体" w:hAnsi="宋体" w:eastAsia="宋体" w:cs="宋体"/>
          <w:b w:val="0"/>
          <w:color w:val="auto"/>
          <w:kern w:val="0"/>
          <w:sz w:val="24"/>
          <w:szCs w:val="24"/>
          <w:highlight w:val="none"/>
          <w:lang w:val="en-US" w:eastAsia="zh-CN" w:bidi="ar"/>
        </w:rPr>
        <w:t>0:00至1</w:t>
      </w:r>
      <w:r>
        <w:rPr>
          <w:rFonts w:hint="eastAsia" w:cs="宋体"/>
          <w:b w:val="0"/>
          <w:color w:val="auto"/>
          <w:kern w:val="0"/>
          <w:sz w:val="24"/>
          <w:szCs w:val="24"/>
          <w:highlight w:val="none"/>
          <w:lang w:val="en-US" w:eastAsia="zh-CN" w:bidi="ar"/>
        </w:rPr>
        <w:t>2</w:t>
      </w:r>
      <w:r>
        <w:rPr>
          <w:rFonts w:hint="eastAsia" w:ascii="宋体" w:hAnsi="宋体" w:eastAsia="宋体" w:cs="宋体"/>
          <w:b w:val="0"/>
          <w:color w:val="auto"/>
          <w:kern w:val="0"/>
          <w:sz w:val="24"/>
          <w:szCs w:val="24"/>
          <w:highlight w:val="none"/>
          <w:lang w:val="en-US" w:eastAsia="zh-CN" w:bidi="ar"/>
        </w:rPr>
        <w:t>:</w:t>
      </w:r>
      <w:r>
        <w:rPr>
          <w:rFonts w:hint="eastAsia" w:cs="宋体"/>
          <w:b w:val="0"/>
          <w:color w:val="auto"/>
          <w:kern w:val="0"/>
          <w:sz w:val="24"/>
          <w:szCs w:val="24"/>
          <w:highlight w:val="none"/>
          <w:lang w:val="en-US" w:eastAsia="zh-CN" w:bidi="ar"/>
        </w:rPr>
        <w:t>0</w:t>
      </w:r>
      <w:r>
        <w:rPr>
          <w:rFonts w:hint="eastAsia" w:ascii="宋体" w:hAnsi="宋体" w:eastAsia="宋体" w:cs="宋体"/>
          <w:b w:val="0"/>
          <w:color w:val="auto"/>
          <w:kern w:val="0"/>
          <w:sz w:val="24"/>
          <w:szCs w:val="24"/>
          <w:highlight w:val="none"/>
          <w:lang w:val="en-US" w:eastAsia="zh-CN" w:bidi="ar"/>
        </w:rPr>
        <w:t>0:00，下午1</w:t>
      </w:r>
      <w:r>
        <w:rPr>
          <w:rFonts w:hint="eastAsia" w:cs="宋体"/>
          <w:b w:val="0"/>
          <w:color w:val="auto"/>
          <w:kern w:val="0"/>
          <w:sz w:val="24"/>
          <w:szCs w:val="24"/>
          <w:highlight w:val="none"/>
          <w:lang w:val="en-US" w:eastAsia="zh-CN" w:bidi="ar"/>
        </w:rPr>
        <w:t>5</w:t>
      </w:r>
      <w:r>
        <w:rPr>
          <w:rFonts w:hint="eastAsia" w:ascii="宋体" w:hAnsi="宋体" w:eastAsia="宋体" w:cs="宋体"/>
          <w:b w:val="0"/>
          <w:color w:val="auto"/>
          <w:kern w:val="0"/>
          <w:sz w:val="24"/>
          <w:szCs w:val="24"/>
          <w:highlight w:val="none"/>
          <w:lang w:val="en-US" w:eastAsia="zh-CN" w:bidi="ar"/>
        </w:rPr>
        <w:t>:</w:t>
      </w:r>
      <w:r>
        <w:rPr>
          <w:rFonts w:hint="eastAsia" w:cs="宋体"/>
          <w:b w:val="0"/>
          <w:color w:val="auto"/>
          <w:kern w:val="0"/>
          <w:sz w:val="24"/>
          <w:szCs w:val="24"/>
          <w:highlight w:val="none"/>
          <w:lang w:val="en-US" w:eastAsia="zh-CN" w:bidi="ar"/>
        </w:rPr>
        <w:t>0</w:t>
      </w:r>
      <w:r>
        <w:rPr>
          <w:rFonts w:hint="eastAsia" w:ascii="宋体" w:hAnsi="宋体" w:eastAsia="宋体" w:cs="宋体"/>
          <w:b w:val="0"/>
          <w:color w:val="auto"/>
          <w:kern w:val="0"/>
          <w:sz w:val="24"/>
          <w:szCs w:val="24"/>
          <w:highlight w:val="none"/>
          <w:lang w:val="en-US" w:eastAsia="zh-CN" w:bidi="ar"/>
        </w:rPr>
        <w:t>0:00至1</w:t>
      </w:r>
      <w:r>
        <w:rPr>
          <w:rFonts w:hint="eastAsia" w:cs="宋体"/>
          <w:b w:val="0"/>
          <w:color w:val="auto"/>
          <w:kern w:val="0"/>
          <w:sz w:val="24"/>
          <w:szCs w:val="24"/>
          <w:highlight w:val="none"/>
          <w:lang w:val="en-US" w:eastAsia="zh-CN" w:bidi="ar"/>
        </w:rPr>
        <w:t>8</w:t>
      </w:r>
      <w:r>
        <w:rPr>
          <w:rFonts w:hint="eastAsia" w:ascii="宋体" w:hAnsi="宋体" w:eastAsia="宋体" w:cs="宋体"/>
          <w:b w:val="0"/>
          <w:color w:val="auto"/>
          <w:kern w:val="0"/>
          <w:sz w:val="24"/>
          <w:szCs w:val="24"/>
          <w:highlight w:val="none"/>
          <w:lang w:val="en-US" w:eastAsia="zh-CN" w:bidi="ar"/>
        </w:rPr>
        <w:t>:</w:t>
      </w:r>
      <w:r>
        <w:rPr>
          <w:rFonts w:hint="eastAsia" w:cs="宋体"/>
          <w:b w:val="0"/>
          <w:color w:val="auto"/>
          <w:kern w:val="0"/>
          <w:sz w:val="24"/>
          <w:szCs w:val="24"/>
          <w:highlight w:val="none"/>
          <w:lang w:val="en-US" w:eastAsia="zh-CN" w:bidi="ar"/>
        </w:rPr>
        <w:t>0</w:t>
      </w:r>
      <w:r>
        <w:rPr>
          <w:rFonts w:hint="eastAsia" w:ascii="宋体" w:hAnsi="宋体" w:eastAsia="宋体" w:cs="宋体"/>
          <w:b w:val="0"/>
          <w:color w:val="auto"/>
          <w:kern w:val="0"/>
          <w:sz w:val="24"/>
          <w:szCs w:val="24"/>
          <w:highlight w:val="none"/>
          <w:lang w:val="en-US" w:eastAsia="zh-CN" w:bidi="ar"/>
        </w:rPr>
        <w:t>0:00（北京时间）</w:t>
      </w:r>
    </w:p>
    <w:p w14:paraId="4FAA7F6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途径：华春众创工场（富平）（详细地址：富平县富兴路中段西侧紫御台B区商务楼四层）</w:t>
      </w:r>
    </w:p>
    <w:p w14:paraId="5D8A976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方式：现场获取</w:t>
      </w:r>
    </w:p>
    <w:p w14:paraId="40E5494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售价：0元</w:t>
      </w:r>
    </w:p>
    <w:p w14:paraId="5903A61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default"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四、</w:t>
      </w:r>
      <w:r>
        <w:rPr>
          <w:rFonts w:hint="eastAsia" w:cs="宋体"/>
          <w:b/>
          <w:bCs/>
          <w:i w:val="0"/>
          <w:iCs w:val="0"/>
          <w:caps w:val="0"/>
          <w:color w:val="auto"/>
          <w:spacing w:val="0"/>
          <w:sz w:val="24"/>
          <w:szCs w:val="24"/>
          <w:shd w:val="clear" w:color="auto" w:fill="FFFFFF"/>
          <w:lang w:val="en-US" w:eastAsia="zh-CN"/>
        </w:rPr>
        <w:t>响应</w:t>
      </w:r>
      <w:r>
        <w:rPr>
          <w:rFonts w:hint="eastAsia" w:ascii="宋体" w:hAnsi="宋体" w:eastAsia="宋体" w:cs="宋体"/>
          <w:b/>
          <w:bCs/>
          <w:i w:val="0"/>
          <w:iCs w:val="0"/>
          <w:caps w:val="0"/>
          <w:color w:val="auto"/>
          <w:spacing w:val="0"/>
          <w:sz w:val="24"/>
          <w:szCs w:val="24"/>
          <w:shd w:val="clear" w:color="auto" w:fill="FFFFFF"/>
          <w:lang w:val="en-US" w:eastAsia="zh-CN"/>
        </w:rPr>
        <w:t>文件</w:t>
      </w:r>
      <w:r>
        <w:rPr>
          <w:rFonts w:hint="eastAsia" w:cs="宋体"/>
          <w:b/>
          <w:bCs/>
          <w:i w:val="0"/>
          <w:iCs w:val="0"/>
          <w:caps w:val="0"/>
          <w:color w:val="auto"/>
          <w:spacing w:val="0"/>
          <w:sz w:val="24"/>
          <w:szCs w:val="24"/>
          <w:shd w:val="clear" w:color="auto" w:fill="FFFFFF"/>
          <w:lang w:val="en-US" w:eastAsia="zh-CN"/>
        </w:rPr>
        <w:t>提交</w:t>
      </w:r>
    </w:p>
    <w:p w14:paraId="047F2C6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cs="宋体"/>
          <w:i w:val="0"/>
          <w:iCs w:val="0"/>
          <w:caps w:val="0"/>
          <w:color w:val="auto"/>
          <w:spacing w:val="0"/>
          <w:sz w:val="24"/>
          <w:szCs w:val="24"/>
          <w:highlight w:val="none"/>
          <w:shd w:val="clear" w:color="auto" w:fill="FFFFFF"/>
          <w:lang w:val="en-US" w:eastAsia="zh-CN"/>
        </w:rPr>
        <w:t>截止</w:t>
      </w:r>
      <w:r>
        <w:rPr>
          <w:rFonts w:hint="eastAsia" w:ascii="宋体" w:hAnsi="宋体" w:eastAsia="宋体" w:cs="宋体"/>
          <w:i w:val="0"/>
          <w:iCs w:val="0"/>
          <w:caps w:val="0"/>
          <w:color w:val="auto"/>
          <w:spacing w:val="0"/>
          <w:sz w:val="24"/>
          <w:szCs w:val="24"/>
          <w:highlight w:val="none"/>
          <w:shd w:val="clear" w:color="auto" w:fill="FFFFFF"/>
          <w:lang w:val="en-US" w:eastAsia="zh-CN"/>
        </w:rPr>
        <w:t>时间：</w:t>
      </w:r>
      <w:r>
        <w:rPr>
          <w:rFonts w:hint="eastAsia" w:cs="宋体"/>
          <w:i w:val="0"/>
          <w:iCs w:val="0"/>
          <w:caps w:val="0"/>
          <w:color w:val="auto"/>
          <w:spacing w:val="0"/>
          <w:sz w:val="24"/>
          <w:szCs w:val="24"/>
          <w:highlight w:val="none"/>
          <w:shd w:val="clear" w:color="auto" w:fill="FFFFFF"/>
          <w:lang w:val="en-US" w:eastAsia="zh-CN"/>
        </w:rPr>
        <w:t>2025</w:t>
      </w:r>
      <w:r>
        <w:rPr>
          <w:rFonts w:hint="eastAsia" w:ascii="宋体" w:hAnsi="宋体" w:eastAsia="宋体" w:cs="宋体"/>
          <w:i w:val="0"/>
          <w:iCs w:val="0"/>
          <w:caps w:val="0"/>
          <w:color w:val="auto"/>
          <w:spacing w:val="0"/>
          <w:sz w:val="24"/>
          <w:szCs w:val="24"/>
          <w:highlight w:val="none"/>
          <w:shd w:val="clear" w:color="auto" w:fill="FFFFFF"/>
          <w:lang w:val="en-US" w:eastAsia="zh-CN"/>
        </w:rPr>
        <w:t>年</w:t>
      </w:r>
      <w:r>
        <w:rPr>
          <w:rFonts w:hint="eastAsia" w:cs="宋体"/>
          <w:i w:val="0"/>
          <w:iCs w:val="0"/>
          <w:caps w:val="0"/>
          <w:color w:val="auto"/>
          <w:spacing w:val="0"/>
          <w:sz w:val="24"/>
          <w:szCs w:val="24"/>
          <w:highlight w:val="none"/>
          <w:shd w:val="clear" w:color="auto" w:fill="FFFFFF"/>
          <w:lang w:val="en-US" w:eastAsia="zh-CN"/>
        </w:rPr>
        <w:t>06</w:t>
      </w:r>
      <w:r>
        <w:rPr>
          <w:rFonts w:hint="eastAsia" w:ascii="宋体" w:hAnsi="宋体" w:eastAsia="宋体" w:cs="宋体"/>
          <w:i w:val="0"/>
          <w:iCs w:val="0"/>
          <w:caps w:val="0"/>
          <w:color w:val="auto"/>
          <w:spacing w:val="0"/>
          <w:sz w:val="24"/>
          <w:szCs w:val="24"/>
          <w:highlight w:val="none"/>
          <w:shd w:val="clear" w:color="auto" w:fill="FFFFFF"/>
          <w:lang w:val="en-US" w:eastAsia="zh-CN"/>
        </w:rPr>
        <w:t>月</w:t>
      </w:r>
      <w:r>
        <w:rPr>
          <w:rFonts w:hint="eastAsia" w:cs="宋体"/>
          <w:i w:val="0"/>
          <w:iCs w:val="0"/>
          <w:caps w:val="0"/>
          <w:color w:val="auto"/>
          <w:spacing w:val="-6"/>
          <w:sz w:val="24"/>
          <w:szCs w:val="24"/>
          <w:highlight w:val="none"/>
          <w:shd w:val="clear" w:color="auto" w:fill="FFFFFF"/>
          <w:lang w:val="en-US" w:eastAsia="zh-CN"/>
        </w:rPr>
        <w:t>17</w:t>
      </w:r>
      <w:r>
        <w:rPr>
          <w:rFonts w:hint="eastAsia" w:ascii="宋体" w:hAnsi="宋体" w:eastAsia="宋体" w:cs="宋体"/>
          <w:i w:val="0"/>
          <w:iCs w:val="0"/>
          <w:caps w:val="0"/>
          <w:color w:val="auto"/>
          <w:spacing w:val="-6"/>
          <w:sz w:val="24"/>
          <w:szCs w:val="24"/>
          <w:highlight w:val="none"/>
          <w:shd w:val="clear" w:color="auto" w:fill="FFFFFF"/>
          <w:lang w:val="en-US" w:eastAsia="zh-CN"/>
        </w:rPr>
        <w:t>日</w:t>
      </w:r>
      <w:r>
        <w:rPr>
          <w:rFonts w:hint="eastAsia" w:cs="宋体"/>
          <w:i w:val="0"/>
          <w:iCs w:val="0"/>
          <w:caps w:val="0"/>
          <w:color w:val="auto"/>
          <w:spacing w:val="-6"/>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lang w:val="en-US" w:eastAsia="zh-CN"/>
        </w:rPr>
        <w:t>时30分00秒（北京时间）</w:t>
      </w:r>
    </w:p>
    <w:p w14:paraId="07A6B70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地点：华春众创工场（富平）（详细地址：富平县富兴路中段西侧紫御台B区商务楼四层）会议室</w:t>
      </w:r>
    </w:p>
    <w:p w14:paraId="6E70D35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default"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24"/>
          <w:szCs w:val="24"/>
          <w:shd w:val="clear" w:color="auto" w:fill="FFFFFF"/>
          <w:lang w:val="en-US" w:eastAsia="zh-CN"/>
        </w:rPr>
        <w:t>五、</w:t>
      </w:r>
      <w:r>
        <w:rPr>
          <w:rFonts w:hint="eastAsia" w:cs="宋体"/>
          <w:b/>
          <w:bCs/>
          <w:i w:val="0"/>
          <w:iCs w:val="0"/>
          <w:caps w:val="0"/>
          <w:color w:val="auto"/>
          <w:spacing w:val="0"/>
          <w:sz w:val="24"/>
          <w:szCs w:val="24"/>
          <w:shd w:val="clear" w:color="auto" w:fill="FFFFFF"/>
          <w:lang w:val="en-US" w:eastAsia="zh-CN"/>
        </w:rPr>
        <w:t>开启</w:t>
      </w:r>
    </w:p>
    <w:p w14:paraId="603C3B6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时间：</w:t>
      </w:r>
      <w:r>
        <w:rPr>
          <w:rFonts w:hint="eastAsia" w:cs="宋体"/>
          <w:i w:val="0"/>
          <w:iCs w:val="0"/>
          <w:caps w:val="0"/>
          <w:color w:val="auto"/>
          <w:spacing w:val="0"/>
          <w:sz w:val="24"/>
          <w:szCs w:val="24"/>
          <w:highlight w:val="none"/>
          <w:shd w:val="clear" w:color="auto" w:fill="FFFFFF"/>
          <w:lang w:val="en-US" w:eastAsia="zh-CN"/>
        </w:rPr>
        <w:t>2025</w:t>
      </w:r>
      <w:r>
        <w:rPr>
          <w:rFonts w:hint="eastAsia" w:ascii="宋体" w:hAnsi="宋体" w:eastAsia="宋体" w:cs="宋体"/>
          <w:i w:val="0"/>
          <w:iCs w:val="0"/>
          <w:caps w:val="0"/>
          <w:color w:val="auto"/>
          <w:spacing w:val="0"/>
          <w:sz w:val="24"/>
          <w:szCs w:val="24"/>
          <w:highlight w:val="none"/>
          <w:shd w:val="clear" w:color="auto" w:fill="FFFFFF"/>
          <w:lang w:val="en-US" w:eastAsia="zh-CN"/>
        </w:rPr>
        <w:t>年</w:t>
      </w:r>
      <w:r>
        <w:rPr>
          <w:rFonts w:hint="eastAsia" w:cs="宋体"/>
          <w:i w:val="0"/>
          <w:iCs w:val="0"/>
          <w:caps w:val="0"/>
          <w:color w:val="auto"/>
          <w:spacing w:val="0"/>
          <w:sz w:val="24"/>
          <w:szCs w:val="24"/>
          <w:highlight w:val="none"/>
          <w:shd w:val="clear" w:color="auto" w:fill="FFFFFF"/>
          <w:lang w:val="en-US" w:eastAsia="zh-CN"/>
        </w:rPr>
        <w:t>06</w:t>
      </w:r>
      <w:r>
        <w:rPr>
          <w:rFonts w:hint="eastAsia" w:ascii="宋体" w:hAnsi="宋体" w:eastAsia="宋体" w:cs="宋体"/>
          <w:i w:val="0"/>
          <w:iCs w:val="0"/>
          <w:caps w:val="0"/>
          <w:color w:val="auto"/>
          <w:spacing w:val="0"/>
          <w:sz w:val="24"/>
          <w:szCs w:val="24"/>
          <w:highlight w:val="none"/>
          <w:shd w:val="clear" w:color="auto" w:fill="FFFFFF"/>
          <w:lang w:val="en-US" w:eastAsia="zh-CN"/>
        </w:rPr>
        <w:t>月</w:t>
      </w:r>
      <w:r>
        <w:rPr>
          <w:rFonts w:hint="eastAsia" w:cs="宋体"/>
          <w:i w:val="0"/>
          <w:iCs w:val="0"/>
          <w:caps w:val="0"/>
          <w:color w:val="auto"/>
          <w:spacing w:val="-6"/>
          <w:sz w:val="24"/>
          <w:szCs w:val="24"/>
          <w:highlight w:val="none"/>
          <w:shd w:val="clear" w:color="auto" w:fill="FFFFFF"/>
          <w:lang w:val="en-US" w:eastAsia="zh-CN"/>
        </w:rPr>
        <w:t>17</w:t>
      </w:r>
      <w:r>
        <w:rPr>
          <w:rFonts w:hint="eastAsia" w:ascii="宋体" w:hAnsi="宋体" w:eastAsia="宋体" w:cs="宋体"/>
          <w:i w:val="0"/>
          <w:iCs w:val="0"/>
          <w:caps w:val="0"/>
          <w:color w:val="auto"/>
          <w:spacing w:val="-6"/>
          <w:sz w:val="24"/>
          <w:szCs w:val="24"/>
          <w:highlight w:val="none"/>
          <w:shd w:val="clear" w:color="auto" w:fill="FFFFFF"/>
          <w:lang w:val="en-US" w:eastAsia="zh-CN"/>
        </w:rPr>
        <w:t>日</w:t>
      </w:r>
      <w:r>
        <w:rPr>
          <w:rFonts w:hint="eastAsia" w:cs="宋体"/>
          <w:i w:val="0"/>
          <w:iCs w:val="0"/>
          <w:caps w:val="0"/>
          <w:color w:val="auto"/>
          <w:spacing w:val="-6"/>
          <w:sz w:val="24"/>
          <w:szCs w:val="24"/>
          <w:highlight w:val="none"/>
          <w:shd w:val="clear" w:color="auto" w:fill="FFFFFF"/>
          <w:lang w:val="en-US" w:eastAsia="zh-CN"/>
        </w:rPr>
        <w:t>14</w:t>
      </w:r>
      <w:r>
        <w:rPr>
          <w:rFonts w:hint="eastAsia" w:ascii="宋体" w:hAnsi="宋体" w:eastAsia="宋体" w:cs="宋体"/>
          <w:i w:val="0"/>
          <w:iCs w:val="0"/>
          <w:caps w:val="0"/>
          <w:color w:val="auto"/>
          <w:spacing w:val="0"/>
          <w:sz w:val="24"/>
          <w:szCs w:val="24"/>
          <w:highlight w:val="none"/>
          <w:shd w:val="clear" w:color="auto" w:fill="FFFFFF"/>
          <w:lang w:val="en-US" w:eastAsia="zh-CN"/>
        </w:rPr>
        <w:t>时30分00秒（北京时间）</w:t>
      </w:r>
    </w:p>
    <w:p w14:paraId="3E1AE61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地点：华春众创工场（富平）（详细地址：富平县富兴路中段西侧紫御台B区商务楼四层）会议室</w:t>
      </w:r>
    </w:p>
    <w:p w14:paraId="494D275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cs="宋体"/>
          <w:b/>
          <w:bCs/>
          <w:i w:val="0"/>
          <w:iCs w:val="0"/>
          <w:caps w:val="0"/>
          <w:color w:val="auto"/>
          <w:spacing w:val="0"/>
          <w:sz w:val="24"/>
          <w:szCs w:val="24"/>
          <w:shd w:val="clear" w:color="auto" w:fill="FFFFFF"/>
          <w:lang w:val="en-US" w:eastAsia="zh-CN"/>
        </w:rPr>
        <w:t>六</w:t>
      </w:r>
      <w:r>
        <w:rPr>
          <w:rFonts w:hint="eastAsia" w:ascii="宋体" w:hAnsi="宋体" w:eastAsia="宋体" w:cs="宋体"/>
          <w:b/>
          <w:bCs/>
          <w:i w:val="0"/>
          <w:iCs w:val="0"/>
          <w:caps w:val="0"/>
          <w:color w:val="auto"/>
          <w:spacing w:val="0"/>
          <w:sz w:val="24"/>
          <w:szCs w:val="24"/>
          <w:shd w:val="clear" w:color="auto" w:fill="FFFFFF"/>
          <w:lang w:val="en-US" w:eastAsia="zh-CN"/>
        </w:rPr>
        <w:t>、公告期限</w:t>
      </w:r>
    </w:p>
    <w:p w14:paraId="331A153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自本公告发布之日起3个工作日。</w:t>
      </w:r>
    </w:p>
    <w:p w14:paraId="4AAC31E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cs="宋体"/>
          <w:b/>
          <w:bCs/>
          <w:i w:val="0"/>
          <w:iCs w:val="0"/>
          <w:caps w:val="0"/>
          <w:color w:val="auto"/>
          <w:spacing w:val="0"/>
          <w:sz w:val="24"/>
          <w:szCs w:val="24"/>
          <w:shd w:val="clear" w:color="auto" w:fill="FFFFFF"/>
          <w:lang w:val="en-US" w:eastAsia="zh-CN"/>
        </w:rPr>
        <w:t>七</w:t>
      </w:r>
      <w:r>
        <w:rPr>
          <w:rFonts w:hint="eastAsia" w:ascii="宋体" w:hAnsi="宋体" w:eastAsia="宋体" w:cs="宋体"/>
          <w:b/>
          <w:bCs/>
          <w:i w:val="0"/>
          <w:iCs w:val="0"/>
          <w:caps w:val="0"/>
          <w:color w:val="auto"/>
          <w:spacing w:val="0"/>
          <w:sz w:val="24"/>
          <w:szCs w:val="24"/>
          <w:shd w:val="clear" w:color="auto" w:fill="FFFFFF"/>
          <w:lang w:val="en-US" w:eastAsia="zh-CN"/>
        </w:rPr>
        <w:t>、其他补充事宜</w:t>
      </w:r>
    </w:p>
    <w:p w14:paraId="1BEC8A85">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default"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1、获取磋商文件方式：携带单位介绍信、经办人身份证原件及加盖公章的复印件到获取地点获取</w:t>
      </w:r>
      <w:r>
        <w:rPr>
          <w:rFonts w:hint="eastAsia" w:cs="宋体"/>
          <w:b w:val="0"/>
          <w:color w:val="auto"/>
          <w:kern w:val="0"/>
          <w:sz w:val="24"/>
          <w:szCs w:val="24"/>
          <w:highlight w:val="none"/>
          <w:lang w:val="en-US" w:eastAsia="zh-CN" w:bidi="ar"/>
        </w:rPr>
        <w:t>；获取时间为工作日。</w:t>
      </w:r>
    </w:p>
    <w:p w14:paraId="307915CC">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2、请供应商按照《陕西省财政厅关于政府采购供应商注册登记有关事项的通知》中的要求，通过“陕西省政府采购网”（http://www.ccgp-shaanxi.gov.cn/）注册登记加入陕西省政府采购供应商库。</w:t>
      </w:r>
    </w:p>
    <w:p w14:paraId="659C9DF4">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3、本项目响应文件提交截止时间、开启时间和地点如有变更另行公告。</w:t>
      </w:r>
    </w:p>
    <w:p w14:paraId="1BECCF1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both"/>
        <w:textAlignment w:val="auto"/>
        <w:rPr>
          <w:rFonts w:hint="eastAsia" w:ascii="宋体" w:hAnsi="宋体" w:eastAsia="宋体" w:cs="宋体"/>
          <w:b/>
          <w:bCs/>
          <w:i w:val="0"/>
          <w:iCs w:val="0"/>
          <w:caps w:val="0"/>
          <w:color w:val="auto"/>
          <w:spacing w:val="0"/>
          <w:sz w:val="24"/>
          <w:szCs w:val="24"/>
          <w:shd w:val="clear" w:color="auto" w:fill="FFFFFF"/>
          <w:lang w:val="en-US" w:eastAsia="zh-CN"/>
        </w:rPr>
      </w:pPr>
      <w:r>
        <w:rPr>
          <w:rFonts w:hint="eastAsia" w:cs="宋体"/>
          <w:b/>
          <w:bCs/>
          <w:i w:val="0"/>
          <w:iCs w:val="0"/>
          <w:caps w:val="0"/>
          <w:color w:val="auto"/>
          <w:spacing w:val="0"/>
          <w:sz w:val="24"/>
          <w:szCs w:val="24"/>
          <w:shd w:val="clear" w:color="auto" w:fill="FFFFFF"/>
          <w:lang w:val="en-US" w:eastAsia="zh-CN"/>
        </w:rPr>
        <w:t>八</w:t>
      </w:r>
      <w:r>
        <w:rPr>
          <w:rFonts w:hint="eastAsia" w:ascii="宋体" w:hAnsi="宋体" w:eastAsia="宋体" w:cs="宋体"/>
          <w:b/>
          <w:bCs/>
          <w:i w:val="0"/>
          <w:iCs w:val="0"/>
          <w:caps w:val="0"/>
          <w:color w:val="auto"/>
          <w:spacing w:val="0"/>
          <w:sz w:val="24"/>
          <w:szCs w:val="24"/>
          <w:shd w:val="clear" w:color="auto" w:fill="FFFFFF"/>
          <w:lang w:val="en-US" w:eastAsia="zh-CN"/>
        </w:rPr>
        <w:t>、对本次招标提出询问，请按以下方式联系。</w:t>
      </w:r>
    </w:p>
    <w:p w14:paraId="1E41FEAF">
      <w:pPr>
        <w:pStyle w:val="100"/>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outlineLvl w:val="5"/>
        <w:rPr>
          <w:rFonts w:hint="eastAsia" w:ascii="宋体" w:hAnsi="宋体" w:eastAsia="宋体" w:cs="宋体"/>
          <w:color w:val="auto"/>
          <w:sz w:val="24"/>
          <w:szCs w:val="24"/>
        </w:rPr>
      </w:pPr>
      <w:r>
        <w:rPr>
          <w:rFonts w:hint="eastAsia" w:ascii="宋体" w:hAnsi="宋体" w:eastAsia="宋体" w:cs="宋体"/>
          <w:b/>
          <w:color w:val="auto"/>
          <w:sz w:val="24"/>
          <w:szCs w:val="24"/>
        </w:rPr>
        <w:t>1.采购人信息</w:t>
      </w:r>
    </w:p>
    <w:p w14:paraId="736DD257">
      <w:pPr>
        <w:pStyle w:val="100"/>
        <w:keepNext w:val="0"/>
        <w:keepLines w:val="0"/>
        <w:pageBreakBefore w:val="0"/>
        <w:widowControl/>
        <w:kinsoku/>
        <w:wordWrap/>
        <w:overflowPunct/>
        <w:topLinePunct w:val="0"/>
        <w:autoSpaceDE/>
        <w:autoSpaceDN/>
        <w:bidi w:val="0"/>
        <w:adjustRightInd/>
        <w:snapToGrid/>
        <w:spacing w:line="46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富平县水务局（本级）</w:t>
      </w:r>
    </w:p>
    <w:p w14:paraId="7DE8464E">
      <w:pPr>
        <w:pStyle w:val="100"/>
        <w:keepNext w:val="0"/>
        <w:keepLines w:val="0"/>
        <w:pageBreakBefore w:val="0"/>
        <w:widowControl/>
        <w:kinsoku/>
        <w:wordWrap/>
        <w:overflowPunct/>
        <w:topLinePunct w:val="0"/>
        <w:autoSpaceDE/>
        <w:autoSpaceDN/>
        <w:bidi w:val="0"/>
        <w:adjustRightInd/>
        <w:snapToGrid/>
        <w:spacing w:line="46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b w:val="0"/>
          <w:bCs w:val="0"/>
          <w:sz w:val="24"/>
          <w:szCs w:val="24"/>
          <w:highlight w:val="none"/>
          <w:lang w:val="en-US" w:eastAsia="zh-CN" w:bidi="ar-SA"/>
        </w:rPr>
        <w:t>富平县人民路3号</w:t>
      </w:r>
    </w:p>
    <w:p w14:paraId="0AC06520">
      <w:pPr>
        <w:pStyle w:val="100"/>
        <w:keepNext w:val="0"/>
        <w:keepLines w:val="0"/>
        <w:pageBreakBefore w:val="0"/>
        <w:widowControl/>
        <w:kinsoku/>
        <w:wordWrap/>
        <w:overflowPunct/>
        <w:topLinePunct w:val="0"/>
        <w:autoSpaceDE/>
        <w:autoSpaceDN/>
        <w:bidi w:val="0"/>
        <w:adjustRightInd/>
        <w:snapToGrid/>
        <w:spacing w:line="46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b w:val="0"/>
          <w:bCs w:val="0"/>
          <w:sz w:val="24"/>
          <w:szCs w:val="24"/>
          <w:highlight w:val="none"/>
          <w:lang w:val="en-US" w:eastAsia="zh-CN" w:bidi="ar-SA"/>
        </w:rPr>
        <w:t>0913-8212327</w:t>
      </w:r>
    </w:p>
    <w:p w14:paraId="46A9250B">
      <w:pPr>
        <w:pStyle w:val="100"/>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outlineLvl w:val="5"/>
        <w:rPr>
          <w:rFonts w:hint="eastAsia" w:ascii="宋体" w:hAnsi="宋体" w:eastAsia="宋体" w:cs="宋体"/>
          <w:color w:val="auto"/>
          <w:sz w:val="24"/>
          <w:szCs w:val="24"/>
        </w:rPr>
      </w:pPr>
      <w:r>
        <w:rPr>
          <w:rFonts w:hint="eastAsia" w:ascii="宋体" w:hAnsi="宋体" w:eastAsia="宋体" w:cs="宋体"/>
          <w:b/>
          <w:color w:val="auto"/>
          <w:sz w:val="24"/>
          <w:szCs w:val="24"/>
        </w:rPr>
        <w:t>2.采购代理机构信息</w:t>
      </w:r>
    </w:p>
    <w:p w14:paraId="65160D2F">
      <w:pPr>
        <w:pStyle w:val="100"/>
        <w:keepNext w:val="0"/>
        <w:keepLines w:val="0"/>
        <w:pageBreakBefore w:val="0"/>
        <w:widowControl/>
        <w:kinsoku/>
        <w:wordWrap/>
        <w:overflowPunct/>
        <w:topLinePunct w:val="0"/>
        <w:autoSpaceDE/>
        <w:autoSpaceDN/>
        <w:bidi w:val="0"/>
        <w:adjustRightInd/>
        <w:snapToGrid/>
        <w:spacing w:line="46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名称：华春建设工程项目管理有限责任公司</w:t>
      </w:r>
    </w:p>
    <w:p w14:paraId="2CA491A4">
      <w:pPr>
        <w:pStyle w:val="100"/>
        <w:keepNext w:val="0"/>
        <w:keepLines w:val="0"/>
        <w:pageBreakBefore w:val="0"/>
        <w:widowControl/>
        <w:kinsoku/>
        <w:wordWrap/>
        <w:overflowPunct/>
        <w:topLinePunct w:val="0"/>
        <w:autoSpaceDE/>
        <w:autoSpaceDN/>
        <w:bidi w:val="0"/>
        <w:adjustRightInd/>
        <w:snapToGrid/>
        <w:spacing w:line="46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地址：陕西省西安市碑林区南二环西段21号华融国际商务大厦B-1701</w:t>
      </w:r>
    </w:p>
    <w:p w14:paraId="23C54B50">
      <w:pPr>
        <w:pStyle w:val="100"/>
        <w:keepNext w:val="0"/>
        <w:keepLines w:val="0"/>
        <w:pageBreakBefore w:val="0"/>
        <w:widowControl/>
        <w:kinsoku/>
        <w:wordWrap/>
        <w:overflowPunct/>
        <w:topLinePunct w:val="0"/>
        <w:autoSpaceDE/>
        <w:autoSpaceDN/>
        <w:bidi w:val="0"/>
        <w:adjustRightInd/>
        <w:snapToGrid/>
        <w:spacing w:line="46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联系方式：0913-8219328</w:t>
      </w:r>
    </w:p>
    <w:p w14:paraId="7EE1413A">
      <w:pPr>
        <w:pStyle w:val="100"/>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outlineLvl w:val="5"/>
        <w:rPr>
          <w:rFonts w:hint="eastAsia" w:ascii="宋体" w:hAnsi="宋体" w:eastAsia="宋体" w:cs="宋体"/>
          <w:color w:val="auto"/>
          <w:sz w:val="24"/>
          <w:szCs w:val="24"/>
        </w:rPr>
      </w:pPr>
      <w:r>
        <w:rPr>
          <w:rFonts w:hint="eastAsia" w:ascii="宋体" w:hAnsi="宋体" w:eastAsia="宋体" w:cs="宋体"/>
          <w:b/>
          <w:color w:val="auto"/>
          <w:sz w:val="24"/>
          <w:szCs w:val="24"/>
        </w:rPr>
        <w:t>3.项目联系方式</w:t>
      </w:r>
    </w:p>
    <w:p w14:paraId="7AD06045">
      <w:pPr>
        <w:pStyle w:val="100"/>
        <w:keepNext w:val="0"/>
        <w:keepLines w:val="0"/>
        <w:pageBreakBefore w:val="0"/>
        <w:widowControl/>
        <w:kinsoku/>
        <w:wordWrap/>
        <w:overflowPunct/>
        <w:topLinePunct w:val="0"/>
        <w:autoSpaceDE/>
        <w:autoSpaceDN/>
        <w:bidi w:val="0"/>
        <w:adjustRightInd/>
        <w:snapToGrid/>
        <w:spacing w:line="46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郭</w:t>
      </w:r>
      <w:r>
        <w:rPr>
          <w:rFonts w:hint="eastAsia" w:ascii="宋体" w:hAnsi="宋体" w:eastAsia="宋体" w:cs="宋体"/>
          <w:color w:val="auto"/>
          <w:sz w:val="24"/>
          <w:szCs w:val="24"/>
        </w:rPr>
        <w:t>工</w:t>
      </w:r>
    </w:p>
    <w:p w14:paraId="0099E8A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720" w:firstLineChars="300"/>
        <w:textAlignment w:val="auto"/>
        <w:rPr>
          <w:rStyle w:val="28"/>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rPr>
        <w:t>电话：0913-8219328</w:t>
      </w:r>
      <w:r>
        <w:rPr>
          <w:rFonts w:hint="eastAsia" w:ascii="宋体" w:hAnsi="宋体"/>
          <w:b/>
          <w:color w:val="auto"/>
          <w:sz w:val="36"/>
        </w:rPr>
        <w:br w:type="page"/>
      </w:r>
    </w:p>
    <w:p w14:paraId="477D0BF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outlineLvl w:val="0"/>
        <w:rPr>
          <w:rFonts w:hint="eastAsia" w:ascii="宋体" w:hAnsi="宋体"/>
          <w:b/>
          <w:color w:val="auto"/>
          <w:sz w:val="36"/>
        </w:rPr>
      </w:pPr>
      <w:bookmarkStart w:id="9" w:name="_Toc3789"/>
      <w:r>
        <w:rPr>
          <w:rFonts w:hint="eastAsia" w:ascii="宋体" w:hAnsi="宋体"/>
          <w:b/>
          <w:color w:val="auto"/>
          <w:sz w:val="36"/>
        </w:rPr>
        <w:t>第二部分  磋商须知前附表及磋商须知</w:t>
      </w:r>
      <w:bookmarkEnd w:id="5"/>
      <w:bookmarkEnd w:id="6"/>
      <w:bookmarkEnd w:id="7"/>
      <w:bookmarkEnd w:id="8"/>
      <w:bookmarkEnd w:id="9"/>
    </w:p>
    <w:p w14:paraId="4C341425">
      <w:pPr>
        <w:jc w:val="center"/>
        <w:outlineLvl w:val="9"/>
        <w:rPr>
          <w:rFonts w:hint="eastAsia" w:ascii="宋体" w:hAnsi="宋体"/>
          <w:b/>
          <w:color w:val="auto"/>
          <w:sz w:val="28"/>
          <w:szCs w:val="28"/>
        </w:rPr>
      </w:pPr>
      <w:r>
        <w:rPr>
          <w:rFonts w:hint="eastAsia" w:ascii="宋体" w:hAnsi="宋体"/>
          <w:b/>
          <w:color w:val="auto"/>
          <w:sz w:val="28"/>
          <w:szCs w:val="28"/>
        </w:rPr>
        <w:t>一、磋商须知前附表</w:t>
      </w:r>
    </w:p>
    <w:tbl>
      <w:tblPr>
        <w:tblStyle w:val="25"/>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17"/>
        <w:gridCol w:w="7161"/>
      </w:tblGrid>
      <w:tr w14:paraId="270E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blHeader/>
          <w:jc w:val="center"/>
        </w:trPr>
        <w:tc>
          <w:tcPr>
            <w:tcW w:w="706" w:type="dxa"/>
            <w:noWrap w:val="0"/>
            <w:vAlign w:val="center"/>
          </w:tcPr>
          <w:p w14:paraId="53BC295A">
            <w:pPr>
              <w:spacing w:line="420" w:lineRule="exact"/>
              <w:jc w:val="center"/>
              <w:outlineLvl w:val="9"/>
              <w:rPr>
                <w:rFonts w:hint="eastAsia" w:ascii="宋体" w:hAnsi="宋体"/>
                <w:b/>
                <w:color w:val="auto"/>
                <w:sz w:val="24"/>
              </w:rPr>
            </w:pPr>
            <w:r>
              <w:rPr>
                <w:rFonts w:hint="eastAsia" w:ascii="宋体" w:hAnsi="宋体"/>
                <w:b/>
                <w:color w:val="auto"/>
                <w:sz w:val="24"/>
              </w:rPr>
              <w:t>序号</w:t>
            </w:r>
          </w:p>
        </w:tc>
        <w:tc>
          <w:tcPr>
            <w:tcW w:w="2017" w:type="dxa"/>
            <w:noWrap w:val="0"/>
            <w:vAlign w:val="center"/>
          </w:tcPr>
          <w:p w14:paraId="6502372F">
            <w:pPr>
              <w:spacing w:line="420" w:lineRule="exact"/>
              <w:jc w:val="center"/>
              <w:outlineLvl w:val="9"/>
              <w:rPr>
                <w:rFonts w:hint="eastAsia" w:ascii="宋体" w:hAnsi="宋体"/>
                <w:b/>
                <w:color w:val="auto"/>
                <w:sz w:val="24"/>
              </w:rPr>
            </w:pPr>
            <w:r>
              <w:rPr>
                <w:rFonts w:hint="eastAsia" w:ascii="宋体" w:hAnsi="宋体"/>
                <w:b/>
                <w:color w:val="auto"/>
                <w:sz w:val="24"/>
              </w:rPr>
              <w:t>内容</w:t>
            </w:r>
          </w:p>
        </w:tc>
        <w:tc>
          <w:tcPr>
            <w:tcW w:w="7161" w:type="dxa"/>
            <w:noWrap w:val="0"/>
            <w:vAlign w:val="center"/>
          </w:tcPr>
          <w:p w14:paraId="217B1090">
            <w:pPr>
              <w:pStyle w:val="83"/>
              <w:widowControl w:val="0"/>
              <w:spacing w:before="0" w:beforeAutospacing="0" w:after="0" w:afterAutospacing="0" w:line="420" w:lineRule="exact"/>
              <w:outlineLvl w:val="9"/>
              <w:rPr>
                <w:rFonts w:hint="eastAsia" w:eastAsia="宋体"/>
                <w:color w:val="auto"/>
                <w:kern w:val="2"/>
                <w:sz w:val="24"/>
                <w:szCs w:val="24"/>
              </w:rPr>
            </w:pPr>
            <w:r>
              <w:rPr>
                <w:rFonts w:hint="eastAsia" w:eastAsia="宋体"/>
                <w:color w:val="auto"/>
                <w:kern w:val="2"/>
                <w:sz w:val="24"/>
                <w:szCs w:val="24"/>
              </w:rPr>
              <w:t>说明与要求</w:t>
            </w:r>
          </w:p>
        </w:tc>
      </w:tr>
      <w:tr w14:paraId="0DFB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06" w:type="dxa"/>
            <w:noWrap w:val="0"/>
            <w:vAlign w:val="center"/>
          </w:tcPr>
          <w:p w14:paraId="02D21E6E">
            <w:pPr>
              <w:spacing w:line="420" w:lineRule="exact"/>
              <w:jc w:val="center"/>
              <w:outlineLvl w:val="9"/>
              <w:rPr>
                <w:rFonts w:hint="eastAsia" w:ascii="宋体" w:hAnsi="宋体"/>
                <w:color w:val="auto"/>
                <w:sz w:val="24"/>
              </w:rPr>
            </w:pPr>
            <w:r>
              <w:rPr>
                <w:rFonts w:hint="eastAsia" w:ascii="宋体" w:hAnsi="宋体"/>
                <w:color w:val="auto"/>
                <w:sz w:val="24"/>
              </w:rPr>
              <w:t>1</w:t>
            </w:r>
          </w:p>
        </w:tc>
        <w:tc>
          <w:tcPr>
            <w:tcW w:w="2017" w:type="dxa"/>
            <w:noWrap w:val="0"/>
            <w:vAlign w:val="center"/>
          </w:tcPr>
          <w:p w14:paraId="1A411D0A">
            <w:pPr>
              <w:spacing w:line="420" w:lineRule="exact"/>
              <w:jc w:val="center"/>
              <w:outlineLvl w:val="9"/>
              <w:rPr>
                <w:rFonts w:hint="eastAsia" w:ascii="宋体" w:hAnsi="宋体"/>
                <w:color w:val="auto"/>
                <w:sz w:val="24"/>
                <w:highlight w:val="none"/>
              </w:rPr>
            </w:pPr>
            <w:r>
              <w:rPr>
                <w:rFonts w:hint="eastAsia" w:ascii="宋体" w:hAnsi="宋体"/>
                <w:color w:val="auto"/>
                <w:sz w:val="24"/>
                <w:highlight w:val="none"/>
              </w:rPr>
              <w:t>采购人</w:t>
            </w:r>
          </w:p>
        </w:tc>
        <w:tc>
          <w:tcPr>
            <w:tcW w:w="7161" w:type="dxa"/>
            <w:noWrap w:val="0"/>
            <w:vAlign w:val="top"/>
          </w:tcPr>
          <w:p w14:paraId="09FAAC26">
            <w:pPr>
              <w:spacing w:line="440" w:lineRule="exact"/>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名称：</w:t>
            </w:r>
            <w:r>
              <w:rPr>
                <w:rFonts w:hint="eastAsia" w:ascii="宋体" w:hAnsi="宋体"/>
                <w:sz w:val="24"/>
                <w:lang w:val="en-US" w:eastAsia="zh-CN"/>
              </w:rPr>
              <w:t>富平县农村饮水工程指挥部办公室</w:t>
            </w:r>
          </w:p>
          <w:p w14:paraId="7E88A10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default" w:ascii="宋体" w:hAnsi="宋体" w:eastAsia="宋体" w:cs="宋体"/>
                <w:i w:val="0"/>
                <w:caps w:val="0"/>
                <w:color w:val="auto"/>
                <w:spacing w:val="0"/>
                <w:kern w:val="0"/>
                <w:sz w:val="24"/>
                <w:szCs w:val="24"/>
                <w:shd w:val="clear" w:color="auto" w:fill="FFFFFF"/>
                <w:lang w:val="en-US" w:eastAsia="zh-CN" w:bidi="ar-SA"/>
              </w:rPr>
            </w:pPr>
            <w:r>
              <w:rPr>
                <w:rFonts w:hint="eastAsia" w:cs="宋体"/>
                <w:i w:val="0"/>
                <w:caps w:val="0"/>
                <w:color w:val="auto"/>
                <w:spacing w:val="0"/>
                <w:kern w:val="0"/>
                <w:sz w:val="24"/>
                <w:szCs w:val="24"/>
                <w:shd w:val="clear" w:color="auto" w:fill="FFFFFF"/>
                <w:lang w:val="en-US" w:eastAsia="zh-CN" w:bidi="ar-SA"/>
              </w:rPr>
              <w:t>地址：</w:t>
            </w:r>
            <w:r>
              <w:rPr>
                <w:rFonts w:hint="eastAsia" w:ascii="宋体" w:hAnsi="宋体" w:eastAsia="宋体" w:cs="宋体"/>
                <w:kern w:val="0"/>
                <w:sz w:val="24"/>
                <w:highlight w:val="none"/>
                <w:lang w:val="en-US" w:eastAsia="zh-CN"/>
              </w:rPr>
              <w:t>富平县</w:t>
            </w:r>
            <w:r>
              <w:rPr>
                <w:rFonts w:hint="eastAsia" w:cs="宋体"/>
                <w:kern w:val="0"/>
                <w:sz w:val="24"/>
                <w:highlight w:val="none"/>
                <w:lang w:val="en-US" w:eastAsia="zh-CN"/>
              </w:rPr>
              <w:t>人民路3号</w:t>
            </w:r>
          </w:p>
          <w:p w14:paraId="4D58F1E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联系人：</w:t>
            </w:r>
            <w:r>
              <w:rPr>
                <w:rFonts w:hint="eastAsia"/>
                <w:sz w:val="24"/>
                <w:lang w:val="en-US" w:eastAsia="zh-CN"/>
              </w:rPr>
              <w:t>张工</w:t>
            </w:r>
            <w:r>
              <w:rPr>
                <w:rFonts w:hint="eastAsia" w:ascii="宋体" w:hAnsi="宋体" w:eastAsia="宋体" w:cs="宋体"/>
                <w:color w:val="auto"/>
                <w:kern w:val="2"/>
                <w:sz w:val="24"/>
                <w:szCs w:val="24"/>
                <w:highlight w:val="none"/>
                <w:lang w:val="en-US" w:eastAsia="zh-CN" w:bidi="ar-SA"/>
              </w:rPr>
              <w:t xml:space="preserve"> </w:t>
            </w:r>
          </w:p>
          <w:p w14:paraId="0981B62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rightChars="0"/>
              <w:jc w:val="left"/>
              <w:textAlignment w:val="auto"/>
              <w:outlineLvl w:val="9"/>
              <w:rPr>
                <w:rFonts w:hint="default" w:ascii="宋体" w:hAnsi="宋体" w:eastAsia="宋体"/>
                <w:color w:val="auto"/>
                <w:sz w:val="24"/>
                <w:highlight w:val="none"/>
                <w:lang w:val="en-US" w:eastAsia="zh-CN"/>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t>电话</w:t>
            </w:r>
            <w:r>
              <w:rPr>
                <w:rFonts w:hint="eastAsia" w:ascii="宋体" w:hAnsi="宋体" w:eastAsia="宋体" w:cs="宋体"/>
                <w:color w:val="auto"/>
                <w:kern w:val="2"/>
                <w:sz w:val="24"/>
                <w:szCs w:val="24"/>
                <w:highlight w:val="none"/>
                <w:lang w:val="en-US" w:eastAsia="zh-CN" w:bidi="ar-SA"/>
              </w:rPr>
              <w:t>：</w:t>
            </w:r>
            <w:r>
              <w:rPr>
                <w:rFonts w:hint="eastAsia" w:cs="宋体"/>
                <w:sz w:val="24"/>
                <w:szCs w:val="24"/>
                <w:lang w:val="en-US" w:eastAsia="zh-CN"/>
              </w:rPr>
              <w:t>0913-8212327</w:t>
            </w:r>
            <w:r>
              <w:rPr>
                <w:rFonts w:hint="eastAsia" w:ascii="宋体" w:hAnsi="宋体" w:eastAsia="宋体" w:cs="宋体"/>
                <w:color w:val="auto"/>
                <w:kern w:val="2"/>
                <w:sz w:val="24"/>
                <w:szCs w:val="24"/>
                <w:highlight w:val="none"/>
                <w:lang w:val="en-US" w:eastAsia="zh-CN" w:bidi="ar-SA"/>
              </w:rPr>
              <w:t xml:space="preserve">   </w:t>
            </w:r>
          </w:p>
        </w:tc>
      </w:tr>
      <w:tr w14:paraId="49C7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06" w:type="dxa"/>
            <w:noWrap w:val="0"/>
            <w:vAlign w:val="center"/>
          </w:tcPr>
          <w:p w14:paraId="3D66542D">
            <w:pPr>
              <w:spacing w:line="420" w:lineRule="exact"/>
              <w:jc w:val="center"/>
              <w:outlineLvl w:val="9"/>
              <w:rPr>
                <w:rFonts w:hint="eastAsia" w:ascii="宋体" w:hAnsi="宋体"/>
                <w:color w:val="auto"/>
                <w:sz w:val="24"/>
              </w:rPr>
            </w:pPr>
            <w:r>
              <w:rPr>
                <w:rFonts w:hint="eastAsia" w:ascii="宋体" w:hAnsi="宋体"/>
                <w:color w:val="auto"/>
                <w:sz w:val="24"/>
              </w:rPr>
              <w:t>2</w:t>
            </w:r>
          </w:p>
        </w:tc>
        <w:tc>
          <w:tcPr>
            <w:tcW w:w="2017" w:type="dxa"/>
            <w:noWrap w:val="0"/>
            <w:vAlign w:val="center"/>
          </w:tcPr>
          <w:p w14:paraId="0E4C4935">
            <w:pPr>
              <w:spacing w:line="420" w:lineRule="exact"/>
              <w:jc w:val="center"/>
              <w:outlineLvl w:val="9"/>
              <w:rPr>
                <w:rFonts w:hint="eastAsia" w:ascii="宋体" w:hAnsi="宋体"/>
                <w:color w:val="auto"/>
                <w:sz w:val="24"/>
              </w:rPr>
            </w:pPr>
            <w:r>
              <w:rPr>
                <w:rFonts w:hint="eastAsia" w:ascii="宋体" w:hAnsi="宋体"/>
                <w:color w:val="auto"/>
                <w:sz w:val="24"/>
              </w:rPr>
              <w:t>采购代理机构</w:t>
            </w:r>
          </w:p>
        </w:tc>
        <w:tc>
          <w:tcPr>
            <w:tcW w:w="7161" w:type="dxa"/>
            <w:noWrap w:val="0"/>
            <w:vAlign w:val="center"/>
          </w:tcPr>
          <w:p w14:paraId="1837E6E6">
            <w:pPr>
              <w:pStyle w:val="83"/>
              <w:widowControl w:val="0"/>
              <w:spacing w:before="0" w:beforeAutospacing="0" w:after="0" w:afterAutospacing="0" w:line="420" w:lineRule="exact"/>
              <w:jc w:val="both"/>
              <w:outlineLvl w:val="9"/>
              <w:rPr>
                <w:rFonts w:hint="eastAsia" w:eastAsia="宋体"/>
                <w:b w:val="0"/>
                <w:color w:val="auto"/>
                <w:sz w:val="24"/>
                <w:szCs w:val="24"/>
              </w:rPr>
            </w:pPr>
            <w:r>
              <w:rPr>
                <w:rFonts w:eastAsia="宋体"/>
                <w:b w:val="0"/>
                <w:color w:val="auto"/>
                <w:sz w:val="24"/>
                <w:szCs w:val="24"/>
              </w:rPr>
              <w:t>名称：</w:t>
            </w:r>
            <w:r>
              <w:rPr>
                <w:rFonts w:hint="eastAsia" w:eastAsia="宋体"/>
                <w:b w:val="0"/>
                <w:color w:val="auto"/>
                <w:sz w:val="24"/>
                <w:szCs w:val="24"/>
              </w:rPr>
              <w:t>华春建设工程项目管理有限责任公司</w:t>
            </w:r>
          </w:p>
          <w:p w14:paraId="531A064B">
            <w:pPr>
              <w:pStyle w:val="83"/>
              <w:widowControl w:val="0"/>
              <w:spacing w:before="0" w:beforeAutospacing="0" w:after="0" w:afterAutospacing="0" w:line="420" w:lineRule="exact"/>
              <w:jc w:val="both"/>
              <w:outlineLvl w:val="9"/>
              <w:rPr>
                <w:rFonts w:eastAsia="宋体"/>
                <w:b w:val="0"/>
                <w:color w:val="auto"/>
                <w:sz w:val="24"/>
                <w:szCs w:val="24"/>
              </w:rPr>
            </w:pPr>
            <w:r>
              <w:rPr>
                <w:rFonts w:eastAsia="宋体"/>
                <w:b w:val="0"/>
                <w:color w:val="auto"/>
                <w:sz w:val="24"/>
                <w:szCs w:val="24"/>
              </w:rPr>
              <w:t>地址：</w:t>
            </w:r>
            <w:r>
              <w:rPr>
                <w:rFonts w:hint="eastAsia" w:eastAsia="宋体"/>
                <w:b w:val="0"/>
                <w:color w:val="auto"/>
                <w:sz w:val="24"/>
                <w:szCs w:val="24"/>
              </w:rPr>
              <w:t>陕西省西安市碑林区南二环西段21号华融国际商务大厦B-1701</w:t>
            </w:r>
          </w:p>
          <w:p w14:paraId="06450229">
            <w:pPr>
              <w:pStyle w:val="83"/>
              <w:widowControl w:val="0"/>
              <w:spacing w:before="0" w:beforeAutospacing="0" w:after="0" w:afterAutospacing="0" w:line="420" w:lineRule="exact"/>
              <w:jc w:val="both"/>
              <w:outlineLvl w:val="9"/>
              <w:rPr>
                <w:rFonts w:eastAsia="宋体"/>
                <w:b w:val="0"/>
                <w:color w:val="auto"/>
                <w:sz w:val="24"/>
                <w:szCs w:val="24"/>
              </w:rPr>
            </w:pPr>
            <w:r>
              <w:rPr>
                <w:rFonts w:eastAsia="宋体"/>
                <w:b w:val="0"/>
                <w:color w:val="auto"/>
                <w:sz w:val="24"/>
                <w:szCs w:val="24"/>
              </w:rPr>
              <w:t>联系人：</w:t>
            </w:r>
            <w:r>
              <w:rPr>
                <w:rFonts w:hint="eastAsia" w:eastAsia="宋体"/>
                <w:b w:val="0"/>
                <w:color w:val="auto"/>
                <w:sz w:val="24"/>
                <w:szCs w:val="24"/>
                <w:highlight w:val="none"/>
                <w:lang w:val="en-US" w:eastAsia="zh-CN"/>
              </w:rPr>
              <w:t>郭工</w:t>
            </w:r>
            <w:r>
              <w:rPr>
                <w:rFonts w:eastAsia="宋体"/>
                <w:b w:val="0"/>
                <w:color w:val="auto"/>
                <w:sz w:val="24"/>
                <w:szCs w:val="24"/>
                <w:highlight w:val="none"/>
              </w:rPr>
              <w:t xml:space="preserve">    </w:t>
            </w:r>
          </w:p>
          <w:p w14:paraId="35127101">
            <w:pPr>
              <w:pStyle w:val="83"/>
              <w:widowControl w:val="0"/>
              <w:spacing w:before="0" w:beforeAutospacing="0" w:after="0" w:afterAutospacing="0" w:line="420" w:lineRule="exact"/>
              <w:jc w:val="both"/>
              <w:outlineLvl w:val="9"/>
              <w:rPr>
                <w:rFonts w:hint="default" w:eastAsia="宋体"/>
                <w:b w:val="0"/>
                <w:color w:val="auto"/>
                <w:sz w:val="24"/>
                <w:szCs w:val="24"/>
                <w:lang w:val="en-US" w:eastAsia="zh-CN"/>
              </w:rPr>
            </w:pPr>
            <w:r>
              <w:rPr>
                <w:rFonts w:eastAsia="宋体"/>
                <w:b w:val="0"/>
                <w:color w:val="auto"/>
                <w:sz w:val="24"/>
                <w:szCs w:val="24"/>
              </w:rPr>
              <w:t>电话：</w:t>
            </w:r>
            <w:r>
              <w:rPr>
                <w:rFonts w:hint="eastAsia" w:eastAsia="宋体"/>
                <w:b w:val="0"/>
                <w:color w:val="auto"/>
                <w:sz w:val="24"/>
                <w:szCs w:val="24"/>
              </w:rPr>
              <w:t>0913-8219328</w:t>
            </w:r>
          </w:p>
        </w:tc>
      </w:tr>
      <w:tr w14:paraId="1FD2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06" w:type="dxa"/>
            <w:noWrap w:val="0"/>
            <w:vAlign w:val="center"/>
          </w:tcPr>
          <w:p w14:paraId="4167B377">
            <w:pPr>
              <w:spacing w:line="400" w:lineRule="exact"/>
              <w:jc w:val="center"/>
              <w:outlineLvl w:val="9"/>
              <w:rPr>
                <w:rFonts w:hint="eastAsia"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rPr>
              <w:t>3</w:t>
            </w:r>
          </w:p>
        </w:tc>
        <w:tc>
          <w:tcPr>
            <w:tcW w:w="2017" w:type="dxa"/>
            <w:noWrap w:val="0"/>
            <w:vAlign w:val="center"/>
          </w:tcPr>
          <w:p w14:paraId="7577BA6D">
            <w:pPr>
              <w:spacing w:line="400" w:lineRule="exact"/>
              <w:jc w:val="center"/>
              <w:outlineLvl w:val="9"/>
              <w:rPr>
                <w:rFonts w:hint="eastAsia" w:ascii="宋体" w:hAnsi="宋体" w:eastAsia="宋体" w:cs="Times New Roman"/>
                <w:bCs/>
                <w:color w:val="auto"/>
                <w:kern w:val="0"/>
                <w:sz w:val="24"/>
                <w:highlight w:val="none"/>
              </w:rPr>
            </w:pPr>
            <w:r>
              <w:rPr>
                <w:rFonts w:hint="eastAsia" w:ascii="宋体" w:hAnsi="宋体" w:eastAsia="宋体" w:cs="Times New Roman"/>
                <w:bCs/>
                <w:color w:val="auto"/>
                <w:kern w:val="0"/>
                <w:sz w:val="24"/>
                <w:highlight w:val="none"/>
                <w:lang w:val="en-US" w:eastAsia="zh-CN"/>
              </w:rPr>
              <w:t>项目名称</w:t>
            </w:r>
          </w:p>
        </w:tc>
        <w:tc>
          <w:tcPr>
            <w:tcW w:w="7161" w:type="dxa"/>
            <w:noWrap w:val="0"/>
            <w:vAlign w:val="center"/>
          </w:tcPr>
          <w:p w14:paraId="2CAC3D0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outlineLvl w:val="9"/>
              <w:rPr>
                <w:rFonts w:hint="default" w:ascii="宋体" w:hAnsi="宋体" w:eastAsia="宋体"/>
                <w:b/>
                <w:color w:val="auto"/>
                <w:sz w:val="24"/>
                <w:highlight w:val="none"/>
                <w:lang w:val="en-US" w:eastAsia="zh-CN"/>
              </w:rPr>
            </w:pPr>
            <w:r>
              <w:rPr>
                <w:rFonts w:hint="eastAsia" w:cs="宋体"/>
                <w:color w:val="auto"/>
                <w:spacing w:val="0"/>
                <w:kern w:val="0"/>
                <w:sz w:val="24"/>
                <w:szCs w:val="24"/>
                <w:highlight w:val="none"/>
                <w:lang w:val="en-US" w:eastAsia="zh-CN"/>
              </w:rPr>
              <w:t>富平县2025年农村饮水工程维修养护项目</w:t>
            </w:r>
          </w:p>
        </w:tc>
      </w:tr>
      <w:tr w14:paraId="1720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06" w:type="dxa"/>
            <w:noWrap w:val="0"/>
            <w:vAlign w:val="center"/>
          </w:tcPr>
          <w:p w14:paraId="607CC813">
            <w:pPr>
              <w:spacing w:line="420" w:lineRule="exact"/>
              <w:jc w:val="center"/>
              <w:outlineLvl w:val="9"/>
              <w:rPr>
                <w:rFonts w:hint="eastAsia" w:ascii="宋体" w:hAnsi="宋体"/>
                <w:color w:val="auto"/>
                <w:sz w:val="24"/>
              </w:rPr>
            </w:pPr>
            <w:r>
              <w:rPr>
                <w:rFonts w:hint="eastAsia" w:ascii="宋体" w:hAnsi="宋体"/>
                <w:color w:val="auto"/>
                <w:sz w:val="24"/>
              </w:rPr>
              <w:t>4</w:t>
            </w:r>
          </w:p>
        </w:tc>
        <w:tc>
          <w:tcPr>
            <w:tcW w:w="2017" w:type="dxa"/>
            <w:noWrap w:val="0"/>
            <w:vAlign w:val="center"/>
          </w:tcPr>
          <w:p w14:paraId="30D2945A">
            <w:pPr>
              <w:spacing w:line="400" w:lineRule="exact"/>
              <w:jc w:val="center"/>
              <w:outlineLvl w:val="9"/>
              <w:rPr>
                <w:rFonts w:hint="eastAsia" w:ascii="宋体" w:hAnsi="宋体"/>
                <w:bCs/>
                <w:color w:val="auto"/>
                <w:kern w:val="0"/>
                <w:sz w:val="24"/>
                <w:highlight w:val="none"/>
              </w:rPr>
            </w:pPr>
            <w:r>
              <w:rPr>
                <w:rFonts w:hint="eastAsia" w:ascii="宋体" w:hAnsi="宋体"/>
                <w:bCs/>
                <w:color w:val="auto"/>
                <w:kern w:val="0"/>
                <w:sz w:val="24"/>
                <w:highlight w:val="none"/>
                <w:lang w:val="en-US" w:eastAsia="zh-CN"/>
              </w:rPr>
              <w:t>项目编号</w:t>
            </w:r>
          </w:p>
        </w:tc>
        <w:tc>
          <w:tcPr>
            <w:tcW w:w="7161" w:type="dxa"/>
            <w:noWrap w:val="0"/>
            <w:vAlign w:val="center"/>
          </w:tcPr>
          <w:p w14:paraId="74727D6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outlineLvl w:val="9"/>
              <w:rPr>
                <w:rFonts w:hint="default" w:eastAsia="宋体"/>
                <w:b w:val="0"/>
                <w:color w:val="auto"/>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HCF2025—CGZB—015</w:t>
            </w:r>
          </w:p>
        </w:tc>
      </w:tr>
      <w:tr w14:paraId="0F8E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6" w:type="dxa"/>
            <w:noWrap w:val="0"/>
            <w:vAlign w:val="center"/>
          </w:tcPr>
          <w:p w14:paraId="0936E1D2">
            <w:pPr>
              <w:spacing w:line="420" w:lineRule="exact"/>
              <w:jc w:val="center"/>
              <w:outlineLvl w:val="9"/>
              <w:rPr>
                <w:rFonts w:hint="eastAsia" w:ascii="宋体" w:hAnsi="宋体"/>
                <w:color w:val="auto"/>
                <w:sz w:val="24"/>
              </w:rPr>
            </w:pPr>
            <w:r>
              <w:rPr>
                <w:rFonts w:hint="eastAsia" w:ascii="宋体" w:hAnsi="宋体"/>
                <w:color w:val="auto"/>
                <w:sz w:val="24"/>
              </w:rPr>
              <w:t>5</w:t>
            </w:r>
          </w:p>
        </w:tc>
        <w:tc>
          <w:tcPr>
            <w:tcW w:w="2017" w:type="dxa"/>
            <w:noWrap w:val="0"/>
            <w:vAlign w:val="center"/>
          </w:tcPr>
          <w:p w14:paraId="2EDAD6E2">
            <w:pPr>
              <w:spacing w:line="400" w:lineRule="exact"/>
              <w:jc w:val="center"/>
              <w:outlineLvl w:val="9"/>
              <w:rPr>
                <w:rFonts w:hint="eastAsia" w:ascii="宋体" w:hAnsi="宋体"/>
                <w:bCs/>
                <w:color w:val="auto"/>
                <w:kern w:val="0"/>
                <w:sz w:val="24"/>
              </w:rPr>
            </w:pPr>
            <w:r>
              <w:rPr>
                <w:rFonts w:hint="eastAsia" w:ascii="宋体" w:hAnsi="宋体"/>
                <w:bCs/>
                <w:color w:val="auto"/>
                <w:kern w:val="0"/>
                <w:sz w:val="24"/>
                <w:highlight w:val="none"/>
                <w:lang w:val="en-US" w:eastAsia="zh-CN"/>
              </w:rPr>
              <w:t>项目</w:t>
            </w:r>
            <w:r>
              <w:rPr>
                <w:rFonts w:hint="eastAsia" w:ascii="宋体" w:hAnsi="宋体"/>
                <w:bCs/>
                <w:color w:val="auto"/>
                <w:kern w:val="0"/>
                <w:sz w:val="24"/>
              </w:rPr>
              <w:t>性质</w:t>
            </w:r>
          </w:p>
        </w:tc>
        <w:tc>
          <w:tcPr>
            <w:tcW w:w="7161" w:type="dxa"/>
            <w:noWrap w:val="0"/>
            <w:vAlign w:val="center"/>
          </w:tcPr>
          <w:p w14:paraId="78133EE5">
            <w:pPr>
              <w:pStyle w:val="83"/>
              <w:widowControl w:val="0"/>
              <w:spacing w:before="0" w:beforeAutospacing="0" w:after="0" w:afterAutospacing="0" w:line="400" w:lineRule="exact"/>
              <w:jc w:val="both"/>
              <w:outlineLvl w:val="9"/>
              <w:rPr>
                <w:rFonts w:hint="eastAsia" w:eastAsia="宋体"/>
                <w:b w:val="0"/>
                <w:color w:val="auto"/>
                <w:sz w:val="24"/>
                <w:szCs w:val="24"/>
                <w:lang w:eastAsia="zh-CN"/>
              </w:rPr>
            </w:pPr>
            <w:r>
              <w:rPr>
                <w:rFonts w:hint="eastAsia" w:eastAsia="宋体"/>
                <w:b w:val="0"/>
                <w:color w:val="auto"/>
                <w:sz w:val="24"/>
                <w:szCs w:val="24"/>
                <w:lang w:val="en-US" w:eastAsia="zh-CN"/>
              </w:rPr>
              <w:t>工程类</w:t>
            </w:r>
          </w:p>
        </w:tc>
      </w:tr>
      <w:tr w14:paraId="3DB4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6" w:type="dxa"/>
            <w:noWrap w:val="0"/>
            <w:vAlign w:val="center"/>
          </w:tcPr>
          <w:p w14:paraId="3DBBDEE9">
            <w:pPr>
              <w:spacing w:line="420" w:lineRule="exact"/>
              <w:jc w:val="center"/>
              <w:outlineLvl w:val="9"/>
              <w:rPr>
                <w:rFonts w:hint="eastAsia" w:ascii="宋体" w:hAnsi="宋体"/>
                <w:color w:val="auto"/>
                <w:sz w:val="24"/>
              </w:rPr>
            </w:pPr>
            <w:r>
              <w:rPr>
                <w:rFonts w:hint="eastAsia" w:ascii="宋体" w:hAnsi="宋体"/>
                <w:color w:val="auto"/>
                <w:sz w:val="24"/>
              </w:rPr>
              <w:t>6</w:t>
            </w:r>
          </w:p>
        </w:tc>
        <w:tc>
          <w:tcPr>
            <w:tcW w:w="2017" w:type="dxa"/>
            <w:noWrap w:val="0"/>
            <w:vAlign w:val="center"/>
          </w:tcPr>
          <w:p w14:paraId="00896F82">
            <w:pPr>
              <w:pStyle w:val="83"/>
              <w:widowControl w:val="0"/>
              <w:spacing w:before="0" w:beforeAutospacing="0" w:after="0" w:afterAutospacing="0" w:line="400" w:lineRule="exact"/>
              <w:outlineLvl w:val="9"/>
              <w:rPr>
                <w:rFonts w:hint="eastAsia" w:eastAsia="宋体"/>
                <w:b w:val="0"/>
                <w:color w:val="auto"/>
                <w:sz w:val="24"/>
                <w:szCs w:val="24"/>
                <w:highlight w:val="none"/>
              </w:rPr>
            </w:pPr>
            <w:r>
              <w:rPr>
                <w:rFonts w:hint="eastAsia" w:eastAsia="宋体"/>
                <w:b w:val="0"/>
                <w:color w:val="auto"/>
                <w:sz w:val="24"/>
                <w:szCs w:val="24"/>
                <w:highlight w:val="none"/>
              </w:rPr>
              <w:t>资金来源</w:t>
            </w:r>
          </w:p>
        </w:tc>
        <w:tc>
          <w:tcPr>
            <w:tcW w:w="7161" w:type="dxa"/>
            <w:noWrap w:val="0"/>
            <w:vAlign w:val="center"/>
          </w:tcPr>
          <w:p w14:paraId="062DE1FC">
            <w:pPr>
              <w:pStyle w:val="83"/>
              <w:widowControl w:val="0"/>
              <w:spacing w:before="0" w:beforeAutospacing="0" w:after="0" w:afterAutospacing="0" w:line="400" w:lineRule="exact"/>
              <w:jc w:val="both"/>
              <w:outlineLvl w:val="9"/>
              <w:rPr>
                <w:rFonts w:hint="default" w:eastAsia="宋体"/>
                <w:b w:val="0"/>
                <w:color w:val="auto"/>
                <w:sz w:val="24"/>
                <w:szCs w:val="24"/>
                <w:highlight w:val="none"/>
                <w:lang w:val="en-US" w:eastAsia="zh-CN"/>
              </w:rPr>
            </w:pPr>
            <w:r>
              <w:rPr>
                <w:rFonts w:hint="eastAsia" w:eastAsia="宋体"/>
                <w:b w:val="0"/>
                <w:color w:val="auto"/>
                <w:sz w:val="24"/>
                <w:szCs w:val="24"/>
                <w:highlight w:val="none"/>
                <w:lang w:val="en-US" w:eastAsia="zh-CN"/>
              </w:rPr>
              <w:t>财政资金</w:t>
            </w:r>
          </w:p>
        </w:tc>
      </w:tr>
      <w:tr w14:paraId="0485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06" w:type="dxa"/>
            <w:noWrap w:val="0"/>
            <w:vAlign w:val="center"/>
          </w:tcPr>
          <w:p w14:paraId="06C608E2">
            <w:pPr>
              <w:spacing w:line="420" w:lineRule="exact"/>
              <w:jc w:val="center"/>
              <w:outlineLvl w:val="9"/>
              <w:rPr>
                <w:rFonts w:hint="eastAsia" w:ascii="宋体" w:hAnsi="宋体"/>
                <w:color w:val="auto"/>
                <w:sz w:val="24"/>
              </w:rPr>
            </w:pPr>
            <w:r>
              <w:rPr>
                <w:rFonts w:hint="eastAsia" w:ascii="宋体" w:hAnsi="宋体"/>
                <w:color w:val="auto"/>
                <w:sz w:val="24"/>
              </w:rPr>
              <w:t>7</w:t>
            </w:r>
          </w:p>
        </w:tc>
        <w:tc>
          <w:tcPr>
            <w:tcW w:w="2017" w:type="dxa"/>
            <w:noWrap w:val="0"/>
            <w:vAlign w:val="center"/>
          </w:tcPr>
          <w:p w14:paraId="0B2DFFE9">
            <w:pPr>
              <w:pStyle w:val="83"/>
              <w:widowControl w:val="0"/>
              <w:spacing w:before="0" w:beforeAutospacing="0" w:after="0" w:afterAutospacing="0" w:line="400" w:lineRule="exact"/>
              <w:outlineLvl w:val="9"/>
              <w:rPr>
                <w:rFonts w:hint="eastAsia" w:eastAsia="宋体"/>
                <w:b w:val="0"/>
                <w:color w:val="auto"/>
                <w:sz w:val="24"/>
                <w:szCs w:val="24"/>
                <w:highlight w:val="green"/>
                <w:lang w:val="zh-CN"/>
              </w:rPr>
            </w:pPr>
            <w:r>
              <w:rPr>
                <w:rFonts w:hint="eastAsia" w:eastAsia="宋体"/>
                <w:b w:val="0"/>
                <w:color w:val="auto"/>
                <w:sz w:val="24"/>
                <w:szCs w:val="24"/>
                <w:highlight w:val="none"/>
                <w:lang w:val="zh-CN"/>
              </w:rPr>
              <w:t>招标范围</w:t>
            </w:r>
          </w:p>
        </w:tc>
        <w:tc>
          <w:tcPr>
            <w:tcW w:w="7161" w:type="dxa"/>
            <w:noWrap w:val="0"/>
            <w:vAlign w:val="center"/>
          </w:tcPr>
          <w:p w14:paraId="08F68A3A">
            <w:pPr>
              <w:spacing w:line="400" w:lineRule="exact"/>
              <w:outlineLvl w:val="9"/>
              <w:rPr>
                <w:rFonts w:hint="eastAsia" w:ascii="宋体" w:hAnsi="宋体"/>
                <w:b/>
                <w:color w:val="auto"/>
                <w:sz w:val="24"/>
                <w:highlight w:val="green"/>
                <w:lang w:val="zh-CN"/>
              </w:rPr>
            </w:pPr>
            <w:r>
              <w:rPr>
                <w:rFonts w:hint="eastAsia" w:ascii="宋体" w:hAnsi="宋体" w:eastAsia="宋体" w:cs="Times New Roman"/>
                <w:color w:val="auto"/>
                <w:sz w:val="24"/>
                <w:szCs w:val="24"/>
                <w:highlight w:val="none"/>
                <w:lang w:val="en-US" w:eastAsia="zh-CN"/>
              </w:rPr>
              <w:t>主要</w:t>
            </w:r>
            <w:r>
              <w:rPr>
                <w:rFonts w:hint="eastAsia" w:ascii="宋体" w:hAnsi="宋体" w:cs="Times New Roman"/>
                <w:color w:val="auto"/>
                <w:sz w:val="24"/>
                <w:szCs w:val="24"/>
                <w:highlight w:val="none"/>
                <w:lang w:val="en-US" w:eastAsia="zh-CN"/>
              </w:rPr>
              <w:t>建设</w:t>
            </w:r>
            <w:r>
              <w:rPr>
                <w:rFonts w:hint="eastAsia" w:ascii="宋体" w:hAnsi="宋体" w:eastAsia="宋体" w:cs="Times New Roman"/>
                <w:color w:val="auto"/>
                <w:sz w:val="24"/>
                <w:szCs w:val="24"/>
                <w:highlight w:val="none"/>
                <w:lang w:val="en-US" w:eastAsia="zh-CN"/>
              </w:rPr>
              <w:t>内容</w:t>
            </w:r>
            <w:r>
              <w:rPr>
                <w:rFonts w:hint="eastAsia" w:ascii="宋体" w:hAnsi="宋体" w:cs="Times New Roman"/>
                <w:color w:val="auto"/>
                <w:sz w:val="24"/>
                <w:szCs w:val="24"/>
                <w:highlight w:val="none"/>
                <w:lang w:val="en-US" w:eastAsia="zh-CN"/>
              </w:rPr>
              <w:t>为</w:t>
            </w:r>
            <w:r>
              <w:rPr>
                <w:rFonts w:hint="eastAsia" w:ascii="宋体" w:hAnsi="宋体" w:eastAsia="宋体" w:cs="Times New Roman"/>
                <w:color w:val="auto"/>
                <w:kern w:val="0"/>
                <w:sz w:val="24"/>
                <w:szCs w:val="24"/>
                <w:highlight w:val="none"/>
                <w:lang w:val="en-US" w:eastAsia="zh-CN" w:bidi="ar-SA"/>
              </w:rPr>
              <w:t>维修蓄水池2座；修缮泵房5座；更新水质化验仪器4套；采购饮用水消毒片3000瓶；维修、更换机电设备13台；维修更换输配水管道4670m；安装各类闸阀10个；维修、新建闸阀井20座</w:t>
            </w:r>
            <w:r>
              <w:rPr>
                <w:rFonts w:hint="eastAsia" w:ascii="宋体" w:hAnsi="宋体" w:cs="Times New Roman"/>
                <w:color w:val="auto"/>
                <w:kern w:val="0"/>
                <w:sz w:val="24"/>
                <w:szCs w:val="24"/>
                <w:highlight w:val="none"/>
                <w:lang w:val="en-US" w:eastAsia="zh-CN" w:bidi="ar-SA"/>
              </w:rPr>
              <w:t>。</w:t>
            </w:r>
          </w:p>
        </w:tc>
      </w:tr>
      <w:tr w14:paraId="4756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06" w:type="dxa"/>
            <w:noWrap w:val="0"/>
            <w:vAlign w:val="center"/>
          </w:tcPr>
          <w:p w14:paraId="1AD8C717">
            <w:pPr>
              <w:spacing w:line="420" w:lineRule="exact"/>
              <w:jc w:val="center"/>
              <w:outlineLvl w:val="9"/>
              <w:rPr>
                <w:rFonts w:hint="eastAsia" w:ascii="宋体" w:hAnsi="宋体"/>
                <w:color w:val="auto"/>
                <w:sz w:val="24"/>
              </w:rPr>
            </w:pPr>
            <w:r>
              <w:rPr>
                <w:rFonts w:hint="eastAsia" w:ascii="宋体" w:hAnsi="宋体"/>
                <w:color w:val="auto"/>
                <w:sz w:val="24"/>
              </w:rPr>
              <w:t>8</w:t>
            </w:r>
          </w:p>
        </w:tc>
        <w:tc>
          <w:tcPr>
            <w:tcW w:w="2017" w:type="dxa"/>
            <w:noWrap w:val="0"/>
            <w:vAlign w:val="center"/>
          </w:tcPr>
          <w:p w14:paraId="45814002">
            <w:pPr>
              <w:spacing w:line="400" w:lineRule="exact"/>
              <w:jc w:val="center"/>
              <w:outlineLvl w:val="9"/>
              <w:rPr>
                <w:rFonts w:hint="eastAsia" w:ascii="宋体" w:hAnsi="宋体"/>
                <w:color w:val="auto"/>
                <w:sz w:val="24"/>
              </w:rPr>
            </w:pPr>
            <w:r>
              <w:rPr>
                <w:rFonts w:hint="eastAsia" w:ascii="宋体" w:hAnsi="宋体"/>
                <w:color w:val="auto"/>
                <w:sz w:val="24"/>
              </w:rPr>
              <w:t>供应商资格要求</w:t>
            </w:r>
          </w:p>
        </w:tc>
        <w:tc>
          <w:tcPr>
            <w:tcW w:w="7161" w:type="dxa"/>
            <w:noWrap w:val="0"/>
            <w:vAlign w:val="center"/>
          </w:tcPr>
          <w:p w14:paraId="6D106F6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default"/>
                <w:color w:val="auto"/>
                <w:lang w:val="en-US"/>
              </w:rPr>
            </w:pPr>
            <w:r>
              <w:rPr>
                <w:rFonts w:hint="eastAsia"/>
                <w:color w:val="auto"/>
                <w:sz w:val="24"/>
                <w:szCs w:val="24"/>
                <w:highlight w:val="none"/>
                <w:lang w:val="en-US" w:eastAsia="zh-CN"/>
              </w:rPr>
              <w:t>详见竞争性磋商公告第二项申请人的资格要求</w:t>
            </w:r>
          </w:p>
        </w:tc>
      </w:tr>
      <w:tr w14:paraId="33AD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6" w:type="dxa"/>
            <w:noWrap w:val="0"/>
            <w:vAlign w:val="center"/>
          </w:tcPr>
          <w:p w14:paraId="0FA35445">
            <w:pPr>
              <w:spacing w:line="420" w:lineRule="exact"/>
              <w:jc w:val="center"/>
              <w:outlineLvl w:val="9"/>
              <w:rPr>
                <w:rFonts w:hint="eastAsia" w:ascii="宋体" w:hAnsi="宋体"/>
                <w:color w:val="auto"/>
                <w:sz w:val="24"/>
                <w:highlight w:val="none"/>
              </w:rPr>
            </w:pPr>
            <w:r>
              <w:rPr>
                <w:rFonts w:hint="eastAsia" w:ascii="宋体" w:hAnsi="宋体"/>
                <w:color w:val="auto"/>
                <w:sz w:val="24"/>
                <w:highlight w:val="none"/>
              </w:rPr>
              <w:t>9</w:t>
            </w:r>
          </w:p>
        </w:tc>
        <w:tc>
          <w:tcPr>
            <w:tcW w:w="2017" w:type="dxa"/>
            <w:noWrap w:val="0"/>
            <w:vAlign w:val="center"/>
          </w:tcPr>
          <w:p w14:paraId="4E5B3F9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center"/>
              <w:textAlignment w:val="auto"/>
              <w:outlineLvl w:val="9"/>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工   期</w:t>
            </w:r>
          </w:p>
        </w:tc>
        <w:tc>
          <w:tcPr>
            <w:tcW w:w="7161" w:type="dxa"/>
            <w:noWrap w:val="0"/>
            <w:vAlign w:val="center"/>
          </w:tcPr>
          <w:p w14:paraId="5F13226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合同签订后</w:t>
            </w:r>
            <w:r>
              <w:rPr>
                <w:rFonts w:hint="eastAsia" w:cs="宋体"/>
                <w:color w:val="auto"/>
                <w:kern w:val="0"/>
                <w:sz w:val="24"/>
                <w:highlight w:val="none"/>
                <w:lang w:val="en-US" w:eastAsia="zh-CN"/>
              </w:rPr>
              <w:t>90</w:t>
            </w:r>
            <w:r>
              <w:rPr>
                <w:rFonts w:hint="eastAsia" w:ascii="宋体" w:hAnsi="宋体" w:cs="宋体"/>
                <w:color w:val="auto"/>
                <w:kern w:val="0"/>
                <w:sz w:val="24"/>
                <w:highlight w:val="none"/>
              </w:rPr>
              <w:t>日历天内施工完毕</w:t>
            </w:r>
          </w:p>
        </w:tc>
      </w:tr>
      <w:tr w14:paraId="57D4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6" w:type="dxa"/>
            <w:noWrap w:val="0"/>
            <w:vAlign w:val="center"/>
          </w:tcPr>
          <w:p w14:paraId="538074C2">
            <w:pPr>
              <w:spacing w:line="420" w:lineRule="exact"/>
              <w:jc w:val="center"/>
              <w:outlineLvl w:val="9"/>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2017" w:type="dxa"/>
            <w:noWrap w:val="0"/>
            <w:vAlign w:val="center"/>
          </w:tcPr>
          <w:p w14:paraId="3EBB738B">
            <w:pPr>
              <w:spacing w:line="400" w:lineRule="exact"/>
              <w:jc w:val="center"/>
              <w:outlineLvl w:val="9"/>
              <w:rPr>
                <w:rFonts w:hint="eastAsia" w:ascii="宋体" w:hAnsi="宋体" w:eastAsia="宋体"/>
                <w:b w:val="0"/>
                <w:bCs w:val="0"/>
                <w:color w:val="auto"/>
                <w:kern w:val="0"/>
                <w:sz w:val="24"/>
                <w:szCs w:val="24"/>
                <w:highlight w:val="none"/>
                <w:lang w:val="en-US" w:eastAsia="zh-CN" w:bidi="ar-SA"/>
              </w:rPr>
            </w:pPr>
            <w:r>
              <w:rPr>
                <w:rFonts w:hint="eastAsia" w:ascii="宋体" w:hAnsi="宋体" w:eastAsia="宋体"/>
                <w:b w:val="0"/>
                <w:bCs w:val="0"/>
                <w:color w:val="auto"/>
                <w:kern w:val="0"/>
                <w:sz w:val="24"/>
                <w:szCs w:val="24"/>
                <w:highlight w:val="none"/>
                <w:lang w:val="en-US" w:eastAsia="zh-CN" w:bidi="ar-SA"/>
              </w:rPr>
              <w:t>质量标准</w:t>
            </w:r>
          </w:p>
        </w:tc>
        <w:tc>
          <w:tcPr>
            <w:tcW w:w="7161" w:type="dxa"/>
            <w:noWrap w:val="0"/>
            <w:vAlign w:val="center"/>
          </w:tcPr>
          <w:p w14:paraId="09A7DC6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eastAsia" w:ascii="宋体" w:hAnsi="宋体" w:cs="宋体"/>
                <w:color w:val="auto"/>
                <w:kern w:val="0"/>
                <w:sz w:val="24"/>
                <w:szCs w:val="20"/>
                <w:highlight w:val="none"/>
                <w:lang w:val="en-US" w:eastAsia="zh-CN" w:bidi="ar-SA"/>
              </w:rPr>
            </w:pPr>
            <w:r>
              <w:rPr>
                <w:rFonts w:hint="eastAsia" w:cs="宋体"/>
                <w:color w:val="auto"/>
                <w:kern w:val="0"/>
                <w:sz w:val="24"/>
                <w:highlight w:val="none"/>
                <w:lang w:val="en-US" w:eastAsia="zh-CN"/>
              </w:rPr>
              <w:t>合格</w:t>
            </w:r>
          </w:p>
        </w:tc>
      </w:tr>
      <w:tr w14:paraId="4097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06" w:type="dxa"/>
            <w:noWrap w:val="0"/>
            <w:vAlign w:val="center"/>
          </w:tcPr>
          <w:p w14:paraId="7B12DE1A">
            <w:pPr>
              <w:spacing w:line="420" w:lineRule="exact"/>
              <w:jc w:val="center"/>
              <w:outlineLvl w:val="9"/>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1</w:t>
            </w:r>
          </w:p>
        </w:tc>
        <w:tc>
          <w:tcPr>
            <w:tcW w:w="2017" w:type="dxa"/>
            <w:noWrap w:val="0"/>
            <w:vAlign w:val="center"/>
          </w:tcPr>
          <w:p w14:paraId="2F7263BA">
            <w:pPr>
              <w:spacing w:line="400" w:lineRule="exact"/>
              <w:jc w:val="center"/>
              <w:outlineLvl w:val="9"/>
              <w:rPr>
                <w:rFonts w:hint="eastAsia" w:ascii="宋体" w:hAnsi="宋体" w:eastAsia="宋体"/>
                <w:b w:val="0"/>
                <w:bCs w:val="0"/>
                <w:color w:val="auto"/>
                <w:kern w:val="0"/>
                <w:sz w:val="24"/>
                <w:szCs w:val="24"/>
                <w:highlight w:val="none"/>
                <w:lang w:val="zh-CN" w:eastAsia="zh-CN" w:bidi="ar-SA"/>
              </w:rPr>
            </w:pPr>
            <w:r>
              <w:rPr>
                <w:rFonts w:hint="eastAsia" w:ascii="宋体" w:hAnsi="宋体" w:eastAsia="宋体"/>
                <w:b w:val="0"/>
                <w:bCs w:val="0"/>
                <w:color w:val="auto"/>
                <w:kern w:val="0"/>
                <w:sz w:val="24"/>
                <w:szCs w:val="24"/>
                <w:highlight w:val="none"/>
                <w:lang w:val="zh-CN" w:eastAsia="zh-CN" w:bidi="ar-SA"/>
              </w:rPr>
              <w:t>付款方式</w:t>
            </w:r>
          </w:p>
        </w:tc>
        <w:tc>
          <w:tcPr>
            <w:tcW w:w="7161" w:type="dxa"/>
            <w:noWrap w:val="0"/>
            <w:vAlign w:val="center"/>
          </w:tcPr>
          <w:p w14:paraId="5676103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default"/>
                <w:color w:val="auto"/>
                <w:highlight w:val="none"/>
                <w:lang w:val="en-US" w:eastAsia="zh-CN"/>
              </w:rPr>
            </w:pPr>
            <w:r>
              <w:rPr>
                <w:rFonts w:hint="eastAsia"/>
                <w:highlight w:val="none"/>
                <w:lang w:val="en-US" w:eastAsia="zh-CN"/>
              </w:rPr>
              <w:t>按月计量支付（具体详见磋商文件第四部分专用合同条款17.3）</w:t>
            </w:r>
          </w:p>
        </w:tc>
      </w:tr>
      <w:tr w14:paraId="7CB8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6" w:type="dxa"/>
            <w:noWrap w:val="0"/>
            <w:vAlign w:val="center"/>
          </w:tcPr>
          <w:p w14:paraId="1A5B0964">
            <w:pPr>
              <w:spacing w:line="420" w:lineRule="exact"/>
              <w:jc w:val="center"/>
              <w:outlineLvl w:val="9"/>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2017" w:type="dxa"/>
            <w:noWrap w:val="0"/>
            <w:vAlign w:val="center"/>
          </w:tcPr>
          <w:p w14:paraId="3C4284B3">
            <w:pPr>
              <w:spacing w:line="400" w:lineRule="exact"/>
              <w:jc w:val="center"/>
              <w:outlineLvl w:val="9"/>
              <w:rPr>
                <w:rFonts w:hint="eastAsia" w:ascii="宋体" w:hAnsi="宋体"/>
                <w:b w:val="0"/>
                <w:bCs w:val="0"/>
                <w:color w:val="auto"/>
                <w:kern w:val="0"/>
                <w:sz w:val="24"/>
                <w:szCs w:val="24"/>
                <w:highlight w:val="none"/>
                <w:lang w:val="en-US" w:eastAsia="zh-CN" w:bidi="ar-SA"/>
              </w:rPr>
            </w:pPr>
            <w:r>
              <w:rPr>
                <w:rFonts w:hint="eastAsia" w:ascii="宋体" w:hAnsi="宋体"/>
                <w:b w:val="0"/>
                <w:bCs w:val="0"/>
                <w:color w:val="auto"/>
                <w:kern w:val="0"/>
                <w:sz w:val="24"/>
                <w:szCs w:val="24"/>
                <w:highlight w:val="none"/>
                <w:lang w:val="en-US" w:eastAsia="zh-CN" w:bidi="ar-SA"/>
              </w:rPr>
              <w:t>质量保修期</w:t>
            </w:r>
          </w:p>
          <w:p w14:paraId="1EB98B4A">
            <w:pPr>
              <w:spacing w:line="400" w:lineRule="exact"/>
              <w:jc w:val="center"/>
              <w:outlineLvl w:val="9"/>
              <w:rPr>
                <w:rFonts w:hint="default" w:ascii="宋体" w:hAnsi="宋体" w:eastAsia="宋体"/>
                <w:b w:val="0"/>
                <w:bCs w:val="0"/>
                <w:color w:val="auto"/>
                <w:kern w:val="0"/>
                <w:sz w:val="24"/>
                <w:szCs w:val="24"/>
                <w:highlight w:val="none"/>
                <w:lang w:val="en-US" w:eastAsia="zh-CN" w:bidi="ar-SA"/>
              </w:rPr>
            </w:pPr>
            <w:r>
              <w:rPr>
                <w:rFonts w:hint="eastAsia" w:ascii="宋体" w:hAnsi="宋体"/>
                <w:b w:val="0"/>
                <w:bCs w:val="0"/>
                <w:color w:val="auto"/>
                <w:kern w:val="0"/>
                <w:sz w:val="24"/>
                <w:szCs w:val="24"/>
                <w:highlight w:val="none"/>
                <w:lang w:val="en-US" w:eastAsia="zh-CN" w:bidi="ar-SA"/>
              </w:rPr>
              <w:t>（缺陷责任期）</w:t>
            </w:r>
          </w:p>
        </w:tc>
        <w:tc>
          <w:tcPr>
            <w:tcW w:w="7161" w:type="dxa"/>
            <w:noWrap w:val="0"/>
            <w:vAlign w:val="center"/>
          </w:tcPr>
          <w:p w14:paraId="5473176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default"/>
                <w:color w:val="auto"/>
                <w:highlight w:val="none"/>
                <w:lang w:val="en-US" w:eastAsia="zh-CN"/>
              </w:rPr>
            </w:pPr>
            <w:r>
              <w:rPr>
                <w:rFonts w:hint="eastAsia"/>
                <w:highlight w:val="none"/>
                <w:lang w:val="en-US" w:eastAsia="zh-CN"/>
              </w:rPr>
              <w:t>自竣工验收合格之日起不少于24个月。</w:t>
            </w:r>
          </w:p>
        </w:tc>
      </w:tr>
      <w:tr w14:paraId="10C7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6" w:type="dxa"/>
            <w:noWrap w:val="0"/>
            <w:vAlign w:val="center"/>
          </w:tcPr>
          <w:p w14:paraId="75C5259C">
            <w:pPr>
              <w:spacing w:line="420" w:lineRule="exact"/>
              <w:jc w:val="center"/>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13</w:t>
            </w:r>
          </w:p>
        </w:tc>
        <w:tc>
          <w:tcPr>
            <w:tcW w:w="2017" w:type="dxa"/>
            <w:noWrap w:val="0"/>
            <w:vAlign w:val="center"/>
          </w:tcPr>
          <w:p w14:paraId="6B8ECF45">
            <w:pPr>
              <w:spacing w:line="400" w:lineRule="exact"/>
              <w:jc w:val="center"/>
              <w:outlineLvl w:val="9"/>
              <w:rPr>
                <w:rFonts w:hint="default" w:ascii="宋体" w:hAnsi="宋体"/>
                <w:b w:val="0"/>
                <w:bCs w:val="0"/>
                <w:color w:val="auto"/>
                <w:kern w:val="0"/>
                <w:sz w:val="24"/>
                <w:szCs w:val="24"/>
                <w:highlight w:val="none"/>
                <w:lang w:val="en-US" w:eastAsia="zh-CN" w:bidi="ar-SA"/>
              </w:rPr>
            </w:pPr>
            <w:r>
              <w:rPr>
                <w:rFonts w:hint="eastAsia" w:ascii="宋体" w:hAnsi="宋体"/>
                <w:b w:val="0"/>
                <w:bCs w:val="0"/>
                <w:color w:val="auto"/>
                <w:kern w:val="0"/>
                <w:sz w:val="24"/>
                <w:szCs w:val="24"/>
                <w:highlight w:val="none"/>
                <w:lang w:val="en-US" w:eastAsia="zh-CN" w:bidi="ar-SA"/>
              </w:rPr>
              <w:t>履约保证金</w:t>
            </w:r>
          </w:p>
        </w:tc>
        <w:tc>
          <w:tcPr>
            <w:tcW w:w="7161" w:type="dxa"/>
            <w:noWrap w:val="0"/>
            <w:vAlign w:val="center"/>
          </w:tcPr>
          <w:p w14:paraId="6F10347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eastAsia"/>
                <w:highlight w:val="none"/>
                <w:lang w:val="en-US" w:eastAsia="zh-CN"/>
              </w:rPr>
            </w:pPr>
            <w:r>
              <w:rPr>
                <w:rFonts w:hint="eastAsia"/>
                <w:highlight w:val="none"/>
                <w:lang w:val="en-US" w:eastAsia="zh-CN"/>
              </w:rPr>
              <w:t>形式：履约担保、保兑支票、银行汇票或现金支票</w:t>
            </w:r>
          </w:p>
          <w:p w14:paraId="6989D68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jc w:val="left"/>
              <w:textAlignment w:val="auto"/>
              <w:outlineLvl w:val="9"/>
              <w:rPr>
                <w:rFonts w:hint="default"/>
                <w:color w:val="auto"/>
                <w:highlight w:val="none"/>
                <w:lang w:val="en-US" w:eastAsia="zh-CN"/>
              </w:rPr>
            </w:pPr>
            <w:r>
              <w:rPr>
                <w:rFonts w:hint="eastAsia"/>
                <w:highlight w:val="none"/>
                <w:lang w:val="en-US" w:eastAsia="zh-CN"/>
              </w:rPr>
              <w:t xml:space="preserve">金额：人民币3万元               </w:t>
            </w:r>
          </w:p>
        </w:tc>
      </w:tr>
      <w:tr w14:paraId="3796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06" w:type="dxa"/>
            <w:noWrap w:val="0"/>
            <w:vAlign w:val="center"/>
          </w:tcPr>
          <w:p w14:paraId="2FF6345F">
            <w:pPr>
              <w:spacing w:line="420" w:lineRule="exact"/>
              <w:jc w:val="center"/>
              <w:outlineLvl w:val="9"/>
              <w:rPr>
                <w:rFonts w:hint="default" w:ascii="宋体" w:hAnsi="宋体" w:eastAsia="宋体"/>
                <w:color w:val="auto"/>
                <w:sz w:val="24"/>
                <w:lang w:val="en-US" w:eastAsia="zh-CN"/>
              </w:rPr>
            </w:pPr>
            <w:r>
              <w:rPr>
                <w:rFonts w:hint="eastAsia" w:ascii="宋体" w:hAnsi="宋体"/>
                <w:color w:val="auto"/>
                <w:sz w:val="24"/>
                <w:lang w:val="en-US" w:eastAsia="zh-CN"/>
              </w:rPr>
              <w:t>14</w:t>
            </w:r>
          </w:p>
        </w:tc>
        <w:tc>
          <w:tcPr>
            <w:tcW w:w="2017" w:type="dxa"/>
            <w:noWrap w:val="0"/>
            <w:vAlign w:val="center"/>
          </w:tcPr>
          <w:p w14:paraId="4E45E61E">
            <w:pPr>
              <w:spacing w:line="400" w:lineRule="exact"/>
              <w:jc w:val="center"/>
              <w:outlineLvl w:val="9"/>
              <w:rPr>
                <w:rFonts w:hint="eastAsia" w:ascii="宋体" w:hAnsi="宋体" w:eastAsia="宋体"/>
                <w:b w:val="0"/>
                <w:bCs w:val="0"/>
                <w:color w:val="auto"/>
                <w:kern w:val="0"/>
                <w:sz w:val="24"/>
                <w:szCs w:val="24"/>
                <w:highlight w:val="none"/>
                <w:lang w:val="zh-CN" w:eastAsia="zh-CN" w:bidi="ar-SA"/>
              </w:rPr>
            </w:pPr>
            <w:r>
              <w:rPr>
                <w:rFonts w:hint="eastAsia" w:ascii="宋体" w:hAnsi="宋体" w:eastAsia="宋体"/>
                <w:b w:val="0"/>
                <w:bCs w:val="0"/>
                <w:color w:val="auto"/>
                <w:kern w:val="0"/>
                <w:sz w:val="24"/>
                <w:szCs w:val="24"/>
                <w:highlight w:val="none"/>
                <w:lang w:val="zh-CN" w:eastAsia="zh-CN" w:bidi="ar-SA"/>
              </w:rPr>
              <w:t>联合体</w:t>
            </w:r>
            <w:r>
              <w:rPr>
                <w:rFonts w:hint="eastAsia" w:ascii="宋体" w:hAnsi="宋体" w:eastAsia="宋体"/>
                <w:b w:val="0"/>
                <w:bCs w:val="0"/>
                <w:color w:val="auto"/>
                <w:kern w:val="0"/>
                <w:sz w:val="24"/>
                <w:szCs w:val="24"/>
                <w:highlight w:val="none"/>
                <w:lang w:val="en-US" w:eastAsia="zh-CN" w:bidi="ar-SA"/>
              </w:rPr>
              <w:t>投标</w:t>
            </w:r>
          </w:p>
        </w:tc>
        <w:tc>
          <w:tcPr>
            <w:tcW w:w="7161" w:type="dxa"/>
            <w:noWrap w:val="0"/>
            <w:vAlign w:val="center"/>
          </w:tcPr>
          <w:p w14:paraId="2F573206">
            <w:pPr>
              <w:spacing w:line="400" w:lineRule="exact"/>
              <w:outlineLvl w:val="9"/>
              <w:rPr>
                <w:rFonts w:hint="eastAsia" w:ascii="宋体" w:hAnsi="宋体" w:eastAsia="宋体"/>
                <w:color w:val="auto"/>
                <w:sz w:val="24"/>
                <w:highlight w:val="none"/>
                <w:lang w:eastAsia="zh-CN"/>
              </w:rPr>
            </w:pPr>
            <w:r>
              <w:rPr>
                <w:rFonts w:hint="eastAsia" w:ascii="宋体" w:hAnsi="宋体"/>
                <w:color w:val="auto"/>
                <w:sz w:val="24"/>
                <w:highlight w:val="none"/>
              </w:rPr>
              <w:t>不</w:t>
            </w:r>
            <w:r>
              <w:rPr>
                <w:rFonts w:hint="eastAsia" w:ascii="宋体" w:hAnsi="宋体"/>
                <w:color w:val="auto"/>
                <w:sz w:val="24"/>
                <w:highlight w:val="none"/>
                <w:lang w:val="en-US" w:eastAsia="zh-CN"/>
              </w:rPr>
              <w:t>接受</w:t>
            </w:r>
            <w:r>
              <w:rPr>
                <w:rFonts w:hint="eastAsia" w:ascii="宋体" w:hAnsi="宋体" w:eastAsia="宋体"/>
                <w:b w:val="0"/>
                <w:bCs w:val="0"/>
                <w:color w:val="auto"/>
                <w:kern w:val="0"/>
                <w:sz w:val="24"/>
                <w:szCs w:val="24"/>
                <w:highlight w:val="none"/>
                <w:lang w:val="zh-CN" w:eastAsia="zh-CN" w:bidi="ar-SA"/>
              </w:rPr>
              <w:t>联合体</w:t>
            </w:r>
            <w:r>
              <w:rPr>
                <w:rFonts w:hint="eastAsia" w:ascii="宋体" w:hAnsi="宋体" w:eastAsia="宋体"/>
                <w:b w:val="0"/>
                <w:bCs w:val="0"/>
                <w:color w:val="auto"/>
                <w:kern w:val="0"/>
                <w:sz w:val="24"/>
                <w:szCs w:val="24"/>
                <w:highlight w:val="none"/>
                <w:lang w:val="en-US" w:eastAsia="zh-CN" w:bidi="ar-SA"/>
              </w:rPr>
              <w:t>投标</w:t>
            </w:r>
          </w:p>
        </w:tc>
      </w:tr>
      <w:tr w14:paraId="55A5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6" w:type="dxa"/>
            <w:noWrap w:val="0"/>
            <w:vAlign w:val="center"/>
          </w:tcPr>
          <w:p w14:paraId="22831F68">
            <w:pPr>
              <w:spacing w:line="420" w:lineRule="exact"/>
              <w:jc w:val="center"/>
              <w:outlineLvl w:val="9"/>
              <w:rPr>
                <w:rFonts w:hint="default" w:ascii="宋体" w:hAnsi="宋体" w:eastAsia="宋体"/>
                <w:color w:val="auto"/>
                <w:sz w:val="24"/>
                <w:lang w:val="en-US" w:eastAsia="zh-CN"/>
              </w:rPr>
            </w:pPr>
            <w:r>
              <w:rPr>
                <w:rFonts w:hint="eastAsia" w:ascii="宋体" w:hAnsi="宋体"/>
                <w:color w:val="auto"/>
                <w:sz w:val="24"/>
                <w:lang w:val="en-US" w:eastAsia="zh-CN"/>
              </w:rPr>
              <w:t>15</w:t>
            </w:r>
          </w:p>
        </w:tc>
        <w:tc>
          <w:tcPr>
            <w:tcW w:w="2017" w:type="dxa"/>
            <w:noWrap w:val="0"/>
            <w:vAlign w:val="center"/>
          </w:tcPr>
          <w:p w14:paraId="1D39A57B">
            <w:pPr>
              <w:spacing w:line="400" w:lineRule="exact"/>
              <w:jc w:val="center"/>
              <w:outlineLvl w:val="9"/>
              <w:rPr>
                <w:rFonts w:hint="eastAsia" w:ascii="宋体" w:hAnsi="宋体"/>
                <w:color w:val="auto"/>
                <w:sz w:val="24"/>
              </w:rPr>
            </w:pPr>
            <w:r>
              <w:rPr>
                <w:rFonts w:hint="eastAsia" w:ascii="宋体" w:hAnsi="宋体"/>
                <w:color w:val="auto"/>
                <w:sz w:val="24"/>
              </w:rPr>
              <w:t>资格审查方式</w:t>
            </w:r>
          </w:p>
        </w:tc>
        <w:tc>
          <w:tcPr>
            <w:tcW w:w="7161" w:type="dxa"/>
            <w:noWrap w:val="0"/>
            <w:vAlign w:val="center"/>
          </w:tcPr>
          <w:p w14:paraId="17E4D7C8">
            <w:pPr>
              <w:spacing w:line="400" w:lineRule="exact"/>
              <w:outlineLvl w:val="9"/>
              <w:rPr>
                <w:rFonts w:hint="eastAsia" w:ascii="宋体" w:hAnsi="宋体"/>
                <w:color w:val="auto"/>
                <w:spacing w:val="-2"/>
                <w:sz w:val="24"/>
              </w:rPr>
            </w:pPr>
            <w:r>
              <w:rPr>
                <w:rFonts w:hint="eastAsia" w:ascii="宋体" w:hAnsi="宋体"/>
                <w:color w:val="auto"/>
                <w:spacing w:val="-2"/>
                <w:sz w:val="24"/>
              </w:rPr>
              <w:t>资格后审</w:t>
            </w:r>
          </w:p>
        </w:tc>
      </w:tr>
      <w:tr w14:paraId="2876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6" w:type="dxa"/>
            <w:noWrap w:val="0"/>
            <w:vAlign w:val="center"/>
          </w:tcPr>
          <w:p w14:paraId="4413F80F">
            <w:pPr>
              <w:spacing w:line="420" w:lineRule="exact"/>
              <w:jc w:val="center"/>
              <w:outlineLvl w:val="9"/>
              <w:rPr>
                <w:rFonts w:hint="default" w:ascii="宋体" w:hAnsi="宋体" w:eastAsia="宋体"/>
                <w:color w:val="auto"/>
                <w:sz w:val="24"/>
                <w:lang w:val="en-US" w:eastAsia="zh-CN"/>
              </w:rPr>
            </w:pPr>
            <w:r>
              <w:rPr>
                <w:rFonts w:hint="eastAsia" w:ascii="宋体" w:hAnsi="宋体"/>
                <w:color w:val="auto"/>
                <w:sz w:val="24"/>
                <w:lang w:val="en-US" w:eastAsia="zh-CN"/>
              </w:rPr>
              <w:t>16</w:t>
            </w:r>
          </w:p>
        </w:tc>
        <w:tc>
          <w:tcPr>
            <w:tcW w:w="2017" w:type="dxa"/>
            <w:noWrap w:val="0"/>
            <w:vAlign w:val="center"/>
          </w:tcPr>
          <w:p w14:paraId="4C9EE93C">
            <w:pPr>
              <w:spacing w:line="400" w:lineRule="exact"/>
              <w:jc w:val="center"/>
              <w:outlineLvl w:val="9"/>
              <w:rPr>
                <w:rFonts w:hint="eastAsia" w:ascii="宋体" w:hAnsi="宋体"/>
                <w:color w:val="auto"/>
                <w:sz w:val="24"/>
                <w:lang w:val="zh-CN"/>
              </w:rPr>
            </w:pPr>
            <w:r>
              <w:rPr>
                <w:rFonts w:hint="eastAsia" w:ascii="宋体" w:hAnsi="宋体"/>
                <w:color w:val="auto"/>
                <w:sz w:val="24"/>
              </w:rPr>
              <w:t>磋商有效期</w:t>
            </w:r>
          </w:p>
        </w:tc>
        <w:tc>
          <w:tcPr>
            <w:tcW w:w="7161" w:type="dxa"/>
            <w:noWrap w:val="0"/>
            <w:vAlign w:val="center"/>
          </w:tcPr>
          <w:p w14:paraId="1CAA4159">
            <w:pPr>
              <w:spacing w:line="400" w:lineRule="exact"/>
              <w:outlineLvl w:val="9"/>
              <w:rPr>
                <w:rFonts w:hint="eastAsia" w:ascii="宋体" w:hAnsi="宋体"/>
                <w:color w:val="auto"/>
                <w:sz w:val="24"/>
                <w:highlight w:val="yellow"/>
              </w:rPr>
            </w:pPr>
            <w:r>
              <w:rPr>
                <w:rFonts w:hint="eastAsia" w:ascii="宋体" w:hAnsi="宋体" w:cs="宋体"/>
                <w:color w:val="auto"/>
                <w:kern w:val="1"/>
                <w:sz w:val="24"/>
                <w:u w:val="none"/>
                <w:lang w:val="en-US" w:eastAsia="zh-CN"/>
              </w:rPr>
              <w:t>自磋商响应文件</w:t>
            </w:r>
            <w:r>
              <w:rPr>
                <w:rFonts w:hint="eastAsia" w:ascii="宋体" w:hAnsi="宋体" w:cs="宋体"/>
                <w:color w:val="auto"/>
                <w:kern w:val="1"/>
                <w:sz w:val="24"/>
                <w:highlight w:val="none"/>
                <w:u w:val="none"/>
                <w:lang w:val="en-US" w:eastAsia="zh-CN"/>
              </w:rPr>
              <w:t>递交截止之日起不少于</w:t>
            </w:r>
            <w:r>
              <w:rPr>
                <w:rFonts w:ascii="宋体" w:hAnsi="宋体" w:cs="宋体"/>
                <w:color w:val="auto"/>
                <w:kern w:val="1"/>
                <w:sz w:val="24"/>
                <w:highlight w:val="none"/>
                <w:u w:val="none"/>
              </w:rPr>
              <w:t>90</w:t>
            </w:r>
            <w:r>
              <w:rPr>
                <w:rFonts w:ascii="宋体" w:hAnsi="宋体" w:cs="宋体"/>
                <w:color w:val="auto"/>
                <w:kern w:val="1"/>
                <w:sz w:val="24"/>
                <w:highlight w:val="none"/>
              </w:rPr>
              <w:t>日历天</w:t>
            </w:r>
          </w:p>
        </w:tc>
      </w:tr>
      <w:tr w14:paraId="575F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6" w:type="dxa"/>
            <w:noWrap w:val="0"/>
            <w:vAlign w:val="center"/>
          </w:tcPr>
          <w:p w14:paraId="3F20AF4D">
            <w:pPr>
              <w:spacing w:line="420" w:lineRule="exact"/>
              <w:jc w:val="center"/>
              <w:outlineLvl w:val="9"/>
              <w:rPr>
                <w:rFonts w:hint="default" w:ascii="宋体" w:hAnsi="宋体" w:eastAsia="宋体"/>
                <w:color w:val="auto"/>
                <w:sz w:val="24"/>
                <w:lang w:val="en-US" w:eastAsia="zh-CN"/>
              </w:rPr>
            </w:pPr>
            <w:r>
              <w:rPr>
                <w:rFonts w:hint="eastAsia" w:ascii="宋体" w:hAnsi="宋体"/>
                <w:color w:val="auto"/>
                <w:sz w:val="24"/>
                <w:lang w:val="en-US" w:eastAsia="zh-CN"/>
              </w:rPr>
              <w:t>17</w:t>
            </w:r>
          </w:p>
        </w:tc>
        <w:tc>
          <w:tcPr>
            <w:tcW w:w="2017" w:type="dxa"/>
            <w:noWrap w:val="0"/>
            <w:vAlign w:val="center"/>
          </w:tcPr>
          <w:p w14:paraId="0FADC7A5">
            <w:pPr>
              <w:spacing w:line="400" w:lineRule="exact"/>
              <w:jc w:val="center"/>
              <w:outlineLvl w:val="9"/>
              <w:rPr>
                <w:rFonts w:hint="default" w:ascii="宋体" w:hAnsi="宋体" w:eastAsia="宋体"/>
                <w:color w:val="auto"/>
                <w:sz w:val="24"/>
                <w:lang w:val="en-US" w:eastAsia="zh-CN"/>
              </w:rPr>
            </w:pPr>
            <w:r>
              <w:rPr>
                <w:rFonts w:hint="eastAsia" w:ascii="宋体" w:hAnsi="宋体"/>
                <w:color w:val="auto"/>
                <w:sz w:val="24"/>
                <w:lang w:val="en-US" w:eastAsia="zh-CN"/>
              </w:rPr>
              <w:t>转包、分包</w:t>
            </w:r>
          </w:p>
        </w:tc>
        <w:tc>
          <w:tcPr>
            <w:tcW w:w="7161" w:type="dxa"/>
            <w:noWrap w:val="0"/>
            <w:vAlign w:val="center"/>
          </w:tcPr>
          <w:p w14:paraId="0CE0FAA2">
            <w:pPr>
              <w:spacing w:line="400" w:lineRule="exact"/>
              <w:outlineLvl w:val="9"/>
              <w:rPr>
                <w:rFonts w:hint="default" w:ascii="宋体" w:hAnsi="宋体" w:eastAsia="宋体"/>
                <w:color w:val="auto"/>
                <w:spacing w:val="-2"/>
                <w:sz w:val="24"/>
                <w:lang w:val="en-US" w:eastAsia="zh-CN"/>
              </w:rPr>
            </w:pPr>
            <w:r>
              <w:rPr>
                <w:rFonts w:hint="eastAsia" w:ascii="宋体" w:hAnsi="宋体"/>
                <w:color w:val="auto"/>
                <w:spacing w:val="-2"/>
                <w:sz w:val="24"/>
                <w:lang w:val="en-US" w:eastAsia="zh-CN"/>
              </w:rPr>
              <w:t>本项目不得转包、分包。</w:t>
            </w:r>
          </w:p>
        </w:tc>
      </w:tr>
      <w:tr w14:paraId="2AC3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6" w:type="dxa"/>
            <w:noWrap w:val="0"/>
            <w:vAlign w:val="center"/>
          </w:tcPr>
          <w:p w14:paraId="32CB9A3F">
            <w:pPr>
              <w:spacing w:line="420" w:lineRule="exact"/>
              <w:jc w:val="center"/>
              <w:outlineLvl w:val="9"/>
              <w:rPr>
                <w:rFonts w:hint="default" w:ascii="宋体" w:hAnsi="宋体" w:eastAsia="宋体"/>
                <w:color w:val="auto"/>
                <w:sz w:val="24"/>
                <w:lang w:val="en-US" w:eastAsia="zh-CN"/>
              </w:rPr>
            </w:pPr>
            <w:r>
              <w:rPr>
                <w:rFonts w:hint="eastAsia" w:ascii="宋体" w:hAnsi="宋体"/>
                <w:color w:val="auto"/>
                <w:sz w:val="24"/>
                <w:lang w:val="en-US" w:eastAsia="zh-CN"/>
              </w:rPr>
              <w:t>18</w:t>
            </w:r>
          </w:p>
        </w:tc>
        <w:tc>
          <w:tcPr>
            <w:tcW w:w="2017" w:type="dxa"/>
            <w:noWrap w:val="0"/>
            <w:vAlign w:val="center"/>
          </w:tcPr>
          <w:p w14:paraId="173C1E69">
            <w:pPr>
              <w:spacing w:line="400" w:lineRule="exact"/>
              <w:jc w:val="center"/>
              <w:outlineLvl w:val="9"/>
              <w:rPr>
                <w:rFonts w:hint="eastAsia" w:ascii="宋体" w:hAnsi="宋体"/>
                <w:color w:val="auto"/>
                <w:sz w:val="24"/>
              </w:rPr>
            </w:pPr>
            <w:r>
              <w:rPr>
                <w:rFonts w:hint="eastAsia" w:ascii="宋体" w:hAnsi="宋体" w:cs="宋体"/>
                <w:color w:val="auto"/>
                <w:kern w:val="1"/>
                <w:sz w:val="24"/>
              </w:rPr>
              <w:t>现场勘查</w:t>
            </w:r>
          </w:p>
        </w:tc>
        <w:tc>
          <w:tcPr>
            <w:tcW w:w="7161" w:type="dxa"/>
            <w:noWrap w:val="0"/>
            <w:vAlign w:val="center"/>
          </w:tcPr>
          <w:p w14:paraId="5C816935">
            <w:pPr>
              <w:spacing w:line="400" w:lineRule="exact"/>
              <w:outlineLvl w:val="9"/>
              <w:rPr>
                <w:rFonts w:hint="eastAsia" w:ascii="宋体" w:hAnsi="宋体"/>
                <w:color w:val="auto"/>
                <w:spacing w:val="-2"/>
                <w:sz w:val="24"/>
              </w:rPr>
            </w:pPr>
            <w:r>
              <w:rPr>
                <w:rFonts w:hint="eastAsia" w:ascii="宋体" w:hAnsi="宋体" w:cs="宋体"/>
                <w:color w:val="auto"/>
                <w:spacing w:val="-11"/>
                <w:kern w:val="1"/>
                <w:sz w:val="24"/>
              </w:rPr>
              <w:t>不</w:t>
            </w:r>
            <w:r>
              <w:rPr>
                <w:rFonts w:hint="eastAsia" w:ascii="宋体" w:hAnsi="宋体" w:cs="宋体"/>
                <w:color w:val="auto"/>
                <w:spacing w:val="-11"/>
                <w:kern w:val="1"/>
                <w:sz w:val="24"/>
                <w:lang w:eastAsia="zh-CN"/>
              </w:rPr>
              <w:t>统一</w:t>
            </w:r>
            <w:r>
              <w:rPr>
                <w:rFonts w:hint="eastAsia" w:ascii="宋体" w:hAnsi="宋体" w:cs="宋体"/>
                <w:color w:val="auto"/>
                <w:spacing w:val="-11"/>
                <w:kern w:val="1"/>
                <w:sz w:val="24"/>
              </w:rPr>
              <w:t>组织。</w:t>
            </w:r>
            <w:r>
              <w:rPr>
                <w:rFonts w:hint="eastAsia" w:ascii="宋体" w:hAnsi="宋体" w:cs="宋体"/>
                <w:color w:val="auto"/>
                <w:spacing w:val="-11"/>
                <w:kern w:val="1"/>
                <w:sz w:val="24"/>
                <w:lang w:val="en-US" w:eastAsia="zh-CN"/>
              </w:rPr>
              <w:t>供应商</w:t>
            </w:r>
            <w:r>
              <w:rPr>
                <w:rFonts w:hint="eastAsia" w:ascii="宋体" w:hAnsi="宋体" w:cs="宋体"/>
                <w:color w:val="auto"/>
                <w:spacing w:val="-11"/>
                <w:kern w:val="1"/>
                <w:sz w:val="24"/>
              </w:rPr>
              <w:t>认为有必要可自行勘查，并承担所有费用及风险。</w:t>
            </w:r>
          </w:p>
        </w:tc>
      </w:tr>
      <w:tr w14:paraId="3667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14:paraId="2BF1A3E9">
            <w:pPr>
              <w:spacing w:line="420" w:lineRule="exact"/>
              <w:jc w:val="center"/>
              <w:outlineLvl w:val="9"/>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19</w:t>
            </w:r>
          </w:p>
        </w:tc>
        <w:tc>
          <w:tcPr>
            <w:tcW w:w="2017" w:type="dxa"/>
            <w:noWrap w:val="0"/>
            <w:vAlign w:val="center"/>
          </w:tcPr>
          <w:p w14:paraId="049102EE">
            <w:pPr>
              <w:spacing w:line="400" w:lineRule="exact"/>
              <w:jc w:val="center"/>
              <w:outlineLvl w:val="9"/>
              <w:rPr>
                <w:rFonts w:hint="eastAsia" w:ascii="宋体" w:hAnsi="宋体" w:eastAsia="宋体"/>
                <w:color w:val="auto"/>
                <w:sz w:val="24"/>
                <w:highlight w:val="none"/>
                <w:lang w:val="zh-CN" w:eastAsia="zh-CN"/>
              </w:rPr>
            </w:pPr>
            <w:r>
              <w:rPr>
                <w:rFonts w:hint="eastAsia" w:ascii="宋体" w:hAnsi="宋体"/>
                <w:color w:val="auto"/>
                <w:sz w:val="24"/>
                <w:highlight w:val="none"/>
                <w:lang w:eastAsia="zh-CN"/>
              </w:rPr>
              <w:t>磋商保证金</w:t>
            </w:r>
          </w:p>
        </w:tc>
        <w:tc>
          <w:tcPr>
            <w:tcW w:w="7161" w:type="dxa"/>
            <w:noWrap w:val="0"/>
            <w:vAlign w:val="center"/>
          </w:tcPr>
          <w:p w14:paraId="62862CC2">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color w:val="auto"/>
                <w:sz w:val="24"/>
                <w:highlight w:val="none"/>
              </w:rPr>
            </w:pPr>
            <w:r>
              <w:rPr>
                <w:rFonts w:hint="eastAsia" w:ascii="宋体" w:hAnsi="宋体"/>
                <w:color w:val="auto"/>
                <w:sz w:val="24"/>
                <w:highlight w:val="none"/>
                <w:lang w:eastAsia="zh-CN"/>
              </w:rPr>
              <w:t>磋商保证金</w:t>
            </w:r>
            <w:r>
              <w:rPr>
                <w:rFonts w:hint="eastAsia" w:ascii="宋体" w:hAnsi="宋体"/>
                <w:color w:val="auto"/>
                <w:sz w:val="24"/>
                <w:highlight w:val="none"/>
              </w:rPr>
              <w:t>的</w:t>
            </w:r>
            <w:r>
              <w:rPr>
                <w:rFonts w:hint="eastAsia" w:ascii="宋体" w:hAnsi="宋体"/>
                <w:color w:val="auto"/>
                <w:sz w:val="24"/>
                <w:highlight w:val="none"/>
                <w:lang w:val="en-US" w:eastAsia="zh-CN"/>
              </w:rPr>
              <w:t>缴纳</w:t>
            </w:r>
            <w:r>
              <w:rPr>
                <w:rFonts w:hint="eastAsia" w:ascii="宋体" w:hAnsi="宋体"/>
                <w:color w:val="auto"/>
                <w:sz w:val="24"/>
                <w:highlight w:val="none"/>
              </w:rPr>
              <w:t>形式：转账</w:t>
            </w:r>
            <w:r>
              <w:rPr>
                <w:rFonts w:hint="eastAsia" w:ascii="宋体" w:hAnsi="宋体"/>
                <w:color w:val="auto"/>
                <w:sz w:val="24"/>
                <w:highlight w:val="none"/>
                <w:lang w:val="en-US" w:eastAsia="zh-CN"/>
              </w:rPr>
              <w:t>/</w:t>
            </w:r>
            <w:r>
              <w:rPr>
                <w:rFonts w:hint="eastAsia" w:ascii="宋体" w:hAnsi="宋体"/>
                <w:color w:val="auto"/>
                <w:sz w:val="24"/>
                <w:highlight w:val="none"/>
              </w:rPr>
              <w:t>电汇</w:t>
            </w:r>
            <w:r>
              <w:rPr>
                <w:rFonts w:hint="eastAsia" w:ascii="宋体" w:hAnsi="宋体"/>
                <w:color w:val="auto"/>
                <w:sz w:val="24"/>
                <w:highlight w:val="none"/>
                <w:lang w:val="en-US" w:eastAsia="zh-CN"/>
              </w:rPr>
              <w:t>/</w:t>
            </w:r>
            <w:r>
              <w:rPr>
                <w:rFonts w:hint="eastAsia" w:ascii="宋体" w:hAnsi="宋体" w:cs="宋体"/>
                <w:color w:val="auto"/>
                <w:sz w:val="24"/>
                <w:szCs w:val="24"/>
                <w:highlight w:val="none"/>
                <w:lang w:val="en-US" w:eastAsia="zh-CN"/>
              </w:rPr>
              <w:t>金融机构/</w:t>
            </w:r>
            <w:r>
              <w:rPr>
                <w:rFonts w:hint="eastAsia" w:ascii="宋体" w:hAnsi="宋体"/>
                <w:color w:val="auto"/>
                <w:sz w:val="24"/>
                <w:highlight w:val="none"/>
              </w:rPr>
              <w:t>担保机构保函。</w:t>
            </w:r>
          </w:p>
          <w:p w14:paraId="0E51E8DF">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供应商以银行转账</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eastAsia="zh-CN"/>
              </w:rPr>
              <w:t>电汇形式</w:t>
            </w:r>
            <w:r>
              <w:rPr>
                <w:rFonts w:hint="eastAsia" w:ascii="宋体" w:hAnsi="宋体" w:eastAsia="宋体" w:cs="Times New Roman"/>
                <w:color w:val="auto"/>
                <w:sz w:val="24"/>
                <w:highlight w:val="none"/>
                <w:lang w:val="en-US" w:eastAsia="zh-CN"/>
              </w:rPr>
              <w:t>缴纳</w:t>
            </w:r>
            <w:r>
              <w:rPr>
                <w:rFonts w:hint="eastAsia" w:ascii="宋体" w:hAnsi="宋体" w:eastAsia="宋体" w:cs="Times New Roman"/>
                <w:color w:val="auto"/>
                <w:sz w:val="24"/>
                <w:highlight w:val="none"/>
                <w:lang w:eastAsia="zh-CN"/>
              </w:rPr>
              <w:t>保证金的，须从基本账户转出。</w:t>
            </w:r>
          </w:p>
          <w:p w14:paraId="4EFE1865">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contextualSpacing/>
              <w:jc w:val="left"/>
              <w:textAlignment w:val="auto"/>
              <w:outlineLvl w:val="9"/>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供应商以保函形式缴纳磋商保证金的，须在</w:t>
            </w:r>
            <w:r>
              <w:rPr>
                <w:rFonts w:hint="eastAsia" w:ascii="宋体" w:hAnsi="宋体" w:cs="宋体"/>
                <w:color w:val="auto"/>
                <w:kern w:val="1"/>
                <w:sz w:val="24"/>
                <w:highlight w:val="none"/>
                <w:lang w:val="en-US" w:eastAsia="zh-CN"/>
              </w:rPr>
              <w:t>提交响应文件截止时间之前</w:t>
            </w:r>
            <w:r>
              <w:rPr>
                <w:rFonts w:hint="eastAsia" w:ascii="宋体" w:hAnsi="宋体" w:eastAsia="宋体" w:cs="Times New Roman"/>
                <w:color w:val="auto"/>
                <w:sz w:val="24"/>
                <w:highlight w:val="none"/>
                <w:lang w:eastAsia="zh-CN"/>
              </w:rPr>
              <w:t>将</w:t>
            </w:r>
            <w:r>
              <w:rPr>
                <w:rFonts w:hint="eastAsia" w:ascii="宋体" w:hAnsi="宋体" w:cs="宋体"/>
                <w:color w:val="auto"/>
                <w:sz w:val="24"/>
                <w:szCs w:val="24"/>
                <w:highlight w:val="none"/>
                <w:lang w:val="en-US" w:eastAsia="zh-CN"/>
              </w:rPr>
              <w:t>金融机构</w:t>
            </w:r>
            <w:r>
              <w:rPr>
                <w:rFonts w:hint="eastAsia" w:cs="宋体"/>
                <w:color w:val="auto"/>
                <w:sz w:val="24"/>
                <w:szCs w:val="24"/>
                <w:highlight w:val="none"/>
                <w:lang w:val="en-US" w:eastAsia="zh-CN"/>
              </w:rPr>
              <w:t>、</w:t>
            </w:r>
            <w:r>
              <w:rPr>
                <w:rFonts w:hint="eastAsia" w:ascii="宋体" w:hAnsi="宋体" w:eastAsia="宋体" w:cs="Times New Roman"/>
                <w:color w:val="auto"/>
                <w:sz w:val="24"/>
                <w:highlight w:val="none"/>
                <w:lang w:eastAsia="zh-CN"/>
              </w:rPr>
              <w:t>担保机构保函原件提交至采购代理机构备案</w:t>
            </w:r>
            <w:r>
              <w:rPr>
                <w:rFonts w:hint="eastAsia" w:cs="Times New Roman"/>
                <w:color w:val="auto"/>
                <w:sz w:val="24"/>
                <w:highlight w:val="none"/>
                <w:lang w:eastAsia="zh-CN"/>
              </w:rPr>
              <w:t>，</w:t>
            </w:r>
            <w:r>
              <w:rPr>
                <w:rFonts w:hint="eastAsia" w:ascii="宋体" w:hAnsi="宋体" w:eastAsia="宋体" w:cs="Times New Roman"/>
                <w:b/>
                <w:bCs/>
                <w:color w:val="auto"/>
                <w:sz w:val="24"/>
                <w:highlight w:val="none"/>
                <w:lang w:val="en-US" w:eastAsia="zh-CN"/>
              </w:rPr>
              <w:t>保函原件提交至</w:t>
            </w:r>
            <w:r>
              <w:rPr>
                <w:rFonts w:hint="eastAsia" w:ascii="宋体" w:hAnsi="宋体" w:eastAsia="宋体" w:cs="宋体"/>
                <w:b/>
                <w:bCs/>
                <w:color w:val="auto"/>
                <w:kern w:val="0"/>
                <w:sz w:val="24"/>
                <w:highlight w:val="none"/>
              </w:rPr>
              <w:t>华春众创工场（富平）（详细地址：富平县富兴路中段西侧紫御台B区商务楼四层</w:t>
            </w:r>
            <w:r>
              <w:rPr>
                <w:rFonts w:hint="eastAsia" w:ascii="宋体" w:hAnsi="宋体" w:eastAsia="宋体" w:cs="Times New Roman"/>
                <w:b/>
                <w:bCs/>
                <w:color w:val="auto"/>
                <w:sz w:val="24"/>
                <w:highlight w:val="none"/>
                <w:lang w:eastAsia="zh-CN"/>
              </w:rPr>
              <w:t>）</w:t>
            </w:r>
            <w:r>
              <w:rPr>
                <w:rFonts w:hint="eastAsia" w:ascii="宋体" w:hAnsi="宋体" w:eastAsia="宋体" w:cs="Times New Roman"/>
                <w:color w:val="auto"/>
                <w:sz w:val="24"/>
                <w:highlight w:val="none"/>
                <w:lang w:eastAsia="zh-CN"/>
              </w:rPr>
              <w:t>，并将保函复印件附在磋商响应文件规定处。</w:t>
            </w:r>
          </w:p>
          <w:p w14:paraId="6441C335">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color w:val="auto"/>
                <w:sz w:val="24"/>
                <w:highlight w:val="none"/>
              </w:rPr>
            </w:pPr>
            <w:r>
              <w:rPr>
                <w:rFonts w:hint="eastAsia" w:ascii="宋体" w:hAnsi="宋体"/>
                <w:color w:val="auto"/>
                <w:sz w:val="24"/>
                <w:highlight w:val="none"/>
                <w:lang w:eastAsia="zh-CN"/>
              </w:rPr>
              <w:t>磋商保证金</w:t>
            </w:r>
            <w:r>
              <w:rPr>
                <w:rFonts w:hint="eastAsia" w:ascii="宋体" w:hAnsi="宋体"/>
                <w:color w:val="auto"/>
                <w:sz w:val="24"/>
                <w:highlight w:val="none"/>
              </w:rPr>
              <w:t>的金额（人民币）：</w:t>
            </w:r>
            <w:r>
              <w:rPr>
                <w:rFonts w:hint="eastAsia" w:ascii="宋体" w:hAnsi="宋体" w:cs="Times New Roman"/>
                <w:b/>
                <w:color w:val="auto"/>
                <w:sz w:val="24"/>
                <w:highlight w:val="none"/>
                <w:u w:val="single"/>
                <w:lang w:val="en-US" w:eastAsia="zh-CN"/>
              </w:rPr>
              <w:t>壹万元整</w:t>
            </w:r>
            <w:r>
              <w:rPr>
                <w:rFonts w:hint="eastAsia" w:ascii="宋体" w:hAnsi="宋体"/>
                <w:b/>
                <w:color w:val="auto"/>
                <w:sz w:val="24"/>
                <w:highlight w:val="none"/>
                <w:u w:val="single"/>
                <w:lang w:val="en-US" w:eastAsia="zh-CN"/>
              </w:rPr>
              <w:t>（10000</w:t>
            </w:r>
            <w:r>
              <w:rPr>
                <w:rFonts w:hint="eastAsia" w:ascii="宋体" w:hAnsi="宋体"/>
                <w:b/>
                <w:color w:val="auto"/>
                <w:sz w:val="24"/>
                <w:highlight w:val="none"/>
                <w:u w:val="single"/>
              </w:rPr>
              <w:t>.00</w:t>
            </w:r>
            <w:r>
              <w:rPr>
                <w:rFonts w:hint="eastAsia" w:ascii="宋体" w:hAnsi="宋体"/>
                <w:b/>
                <w:color w:val="auto"/>
                <w:sz w:val="24"/>
                <w:highlight w:val="none"/>
                <w:u w:val="single"/>
                <w:lang w:val="en-US" w:eastAsia="zh-CN"/>
              </w:rPr>
              <w:t>元</w:t>
            </w:r>
            <w:r>
              <w:rPr>
                <w:rFonts w:hint="eastAsia" w:ascii="宋体" w:hAnsi="宋体"/>
                <w:b/>
                <w:color w:val="auto"/>
                <w:sz w:val="24"/>
                <w:highlight w:val="none"/>
                <w:u w:val="single"/>
              </w:rPr>
              <w:t>）</w:t>
            </w:r>
            <w:r>
              <w:rPr>
                <w:rFonts w:hint="eastAsia" w:ascii="宋体" w:hAnsi="宋体"/>
                <w:color w:val="auto"/>
                <w:sz w:val="24"/>
                <w:highlight w:val="none"/>
              </w:rPr>
              <w:t>；</w:t>
            </w:r>
          </w:p>
          <w:p w14:paraId="4F8572A5">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cs="宋体"/>
                <w:color w:val="auto"/>
                <w:kern w:val="1"/>
                <w:sz w:val="24"/>
                <w:highlight w:val="none"/>
                <w:lang w:val="en-US" w:eastAsia="zh-CN"/>
              </w:rPr>
            </w:pPr>
            <w:r>
              <w:rPr>
                <w:rFonts w:hint="eastAsia" w:ascii="宋体" w:hAnsi="宋体"/>
                <w:color w:val="auto"/>
                <w:sz w:val="24"/>
                <w:highlight w:val="none"/>
                <w:lang w:eastAsia="zh-CN"/>
              </w:rPr>
              <w:t>磋商保证金</w:t>
            </w:r>
            <w:r>
              <w:rPr>
                <w:rFonts w:hint="eastAsia" w:ascii="宋体" w:hAnsi="宋体"/>
                <w:color w:val="auto"/>
                <w:sz w:val="24"/>
                <w:highlight w:val="none"/>
              </w:rPr>
              <w:t>提交时间：</w:t>
            </w:r>
            <w:r>
              <w:rPr>
                <w:rFonts w:hint="eastAsia" w:ascii="宋体" w:hAnsi="宋体" w:cs="宋体"/>
                <w:color w:val="auto"/>
                <w:kern w:val="1"/>
                <w:sz w:val="24"/>
                <w:highlight w:val="none"/>
                <w:lang w:val="en-US" w:eastAsia="zh-CN"/>
              </w:rPr>
              <w:t>提交响应文件截止时间之前</w:t>
            </w:r>
          </w:p>
          <w:p w14:paraId="4161CA7F">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b/>
                <w:color w:val="auto"/>
                <w:sz w:val="24"/>
                <w:highlight w:val="none"/>
              </w:rPr>
            </w:pPr>
            <w:r>
              <w:rPr>
                <w:rFonts w:hint="eastAsia" w:ascii="宋体" w:hAnsi="宋体"/>
                <w:color w:val="auto"/>
                <w:sz w:val="24"/>
                <w:highlight w:val="none"/>
              </w:rPr>
              <w:t>汇入单位名称：</w:t>
            </w:r>
            <w:r>
              <w:rPr>
                <w:rFonts w:hint="eastAsia" w:ascii="宋体" w:hAnsi="宋体"/>
                <w:b/>
                <w:color w:val="auto"/>
                <w:sz w:val="24"/>
                <w:highlight w:val="none"/>
              </w:rPr>
              <w:t>华春建设工程项目管理有限责任公司</w:t>
            </w:r>
          </w:p>
          <w:p w14:paraId="18F245F8">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b/>
                <w:color w:val="auto"/>
                <w:sz w:val="24"/>
                <w:highlight w:val="none"/>
              </w:rPr>
            </w:pPr>
            <w:r>
              <w:rPr>
                <w:rFonts w:hint="eastAsia" w:ascii="宋体" w:hAnsi="宋体"/>
                <w:color w:val="auto"/>
                <w:sz w:val="24"/>
                <w:highlight w:val="none"/>
              </w:rPr>
              <w:t>开户行名称：</w:t>
            </w:r>
            <w:r>
              <w:rPr>
                <w:rFonts w:hint="eastAsia" w:ascii="宋体" w:hAnsi="宋体"/>
                <w:b/>
                <w:color w:val="auto"/>
                <w:sz w:val="24"/>
                <w:highlight w:val="none"/>
              </w:rPr>
              <w:t>平安银行西安分行营业部</w:t>
            </w:r>
          </w:p>
          <w:p w14:paraId="26389D8C">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eastAsia="宋体"/>
                <w:color w:val="auto"/>
                <w:highlight w:val="none"/>
                <w:lang w:val="en-US" w:eastAsia="zh-CN"/>
              </w:rPr>
            </w:pPr>
            <w:r>
              <w:rPr>
                <w:rFonts w:hint="eastAsia" w:ascii="宋体" w:hAnsi="宋体"/>
                <w:color w:val="auto"/>
                <w:kern w:val="2"/>
                <w:sz w:val="24"/>
                <w:szCs w:val="24"/>
                <w:highlight w:val="none"/>
                <w:lang w:val="en-US" w:eastAsia="zh-CN" w:bidi="ar-SA"/>
              </w:rPr>
              <w:t>行  号：</w:t>
            </w:r>
            <w:r>
              <w:rPr>
                <w:rFonts w:hint="eastAsia" w:ascii="宋体" w:hAnsi="宋体" w:eastAsia="宋体" w:cs="Times New Roman"/>
                <w:b/>
                <w:color w:val="auto"/>
                <w:kern w:val="2"/>
                <w:sz w:val="24"/>
                <w:szCs w:val="24"/>
                <w:highlight w:val="none"/>
                <w:lang w:val="en-US" w:eastAsia="zh-CN" w:bidi="ar-SA"/>
              </w:rPr>
              <w:t>307584007998</w:t>
            </w:r>
          </w:p>
          <w:p w14:paraId="2B2703D0">
            <w:pPr>
              <w:pStyle w:val="11"/>
              <w:outlineLvl w:val="9"/>
              <w:rPr>
                <w:rFonts w:hint="default" w:ascii="宋体" w:hAnsi="宋体" w:eastAsia="宋体"/>
                <w:b/>
                <w:color w:val="auto"/>
                <w:sz w:val="24"/>
                <w:highlight w:val="magenta"/>
                <w:lang w:val="en-US" w:eastAsia="zh-CN"/>
              </w:rPr>
            </w:pPr>
            <w:r>
              <w:rPr>
                <w:rFonts w:hint="eastAsia" w:ascii="宋体" w:hAnsi="宋体"/>
                <w:color w:val="auto"/>
                <w:sz w:val="24"/>
                <w:highlight w:val="none"/>
                <w:lang w:val="en-US" w:eastAsia="zh-CN"/>
              </w:rPr>
              <w:t xml:space="preserve">账  </w:t>
            </w:r>
            <w:r>
              <w:rPr>
                <w:rFonts w:hint="eastAsia" w:ascii="宋体" w:hAnsi="宋体"/>
                <w:color w:val="auto"/>
                <w:sz w:val="24"/>
                <w:highlight w:val="none"/>
              </w:rPr>
              <w:t>号：</w:t>
            </w:r>
            <w:r>
              <w:rPr>
                <w:rFonts w:hint="eastAsia" w:ascii="宋体" w:hAnsi="宋体" w:eastAsia="宋体" w:cs="Times New Roman"/>
                <w:b/>
                <w:color w:val="auto"/>
                <w:kern w:val="2"/>
                <w:sz w:val="24"/>
                <w:szCs w:val="24"/>
                <w:highlight w:val="none"/>
                <w:lang w:val="en-US" w:eastAsia="zh-CN" w:bidi="ar-SA"/>
              </w:rPr>
              <w:t>30208471002351</w:t>
            </w:r>
            <w:bookmarkStart w:id="1112" w:name="_GoBack"/>
            <w:bookmarkEnd w:id="1112"/>
          </w:p>
          <w:p w14:paraId="03F49C07">
            <w:pPr>
              <w:pStyle w:val="11"/>
              <w:outlineLvl w:val="9"/>
              <w:rPr>
                <w:rFonts w:hint="eastAsia" w:ascii="宋体" w:hAnsi="宋体"/>
                <w:b/>
                <w:color w:val="auto"/>
                <w:sz w:val="24"/>
                <w:highlight w:val="none"/>
              </w:rPr>
            </w:pP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本账号仅用于磋商保证金的转账</w:t>
            </w:r>
            <w:r>
              <w:rPr>
                <w:rFonts w:hint="eastAsia" w:ascii="宋体" w:hAnsi="宋体"/>
                <w:b/>
                <w:color w:val="auto"/>
                <w:sz w:val="24"/>
                <w:highlight w:val="none"/>
                <w:lang w:eastAsia="zh-CN"/>
              </w:rPr>
              <w:t>）</w:t>
            </w:r>
          </w:p>
          <w:p w14:paraId="501230BD">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color w:val="auto"/>
                <w:sz w:val="24"/>
                <w:highlight w:val="none"/>
                <w:lang w:eastAsia="zh-CN"/>
              </w:rPr>
            </w:pPr>
            <w:r>
              <w:rPr>
                <w:rFonts w:hint="eastAsia" w:ascii="宋体" w:hAnsi="宋体"/>
                <w:color w:val="auto"/>
                <w:sz w:val="24"/>
                <w:highlight w:val="none"/>
              </w:rPr>
              <w:t>汇款用途：</w:t>
            </w:r>
            <w:r>
              <w:rPr>
                <w:rFonts w:hint="eastAsia" w:ascii="宋体" w:hAnsi="宋体" w:eastAsia="宋体" w:cs="宋体"/>
                <w:color w:val="auto"/>
                <w:kern w:val="1"/>
                <w:sz w:val="24"/>
                <w:highlight w:val="none"/>
                <w:u w:val="single"/>
                <w:lang w:val="en-US" w:eastAsia="zh-CN"/>
              </w:rPr>
              <w:t xml:space="preserve">          （项目名称）</w:t>
            </w:r>
            <w:r>
              <w:rPr>
                <w:rFonts w:hint="eastAsia" w:ascii="宋体" w:hAnsi="宋体"/>
                <w:color w:val="auto"/>
                <w:spacing w:val="0"/>
                <w:sz w:val="24"/>
                <w:highlight w:val="none"/>
                <w:u w:val="none"/>
                <w:lang w:val="en-US" w:eastAsia="zh-CN"/>
              </w:rPr>
              <w:t>磋商保证金（可简写），</w:t>
            </w:r>
            <w:r>
              <w:rPr>
                <w:rFonts w:hint="eastAsia" w:ascii="宋体" w:hAnsi="宋体"/>
                <w:color w:val="auto"/>
                <w:sz w:val="24"/>
                <w:highlight w:val="none"/>
              </w:rPr>
              <w:t>开标时供应商须提供</w:t>
            </w:r>
            <w:r>
              <w:rPr>
                <w:rFonts w:hint="eastAsia" w:ascii="宋体" w:hAnsi="宋体"/>
                <w:color w:val="auto"/>
                <w:sz w:val="24"/>
                <w:highlight w:val="none"/>
                <w:lang w:val="en-US" w:eastAsia="zh-CN"/>
              </w:rPr>
              <w:t>磋商</w:t>
            </w:r>
            <w:r>
              <w:rPr>
                <w:rFonts w:hint="eastAsia" w:ascii="宋体" w:hAnsi="宋体"/>
                <w:color w:val="auto"/>
                <w:sz w:val="24"/>
                <w:highlight w:val="none"/>
              </w:rPr>
              <w:t>保证金转账凭证</w:t>
            </w:r>
            <w:r>
              <w:rPr>
                <w:rFonts w:hint="eastAsia" w:ascii="宋体" w:hAnsi="宋体"/>
                <w:color w:val="auto"/>
                <w:sz w:val="24"/>
                <w:highlight w:val="none"/>
                <w:lang w:val="en-US" w:eastAsia="zh-CN"/>
              </w:rPr>
              <w:t>和基本账户信息证明资料</w:t>
            </w:r>
            <w:r>
              <w:rPr>
                <w:rFonts w:hint="eastAsia" w:ascii="宋体" w:hAnsi="宋体"/>
                <w:color w:val="auto"/>
                <w:sz w:val="24"/>
                <w:highlight w:val="none"/>
              </w:rPr>
              <w:t>复印件</w:t>
            </w:r>
            <w:r>
              <w:rPr>
                <w:rFonts w:hint="eastAsia" w:ascii="宋体" w:hAnsi="宋体"/>
                <w:color w:val="auto"/>
                <w:sz w:val="24"/>
                <w:highlight w:val="none"/>
                <w:lang w:val="en-US" w:eastAsia="zh-CN"/>
              </w:rPr>
              <w:t>并</w:t>
            </w:r>
            <w:r>
              <w:rPr>
                <w:rFonts w:hint="eastAsia" w:ascii="宋体" w:hAnsi="宋体"/>
                <w:color w:val="auto"/>
                <w:sz w:val="24"/>
                <w:highlight w:val="none"/>
              </w:rPr>
              <w:t>加盖单位公章</w:t>
            </w:r>
            <w:r>
              <w:rPr>
                <w:rFonts w:hint="eastAsia" w:cs="宋体"/>
                <w:color w:val="auto"/>
                <w:kern w:val="0"/>
                <w:sz w:val="24"/>
                <w:szCs w:val="24"/>
                <w:highlight w:val="none"/>
                <w:lang w:val="en-US" w:eastAsia="zh-CN"/>
              </w:rPr>
              <w:t>或</w:t>
            </w:r>
            <w:r>
              <w:rPr>
                <w:rFonts w:hint="eastAsia" w:ascii="宋体" w:hAnsi="宋体" w:cs="宋体"/>
                <w:color w:val="auto"/>
                <w:sz w:val="24"/>
                <w:szCs w:val="24"/>
                <w:highlight w:val="none"/>
                <w:lang w:val="en-US" w:eastAsia="zh-CN"/>
              </w:rPr>
              <w:t>金融机构、</w:t>
            </w:r>
            <w:r>
              <w:rPr>
                <w:rFonts w:hint="eastAsia" w:cs="宋体"/>
                <w:color w:val="auto"/>
                <w:kern w:val="0"/>
                <w:sz w:val="24"/>
                <w:szCs w:val="24"/>
                <w:highlight w:val="none"/>
                <w:lang w:val="en-US" w:eastAsia="zh-CN"/>
              </w:rPr>
              <w:t>担保机构出具的保函复印件</w:t>
            </w:r>
            <w:r>
              <w:rPr>
                <w:rFonts w:hint="eastAsia" w:ascii="宋体" w:hAnsi="宋体"/>
                <w:color w:val="auto"/>
                <w:sz w:val="24"/>
                <w:highlight w:val="none"/>
              </w:rPr>
              <w:t>，否则视为自动放弃投标。磋商保证金的有效期与磋商有效期一致。</w:t>
            </w:r>
            <w:r>
              <w:rPr>
                <w:rFonts w:hint="eastAsia" w:ascii="宋体" w:hAnsi="宋体" w:cs="宋体"/>
                <w:color w:val="auto"/>
                <w:sz w:val="24"/>
                <w:szCs w:val="24"/>
                <w:highlight w:val="none"/>
                <w:lang w:val="en-US" w:eastAsia="zh-CN"/>
              </w:rPr>
              <w:t>金融机构、</w:t>
            </w:r>
            <w:r>
              <w:rPr>
                <w:rFonts w:hint="eastAsia" w:ascii="宋体" w:hAnsi="宋体"/>
                <w:color w:val="auto"/>
                <w:sz w:val="24"/>
                <w:highlight w:val="none"/>
              </w:rPr>
              <w:t>担保机构出具的保函的有效期为磋商有效期延长一个月。</w:t>
            </w:r>
          </w:p>
          <w:p w14:paraId="35CE0D58">
            <w:pPr>
              <w:keepNext w:val="0"/>
              <w:keepLines w:val="0"/>
              <w:pageBreakBefore w:val="0"/>
              <w:widowControl w:val="0"/>
              <w:kinsoku/>
              <w:wordWrap/>
              <w:overflowPunct/>
              <w:topLinePunct w:val="0"/>
              <w:autoSpaceDE/>
              <w:autoSpaceDN/>
              <w:bidi w:val="0"/>
              <w:adjustRightInd/>
              <w:spacing w:line="320" w:lineRule="exact"/>
              <w:ind w:left="0" w:leftChars="0" w:right="0" w:rightChars="0" w:firstLine="0" w:firstLineChars="0"/>
              <w:textAlignment w:val="auto"/>
              <w:outlineLvl w:val="9"/>
              <w:rPr>
                <w:rFonts w:hint="eastAsia" w:ascii="宋体" w:hAnsi="宋体"/>
                <w:color w:val="auto"/>
                <w:sz w:val="24"/>
                <w:highlight w:val="none"/>
              </w:rPr>
            </w:pPr>
            <w:r>
              <w:rPr>
                <w:rFonts w:hint="eastAsia" w:ascii="宋体" w:hAnsi="宋体" w:cs="宋体"/>
                <w:b/>
                <w:color w:val="auto"/>
                <w:kern w:val="1"/>
                <w:sz w:val="24"/>
                <w:highlight w:val="none"/>
              </w:rPr>
              <w:t>请转款时务必在摘要处注明项目名称，同时请电话查询是否到账：（</w:t>
            </w:r>
            <w:r>
              <w:rPr>
                <w:rFonts w:hint="eastAsia" w:ascii="宋体" w:hAnsi="宋体" w:cs="宋体"/>
                <w:b/>
                <w:color w:val="auto"/>
                <w:kern w:val="1"/>
                <w:sz w:val="24"/>
                <w:highlight w:val="none"/>
                <w:lang w:val="en-US" w:eastAsia="zh-CN"/>
              </w:rPr>
              <w:t>0913-8219328</w:t>
            </w:r>
            <w:r>
              <w:rPr>
                <w:rFonts w:hint="eastAsia" w:ascii="宋体" w:hAnsi="宋体" w:cs="宋体"/>
                <w:b/>
                <w:color w:val="auto"/>
                <w:kern w:val="1"/>
                <w:sz w:val="24"/>
                <w:highlight w:val="none"/>
              </w:rPr>
              <w:t>）。</w:t>
            </w:r>
          </w:p>
        </w:tc>
      </w:tr>
      <w:tr w14:paraId="296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706" w:type="dxa"/>
            <w:noWrap w:val="0"/>
            <w:vAlign w:val="center"/>
          </w:tcPr>
          <w:p w14:paraId="48253DDE">
            <w:pPr>
              <w:spacing w:line="420" w:lineRule="exact"/>
              <w:jc w:val="center"/>
              <w:outlineLvl w:val="9"/>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2017" w:type="dxa"/>
            <w:noWrap w:val="0"/>
            <w:vAlign w:val="center"/>
          </w:tcPr>
          <w:p w14:paraId="32878929">
            <w:pPr>
              <w:spacing w:line="400" w:lineRule="exact"/>
              <w:jc w:val="center"/>
              <w:outlineLvl w:val="9"/>
              <w:rPr>
                <w:rFonts w:hint="eastAsia" w:ascii="宋体" w:hAnsi="宋体"/>
                <w:color w:val="auto"/>
                <w:sz w:val="24"/>
                <w:highlight w:val="none"/>
              </w:rPr>
            </w:pPr>
            <w:r>
              <w:rPr>
                <w:rFonts w:hint="eastAsia" w:ascii="宋体" w:hAnsi="宋体"/>
                <w:color w:val="auto"/>
                <w:sz w:val="24"/>
                <w:highlight w:val="none"/>
                <w:lang w:eastAsia="zh-CN"/>
              </w:rPr>
              <w:t>招标</w:t>
            </w:r>
            <w:r>
              <w:rPr>
                <w:rFonts w:hint="eastAsia" w:ascii="宋体" w:hAnsi="宋体"/>
                <w:color w:val="auto"/>
                <w:sz w:val="24"/>
                <w:highlight w:val="none"/>
              </w:rPr>
              <w:t>代理</w:t>
            </w:r>
            <w:r>
              <w:rPr>
                <w:rFonts w:hint="eastAsia" w:ascii="宋体" w:hAnsi="宋体"/>
                <w:color w:val="auto"/>
                <w:sz w:val="24"/>
                <w:highlight w:val="none"/>
                <w:lang w:val="en-US" w:eastAsia="zh-CN"/>
              </w:rPr>
              <w:t>服务</w:t>
            </w:r>
            <w:r>
              <w:rPr>
                <w:rFonts w:hint="eastAsia" w:ascii="宋体" w:hAnsi="宋体"/>
                <w:color w:val="auto"/>
                <w:sz w:val="24"/>
                <w:highlight w:val="none"/>
              </w:rPr>
              <w:t>费</w:t>
            </w:r>
            <w:r>
              <w:rPr>
                <w:rFonts w:hint="eastAsia" w:ascii="宋体" w:hAnsi="宋体"/>
                <w:color w:val="auto"/>
                <w:sz w:val="24"/>
                <w:highlight w:val="none"/>
                <w:lang w:eastAsia="zh-CN"/>
              </w:rPr>
              <w:t>及造价咨询服务费</w:t>
            </w:r>
            <w:r>
              <w:rPr>
                <w:rFonts w:hint="eastAsia" w:ascii="宋体" w:hAnsi="宋体"/>
                <w:color w:val="auto"/>
                <w:sz w:val="24"/>
                <w:highlight w:val="none"/>
              </w:rPr>
              <w:t>的收费依据及支付依据</w:t>
            </w:r>
          </w:p>
        </w:tc>
        <w:tc>
          <w:tcPr>
            <w:tcW w:w="7161" w:type="dxa"/>
            <w:noWrap w:val="0"/>
            <w:vAlign w:val="center"/>
          </w:tcPr>
          <w:p w14:paraId="567CC0B7">
            <w:pPr>
              <w:spacing w:line="400" w:lineRule="exact"/>
              <w:jc w:val="both"/>
              <w:outlineLvl w:val="9"/>
              <w:rPr>
                <w:rFonts w:hint="default"/>
                <w:color w:val="auto"/>
                <w:highlight w:val="none"/>
                <w:lang w:val="en-US"/>
              </w:rPr>
            </w:pPr>
            <w:r>
              <w:rPr>
                <w:rFonts w:hint="eastAsia" w:ascii="宋体" w:hAnsi="宋体" w:cs="宋体"/>
                <w:kern w:val="0"/>
                <w:sz w:val="24"/>
                <w:szCs w:val="24"/>
                <w:highlight w:val="none"/>
                <w:lang w:val="en-US" w:eastAsia="zh-CN"/>
              </w:rPr>
              <w:t>招标代理服务费参照国家计委印发《招标代理服务收费管理暂行办法》的通知（计价格[2002]1980号）计算收取，按照《国家发展改革委办公厅关于招标代理服务收费有关问题的通知》（发改办价格[2003]857号）规定，由成交供应商支付。造价咨询服务费按（陕价行发[2014]88号文件）计算收取，由成交供应商支付。</w:t>
            </w:r>
            <w:r>
              <w:rPr>
                <w:rFonts w:hint="eastAsia" w:ascii="宋体" w:hAnsi="宋体" w:eastAsia="宋体" w:cs="Times New Roman"/>
                <w:sz w:val="24"/>
                <w:highlight w:val="none"/>
                <w:lang w:val="en-US" w:eastAsia="zh-CN"/>
              </w:rPr>
              <w:t>该费用由供应商综合考虑，投标报价时不对此费用单独列项。</w:t>
            </w:r>
            <w:r>
              <w:rPr>
                <w:rFonts w:hint="eastAsia" w:ascii="宋体" w:hAnsi="宋体" w:cs="宋体"/>
                <w:kern w:val="0"/>
                <w:sz w:val="24"/>
                <w:szCs w:val="24"/>
                <w:highlight w:val="none"/>
                <w:lang w:val="en-US" w:eastAsia="zh-CN"/>
              </w:rPr>
              <w:t>若本次招标失败（非代理机构原因），招标代理服务费和造价咨询服务费由采购人支付。具体金额详见中标（成交）结果公告，在领取中标（成交）通知书时向采购代理机构一次付清（现金或转账）。</w:t>
            </w:r>
          </w:p>
        </w:tc>
      </w:tr>
      <w:tr w14:paraId="3C9B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06" w:type="dxa"/>
            <w:noWrap w:val="0"/>
            <w:vAlign w:val="center"/>
          </w:tcPr>
          <w:p w14:paraId="02BB4C37">
            <w:pPr>
              <w:spacing w:line="420" w:lineRule="exact"/>
              <w:jc w:val="center"/>
              <w:outlineLvl w:val="9"/>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2017" w:type="dxa"/>
            <w:noWrap w:val="0"/>
            <w:vAlign w:val="center"/>
          </w:tcPr>
          <w:p w14:paraId="5551327C">
            <w:pPr>
              <w:spacing w:line="400" w:lineRule="exact"/>
              <w:jc w:val="center"/>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最高限价</w:t>
            </w:r>
          </w:p>
        </w:tc>
        <w:tc>
          <w:tcPr>
            <w:tcW w:w="7161" w:type="dxa"/>
            <w:noWrap w:val="0"/>
            <w:vAlign w:val="center"/>
          </w:tcPr>
          <w:p w14:paraId="0BE6F9F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lang w:eastAsia="zh-CN"/>
              </w:rPr>
            </w:pPr>
            <w:r>
              <w:rPr>
                <w:rFonts w:hint="eastAsia" w:ascii="宋体" w:hAnsi="宋体" w:cs="Times New Roman"/>
                <w:color w:val="auto"/>
                <w:sz w:val="24"/>
                <w:highlight w:val="none"/>
                <w:lang w:val="en-US" w:eastAsia="zh-CN"/>
              </w:rPr>
              <w:t>壹佰叁拾玖万伍仟肆佰捌拾叁元叁角柒分（</w:t>
            </w:r>
            <w:r>
              <w:rPr>
                <w:rFonts w:hint="eastAsia" w:ascii="宋体" w:hAnsi="宋体" w:cs="宋体"/>
                <w:i w:val="0"/>
                <w:iCs w:val="0"/>
                <w:caps w:val="0"/>
                <w:color w:val="auto"/>
                <w:spacing w:val="0"/>
                <w:sz w:val="24"/>
                <w:szCs w:val="24"/>
                <w:shd w:val="clear" w:fill="FFFFFF"/>
                <w:lang w:val="en-US" w:eastAsia="zh-CN"/>
              </w:rPr>
              <w:t>1,395,483.37</w:t>
            </w:r>
            <w:r>
              <w:rPr>
                <w:rFonts w:hint="eastAsia" w:ascii="宋体" w:hAnsi="宋体" w:cs="Times New Roman"/>
                <w:color w:val="auto"/>
                <w:sz w:val="24"/>
                <w:highlight w:val="none"/>
                <w:lang w:val="en-US" w:eastAsia="zh-CN"/>
              </w:rPr>
              <w:t>元</w:t>
            </w:r>
            <w:r>
              <w:rPr>
                <w:rFonts w:hint="eastAsia" w:ascii="宋体" w:hAnsi="宋体"/>
                <w:color w:val="auto"/>
                <w:sz w:val="24"/>
                <w:highlight w:val="none"/>
                <w:lang w:val="en-US" w:eastAsia="zh-CN"/>
              </w:rPr>
              <w:t xml:space="preserve">）                           </w:t>
            </w:r>
          </w:p>
          <w:p w14:paraId="469AEBA1">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任何超过此</w:t>
            </w:r>
            <w:r>
              <w:rPr>
                <w:rFonts w:hint="eastAsia" w:ascii="宋体" w:hAnsi="宋体"/>
                <w:color w:val="auto"/>
                <w:sz w:val="24"/>
                <w:highlight w:val="none"/>
                <w:lang w:val="en-US" w:eastAsia="zh-CN"/>
              </w:rPr>
              <w:t>价</w:t>
            </w:r>
            <w:r>
              <w:rPr>
                <w:rFonts w:hint="eastAsia" w:ascii="宋体" w:hAnsi="宋体"/>
                <w:color w:val="auto"/>
                <w:sz w:val="24"/>
                <w:highlight w:val="none"/>
              </w:rPr>
              <w:t>的</w:t>
            </w:r>
            <w:r>
              <w:rPr>
                <w:rFonts w:hint="eastAsia" w:ascii="宋体" w:hAnsi="宋体"/>
                <w:color w:val="auto"/>
                <w:sz w:val="24"/>
                <w:highlight w:val="none"/>
                <w:lang w:val="en-US" w:eastAsia="zh-CN"/>
              </w:rPr>
              <w:t>磋商</w:t>
            </w:r>
            <w:r>
              <w:rPr>
                <w:rFonts w:hint="eastAsia" w:ascii="宋体" w:hAnsi="宋体"/>
                <w:color w:val="auto"/>
                <w:sz w:val="24"/>
                <w:highlight w:val="none"/>
              </w:rPr>
              <w:t>报价，采购人不予接受。</w:t>
            </w:r>
          </w:p>
        </w:tc>
      </w:tr>
      <w:tr w14:paraId="043B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06" w:type="dxa"/>
            <w:noWrap w:val="0"/>
            <w:vAlign w:val="center"/>
          </w:tcPr>
          <w:p w14:paraId="3844EDBF">
            <w:pPr>
              <w:spacing w:line="420" w:lineRule="exact"/>
              <w:jc w:val="center"/>
              <w:outlineLvl w:val="9"/>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2017" w:type="dxa"/>
            <w:noWrap w:val="0"/>
            <w:vAlign w:val="center"/>
          </w:tcPr>
          <w:p w14:paraId="311C0F5D">
            <w:pPr>
              <w:spacing w:line="400" w:lineRule="exact"/>
              <w:jc w:val="center"/>
              <w:outlineLvl w:val="9"/>
              <w:rPr>
                <w:rFonts w:hint="eastAsia" w:ascii="宋体" w:hAnsi="宋体"/>
                <w:color w:val="auto"/>
                <w:sz w:val="24"/>
              </w:rPr>
            </w:pPr>
            <w:r>
              <w:rPr>
                <w:rFonts w:hint="eastAsia" w:ascii="宋体" w:hAnsi="宋体" w:eastAsia="宋体" w:cs="Times New Roman"/>
                <w:color w:val="auto"/>
                <w:sz w:val="24"/>
                <w:lang w:val="en-US" w:eastAsia="zh-CN"/>
              </w:rPr>
              <w:t>签字或盖章要求</w:t>
            </w:r>
          </w:p>
        </w:tc>
        <w:tc>
          <w:tcPr>
            <w:tcW w:w="7161" w:type="dxa"/>
            <w:noWrap w:val="0"/>
            <w:vAlign w:val="center"/>
          </w:tcPr>
          <w:p w14:paraId="4B20C816">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1.响应文件</w:t>
            </w:r>
            <w:r>
              <w:rPr>
                <w:rFonts w:hint="eastAsia" w:ascii="宋体" w:hAnsi="宋体" w:cs="Times New Roman"/>
                <w:color w:val="auto"/>
                <w:sz w:val="24"/>
                <w:highlight w:val="none"/>
                <w:lang w:val="en-US" w:eastAsia="zh-CN"/>
              </w:rPr>
              <w:t>封套</w:t>
            </w:r>
            <w:r>
              <w:rPr>
                <w:rFonts w:hint="eastAsia" w:ascii="宋体" w:hAnsi="宋体" w:eastAsia="宋体" w:cs="Times New Roman"/>
                <w:color w:val="auto"/>
                <w:sz w:val="24"/>
                <w:highlight w:val="none"/>
                <w:lang w:val="en-US" w:eastAsia="zh-CN"/>
              </w:rPr>
              <w:t xml:space="preserve">上加盖供应商单位公章和法定代表人或其被授权人签字或盖章，封口加盖供应商单位公章。 </w:t>
            </w:r>
          </w:p>
          <w:p w14:paraId="542C1614">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2.响应文件格式中标明签字和盖章处，应签字或盖章。 </w:t>
            </w:r>
          </w:p>
          <w:p w14:paraId="56DF25CD">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rPr>
            </w:pPr>
            <w:r>
              <w:rPr>
                <w:rFonts w:hint="eastAsia" w:ascii="宋体" w:hAnsi="宋体" w:eastAsia="宋体" w:cs="Times New Roman"/>
                <w:color w:val="auto"/>
                <w:sz w:val="24"/>
                <w:highlight w:val="none"/>
                <w:lang w:val="en-US" w:eastAsia="zh-CN"/>
              </w:rPr>
              <w:t>3.已标价工程量清单应逐页加盖供应商单位公章和法定代表人或其被授权人签字，且造价人员应签字并加盖执业印章。</w:t>
            </w:r>
          </w:p>
        </w:tc>
      </w:tr>
      <w:tr w14:paraId="4C79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06" w:type="dxa"/>
            <w:noWrap w:val="0"/>
            <w:vAlign w:val="center"/>
          </w:tcPr>
          <w:p w14:paraId="092EAD88">
            <w:pPr>
              <w:spacing w:line="420" w:lineRule="exact"/>
              <w:jc w:val="center"/>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23</w:t>
            </w:r>
          </w:p>
        </w:tc>
        <w:tc>
          <w:tcPr>
            <w:tcW w:w="2017" w:type="dxa"/>
            <w:noWrap w:val="0"/>
            <w:vAlign w:val="center"/>
          </w:tcPr>
          <w:p w14:paraId="3AF98888">
            <w:pPr>
              <w:spacing w:line="400" w:lineRule="exact"/>
              <w:jc w:val="center"/>
              <w:outlineLvl w:val="9"/>
              <w:rPr>
                <w:rFonts w:hint="eastAsia" w:ascii="宋体" w:hAnsi="宋体" w:eastAsia="宋体" w:cs="Times New Roman"/>
                <w:color w:val="auto"/>
                <w:kern w:val="2"/>
                <w:sz w:val="24"/>
                <w:szCs w:val="24"/>
                <w:lang w:val="en-US" w:eastAsia="zh-CN" w:bidi="ar-SA"/>
              </w:rPr>
            </w:pPr>
            <w:r>
              <w:rPr>
                <w:rFonts w:hint="eastAsia" w:ascii="宋体" w:hAnsi="宋体"/>
                <w:color w:val="auto"/>
                <w:sz w:val="24"/>
              </w:rPr>
              <w:t>递交磋商响应文件截止时间、地点</w:t>
            </w:r>
          </w:p>
        </w:tc>
        <w:tc>
          <w:tcPr>
            <w:tcW w:w="7161" w:type="dxa"/>
            <w:noWrap w:val="0"/>
            <w:vAlign w:val="center"/>
          </w:tcPr>
          <w:p w14:paraId="159FD3EF">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份 数：正本一</w:t>
            </w:r>
            <w:r>
              <w:rPr>
                <w:rFonts w:hint="eastAsia" w:ascii="宋体" w:hAnsi="宋体"/>
                <w:color w:val="auto"/>
                <w:sz w:val="24"/>
                <w:highlight w:val="none"/>
                <w:lang w:eastAsia="zh-CN"/>
              </w:rPr>
              <w:t>份</w:t>
            </w:r>
            <w:r>
              <w:rPr>
                <w:rFonts w:hint="eastAsia" w:ascii="宋体" w:hAnsi="宋体"/>
                <w:color w:val="auto"/>
                <w:sz w:val="24"/>
                <w:highlight w:val="none"/>
              </w:rPr>
              <w:t>、副本</w:t>
            </w:r>
            <w:r>
              <w:rPr>
                <w:rFonts w:hint="eastAsia" w:ascii="宋体" w:hAnsi="宋体"/>
                <w:color w:val="auto"/>
                <w:sz w:val="24"/>
                <w:highlight w:val="none"/>
                <w:lang w:val="en-US" w:eastAsia="zh-CN"/>
              </w:rPr>
              <w:t>三份</w:t>
            </w:r>
            <w:r>
              <w:rPr>
                <w:rFonts w:hint="eastAsia" w:ascii="宋体" w:hAnsi="宋体"/>
                <w:color w:val="auto"/>
                <w:sz w:val="24"/>
                <w:highlight w:val="none"/>
              </w:rPr>
              <w:t>及电子U盘</w:t>
            </w:r>
            <w:r>
              <w:rPr>
                <w:rFonts w:hint="eastAsia" w:ascii="宋体" w:hAnsi="宋体"/>
                <w:color w:val="auto"/>
                <w:sz w:val="24"/>
                <w:highlight w:val="none"/>
                <w:lang w:val="en-US" w:eastAsia="zh-CN"/>
              </w:rPr>
              <w:t>三份</w:t>
            </w:r>
          </w:p>
          <w:p w14:paraId="55DB0C68">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时 间：20</w:t>
            </w:r>
            <w:r>
              <w:rPr>
                <w:rFonts w:hint="eastAsia" w:ascii="宋体" w:hAnsi="宋体"/>
                <w:color w:val="auto"/>
                <w:sz w:val="24"/>
                <w:highlight w:val="none"/>
                <w:lang w:val="en-US" w:eastAsia="zh-CN"/>
              </w:rPr>
              <w:t>25</w:t>
            </w:r>
            <w:r>
              <w:rPr>
                <w:rFonts w:hint="eastAsia" w:ascii="宋体" w:hAnsi="宋体"/>
                <w:color w:val="auto"/>
                <w:sz w:val="24"/>
                <w:highlight w:val="none"/>
              </w:rPr>
              <w:t>年</w:t>
            </w:r>
            <w:r>
              <w:rPr>
                <w:rFonts w:hint="eastAsia" w:ascii="宋体" w:hAnsi="宋体"/>
                <w:color w:val="auto"/>
                <w:sz w:val="24"/>
                <w:highlight w:val="none"/>
                <w:lang w:val="en-US" w:eastAsia="zh-CN"/>
              </w:rPr>
              <w:t>06</w:t>
            </w:r>
            <w:r>
              <w:rPr>
                <w:rFonts w:hint="eastAsia" w:ascii="宋体" w:hAnsi="宋体"/>
                <w:color w:val="auto"/>
                <w:sz w:val="24"/>
                <w:highlight w:val="none"/>
              </w:rPr>
              <w:t>月</w:t>
            </w:r>
            <w:r>
              <w:rPr>
                <w:rFonts w:hint="eastAsia" w:ascii="宋体" w:hAnsi="宋体"/>
                <w:color w:val="auto"/>
                <w:sz w:val="24"/>
                <w:highlight w:val="none"/>
                <w:lang w:val="en-US" w:eastAsia="zh-CN"/>
              </w:rPr>
              <w:t>17</w:t>
            </w:r>
            <w:r>
              <w:rPr>
                <w:rFonts w:hint="eastAsia" w:ascii="宋体" w:hAnsi="宋体"/>
                <w:color w:val="auto"/>
                <w:sz w:val="24"/>
                <w:highlight w:val="none"/>
              </w:rPr>
              <w:t>日</w:t>
            </w:r>
            <w:r>
              <w:rPr>
                <w:rFonts w:hint="eastAsia" w:ascii="宋体" w:hAnsi="宋体"/>
                <w:color w:val="auto"/>
                <w:sz w:val="24"/>
                <w:highlight w:val="none"/>
                <w:lang w:val="en-US" w:eastAsia="zh-CN"/>
              </w:rPr>
              <w:t>14</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(北京时间)</w:t>
            </w:r>
          </w:p>
          <w:p w14:paraId="7AAEE3EE">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rPr>
            </w:pPr>
            <w:r>
              <w:rPr>
                <w:rFonts w:hint="eastAsia" w:ascii="宋体" w:hAnsi="宋体"/>
                <w:color w:val="auto"/>
                <w:sz w:val="24"/>
                <w:highlight w:val="none"/>
              </w:rPr>
              <w:t>地 点：华春众创工场（富平）会议室</w:t>
            </w:r>
          </w:p>
          <w:p w14:paraId="2640A828">
            <w:pPr>
              <w:keepNext w:val="0"/>
              <w:keepLines w:val="0"/>
              <w:pageBreakBefore w:val="0"/>
              <w:widowControl w:val="0"/>
              <w:kinsoku/>
              <w:wordWrap/>
              <w:overflowPunct/>
              <w:topLinePunct w:val="0"/>
              <w:autoSpaceDE/>
              <w:autoSpaceDN/>
              <w:bidi w:val="0"/>
              <w:adjustRightInd/>
              <w:snapToGrid/>
              <w:spacing w:line="360" w:lineRule="exact"/>
              <w:ind w:left="960" w:leftChars="0" w:hanging="960" w:hangingChars="400"/>
              <w:textAlignment w:val="auto"/>
              <w:outlineLvl w:val="9"/>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（详细地址：富平县富兴路中段西侧紫御台B区商务楼四层）</w:t>
            </w:r>
          </w:p>
        </w:tc>
      </w:tr>
      <w:tr w14:paraId="0496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06" w:type="dxa"/>
            <w:noWrap w:val="0"/>
            <w:vAlign w:val="center"/>
          </w:tcPr>
          <w:p w14:paraId="5FF52A90">
            <w:pPr>
              <w:spacing w:line="420" w:lineRule="exact"/>
              <w:jc w:val="center"/>
              <w:outlineLvl w:val="9"/>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2017" w:type="dxa"/>
            <w:noWrap w:val="0"/>
            <w:vAlign w:val="center"/>
          </w:tcPr>
          <w:p w14:paraId="079B43E2">
            <w:pPr>
              <w:spacing w:line="400" w:lineRule="exact"/>
              <w:jc w:val="center"/>
              <w:outlineLvl w:val="9"/>
              <w:rPr>
                <w:rFonts w:hint="eastAsia" w:ascii="宋体" w:hAnsi="宋体"/>
                <w:color w:val="auto"/>
                <w:sz w:val="24"/>
              </w:rPr>
            </w:pPr>
            <w:r>
              <w:rPr>
                <w:rFonts w:hint="eastAsia" w:ascii="宋体" w:hAnsi="宋体"/>
                <w:color w:val="auto"/>
                <w:sz w:val="24"/>
              </w:rPr>
              <w:t>开标时间及地点</w:t>
            </w:r>
          </w:p>
        </w:tc>
        <w:tc>
          <w:tcPr>
            <w:tcW w:w="7161" w:type="dxa"/>
            <w:noWrap w:val="0"/>
            <w:vAlign w:val="center"/>
          </w:tcPr>
          <w:p w14:paraId="453F4917">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开标时间：20</w:t>
            </w:r>
            <w:r>
              <w:rPr>
                <w:rFonts w:hint="eastAsia" w:ascii="宋体" w:hAnsi="宋体"/>
                <w:color w:val="auto"/>
                <w:sz w:val="24"/>
                <w:highlight w:val="none"/>
                <w:lang w:val="en-US" w:eastAsia="zh-CN"/>
              </w:rPr>
              <w:t>25</w:t>
            </w:r>
            <w:r>
              <w:rPr>
                <w:rFonts w:hint="eastAsia" w:ascii="宋体" w:hAnsi="宋体"/>
                <w:color w:val="auto"/>
                <w:sz w:val="24"/>
                <w:highlight w:val="none"/>
              </w:rPr>
              <w:t>年</w:t>
            </w:r>
            <w:r>
              <w:rPr>
                <w:rFonts w:hint="eastAsia" w:ascii="宋体" w:hAnsi="宋体"/>
                <w:color w:val="auto"/>
                <w:sz w:val="24"/>
                <w:highlight w:val="none"/>
                <w:lang w:val="en-US" w:eastAsia="zh-CN"/>
              </w:rPr>
              <w:t>06</w:t>
            </w:r>
            <w:r>
              <w:rPr>
                <w:rFonts w:hint="eastAsia" w:ascii="宋体" w:hAnsi="宋体"/>
                <w:color w:val="auto"/>
                <w:sz w:val="24"/>
                <w:highlight w:val="none"/>
              </w:rPr>
              <w:t>月</w:t>
            </w:r>
            <w:r>
              <w:rPr>
                <w:rFonts w:hint="eastAsia" w:ascii="宋体" w:hAnsi="宋体"/>
                <w:color w:val="auto"/>
                <w:sz w:val="24"/>
                <w:highlight w:val="none"/>
                <w:lang w:val="en-US" w:eastAsia="zh-CN"/>
              </w:rPr>
              <w:t>17</w:t>
            </w:r>
            <w:r>
              <w:rPr>
                <w:rFonts w:hint="eastAsia" w:ascii="宋体" w:hAnsi="宋体"/>
                <w:color w:val="auto"/>
                <w:sz w:val="24"/>
                <w:highlight w:val="none"/>
              </w:rPr>
              <w:t>日</w:t>
            </w:r>
            <w:r>
              <w:rPr>
                <w:rFonts w:hint="eastAsia" w:ascii="宋体" w:hAnsi="宋体"/>
                <w:color w:val="auto"/>
                <w:sz w:val="24"/>
                <w:highlight w:val="none"/>
                <w:lang w:val="en-US" w:eastAsia="zh-CN"/>
              </w:rPr>
              <w:t>14</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(北京时间)</w:t>
            </w:r>
          </w:p>
          <w:p w14:paraId="76BCACFB">
            <w:pPr>
              <w:keepNext w:val="0"/>
              <w:keepLines w:val="0"/>
              <w:pageBreakBefore w:val="0"/>
              <w:widowControl w:val="0"/>
              <w:tabs>
                <w:tab w:val="left" w:pos="1080"/>
                <w:tab w:val="left" w:pos="3240"/>
              </w:tabs>
              <w:kinsoku/>
              <w:wordWrap/>
              <w:overflowPunct/>
              <w:topLinePunct w:val="0"/>
              <w:autoSpaceDE/>
              <w:autoSpaceDN/>
              <w:bidi w:val="0"/>
              <w:adjustRightInd/>
              <w:snapToGrid/>
              <w:spacing w:line="360" w:lineRule="exact"/>
              <w:textAlignment w:val="auto"/>
              <w:outlineLvl w:val="9"/>
              <w:rPr>
                <w:rFonts w:hint="eastAsia" w:ascii="宋体" w:hAnsi="宋体"/>
                <w:color w:val="auto"/>
                <w:sz w:val="24"/>
                <w:highlight w:val="none"/>
              </w:rPr>
            </w:pPr>
            <w:r>
              <w:rPr>
                <w:rFonts w:hint="eastAsia" w:ascii="宋体" w:hAnsi="宋体"/>
                <w:color w:val="auto"/>
                <w:sz w:val="24"/>
                <w:highlight w:val="none"/>
              </w:rPr>
              <w:t>开标地点：华春众创工场（富平）会议室</w:t>
            </w:r>
          </w:p>
          <w:p w14:paraId="5A148F8B">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outlineLvl w:val="9"/>
              <w:rPr>
                <w:rFonts w:hint="eastAsia" w:ascii="宋体" w:hAnsi="宋体"/>
                <w:color w:val="auto"/>
                <w:sz w:val="24"/>
                <w:highlight w:val="none"/>
              </w:rPr>
            </w:pPr>
            <w:r>
              <w:rPr>
                <w:rFonts w:hint="eastAsia" w:ascii="宋体" w:hAnsi="宋体"/>
                <w:color w:val="auto"/>
                <w:sz w:val="24"/>
                <w:highlight w:val="none"/>
              </w:rPr>
              <w:t>（详细地址：富平县富兴路中段西侧紫御台B区商务楼四层）</w:t>
            </w:r>
          </w:p>
        </w:tc>
      </w:tr>
      <w:tr w14:paraId="6BA6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706" w:type="dxa"/>
            <w:noWrap w:val="0"/>
            <w:vAlign w:val="center"/>
          </w:tcPr>
          <w:p w14:paraId="3713FD3A">
            <w:pPr>
              <w:spacing w:line="420" w:lineRule="exact"/>
              <w:jc w:val="center"/>
              <w:outlineLvl w:val="9"/>
              <w:rPr>
                <w:rFonts w:hint="default" w:ascii="宋体" w:hAnsi="宋体"/>
                <w:color w:val="auto"/>
                <w:sz w:val="24"/>
                <w:highlight w:val="none"/>
                <w:lang w:val="en-US"/>
              </w:rPr>
            </w:pPr>
            <w:r>
              <w:rPr>
                <w:rFonts w:hint="eastAsia" w:ascii="宋体" w:hAnsi="宋体"/>
                <w:color w:val="auto"/>
                <w:sz w:val="24"/>
                <w:highlight w:val="none"/>
                <w:lang w:val="en-US" w:eastAsia="zh-CN"/>
              </w:rPr>
              <w:t>25</w:t>
            </w:r>
          </w:p>
        </w:tc>
        <w:tc>
          <w:tcPr>
            <w:tcW w:w="2017" w:type="dxa"/>
            <w:noWrap w:val="0"/>
            <w:vAlign w:val="center"/>
          </w:tcPr>
          <w:p w14:paraId="7964946F">
            <w:pPr>
              <w:jc w:val="center"/>
              <w:outlineLvl w:val="9"/>
              <w:rPr>
                <w:rFonts w:hint="eastAsia" w:ascii="宋体" w:hAnsi="宋体"/>
                <w:color w:val="auto"/>
                <w:sz w:val="24"/>
              </w:rPr>
            </w:pPr>
            <w:r>
              <w:rPr>
                <w:rFonts w:hint="eastAsia" w:ascii="宋体" w:hAnsi="宋体" w:cs="宋体"/>
                <w:color w:val="auto"/>
                <w:kern w:val="1"/>
                <w:sz w:val="24"/>
                <w:lang w:eastAsia="zh-CN"/>
              </w:rPr>
              <w:t>质疑与投诉</w:t>
            </w:r>
          </w:p>
        </w:tc>
        <w:tc>
          <w:tcPr>
            <w:tcW w:w="7161" w:type="dxa"/>
            <w:noWrap w:val="0"/>
            <w:vAlign w:val="center"/>
          </w:tcPr>
          <w:p w14:paraId="320C4143">
            <w:pPr>
              <w:keepNext w:val="0"/>
              <w:keepLines w:val="0"/>
              <w:pageBreakBefore w:val="0"/>
              <w:widowControl w:val="0"/>
              <w:kinsoku/>
              <w:wordWrap/>
              <w:overflowPunct/>
              <w:topLinePunct w:val="0"/>
              <w:autoSpaceDE/>
              <w:autoSpaceDN/>
              <w:bidi w:val="0"/>
              <w:adjustRightInd/>
              <w:snapToGrid/>
              <w:spacing w:line="360" w:lineRule="exact"/>
              <w:ind w:left="0" w:firstLine="0"/>
              <w:textAlignment w:val="auto"/>
              <w:outlineLvl w:val="9"/>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质疑、投诉的接收和处理严格按照</w:t>
            </w:r>
            <w:r>
              <w:rPr>
                <w:rFonts w:hint="eastAsia" w:ascii="宋体" w:hAnsi="宋体" w:cs="宋体"/>
                <w:color w:val="auto"/>
                <w:kern w:val="1"/>
                <w:sz w:val="24"/>
                <w:highlight w:val="none"/>
                <w:lang w:val="en-US" w:eastAsia="zh-CN"/>
              </w:rPr>
              <w:t>《中华人民共和国政府采购法》《政府采购供应商投诉处理办法》《政府采购质疑和投诉办法》《财政部关于加强政府采购供应</w:t>
            </w:r>
            <w:r>
              <w:rPr>
                <w:rFonts w:hint="eastAsia" w:ascii="宋体" w:hAnsi="宋体" w:cs="宋体"/>
                <w:color w:val="auto"/>
                <w:kern w:val="1"/>
                <w:sz w:val="24"/>
                <w:lang w:val="en-US" w:eastAsia="zh-CN"/>
              </w:rPr>
              <w:t>商投诉受理审查工作的通知》等的相关规定办理。</w:t>
            </w:r>
          </w:p>
          <w:p w14:paraId="5A6DF10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s="宋体"/>
                <w:color w:val="auto"/>
                <w:kern w:val="1"/>
                <w:sz w:val="24"/>
                <w:lang w:val="en-US" w:eastAsia="zh-CN"/>
              </w:rPr>
            </w:pPr>
            <w:r>
              <w:rPr>
                <w:rFonts w:hint="eastAsia" w:ascii="宋体" w:hAnsi="宋体" w:cs="宋体"/>
                <w:color w:val="auto"/>
                <w:kern w:val="1"/>
                <w:sz w:val="24"/>
                <w:lang w:val="en-US" w:eastAsia="zh-CN"/>
              </w:rPr>
              <w:t>投诉联系方式：0913-8219328</w:t>
            </w:r>
          </w:p>
          <w:p w14:paraId="557F8CD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color w:val="auto"/>
                <w:sz w:val="24"/>
              </w:rPr>
            </w:pPr>
            <w:r>
              <w:rPr>
                <w:rFonts w:hint="eastAsia" w:ascii="宋体" w:hAnsi="宋体" w:cs="宋体"/>
                <w:color w:val="auto"/>
                <w:kern w:val="1"/>
                <w:sz w:val="24"/>
                <w:lang w:val="en-US" w:eastAsia="zh-CN"/>
              </w:rPr>
              <w:t>投诉联系地址：同报名地址</w:t>
            </w:r>
          </w:p>
        </w:tc>
      </w:tr>
      <w:tr w14:paraId="434F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06" w:type="dxa"/>
            <w:noWrap w:val="0"/>
            <w:vAlign w:val="center"/>
          </w:tcPr>
          <w:p w14:paraId="1E16D148">
            <w:pPr>
              <w:spacing w:line="420" w:lineRule="exact"/>
              <w:jc w:val="center"/>
              <w:outlineLvl w:val="9"/>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26</w:t>
            </w:r>
          </w:p>
        </w:tc>
        <w:tc>
          <w:tcPr>
            <w:tcW w:w="2017" w:type="dxa"/>
            <w:noWrap w:val="0"/>
            <w:vAlign w:val="center"/>
          </w:tcPr>
          <w:p w14:paraId="7C954B92">
            <w:pPr>
              <w:spacing w:line="400" w:lineRule="exact"/>
              <w:ind w:left="960" w:hanging="960" w:hangingChars="400"/>
              <w:outlineLvl w:val="9"/>
              <w:rPr>
                <w:rFonts w:hint="eastAsia" w:ascii="宋体" w:hAnsi="宋体"/>
                <w:color w:val="auto"/>
                <w:sz w:val="24"/>
              </w:rPr>
            </w:pPr>
            <w:r>
              <w:rPr>
                <w:rFonts w:hint="eastAsia" w:ascii="宋体" w:hAnsi="宋体"/>
                <w:color w:val="auto"/>
                <w:sz w:val="24"/>
              </w:rPr>
              <w:t>磋商报价次数、磋</w:t>
            </w:r>
          </w:p>
          <w:p w14:paraId="26E12C5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eastAsia" w:ascii="宋体" w:hAnsi="宋体"/>
                <w:color w:val="auto"/>
                <w:szCs w:val="21"/>
              </w:rPr>
            </w:pPr>
            <w:r>
              <w:rPr>
                <w:rFonts w:hint="eastAsia" w:ascii="宋体" w:hAnsi="宋体"/>
                <w:color w:val="auto"/>
                <w:sz w:val="24"/>
              </w:rPr>
              <w:t>商程序和最终报价的产生原则</w:t>
            </w:r>
          </w:p>
        </w:tc>
        <w:tc>
          <w:tcPr>
            <w:tcW w:w="7161" w:type="dxa"/>
            <w:noWrap w:val="0"/>
            <w:vAlign w:val="center"/>
          </w:tcPr>
          <w:p w14:paraId="7CAE0F98">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highlight w:val="yellow"/>
                <w:lang w:eastAsia="zh-CN"/>
              </w:rPr>
            </w:pPr>
            <w:r>
              <w:rPr>
                <w:rFonts w:hint="eastAsia" w:ascii="宋体" w:hAnsi="宋体"/>
                <w:color w:val="auto"/>
                <w:sz w:val="24"/>
              </w:rPr>
              <w:t>本次磋商采用二次报价。</w:t>
            </w:r>
          </w:p>
          <w:p w14:paraId="0A6EAB40">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rPr>
            </w:pPr>
            <w:r>
              <w:rPr>
                <w:rFonts w:hint="eastAsia" w:ascii="宋体" w:hAnsi="宋体"/>
                <w:color w:val="auto"/>
                <w:sz w:val="24"/>
              </w:rPr>
              <w:t>磋商程序为：</w:t>
            </w:r>
          </w:p>
          <w:p w14:paraId="426E4E19">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rPr>
            </w:pPr>
            <w:r>
              <w:rPr>
                <w:rFonts w:hint="eastAsia" w:ascii="宋体" w:hAnsi="宋体"/>
                <w:color w:val="auto"/>
                <w:sz w:val="24"/>
              </w:rPr>
              <w:t>磋商小组对所有提交的响应文件进行评审；</w:t>
            </w:r>
          </w:p>
          <w:p w14:paraId="0B5121B5">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rPr>
            </w:pPr>
            <w:r>
              <w:rPr>
                <w:rFonts w:hint="eastAsia" w:ascii="宋体" w:hAnsi="宋体"/>
                <w:color w:val="auto"/>
                <w:sz w:val="24"/>
              </w:rPr>
              <w:t>磋商小组所有成员应当集中与单一供应商分别进行磋商；</w:t>
            </w:r>
          </w:p>
          <w:p w14:paraId="1205B87B">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rPr>
            </w:pPr>
            <w:r>
              <w:rPr>
                <w:rFonts w:hint="eastAsia" w:ascii="宋体" w:hAnsi="宋体"/>
                <w:color w:val="auto"/>
                <w:sz w:val="24"/>
              </w:rPr>
              <w:t>供应商按照要求提交二次报价；</w:t>
            </w:r>
          </w:p>
          <w:p w14:paraId="7292B45B">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rPr>
            </w:pPr>
            <w:r>
              <w:rPr>
                <w:rFonts w:hint="eastAsia" w:ascii="宋体" w:hAnsi="宋体"/>
                <w:color w:val="auto"/>
                <w:sz w:val="24"/>
              </w:rPr>
              <w:t>磋商小组评审、推荐</w:t>
            </w:r>
            <w:r>
              <w:rPr>
                <w:rFonts w:hint="eastAsia" w:ascii="宋体" w:hAnsi="宋体"/>
                <w:color w:val="auto"/>
                <w:sz w:val="24"/>
                <w:highlight w:val="none"/>
              </w:rPr>
              <w:t>成交候选</w:t>
            </w:r>
            <w:r>
              <w:rPr>
                <w:rFonts w:hint="eastAsia" w:ascii="宋体" w:hAnsi="宋体"/>
                <w:color w:val="auto"/>
                <w:sz w:val="24"/>
                <w:highlight w:val="none"/>
                <w:lang w:val="en-US" w:eastAsia="zh-CN"/>
              </w:rPr>
              <w:t>供应商</w:t>
            </w:r>
            <w:r>
              <w:rPr>
                <w:rFonts w:hint="eastAsia" w:ascii="宋体" w:hAnsi="宋体"/>
                <w:color w:val="auto"/>
                <w:sz w:val="24"/>
              </w:rPr>
              <w:t>。</w:t>
            </w:r>
          </w:p>
          <w:p w14:paraId="6C2CC5DD">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rPr>
            </w:pPr>
            <w:r>
              <w:rPr>
                <w:rFonts w:ascii="宋体" w:hAnsi="宋体"/>
                <w:color w:val="auto"/>
                <w:sz w:val="24"/>
              </w:rPr>
              <w:t>在磋商过程中，磋商小组可以根据磋商文件和磋商情况实质性变动</w:t>
            </w:r>
          </w:p>
          <w:p w14:paraId="097A9173">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highlight w:val="none"/>
              </w:rPr>
            </w:pPr>
            <w:r>
              <w:rPr>
                <w:rFonts w:ascii="宋体" w:hAnsi="宋体"/>
                <w:color w:val="auto"/>
                <w:sz w:val="24"/>
              </w:rPr>
              <w:t>采购需求中的技术、服务要求以及合同草案条款</w:t>
            </w:r>
            <w:r>
              <w:rPr>
                <w:rFonts w:ascii="宋体" w:hAnsi="宋体"/>
                <w:color w:val="auto"/>
                <w:sz w:val="24"/>
                <w:highlight w:val="none"/>
              </w:rPr>
              <w:t>，</w:t>
            </w:r>
            <w:r>
              <w:rPr>
                <w:rFonts w:hint="eastAsia" w:ascii="宋体" w:hAnsi="宋体"/>
                <w:color w:val="auto"/>
                <w:sz w:val="24"/>
                <w:highlight w:val="none"/>
              </w:rPr>
              <w:t>二次报价为最终</w:t>
            </w:r>
          </w:p>
          <w:p w14:paraId="1B012C5E">
            <w:pPr>
              <w:keepNext w:val="0"/>
              <w:keepLines w:val="0"/>
              <w:pageBreakBefore w:val="0"/>
              <w:widowControl w:val="0"/>
              <w:kinsoku/>
              <w:wordWrap/>
              <w:overflowPunct/>
              <w:topLinePunct w:val="0"/>
              <w:autoSpaceDE/>
              <w:autoSpaceDN/>
              <w:bidi w:val="0"/>
              <w:adjustRightInd/>
              <w:snapToGrid/>
              <w:spacing w:line="340" w:lineRule="exact"/>
              <w:ind w:left="0" w:hanging="960" w:hangingChars="400"/>
              <w:textAlignment w:val="auto"/>
              <w:outlineLvl w:val="9"/>
              <w:rPr>
                <w:rFonts w:hint="eastAsia" w:ascii="宋体" w:hAnsi="宋体"/>
                <w:color w:val="auto"/>
                <w:sz w:val="24"/>
              </w:rPr>
            </w:pPr>
            <w:r>
              <w:rPr>
                <w:rFonts w:hint="eastAsia" w:ascii="宋体" w:hAnsi="宋体"/>
                <w:color w:val="auto"/>
                <w:sz w:val="24"/>
                <w:highlight w:val="none"/>
              </w:rPr>
              <w:t>报价。</w:t>
            </w:r>
          </w:p>
        </w:tc>
      </w:tr>
      <w:tr w14:paraId="2BBC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06" w:type="dxa"/>
            <w:noWrap w:val="0"/>
            <w:vAlign w:val="center"/>
          </w:tcPr>
          <w:p w14:paraId="6996C890">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cs="Times New Roman"/>
                <w:color w:val="auto"/>
                <w:sz w:val="24"/>
                <w:lang w:val="en-US" w:eastAsia="zh-CN"/>
              </w:rPr>
            </w:pPr>
            <w:r>
              <w:rPr>
                <w:rFonts w:hint="eastAsia" w:ascii="宋体" w:hAnsi="宋体" w:cs="Times New Roman"/>
                <w:color w:val="auto"/>
                <w:sz w:val="24"/>
                <w:lang w:val="en-US" w:eastAsia="zh-CN"/>
              </w:rPr>
              <w:t>27</w:t>
            </w:r>
          </w:p>
        </w:tc>
        <w:tc>
          <w:tcPr>
            <w:tcW w:w="2017" w:type="dxa"/>
            <w:noWrap w:val="0"/>
            <w:vAlign w:val="center"/>
          </w:tcPr>
          <w:p w14:paraId="0E96BFF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eastAsia" w:ascii="宋体" w:hAnsi="宋体" w:cs="Times New Roman"/>
                <w:color w:val="auto"/>
                <w:sz w:val="24"/>
              </w:rPr>
            </w:pPr>
            <w:r>
              <w:rPr>
                <w:rFonts w:hint="eastAsia" w:ascii="宋体" w:hAnsi="宋体" w:cs="Times New Roman"/>
                <w:color w:val="auto"/>
                <w:sz w:val="24"/>
                <w:lang w:val="en-US" w:eastAsia="zh-CN"/>
              </w:rPr>
              <w:t>是否面向中小企业采购</w:t>
            </w:r>
          </w:p>
        </w:tc>
        <w:tc>
          <w:tcPr>
            <w:tcW w:w="7161" w:type="dxa"/>
            <w:noWrap w:val="0"/>
            <w:vAlign w:val="center"/>
          </w:tcPr>
          <w:p w14:paraId="2F78EB9A">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outlineLvl w:val="9"/>
              <w:rPr>
                <w:rFonts w:hint="eastAsia" w:ascii="宋体" w:hAnsi="宋体" w:cs="Times New Roman"/>
                <w:color w:val="auto"/>
                <w:sz w:val="24"/>
              </w:rPr>
            </w:pPr>
            <w:r>
              <w:rPr>
                <w:rFonts w:hint="eastAsia" w:ascii="宋体" w:hAnsi="宋体" w:cs="Times New Roman"/>
                <w:color w:val="auto"/>
                <w:sz w:val="24"/>
                <w:lang w:val="en-US" w:eastAsia="zh-CN"/>
              </w:rPr>
              <w:t>本项目专门面向中小企业，预留份额为采购项目整体预留。</w:t>
            </w:r>
          </w:p>
        </w:tc>
      </w:tr>
      <w:tr w14:paraId="69A8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6" w:type="dxa"/>
            <w:noWrap w:val="0"/>
            <w:vAlign w:val="center"/>
          </w:tcPr>
          <w:p w14:paraId="5B8913E2">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default" w:ascii="宋体" w:hAnsi="宋体" w:cs="Times New Roman"/>
                <w:color w:val="auto"/>
                <w:sz w:val="24"/>
                <w:lang w:val="en-US" w:eastAsia="zh-CN"/>
              </w:rPr>
            </w:pPr>
            <w:r>
              <w:rPr>
                <w:rFonts w:hint="eastAsia" w:ascii="宋体" w:hAnsi="宋体" w:cs="Times New Roman"/>
                <w:color w:val="auto"/>
                <w:sz w:val="24"/>
                <w:lang w:val="en-US" w:eastAsia="zh-CN"/>
              </w:rPr>
              <w:t>28</w:t>
            </w:r>
          </w:p>
        </w:tc>
        <w:tc>
          <w:tcPr>
            <w:tcW w:w="2017" w:type="dxa"/>
            <w:noWrap w:val="0"/>
            <w:vAlign w:val="center"/>
          </w:tcPr>
          <w:p w14:paraId="3DBE6A1F">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outlineLvl w:val="9"/>
              <w:rPr>
                <w:rFonts w:hint="eastAsia" w:ascii="宋体" w:hAnsi="宋体" w:cs="Times New Roman"/>
                <w:color w:val="auto"/>
                <w:sz w:val="24"/>
              </w:rPr>
            </w:pPr>
            <w:r>
              <w:rPr>
                <w:rFonts w:hint="eastAsia" w:ascii="宋体" w:hAnsi="宋体" w:cs="Times New Roman"/>
                <w:color w:val="auto"/>
                <w:sz w:val="24"/>
                <w:lang w:val="en-US" w:eastAsia="zh-CN"/>
              </w:rPr>
              <w:t>所属行业</w:t>
            </w:r>
          </w:p>
        </w:tc>
        <w:tc>
          <w:tcPr>
            <w:tcW w:w="7161" w:type="dxa"/>
            <w:noWrap w:val="0"/>
            <w:vAlign w:val="center"/>
          </w:tcPr>
          <w:p w14:paraId="7539E0B6">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left"/>
              <w:textAlignment w:val="auto"/>
              <w:outlineLvl w:val="9"/>
              <w:rPr>
                <w:rFonts w:hint="eastAsia" w:ascii="宋体" w:hAnsi="宋体" w:cs="Times New Roman"/>
                <w:color w:val="auto"/>
                <w:sz w:val="24"/>
              </w:rPr>
            </w:pPr>
            <w:r>
              <w:rPr>
                <w:rFonts w:hint="eastAsia" w:ascii="宋体" w:hAnsi="宋体" w:cs="Times New Roman"/>
                <w:color w:val="auto"/>
                <w:sz w:val="24"/>
                <w:lang w:val="en-US" w:eastAsia="zh-CN"/>
              </w:rPr>
              <w:t>建筑业</w:t>
            </w:r>
          </w:p>
        </w:tc>
      </w:tr>
      <w:tr w14:paraId="2ED1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884" w:type="dxa"/>
            <w:gridSpan w:val="3"/>
            <w:noWrap w:val="0"/>
            <w:vAlign w:val="center"/>
          </w:tcPr>
          <w:p w14:paraId="0B406606">
            <w:pPr>
              <w:numPr>
                <w:ilvl w:val="0"/>
                <w:numId w:val="0"/>
              </w:numPr>
              <w:spacing w:line="348" w:lineRule="auto"/>
              <w:outlineLvl w:val="9"/>
              <w:rPr>
                <w:rFonts w:hint="eastAsia" w:ascii="宋体" w:hAnsi="宋体"/>
                <w:color w:val="auto"/>
                <w:sz w:val="24"/>
              </w:rPr>
            </w:pPr>
            <w:r>
              <w:rPr>
                <w:rFonts w:hint="eastAsia" w:ascii="宋体" w:hAnsi="宋体" w:cs="宋体"/>
                <w:color w:val="auto"/>
                <w:sz w:val="24"/>
                <w:szCs w:val="24"/>
                <w:lang w:val="en-US" w:eastAsia="zh-CN"/>
              </w:rPr>
              <w:t>注</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lang w:val="en-US" w:eastAsia="zh-CN"/>
              </w:rPr>
              <w:t>本项目暂列金额具体详见工程量清单。</w:t>
            </w:r>
          </w:p>
        </w:tc>
      </w:tr>
    </w:tbl>
    <w:p w14:paraId="5F22B6B8">
      <w:pPr>
        <w:jc w:val="center"/>
        <w:outlineLvl w:val="9"/>
        <w:rPr>
          <w:rFonts w:hint="eastAsia" w:ascii="宋体" w:hAnsi="宋体"/>
          <w:b/>
          <w:color w:val="auto"/>
          <w:sz w:val="28"/>
          <w:szCs w:val="28"/>
        </w:rPr>
      </w:pPr>
      <w:r>
        <w:rPr>
          <w:rFonts w:hint="eastAsia" w:ascii="宋体" w:hAnsi="宋体"/>
          <w:b/>
          <w:color w:val="auto"/>
          <w:sz w:val="28"/>
          <w:szCs w:val="28"/>
        </w:rPr>
        <w:t>二、磋商</w:t>
      </w:r>
      <w:r>
        <w:rPr>
          <w:rFonts w:hint="eastAsia" w:ascii="宋体" w:hAnsi="宋体" w:eastAsia="宋体" w:cs="Times New Roman"/>
          <w:b/>
          <w:color w:val="auto"/>
          <w:sz w:val="28"/>
          <w:szCs w:val="28"/>
        </w:rPr>
        <w:t>须知</w:t>
      </w:r>
    </w:p>
    <w:p w14:paraId="6B087ED2">
      <w:pPr>
        <w:spacing w:line="160" w:lineRule="exact"/>
        <w:jc w:val="center"/>
        <w:outlineLvl w:val="9"/>
        <w:rPr>
          <w:rFonts w:hint="eastAsia" w:ascii="宋体" w:hAnsi="宋体"/>
          <w:b/>
          <w:color w:val="auto"/>
          <w:sz w:val="10"/>
          <w:szCs w:val="10"/>
        </w:rPr>
      </w:pPr>
    </w:p>
    <w:p w14:paraId="323C4F2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hAnsi="宋体"/>
          <w:b/>
          <w:bCs/>
          <w:color w:val="auto"/>
          <w:sz w:val="24"/>
          <w:highlight w:val="none"/>
        </w:rPr>
      </w:pPr>
      <w:r>
        <w:rPr>
          <w:rFonts w:hint="eastAsia" w:hAnsi="宋体"/>
          <w:b/>
          <w:bCs/>
          <w:color w:val="auto"/>
          <w:sz w:val="24"/>
          <w:highlight w:val="none"/>
          <w:lang w:val="en-US" w:eastAsia="zh-CN"/>
        </w:rPr>
        <w:t>（一）</w:t>
      </w:r>
      <w:r>
        <w:rPr>
          <w:rFonts w:hint="eastAsia" w:hAnsi="宋体"/>
          <w:b/>
          <w:bCs/>
          <w:color w:val="auto"/>
          <w:sz w:val="24"/>
          <w:highlight w:val="none"/>
        </w:rPr>
        <w:t>总则</w:t>
      </w:r>
    </w:p>
    <w:p w14:paraId="391630EF">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color w:val="auto"/>
          <w:sz w:val="24"/>
        </w:rPr>
      </w:pPr>
      <w:r>
        <w:rPr>
          <w:rFonts w:ascii="宋体" w:hAnsi="宋体"/>
          <w:b/>
          <w:color w:val="auto"/>
          <w:sz w:val="24"/>
        </w:rPr>
        <w:t>1</w:t>
      </w:r>
      <w:r>
        <w:rPr>
          <w:rFonts w:hint="eastAsia" w:ascii="宋体" w:hAnsi="宋体"/>
          <w:b/>
          <w:color w:val="auto"/>
          <w:sz w:val="24"/>
        </w:rPr>
        <w:t>.适用范围</w:t>
      </w:r>
    </w:p>
    <w:p w14:paraId="0E0A094D">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color w:val="auto"/>
          <w:sz w:val="24"/>
        </w:rPr>
      </w:pPr>
      <w:r>
        <w:rPr>
          <w:rFonts w:ascii="宋体" w:hAnsi="宋体"/>
          <w:color w:val="auto"/>
          <w:sz w:val="24"/>
        </w:rPr>
        <w:t>1.</w:t>
      </w:r>
      <w:r>
        <w:rPr>
          <w:rFonts w:hint="eastAsia" w:ascii="宋体" w:hAnsi="宋体"/>
          <w:color w:val="auto"/>
          <w:sz w:val="24"/>
        </w:rPr>
        <w:t>1本竞争性磋商文件仅适用于本次竞争性磋商所述的项目招标。</w:t>
      </w:r>
    </w:p>
    <w:p w14:paraId="731F51E2">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color w:val="auto"/>
          <w:sz w:val="24"/>
        </w:rPr>
      </w:pPr>
      <w:r>
        <w:rPr>
          <w:rFonts w:hint="eastAsia" w:ascii="宋体" w:hAnsi="宋体"/>
          <w:b/>
          <w:color w:val="auto"/>
          <w:sz w:val="24"/>
        </w:rPr>
        <w:t>2.有关定义</w:t>
      </w:r>
    </w:p>
    <w:p w14:paraId="1B0CEBD8">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s="Times New Roman"/>
          <w:color w:val="auto"/>
          <w:sz w:val="24"/>
        </w:rPr>
      </w:pPr>
      <w:r>
        <w:rPr>
          <w:rFonts w:hint="eastAsia" w:ascii="宋体" w:hAnsi="宋体"/>
          <w:color w:val="auto"/>
          <w:sz w:val="24"/>
        </w:rPr>
        <w:t>2.1“监督管理机构”系</w:t>
      </w:r>
      <w:r>
        <w:rPr>
          <w:rFonts w:hint="eastAsia" w:ascii="宋体" w:hAnsi="宋体" w:eastAsia="宋体" w:cs="Times New Roman"/>
          <w:color w:val="auto"/>
          <w:sz w:val="24"/>
        </w:rPr>
        <w:t>指</w:t>
      </w:r>
      <w:r>
        <w:rPr>
          <w:rFonts w:hint="eastAsia" w:ascii="宋体" w:hAnsi="宋体" w:eastAsia="宋体" w:cs="Times New Roman"/>
          <w:color w:val="auto"/>
          <w:sz w:val="24"/>
          <w:lang w:val="en-US" w:eastAsia="zh-CN"/>
        </w:rPr>
        <w:t>富平县</w:t>
      </w:r>
      <w:r>
        <w:rPr>
          <w:rFonts w:hint="eastAsia" w:ascii="宋体" w:hAnsi="宋体" w:eastAsia="宋体" w:cs="Times New Roman"/>
          <w:color w:val="auto"/>
          <w:sz w:val="24"/>
        </w:rPr>
        <w:t>财政</w:t>
      </w:r>
      <w:r>
        <w:rPr>
          <w:rFonts w:hint="eastAsia" w:ascii="宋体" w:hAnsi="宋体" w:eastAsia="宋体" w:cs="Times New Roman"/>
          <w:color w:val="auto"/>
          <w:sz w:val="24"/>
          <w:lang w:val="en-US" w:eastAsia="zh-CN"/>
        </w:rPr>
        <w:t>局</w:t>
      </w:r>
      <w:r>
        <w:rPr>
          <w:rFonts w:hint="eastAsia" w:ascii="宋体" w:hAnsi="宋体" w:eastAsia="宋体" w:cs="Times New Roman"/>
          <w:color w:val="auto"/>
          <w:sz w:val="24"/>
        </w:rPr>
        <w:t>。</w:t>
      </w:r>
    </w:p>
    <w:p w14:paraId="4653EB99">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s="Times New Roman"/>
          <w:color w:val="auto"/>
          <w:sz w:val="24"/>
        </w:rPr>
      </w:pPr>
      <w:r>
        <w:rPr>
          <w:rFonts w:hint="eastAsia" w:ascii="宋体" w:hAnsi="宋体" w:eastAsia="宋体" w:cs="Times New Roman"/>
          <w:color w:val="auto"/>
          <w:sz w:val="24"/>
        </w:rPr>
        <w:t>2.2“采购人”系</w:t>
      </w:r>
      <w:r>
        <w:rPr>
          <w:rFonts w:hint="eastAsia" w:ascii="宋体" w:hAnsi="宋体" w:eastAsia="宋体" w:cs="Times New Roman"/>
          <w:color w:val="auto"/>
          <w:sz w:val="24"/>
          <w:highlight w:val="none"/>
        </w:rPr>
        <w:t>指</w:t>
      </w:r>
      <w:r>
        <w:rPr>
          <w:rFonts w:hint="eastAsia" w:ascii="宋体" w:hAnsi="宋体"/>
          <w:color w:val="auto"/>
          <w:sz w:val="24"/>
          <w:highlight w:val="none"/>
          <w:lang w:val="en-US" w:eastAsia="zh-CN"/>
        </w:rPr>
        <w:t>富平县农村饮水工程指挥部办公室</w:t>
      </w:r>
      <w:r>
        <w:rPr>
          <w:rFonts w:hint="eastAsia" w:ascii="宋体" w:hAnsi="宋体" w:eastAsia="宋体" w:cs="Times New Roman"/>
          <w:color w:val="auto"/>
          <w:sz w:val="24"/>
          <w:highlight w:val="none"/>
          <w:lang w:eastAsia="zh-CN"/>
        </w:rPr>
        <w:t>。</w:t>
      </w:r>
    </w:p>
    <w:p w14:paraId="0A3A05E1">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eastAsia="宋体"/>
          <w:color w:val="auto"/>
          <w:sz w:val="24"/>
          <w:lang w:val="en-US" w:eastAsia="zh-CN"/>
        </w:rPr>
      </w:pPr>
      <w:r>
        <w:rPr>
          <w:rFonts w:hint="eastAsia" w:ascii="宋体" w:hAnsi="宋体" w:eastAsia="宋体" w:cs="Times New Roman"/>
          <w:color w:val="auto"/>
          <w:sz w:val="24"/>
        </w:rPr>
        <w:t>2.3“采购代理机构”系指华春</w:t>
      </w:r>
      <w:r>
        <w:rPr>
          <w:rFonts w:hint="eastAsia" w:ascii="宋体" w:hAnsi="宋体" w:eastAsia="宋体"/>
          <w:color w:val="auto"/>
          <w:sz w:val="24"/>
          <w:lang w:val="en-US" w:eastAsia="zh-CN"/>
        </w:rPr>
        <w:t>建设工程项目管理有限责任公司。</w:t>
      </w:r>
    </w:p>
    <w:p w14:paraId="3FA0099E">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color w:val="auto"/>
          <w:sz w:val="24"/>
        </w:rPr>
      </w:pPr>
      <w:r>
        <w:rPr>
          <w:rFonts w:hint="eastAsia" w:ascii="宋体" w:hAnsi="宋体" w:eastAsia="宋体"/>
          <w:color w:val="auto"/>
          <w:sz w:val="24"/>
          <w:lang w:val="en-US" w:eastAsia="zh-CN"/>
        </w:rPr>
        <w:t>2.4“供应商”系指向采购人</w:t>
      </w:r>
      <w:r>
        <w:rPr>
          <w:rFonts w:hint="eastAsia" w:ascii="宋体" w:hAnsi="宋体"/>
          <w:color w:val="auto"/>
          <w:sz w:val="24"/>
        </w:rPr>
        <w:t>提交磋商响应文件的企业。</w:t>
      </w:r>
    </w:p>
    <w:p w14:paraId="70E6370C">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b/>
          <w:color w:val="auto"/>
          <w:sz w:val="24"/>
        </w:rPr>
      </w:pPr>
      <w:r>
        <w:rPr>
          <w:rFonts w:hint="eastAsia" w:ascii="宋体" w:hAnsi="宋体" w:eastAsia="宋体" w:cs="Times New Roman"/>
          <w:color w:val="auto"/>
          <w:sz w:val="24"/>
          <w:lang w:val="en-US" w:eastAsia="zh-CN"/>
        </w:rPr>
        <w:t>2.5本项目所属行业：</w:t>
      </w:r>
      <w:r>
        <w:rPr>
          <w:rFonts w:hint="eastAsia" w:ascii="宋体" w:hAnsi="宋体" w:eastAsia="宋体" w:cs="Times New Roman"/>
          <w:color w:val="auto"/>
          <w:sz w:val="24"/>
          <w:highlight w:val="none"/>
          <w:lang w:val="en-US" w:eastAsia="zh-CN"/>
        </w:rPr>
        <w:t>建筑业。</w:t>
      </w:r>
    </w:p>
    <w:p w14:paraId="4A3B030D">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color w:val="auto"/>
          <w:sz w:val="24"/>
        </w:rPr>
      </w:pPr>
      <w:r>
        <w:rPr>
          <w:rFonts w:hint="eastAsia" w:ascii="宋体" w:hAnsi="宋体"/>
          <w:b/>
          <w:color w:val="auto"/>
          <w:sz w:val="24"/>
        </w:rPr>
        <w:t>3.投标费用</w:t>
      </w:r>
    </w:p>
    <w:p w14:paraId="37B46783">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color w:val="auto"/>
          <w:sz w:val="24"/>
        </w:rPr>
      </w:pPr>
      <w:r>
        <w:rPr>
          <w:rFonts w:hint="eastAsia" w:ascii="宋体" w:hAnsi="宋体"/>
          <w:color w:val="auto"/>
          <w:sz w:val="24"/>
        </w:rPr>
        <w:t>无论投标结果如何，供应商应自行承担其编制与递交磋商响应文件所涉及的一切费用。</w:t>
      </w:r>
    </w:p>
    <w:p w14:paraId="71B53D8D">
      <w:pPr>
        <w:keepNext w:val="0"/>
        <w:keepLines w:val="0"/>
        <w:pageBreakBefore w:val="0"/>
        <w:widowControl w:val="0"/>
        <w:kinsoku/>
        <w:wordWrap/>
        <w:overflowPunct/>
        <w:topLinePunct w:val="0"/>
        <w:autoSpaceDE/>
        <w:autoSpaceDN/>
        <w:bidi w:val="0"/>
        <w:adjustRightInd/>
        <w:snapToGrid/>
        <w:spacing w:line="360" w:lineRule="auto"/>
        <w:ind w:firstLine="410" w:firstLineChars="170"/>
        <w:textAlignment w:val="auto"/>
        <w:outlineLvl w:val="9"/>
        <w:rPr>
          <w:rFonts w:hint="eastAsia" w:ascii="宋体" w:hAnsi="宋体"/>
          <w:b/>
          <w:bCs/>
          <w:color w:val="auto"/>
          <w:sz w:val="24"/>
        </w:rPr>
      </w:pPr>
      <w:r>
        <w:rPr>
          <w:rFonts w:hint="eastAsia" w:ascii="宋体" w:hAnsi="宋体"/>
          <w:b/>
          <w:bCs/>
          <w:color w:val="auto"/>
          <w:sz w:val="24"/>
        </w:rPr>
        <w:t>4.采购代理机构及合格的供应商</w:t>
      </w:r>
    </w:p>
    <w:p w14:paraId="1EAE4CF3">
      <w:pPr>
        <w:keepNext w:val="0"/>
        <w:keepLines w:val="0"/>
        <w:pageBreakBefore w:val="0"/>
        <w:widowControl w:val="0"/>
        <w:kinsoku/>
        <w:wordWrap/>
        <w:overflowPunct/>
        <w:topLinePunct w:val="0"/>
        <w:autoSpaceDE/>
        <w:autoSpaceDN/>
        <w:bidi w:val="0"/>
        <w:adjustRightInd/>
        <w:snapToGrid/>
        <w:spacing w:line="360" w:lineRule="auto"/>
        <w:ind w:firstLine="408" w:firstLineChars="170"/>
        <w:textAlignment w:val="auto"/>
        <w:outlineLvl w:val="9"/>
        <w:rPr>
          <w:rFonts w:hint="eastAsia" w:ascii="宋体" w:hAnsi="宋体"/>
          <w:bCs/>
          <w:color w:val="auto"/>
          <w:sz w:val="24"/>
        </w:rPr>
      </w:pPr>
      <w:r>
        <w:rPr>
          <w:rFonts w:hint="eastAsia" w:ascii="宋体" w:hAnsi="宋体"/>
          <w:bCs/>
          <w:color w:val="auto"/>
          <w:sz w:val="24"/>
        </w:rPr>
        <w:t>4.1采购代理机构</w:t>
      </w:r>
    </w:p>
    <w:p w14:paraId="26C6D87D">
      <w:pPr>
        <w:keepNext w:val="0"/>
        <w:keepLines w:val="0"/>
        <w:pageBreakBefore w:val="0"/>
        <w:widowControl w:val="0"/>
        <w:kinsoku/>
        <w:wordWrap/>
        <w:overflowPunct/>
        <w:topLinePunct w:val="0"/>
        <w:autoSpaceDE/>
        <w:autoSpaceDN/>
        <w:bidi w:val="0"/>
        <w:adjustRightInd/>
        <w:snapToGrid/>
        <w:spacing w:line="360" w:lineRule="auto"/>
        <w:ind w:firstLine="408" w:firstLineChars="170"/>
        <w:jc w:val="both"/>
        <w:textAlignment w:val="auto"/>
        <w:outlineLvl w:val="9"/>
        <w:rPr>
          <w:rFonts w:hint="eastAsia" w:ascii="宋体" w:hAnsi="宋体"/>
          <w:color w:val="auto"/>
          <w:sz w:val="24"/>
        </w:rPr>
      </w:pPr>
      <w:r>
        <w:rPr>
          <w:rFonts w:hint="eastAsia" w:ascii="宋体" w:hAnsi="宋体"/>
          <w:color w:val="auto"/>
          <w:sz w:val="24"/>
        </w:rPr>
        <w:t>组织</w:t>
      </w:r>
      <w:r>
        <w:rPr>
          <w:rFonts w:ascii="宋体" w:hAnsi="宋体"/>
          <w:color w:val="auto"/>
          <w:sz w:val="24"/>
        </w:rPr>
        <w:t>本次</w:t>
      </w:r>
      <w:r>
        <w:rPr>
          <w:rFonts w:hint="eastAsia" w:ascii="宋体" w:hAnsi="宋体"/>
          <w:color w:val="auto"/>
          <w:sz w:val="24"/>
        </w:rPr>
        <w:t>磋商</w:t>
      </w:r>
      <w:r>
        <w:rPr>
          <w:rFonts w:ascii="宋体" w:hAnsi="宋体"/>
          <w:color w:val="auto"/>
          <w:sz w:val="24"/>
        </w:rPr>
        <w:t>的采购代理机构为</w:t>
      </w:r>
      <w:r>
        <w:rPr>
          <w:rFonts w:hint="eastAsia" w:ascii="宋体" w:hAnsi="宋体"/>
          <w:color w:val="auto"/>
          <w:sz w:val="24"/>
        </w:rPr>
        <w:t>华春建设工程项目管理有限责任公司</w:t>
      </w:r>
      <w:r>
        <w:rPr>
          <w:rFonts w:ascii="宋体" w:hAnsi="宋体"/>
          <w:color w:val="auto"/>
          <w:sz w:val="24"/>
        </w:rPr>
        <w:t>。</w:t>
      </w:r>
      <w:r>
        <w:rPr>
          <w:rFonts w:hint="eastAsia" w:ascii="宋体" w:hAnsi="宋体"/>
          <w:color w:val="auto"/>
          <w:sz w:val="24"/>
        </w:rPr>
        <w:t>华春建设工程项目管理有限责任公司为在政府采购管理机构备案的合格采购</w:t>
      </w:r>
      <w:r>
        <w:rPr>
          <w:rFonts w:ascii="宋体" w:hAnsi="宋体"/>
          <w:color w:val="auto"/>
          <w:sz w:val="24"/>
        </w:rPr>
        <w:t>代理机构。</w:t>
      </w:r>
    </w:p>
    <w:p w14:paraId="2D326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4.2合格的供应商</w:t>
      </w:r>
    </w:p>
    <w:p w14:paraId="17968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4</w:t>
      </w:r>
      <w:r>
        <w:rPr>
          <w:rFonts w:ascii="宋体" w:hAnsi="宋体"/>
          <w:color w:val="auto"/>
          <w:sz w:val="24"/>
          <w:highlight w:val="none"/>
        </w:rPr>
        <w:t>.2.1合格的</w:t>
      </w:r>
      <w:r>
        <w:rPr>
          <w:rFonts w:hint="eastAsia" w:ascii="宋体" w:hAnsi="宋体"/>
          <w:color w:val="auto"/>
          <w:sz w:val="24"/>
          <w:highlight w:val="none"/>
        </w:rPr>
        <w:t>供应商</w:t>
      </w:r>
      <w:r>
        <w:rPr>
          <w:rFonts w:hint="eastAsia" w:ascii="宋体" w:hAnsi="宋体"/>
          <w:color w:val="auto"/>
          <w:sz w:val="24"/>
          <w:highlight w:val="none"/>
          <w:lang w:val="en-US" w:eastAsia="zh-CN"/>
        </w:rPr>
        <w:t>应满足磋商公告“二、申请人的资格要求 ”中包含的所有内容。</w:t>
      </w:r>
    </w:p>
    <w:p w14:paraId="14655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.2.2</w:t>
      </w:r>
      <w:r>
        <w:rPr>
          <w:rFonts w:hint="eastAsia" w:ascii="宋体" w:hAnsi="宋体"/>
          <w:color w:val="auto"/>
          <w:sz w:val="24"/>
          <w:highlight w:val="none"/>
        </w:rPr>
        <w:t>参加本次磋商的供应商</w:t>
      </w:r>
      <w:r>
        <w:rPr>
          <w:rFonts w:ascii="宋体" w:hAnsi="宋体"/>
          <w:color w:val="auto"/>
          <w:sz w:val="24"/>
          <w:highlight w:val="none"/>
        </w:rPr>
        <w:t>不得直接或间接地与采购单位（包括</w:t>
      </w:r>
      <w:r>
        <w:rPr>
          <w:rFonts w:hint="eastAsia" w:ascii="宋体" w:hAnsi="宋体"/>
          <w:color w:val="auto"/>
          <w:sz w:val="24"/>
          <w:highlight w:val="none"/>
        </w:rPr>
        <w:t>华春建设工程项目管理有限责任公司</w:t>
      </w:r>
      <w:r>
        <w:rPr>
          <w:rFonts w:ascii="宋体" w:hAnsi="宋体"/>
          <w:color w:val="auto"/>
          <w:sz w:val="24"/>
          <w:highlight w:val="none"/>
        </w:rPr>
        <w:t>、采购人及用户）有任何关联，亦不得是采购单位的附属机构。如果</w:t>
      </w:r>
      <w:r>
        <w:rPr>
          <w:rFonts w:hint="eastAsia" w:ascii="宋体" w:hAnsi="宋体"/>
          <w:color w:val="auto"/>
          <w:sz w:val="24"/>
          <w:highlight w:val="none"/>
        </w:rPr>
        <w:t>供应商</w:t>
      </w:r>
      <w:r>
        <w:rPr>
          <w:rFonts w:ascii="宋体" w:hAnsi="宋体"/>
          <w:color w:val="auto"/>
          <w:sz w:val="24"/>
          <w:highlight w:val="none"/>
        </w:rPr>
        <w:t>在</w:t>
      </w:r>
      <w:r>
        <w:rPr>
          <w:rFonts w:hint="eastAsia" w:ascii="宋体" w:hAnsi="宋体"/>
          <w:color w:val="auto"/>
          <w:sz w:val="24"/>
          <w:highlight w:val="none"/>
        </w:rPr>
        <w:t>磋商</w:t>
      </w:r>
      <w:r>
        <w:rPr>
          <w:rFonts w:ascii="宋体" w:hAnsi="宋体"/>
          <w:color w:val="auto"/>
          <w:sz w:val="24"/>
          <w:highlight w:val="none"/>
        </w:rPr>
        <w:t>中隐瞒了上述关系，</w:t>
      </w:r>
      <w:r>
        <w:rPr>
          <w:rFonts w:hint="eastAsia" w:ascii="宋体" w:hAnsi="宋体"/>
          <w:color w:val="auto"/>
          <w:sz w:val="24"/>
          <w:highlight w:val="none"/>
        </w:rPr>
        <w:t>其磋商响应文件按无效处理</w:t>
      </w:r>
      <w:r>
        <w:rPr>
          <w:rFonts w:ascii="宋体" w:hAnsi="宋体"/>
          <w:color w:val="auto"/>
          <w:sz w:val="24"/>
          <w:highlight w:val="none"/>
        </w:rPr>
        <w:t>。</w:t>
      </w:r>
    </w:p>
    <w:p w14:paraId="62DAA3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4.2.3单位负责人为同一人或者存在直接控股、管理关系的不同供应商，不得参加本项目同一合同项下的磋商。</w:t>
      </w:r>
      <w:r>
        <w:rPr>
          <w:rFonts w:ascii="宋体" w:hAnsi="宋体"/>
          <w:color w:val="auto"/>
          <w:sz w:val="24"/>
          <w:highlight w:val="none"/>
        </w:rPr>
        <w:t>如果</w:t>
      </w:r>
      <w:r>
        <w:rPr>
          <w:rFonts w:hint="eastAsia" w:ascii="宋体" w:hAnsi="宋体"/>
          <w:color w:val="auto"/>
          <w:sz w:val="24"/>
          <w:highlight w:val="none"/>
        </w:rPr>
        <w:t>供应商</w:t>
      </w:r>
      <w:r>
        <w:rPr>
          <w:rFonts w:ascii="宋体" w:hAnsi="宋体"/>
          <w:color w:val="auto"/>
          <w:sz w:val="24"/>
          <w:highlight w:val="none"/>
        </w:rPr>
        <w:t>在</w:t>
      </w:r>
      <w:r>
        <w:rPr>
          <w:rFonts w:hint="eastAsia" w:ascii="宋体" w:hAnsi="宋体"/>
          <w:color w:val="auto"/>
          <w:sz w:val="24"/>
          <w:highlight w:val="none"/>
        </w:rPr>
        <w:t>磋商</w:t>
      </w:r>
      <w:r>
        <w:rPr>
          <w:rFonts w:ascii="宋体" w:hAnsi="宋体"/>
          <w:color w:val="auto"/>
          <w:sz w:val="24"/>
          <w:highlight w:val="none"/>
        </w:rPr>
        <w:t>中隐瞒了上述关系，</w:t>
      </w:r>
      <w:r>
        <w:rPr>
          <w:rFonts w:hint="eastAsia" w:ascii="宋体" w:hAnsi="宋体"/>
          <w:color w:val="auto"/>
          <w:sz w:val="24"/>
          <w:highlight w:val="none"/>
        </w:rPr>
        <w:t>其磋商响应文件按无效处理</w:t>
      </w:r>
      <w:r>
        <w:rPr>
          <w:rFonts w:ascii="宋体" w:hAnsi="宋体"/>
          <w:color w:val="auto"/>
          <w:sz w:val="24"/>
          <w:highlight w:val="none"/>
        </w:rPr>
        <w:t>。</w:t>
      </w:r>
    </w:p>
    <w:p w14:paraId="5FAF87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olor w:val="auto"/>
          <w:sz w:val="24"/>
          <w:highlight w:val="none"/>
          <w:lang w:eastAsia="zh-CN"/>
        </w:rPr>
      </w:pPr>
      <w:r>
        <w:rPr>
          <w:rFonts w:hint="eastAsia" w:ascii="宋体" w:hAnsi="宋体"/>
          <w:color w:val="auto"/>
          <w:sz w:val="24"/>
          <w:highlight w:val="none"/>
        </w:rPr>
        <w:t>4.2.4</w:t>
      </w:r>
      <w:r>
        <w:rPr>
          <w:rFonts w:hint="default" w:ascii="宋体" w:hAnsi="宋体"/>
          <w:color w:val="auto"/>
          <w:sz w:val="24"/>
          <w:highlight w:val="none"/>
        </w:rPr>
        <w:t>为采购项目提供整体设计、规范编制或者项目管理、监理、检测等服务的供应商，不得再参加该采购项目的其他采购活动。</w:t>
      </w:r>
      <w:r>
        <w:rPr>
          <w:rFonts w:ascii="宋体" w:hAnsi="宋体"/>
          <w:color w:val="auto"/>
          <w:sz w:val="24"/>
        </w:rPr>
        <w:t>如果</w:t>
      </w:r>
      <w:r>
        <w:rPr>
          <w:rFonts w:hint="eastAsia" w:ascii="宋体" w:hAnsi="宋体"/>
          <w:color w:val="auto"/>
          <w:sz w:val="24"/>
        </w:rPr>
        <w:t>供应商</w:t>
      </w:r>
      <w:r>
        <w:rPr>
          <w:rFonts w:ascii="宋体" w:hAnsi="宋体"/>
          <w:color w:val="auto"/>
          <w:sz w:val="24"/>
        </w:rPr>
        <w:t>在</w:t>
      </w:r>
      <w:r>
        <w:rPr>
          <w:rFonts w:hint="eastAsia" w:ascii="宋体" w:hAnsi="宋体"/>
          <w:color w:val="auto"/>
          <w:sz w:val="24"/>
        </w:rPr>
        <w:t>磋商</w:t>
      </w:r>
      <w:r>
        <w:rPr>
          <w:rFonts w:ascii="宋体" w:hAnsi="宋体"/>
          <w:color w:val="auto"/>
          <w:sz w:val="24"/>
        </w:rPr>
        <w:t>中隐瞒了上述</w:t>
      </w:r>
      <w:r>
        <w:rPr>
          <w:rFonts w:hint="eastAsia" w:ascii="宋体" w:hAnsi="宋体"/>
          <w:color w:val="auto"/>
          <w:sz w:val="24"/>
        </w:rPr>
        <w:t>事实</w:t>
      </w:r>
      <w:r>
        <w:rPr>
          <w:rFonts w:ascii="宋体" w:hAnsi="宋体"/>
          <w:color w:val="auto"/>
          <w:sz w:val="24"/>
        </w:rPr>
        <w:t>，</w:t>
      </w:r>
      <w:r>
        <w:rPr>
          <w:rFonts w:hint="eastAsia" w:ascii="宋体" w:hAnsi="宋体"/>
          <w:color w:val="auto"/>
          <w:sz w:val="24"/>
        </w:rPr>
        <w:t>其磋商响应文件按无效处理</w:t>
      </w:r>
      <w:r>
        <w:rPr>
          <w:rFonts w:hint="eastAsia" w:ascii="宋体" w:hAnsi="宋体"/>
          <w:color w:val="auto"/>
          <w:sz w:val="24"/>
          <w:lang w:eastAsia="zh-CN"/>
        </w:rPr>
        <w:t>。</w:t>
      </w:r>
    </w:p>
    <w:p w14:paraId="2C2F8D1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yellow"/>
        </w:rPr>
      </w:pPr>
      <w:r>
        <w:rPr>
          <w:rFonts w:hint="eastAsia" w:ascii="宋体" w:hAnsi="宋体" w:eastAsia="宋体"/>
          <w:color w:val="auto"/>
          <w:sz w:val="24"/>
          <w:highlight w:val="none"/>
        </w:rPr>
        <w:t>4</w:t>
      </w:r>
      <w:r>
        <w:rPr>
          <w:rFonts w:hint="default" w:ascii="宋体" w:hAnsi="宋体" w:eastAsia="宋体"/>
          <w:color w:val="auto"/>
          <w:sz w:val="24"/>
          <w:highlight w:val="none"/>
        </w:rPr>
        <w:t>.2.</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供</w:t>
      </w:r>
      <w:r>
        <w:rPr>
          <w:rFonts w:hint="eastAsia" w:ascii="宋体" w:hAnsi="宋体" w:cs="宋体"/>
          <w:color w:val="auto"/>
          <w:sz w:val="24"/>
          <w:szCs w:val="24"/>
          <w:highlight w:val="none"/>
          <w:lang w:val="en-US" w:eastAsia="zh-CN"/>
        </w:rPr>
        <w:t>应商必须从代理机构获取竞争性磋商文件，通过其他渠道获取的竞争性磋商文件为无效文件。</w:t>
      </w:r>
    </w:p>
    <w:p w14:paraId="16C0553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.2.</w:t>
      </w:r>
      <w:r>
        <w:rPr>
          <w:rFonts w:hint="eastAsia" w:ascii="宋体" w:hAnsi="宋体"/>
          <w:color w:val="auto"/>
          <w:sz w:val="24"/>
          <w:highlight w:val="none"/>
        </w:rPr>
        <w:t>6</w:t>
      </w:r>
      <w:r>
        <w:rPr>
          <w:rFonts w:ascii="宋体" w:hAnsi="宋体"/>
          <w:color w:val="auto"/>
          <w:sz w:val="24"/>
          <w:highlight w:val="none"/>
        </w:rPr>
        <w:t>不论磋商报价的结果如何，供应商均应自行承担所有与参加磋商报价有关的费用。</w:t>
      </w:r>
    </w:p>
    <w:p w14:paraId="39DCA083">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Cs/>
          <w:color w:val="auto"/>
          <w:sz w:val="24"/>
        </w:rPr>
      </w:pPr>
      <w:r>
        <w:rPr>
          <w:rFonts w:hint="eastAsia" w:ascii="宋体" w:hAnsi="宋体"/>
          <w:b/>
          <w:color w:val="auto"/>
          <w:sz w:val="24"/>
        </w:rPr>
        <w:t>5.知识产权</w:t>
      </w:r>
    </w:p>
    <w:p w14:paraId="305C90C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rPr>
        <w:t>5.1供应商应保证本项目使用的任何产品和服务（包括部分使用），不会产生因第三方提出侵犯其专利权、商标权或其它知识产权而引起的</w:t>
      </w:r>
      <w:r>
        <w:rPr>
          <w:rFonts w:hint="eastAsia" w:ascii="宋体" w:hAnsi="宋体"/>
          <w:color w:val="auto"/>
          <w:sz w:val="24"/>
          <w:highlight w:val="none"/>
        </w:rPr>
        <w:t>法律</w:t>
      </w:r>
      <w:r>
        <w:rPr>
          <w:rFonts w:hint="eastAsia" w:ascii="宋体" w:hAnsi="宋体"/>
          <w:color w:val="auto"/>
          <w:sz w:val="24"/>
        </w:rPr>
        <w:t>和经济纠纷，如因专利权、商标权或其它知识产权而引起法律纠纷和经济纠纷，由供应商承担所有相关责任。</w:t>
      </w:r>
    </w:p>
    <w:p w14:paraId="11A0065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rPr>
        <w:t>5.2采购人享有本项目在实施过程中产生的知识成果。</w:t>
      </w:r>
    </w:p>
    <w:p w14:paraId="45C1874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5.3</w:t>
      </w:r>
      <w:r>
        <w:rPr>
          <w:rFonts w:hint="eastAsia" w:ascii="宋体" w:hAnsi="宋体"/>
          <w:color w:val="auto"/>
          <w:sz w:val="24"/>
        </w:rPr>
        <w:t>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14:paraId="7442929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bCs/>
          <w:color w:val="auto"/>
          <w:sz w:val="24"/>
        </w:rPr>
      </w:pPr>
      <w:r>
        <w:rPr>
          <w:rFonts w:hint="eastAsia" w:ascii="宋体" w:hAnsi="宋体"/>
          <w:color w:val="auto"/>
          <w:sz w:val="24"/>
          <w:lang w:val="en-US" w:eastAsia="zh-CN"/>
        </w:rPr>
        <w:t>5.4</w:t>
      </w:r>
      <w:r>
        <w:rPr>
          <w:rFonts w:hint="eastAsia" w:ascii="宋体" w:hAnsi="宋体"/>
          <w:color w:val="auto"/>
          <w:sz w:val="24"/>
        </w:rPr>
        <w:t>如供应商所不拥有的知识产权，则在响应报价中必须包括合法获取该知识产权的相关费用。</w:t>
      </w:r>
    </w:p>
    <w:p w14:paraId="0509109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color w:val="auto"/>
          <w:sz w:val="24"/>
        </w:rPr>
      </w:pPr>
      <w:r>
        <w:rPr>
          <w:rFonts w:hint="eastAsia" w:ascii="宋体" w:hAnsi="宋体"/>
          <w:b/>
          <w:color w:val="auto"/>
          <w:sz w:val="24"/>
        </w:rPr>
        <w:t>6.纪律与保密</w:t>
      </w:r>
    </w:p>
    <w:p w14:paraId="18BE6B9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rPr>
        <w:t>6.1供应商的投标行为应遵守中国的有关法律、法规和规章。</w:t>
      </w:r>
    </w:p>
    <w:p w14:paraId="1E4FF33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rPr>
        <w:t>6.2供应商不得相互串通</w:t>
      </w:r>
      <w:r>
        <w:rPr>
          <w:rFonts w:hint="eastAsia" w:ascii="宋体" w:hAnsi="宋体"/>
          <w:color w:val="auto"/>
          <w:sz w:val="24"/>
          <w:highlight w:val="none"/>
          <w:lang w:val="en-US" w:eastAsia="zh-CN"/>
        </w:rPr>
        <w:t>磋商</w:t>
      </w:r>
      <w:r>
        <w:rPr>
          <w:rFonts w:hint="eastAsia" w:ascii="宋体" w:hAnsi="宋体"/>
          <w:color w:val="auto"/>
          <w:sz w:val="24"/>
          <w:highlight w:val="none"/>
        </w:rPr>
        <w:t>报价，</w:t>
      </w:r>
      <w:r>
        <w:rPr>
          <w:rFonts w:hint="eastAsia" w:ascii="宋体" w:hAnsi="宋体"/>
          <w:color w:val="auto"/>
          <w:sz w:val="24"/>
        </w:rPr>
        <w:t>不得妨碍其他供应商的公平竞争，不得损害采购人或其他供应商的合法权益，供应商不得以向采购人</w:t>
      </w:r>
      <w:r>
        <w:rPr>
          <w:rFonts w:hint="eastAsia" w:ascii="宋体" w:hAnsi="宋体"/>
          <w:color w:val="auto"/>
          <w:sz w:val="24"/>
          <w:highlight w:val="none"/>
        </w:rPr>
        <w:t>、</w:t>
      </w:r>
      <w:r>
        <w:rPr>
          <w:rFonts w:hint="eastAsia" w:ascii="宋体" w:hAnsi="宋体"/>
          <w:color w:val="auto"/>
          <w:sz w:val="24"/>
          <w:highlight w:val="none"/>
          <w:lang w:eastAsia="zh-CN"/>
        </w:rPr>
        <w:t>磋商小组</w:t>
      </w:r>
      <w:r>
        <w:rPr>
          <w:rFonts w:hint="eastAsia" w:ascii="宋体" w:hAnsi="宋体"/>
          <w:color w:val="auto"/>
          <w:sz w:val="24"/>
          <w:highlight w:val="none"/>
        </w:rPr>
        <w:t>成员行贿或者采取其他不正当手段谋取中标。</w:t>
      </w:r>
    </w:p>
    <w:p w14:paraId="2B3A5FE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6.3在确定</w:t>
      </w:r>
      <w:r>
        <w:rPr>
          <w:rFonts w:hint="eastAsia" w:ascii="宋体" w:hAnsi="宋体"/>
          <w:color w:val="auto"/>
          <w:sz w:val="24"/>
          <w:highlight w:val="none"/>
          <w:lang w:val="en-US" w:eastAsia="zh-CN"/>
        </w:rPr>
        <w:t>成交供应商</w:t>
      </w:r>
      <w:r>
        <w:rPr>
          <w:rFonts w:hint="eastAsia" w:ascii="宋体" w:hAnsi="宋体"/>
          <w:color w:val="auto"/>
          <w:sz w:val="24"/>
          <w:highlight w:val="none"/>
        </w:rPr>
        <w:t>之前，供应商不得与采购人就</w:t>
      </w:r>
      <w:r>
        <w:rPr>
          <w:rFonts w:hint="eastAsia" w:ascii="宋体" w:hAnsi="宋体"/>
          <w:color w:val="auto"/>
          <w:sz w:val="24"/>
          <w:highlight w:val="none"/>
          <w:lang w:val="en-US" w:eastAsia="zh-CN"/>
        </w:rPr>
        <w:t>磋商报价</w:t>
      </w:r>
      <w:r>
        <w:rPr>
          <w:rFonts w:hint="eastAsia" w:ascii="宋体" w:hAnsi="宋体"/>
          <w:color w:val="auto"/>
          <w:sz w:val="24"/>
          <w:highlight w:val="none"/>
        </w:rPr>
        <w:t>、投标方案等实质性内容进行谈判，也不得私下接触</w:t>
      </w:r>
      <w:r>
        <w:rPr>
          <w:rFonts w:hint="eastAsia" w:ascii="宋体" w:hAnsi="宋体"/>
          <w:color w:val="auto"/>
          <w:sz w:val="24"/>
          <w:highlight w:val="none"/>
          <w:lang w:eastAsia="zh-CN"/>
        </w:rPr>
        <w:t>磋商小组</w:t>
      </w:r>
      <w:r>
        <w:rPr>
          <w:rFonts w:hint="eastAsia" w:ascii="宋体" w:hAnsi="宋体"/>
          <w:color w:val="auto"/>
          <w:sz w:val="24"/>
          <w:highlight w:val="none"/>
        </w:rPr>
        <w:t>。</w:t>
      </w:r>
    </w:p>
    <w:p w14:paraId="1EC34A8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6.4在确定</w:t>
      </w:r>
      <w:r>
        <w:rPr>
          <w:rFonts w:hint="eastAsia" w:ascii="宋体" w:hAnsi="宋体"/>
          <w:color w:val="auto"/>
          <w:sz w:val="24"/>
          <w:highlight w:val="none"/>
          <w:lang w:val="en-US" w:eastAsia="zh-CN"/>
        </w:rPr>
        <w:t>成交供应商</w:t>
      </w:r>
      <w:r>
        <w:rPr>
          <w:rFonts w:hint="eastAsia" w:ascii="宋体" w:hAnsi="宋体"/>
          <w:color w:val="auto"/>
          <w:sz w:val="24"/>
          <w:highlight w:val="none"/>
        </w:rPr>
        <w:t>之前，供应商试图在磋商响应文件审查、澄清、比较和评价时对</w:t>
      </w:r>
      <w:r>
        <w:rPr>
          <w:rFonts w:hint="eastAsia" w:ascii="宋体" w:hAnsi="宋体"/>
          <w:color w:val="auto"/>
          <w:sz w:val="24"/>
          <w:highlight w:val="none"/>
          <w:lang w:eastAsia="zh-CN"/>
        </w:rPr>
        <w:t>磋商小组</w:t>
      </w:r>
      <w:r>
        <w:rPr>
          <w:rFonts w:hint="eastAsia" w:ascii="宋体" w:hAnsi="宋体"/>
          <w:color w:val="auto"/>
          <w:sz w:val="24"/>
          <w:highlight w:val="none"/>
        </w:rPr>
        <w:t>、采购人和采购代理机构施加任何影响都可能导致其投标无效。</w:t>
      </w:r>
    </w:p>
    <w:p w14:paraId="3713BCA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color w:val="auto"/>
          <w:sz w:val="24"/>
          <w:highlight w:val="none"/>
        </w:rPr>
      </w:pPr>
      <w:r>
        <w:rPr>
          <w:rFonts w:hint="eastAsia" w:ascii="宋体" w:hAnsi="宋体"/>
          <w:b/>
          <w:color w:val="auto"/>
          <w:sz w:val="24"/>
          <w:highlight w:val="none"/>
        </w:rPr>
        <w:t>7.联合体投标</w:t>
      </w:r>
    </w:p>
    <w:p w14:paraId="03774BFA">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default" w:ascii="宋体" w:hAnsi="宋体" w:eastAsia="宋体"/>
          <w:b/>
          <w:bCs/>
          <w:color w:val="auto"/>
          <w:sz w:val="24"/>
          <w:lang w:val="en-US" w:eastAsia="zh-CN"/>
        </w:rPr>
      </w:pPr>
      <w:r>
        <w:rPr>
          <w:rFonts w:hint="eastAsia" w:ascii="宋体" w:hAnsi="宋体"/>
          <w:b/>
          <w:bCs/>
          <w:color w:val="auto"/>
          <w:sz w:val="24"/>
        </w:rPr>
        <w:t>不接受</w:t>
      </w:r>
      <w:r>
        <w:rPr>
          <w:rFonts w:hint="eastAsia" w:ascii="宋体" w:hAnsi="宋体"/>
          <w:b/>
          <w:bCs/>
          <w:color w:val="auto"/>
          <w:sz w:val="24"/>
          <w:lang w:val="en-US" w:eastAsia="zh-CN"/>
        </w:rPr>
        <w:t>联合体投标</w:t>
      </w:r>
    </w:p>
    <w:p w14:paraId="1E17CD4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bCs/>
          <w:color w:val="auto"/>
          <w:sz w:val="24"/>
        </w:rPr>
      </w:pPr>
      <w:r>
        <w:rPr>
          <w:rFonts w:hint="eastAsia" w:ascii="宋体" w:hAnsi="宋体"/>
          <w:b/>
          <w:bCs/>
          <w:color w:val="auto"/>
          <w:sz w:val="24"/>
        </w:rPr>
        <w:t>8.合同标的转让</w:t>
      </w:r>
    </w:p>
    <w:p w14:paraId="0AA63A7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rPr>
        <w:t>合同未约定或者未经采购人同意，</w:t>
      </w:r>
      <w:r>
        <w:rPr>
          <w:rFonts w:hint="eastAsia" w:ascii="宋体" w:hAnsi="宋体"/>
          <w:color w:val="auto"/>
          <w:sz w:val="24"/>
          <w:highlight w:val="none"/>
          <w:lang w:val="en-US" w:eastAsia="zh-CN"/>
        </w:rPr>
        <w:t>成交供应商</w:t>
      </w:r>
      <w:r>
        <w:rPr>
          <w:rFonts w:hint="eastAsia" w:ascii="宋体" w:hAnsi="宋体"/>
          <w:color w:val="auto"/>
          <w:sz w:val="24"/>
        </w:rPr>
        <w:t>不得向他人转让</w:t>
      </w:r>
      <w:r>
        <w:rPr>
          <w:rFonts w:hint="eastAsia" w:ascii="宋体" w:hAnsi="宋体"/>
          <w:color w:val="auto"/>
          <w:sz w:val="24"/>
          <w:lang w:val="en-US" w:eastAsia="zh-CN"/>
        </w:rPr>
        <w:t>成交</w:t>
      </w:r>
      <w:r>
        <w:rPr>
          <w:rFonts w:hint="eastAsia" w:ascii="宋体" w:hAnsi="宋体"/>
          <w:color w:val="auto"/>
          <w:sz w:val="24"/>
        </w:rPr>
        <w:t>项目，也不得将</w:t>
      </w:r>
      <w:r>
        <w:rPr>
          <w:rFonts w:hint="eastAsia" w:ascii="宋体" w:hAnsi="宋体"/>
          <w:color w:val="auto"/>
          <w:sz w:val="24"/>
          <w:lang w:val="en-US" w:eastAsia="zh-CN"/>
        </w:rPr>
        <w:t>成交</w:t>
      </w:r>
      <w:r>
        <w:rPr>
          <w:rFonts w:hint="eastAsia" w:ascii="宋体" w:hAnsi="宋体"/>
          <w:color w:val="auto"/>
          <w:sz w:val="24"/>
        </w:rPr>
        <w:t xml:space="preserve">项目肢解后分别向他人转让。 </w:t>
      </w:r>
      <w:bookmarkStart w:id="10" w:name="_Hlt509649678"/>
      <w:bookmarkEnd w:id="10"/>
      <w:bookmarkStart w:id="11" w:name="_Hlt509649795"/>
      <w:bookmarkEnd w:id="11"/>
      <w:bookmarkStart w:id="12" w:name="_Hlt509649330"/>
      <w:bookmarkEnd w:id="12"/>
      <w:bookmarkStart w:id="13" w:name="_Hlt509650936"/>
      <w:bookmarkEnd w:id="13"/>
      <w:bookmarkStart w:id="14" w:name="_Hlt509650116"/>
      <w:bookmarkEnd w:id="14"/>
      <w:bookmarkStart w:id="15" w:name="_Hlt509650929"/>
      <w:bookmarkEnd w:id="15"/>
      <w:bookmarkStart w:id="16" w:name="_Hlt509649645"/>
      <w:bookmarkEnd w:id="16"/>
      <w:bookmarkStart w:id="17" w:name="_Hlt509650103"/>
      <w:bookmarkEnd w:id="17"/>
      <w:bookmarkStart w:id="18" w:name="_Hlt509649669"/>
      <w:bookmarkEnd w:id="18"/>
      <w:bookmarkStart w:id="19" w:name="_Hlt526418153"/>
      <w:bookmarkEnd w:id="19"/>
      <w:bookmarkStart w:id="20" w:name="_Hlt509650932"/>
      <w:bookmarkEnd w:id="20"/>
      <w:bookmarkStart w:id="21" w:name="_Hlt509650333"/>
      <w:bookmarkEnd w:id="21"/>
      <w:bookmarkStart w:id="22" w:name="_Hlt509650961"/>
      <w:bookmarkEnd w:id="22"/>
      <w:bookmarkStart w:id="23" w:name="_Hlt509650690"/>
      <w:bookmarkEnd w:id="23"/>
      <w:bookmarkStart w:id="24" w:name="_Toc356157313"/>
    </w:p>
    <w:p w14:paraId="79C42CA0">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color w:val="auto"/>
          <w:sz w:val="24"/>
          <w:highlight w:val="none"/>
        </w:rPr>
      </w:pPr>
      <w:r>
        <w:rPr>
          <w:rFonts w:hint="eastAsia" w:ascii="宋体" w:hAnsi="宋体"/>
          <w:b/>
          <w:bCs/>
          <w:color w:val="auto"/>
          <w:sz w:val="24"/>
          <w:highlight w:val="none"/>
          <w:lang w:val="en-US" w:eastAsia="zh-CN"/>
        </w:rPr>
        <w:t>9</w:t>
      </w:r>
      <w:r>
        <w:rPr>
          <w:rFonts w:hint="eastAsia" w:ascii="宋体" w:hAnsi="宋体"/>
          <w:b/>
          <w:bCs/>
          <w:color w:val="auto"/>
          <w:sz w:val="24"/>
          <w:highlight w:val="none"/>
        </w:rPr>
        <w:t>.提供服务</w:t>
      </w:r>
      <w:r>
        <w:rPr>
          <w:rFonts w:ascii="宋体" w:hAnsi="宋体"/>
          <w:b/>
          <w:bCs/>
          <w:color w:val="auto"/>
          <w:sz w:val="24"/>
          <w:highlight w:val="none"/>
        </w:rPr>
        <w:t>的合格性和合法性</w:t>
      </w:r>
    </w:p>
    <w:p w14:paraId="0D7429F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ascii="宋体" w:hAnsi="宋体"/>
          <w:color w:val="auto"/>
          <w:sz w:val="24"/>
          <w:highlight w:val="none"/>
        </w:rPr>
        <w:t>供应商</w:t>
      </w:r>
      <w:r>
        <w:rPr>
          <w:rFonts w:hint="eastAsia" w:ascii="宋体" w:hAnsi="宋体"/>
          <w:color w:val="auto"/>
          <w:sz w:val="24"/>
          <w:highlight w:val="none"/>
        </w:rPr>
        <w:t>提供的服务</w:t>
      </w:r>
      <w:r>
        <w:rPr>
          <w:rFonts w:ascii="宋体" w:hAnsi="宋体"/>
          <w:color w:val="auto"/>
          <w:sz w:val="24"/>
          <w:highlight w:val="none"/>
        </w:rPr>
        <w:t>应满足磋商文件的要求</w:t>
      </w:r>
      <w:r>
        <w:rPr>
          <w:rFonts w:hint="eastAsia" w:ascii="宋体" w:hAnsi="宋体"/>
          <w:color w:val="auto"/>
          <w:sz w:val="24"/>
          <w:highlight w:val="none"/>
        </w:rPr>
        <w:t>，</w:t>
      </w:r>
      <w:r>
        <w:rPr>
          <w:rFonts w:ascii="宋体" w:hAnsi="宋体"/>
          <w:color w:val="auto"/>
          <w:sz w:val="24"/>
          <w:highlight w:val="none"/>
        </w:rPr>
        <w:t>并应符合国家法律法规、行业管理部门</w:t>
      </w:r>
      <w:r>
        <w:rPr>
          <w:rFonts w:hint="eastAsia" w:ascii="宋体" w:hAnsi="宋体"/>
          <w:color w:val="auto"/>
          <w:sz w:val="24"/>
          <w:highlight w:val="none"/>
        </w:rPr>
        <w:t>所</w:t>
      </w:r>
      <w:r>
        <w:rPr>
          <w:rFonts w:ascii="宋体" w:hAnsi="宋体"/>
          <w:color w:val="auto"/>
          <w:sz w:val="24"/>
          <w:highlight w:val="none"/>
        </w:rPr>
        <w:t>要求的其他强制性标准。</w:t>
      </w:r>
    </w:p>
    <w:p w14:paraId="604B853D">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0</w:t>
      </w:r>
      <w:r>
        <w:rPr>
          <w:rFonts w:hint="eastAsia" w:ascii="宋体" w:hAnsi="宋体"/>
          <w:b/>
          <w:bCs/>
          <w:color w:val="auto"/>
          <w:sz w:val="24"/>
          <w:highlight w:val="none"/>
        </w:rPr>
        <w:t>.</w:t>
      </w:r>
      <w:r>
        <w:rPr>
          <w:rFonts w:ascii="宋体" w:hAnsi="宋体"/>
          <w:b/>
          <w:color w:val="auto"/>
          <w:sz w:val="24"/>
          <w:highlight w:val="none"/>
        </w:rPr>
        <w:t>磋商响应文件内容的真实性</w:t>
      </w:r>
    </w:p>
    <w:p w14:paraId="7219256F">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ascii="宋体" w:hAnsi="宋体"/>
          <w:color w:val="auto"/>
          <w:sz w:val="24"/>
          <w:highlight w:val="none"/>
        </w:rPr>
      </w:pPr>
      <w:r>
        <w:rPr>
          <w:rFonts w:ascii="宋体" w:hAnsi="宋体"/>
          <w:color w:val="auto"/>
          <w:sz w:val="24"/>
          <w:highlight w:val="none"/>
        </w:rPr>
        <w:t>供应商应保证其磋商响应文件中所提供的资料、信息是真实的</w:t>
      </w:r>
      <w:r>
        <w:rPr>
          <w:rFonts w:hint="eastAsia" w:ascii="宋体" w:hAnsi="宋体"/>
          <w:color w:val="auto"/>
          <w:sz w:val="24"/>
          <w:highlight w:val="none"/>
        </w:rPr>
        <w:t>，</w:t>
      </w:r>
      <w:r>
        <w:rPr>
          <w:rFonts w:ascii="宋体" w:hAnsi="宋体"/>
          <w:color w:val="auto"/>
          <w:sz w:val="24"/>
          <w:highlight w:val="none"/>
        </w:rPr>
        <w:t>并且来源于合法的渠道。因磋商响应文件中所提供的资料、信息不真实</w:t>
      </w:r>
      <w:r>
        <w:rPr>
          <w:rFonts w:hint="eastAsia" w:ascii="宋体" w:hAnsi="宋体"/>
          <w:color w:val="auto"/>
          <w:sz w:val="24"/>
          <w:highlight w:val="none"/>
        </w:rPr>
        <w:t>，</w:t>
      </w:r>
      <w:r>
        <w:rPr>
          <w:rFonts w:ascii="宋体" w:hAnsi="宋体"/>
          <w:color w:val="auto"/>
          <w:sz w:val="24"/>
          <w:highlight w:val="none"/>
        </w:rPr>
        <w:t>或者其来源不合法而导致的所有法律责任，由供应商自行承担。</w:t>
      </w:r>
    </w:p>
    <w:p w14:paraId="47B8F1E5">
      <w:pPr>
        <w:keepNext w:val="0"/>
        <w:keepLines w:val="0"/>
        <w:pageBreakBefore w:val="0"/>
        <w:widowControl w:val="0"/>
        <w:kinsoku/>
        <w:wordWrap/>
        <w:overflowPunct/>
        <w:topLinePunct w:val="0"/>
        <w:autoSpaceDE/>
        <w:autoSpaceDN/>
        <w:bidi w:val="0"/>
        <w:adjustRightInd/>
        <w:spacing w:line="360" w:lineRule="auto"/>
        <w:jc w:val="both"/>
        <w:textAlignment w:val="auto"/>
        <w:outlineLvl w:val="9"/>
        <w:rPr>
          <w:rFonts w:hint="eastAsia" w:hAnsi="宋体"/>
          <w:b/>
          <w:bCs/>
          <w:color w:val="auto"/>
          <w:sz w:val="24"/>
        </w:rPr>
      </w:pPr>
      <w:r>
        <w:rPr>
          <w:rFonts w:hint="eastAsia" w:hAnsi="宋体"/>
          <w:b/>
          <w:bCs/>
          <w:color w:val="auto"/>
          <w:sz w:val="24"/>
          <w:lang w:val="en-US" w:eastAsia="zh-CN"/>
        </w:rPr>
        <w:t>（二）</w:t>
      </w:r>
      <w:r>
        <w:rPr>
          <w:rFonts w:hint="eastAsia" w:hAnsi="宋体"/>
          <w:b/>
          <w:bCs/>
          <w:color w:val="auto"/>
          <w:sz w:val="24"/>
        </w:rPr>
        <w:t>磋商文件</w:t>
      </w:r>
      <w:bookmarkEnd w:id="24"/>
      <w:bookmarkStart w:id="25" w:name="_Hlt509649791"/>
      <w:bookmarkEnd w:id="25"/>
      <w:bookmarkStart w:id="26" w:name="_Hlt509649930"/>
      <w:bookmarkEnd w:id="26"/>
      <w:bookmarkStart w:id="27" w:name="_Hlt509650361"/>
      <w:bookmarkEnd w:id="27"/>
    </w:p>
    <w:p w14:paraId="7CF6A0ED">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b/>
          <w:color w:val="auto"/>
          <w:sz w:val="24"/>
        </w:rPr>
      </w:pPr>
      <w:bookmarkStart w:id="28" w:name="_Hlt509650734"/>
      <w:bookmarkEnd w:id="28"/>
      <w:r>
        <w:rPr>
          <w:rFonts w:hint="eastAsia" w:ascii="宋体" w:hAnsi="宋体"/>
          <w:b/>
          <w:color w:val="auto"/>
          <w:sz w:val="24"/>
        </w:rPr>
        <w:t>1</w:t>
      </w:r>
      <w:r>
        <w:rPr>
          <w:rFonts w:hint="eastAsia" w:ascii="宋体" w:hAnsi="宋体"/>
          <w:b/>
          <w:color w:val="auto"/>
          <w:sz w:val="24"/>
          <w:lang w:val="en-US" w:eastAsia="zh-CN"/>
        </w:rPr>
        <w:t>1</w:t>
      </w:r>
      <w:r>
        <w:rPr>
          <w:rFonts w:hint="eastAsia" w:ascii="宋体" w:hAnsi="宋体"/>
          <w:b/>
          <w:color w:val="auto"/>
          <w:sz w:val="24"/>
        </w:rPr>
        <w:t>.磋商文件构成</w:t>
      </w:r>
    </w:p>
    <w:p w14:paraId="6A56185E">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ascii="宋体" w:hAnsi="宋体"/>
          <w:color w:val="auto"/>
          <w:sz w:val="24"/>
        </w:rPr>
        <w:t>.1</w:t>
      </w:r>
      <w:r>
        <w:rPr>
          <w:rFonts w:hint="eastAsia" w:ascii="宋体" w:hAnsi="宋体"/>
          <w:color w:val="auto"/>
          <w:sz w:val="24"/>
        </w:rPr>
        <w:t>磋商文件包括以下部分：</w:t>
      </w:r>
    </w:p>
    <w:p w14:paraId="5A183DC3">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.1第一部分：</w:t>
      </w:r>
      <w:r>
        <w:rPr>
          <w:rFonts w:hint="eastAsia" w:ascii="宋体" w:hAnsi="宋体"/>
          <w:bCs/>
          <w:color w:val="auto"/>
          <w:sz w:val="24"/>
          <w:highlight w:val="none"/>
        </w:rPr>
        <w:t>竞争性磋商公告；</w:t>
      </w:r>
    </w:p>
    <w:p w14:paraId="114A1390">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.2第二部分：</w:t>
      </w:r>
      <w:bookmarkStart w:id="29" w:name="_Hlt509650925"/>
      <w:bookmarkEnd w:id="29"/>
      <w:r>
        <w:rPr>
          <w:rFonts w:hint="eastAsia" w:ascii="宋体" w:hAnsi="宋体"/>
          <w:bCs/>
          <w:color w:val="auto"/>
          <w:sz w:val="24"/>
          <w:highlight w:val="none"/>
        </w:rPr>
        <w:t>磋商须知前附表及磋商须知；</w:t>
      </w:r>
    </w:p>
    <w:p w14:paraId="0DD01065">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.3第三部分：评审方法</w:t>
      </w:r>
      <w:r>
        <w:rPr>
          <w:rFonts w:hint="eastAsia" w:ascii="宋体" w:hAnsi="宋体"/>
          <w:bCs/>
          <w:color w:val="auto"/>
          <w:sz w:val="24"/>
          <w:highlight w:val="none"/>
        </w:rPr>
        <w:t>；</w:t>
      </w:r>
    </w:p>
    <w:p w14:paraId="0B48C533">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.4第四部分：</w:t>
      </w:r>
      <w:r>
        <w:rPr>
          <w:rFonts w:hint="eastAsia" w:ascii="宋体" w:hAnsi="宋体"/>
          <w:bCs/>
          <w:color w:val="auto"/>
          <w:sz w:val="24"/>
          <w:highlight w:val="none"/>
        </w:rPr>
        <w:t>合同文本及主要条款；</w:t>
      </w:r>
    </w:p>
    <w:p w14:paraId="402DE796">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color w:val="auto"/>
          <w:sz w:val="24"/>
          <w:highlight w:val="none"/>
          <w:lang w:eastAsia="zh-CN"/>
        </w:rPr>
      </w:pPr>
      <w:r>
        <w:rPr>
          <w:rFonts w:hint="eastAsia" w:ascii="宋体" w:hAnsi="宋体"/>
          <w:bCs/>
          <w:color w:val="auto"/>
          <w:sz w:val="24"/>
          <w:highlight w:val="none"/>
        </w:rPr>
        <w:t>1</w:t>
      </w:r>
      <w:r>
        <w:rPr>
          <w:rFonts w:hint="eastAsia" w:ascii="宋体" w:hAnsi="宋体"/>
          <w:bCs/>
          <w:color w:val="auto"/>
          <w:sz w:val="24"/>
          <w:highlight w:val="none"/>
          <w:lang w:val="en-US" w:eastAsia="zh-CN"/>
        </w:rPr>
        <w:t>1</w:t>
      </w:r>
      <w:r>
        <w:rPr>
          <w:rFonts w:hint="eastAsia" w:ascii="宋体" w:hAnsi="宋体"/>
          <w:bCs/>
          <w:color w:val="auto"/>
          <w:sz w:val="24"/>
          <w:highlight w:val="none"/>
        </w:rPr>
        <w:t>.1.5</w:t>
      </w:r>
      <w:r>
        <w:rPr>
          <w:rFonts w:hint="eastAsia" w:ascii="宋体" w:hAnsi="宋体"/>
          <w:color w:val="auto"/>
          <w:sz w:val="24"/>
          <w:highlight w:val="none"/>
        </w:rPr>
        <w:t>第五部分：</w:t>
      </w:r>
      <w:r>
        <w:rPr>
          <w:rFonts w:hint="eastAsia" w:ascii="宋体" w:hAnsi="宋体"/>
          <w:color w:val="auto"/>
          <w:sz w:val="24"/>
          <w:highlight w:val="none"/>
          <w:lang w:val="en-US" w:eastAsia="zh-CN"/>
        </w:rPr>
        <w:t>技术标准和要求</w:t>
      </w:r>
      <w:r>
        <w:rPr>
          <w:rFonts w:hint="eastAsia" w:ascii="宋体" w:hAnsi="宋体"/>
          <w:bCs/>
          <w:color w:val="auto"/>
          <w:sz w:val="24"/>
          <w:highlight w:val="none"/>
          <w:lang w:eastAsia="zh-CN"/>
        </w:rPr>
        <w:t>；</w:t>
      </w:r>
    </w:p>
    <w:p w14:paraId="1C808010">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bCs/>
          <w:color w:val="auto"/>
          <w:sz w:val="24"/>
          <w:highlight w:val="none"/>
          <w:lang w:eastAsia="zh-CN"/>
        </w:rPr>
      </w:pPr>
      <w:r>
        <w:rPr>
          <w:rFonts w:hint="eastAsia" w:ascii="宋体" w:hAnsi="宋体"/>
          <w:bCs/>
          <w:color w:val="auto"/>
          <w:sz w:val="24"/>
          <w:highlight w:val="none"/>
        </w:rPr>
        <w:t>1</w:t>
      </w:r>
      <w:r>
        <w:rPr>
          <w:rFonts w:hint="eastAsia" w:ascii="宋体" w:hAnsi="宋体"/>
          <w:bCs/>
          <w:color w:val="auto"/>
          <w:sz w:val="24"/>
          <w:highlight w:val="none"/>
          <w:lang w:val="en-US" w:eastAsia="zh-CN"/>
        </w:rPr>
        <w:t>1</w:t>
      </w:r>
      <w:r>
        <w:rPr>
          <w:rFonts w:hint="eastAsia" w:ascii="宋体" w:hAnsi="宋体"/>
          <w:bCs/>
          <w:color w:val="auto"/>
          <w:sz w:val="24"/>
          <w:highlight w:val="none"/>
        </w:rPr>
        <w:t>.1.</w:t>
      </w:r>
      <w:r>
        <w:rPr>
          <w:rFonts w:hint="eastAsia" w:ascii="宋体" w:hAnsi="宋体"/>
          <w:bCs/>
          <w:color w:val="auto"/>
          <w:sz w:val="24"/>
          <w:highlight w:val="none"/>
          <w:lang w:val="en-US" w:eastAsia="zh-CN"/>
        </w:rPr>
        <w:t>6</w:t>
      </w:r>
      <w:r>
        <w:rPr>
          <w:rFonts w:hint="eastAsia" w:ascii="宋体" w:hAnsi="宋体"/>
          <w:color w:val="auto"/>
          <w:sz w:val="24"/>
          <w:highlight w:val="none"/>
        </w:rPr>
        <w:t>第</w:t>
      </w:r>
      <w:r>
        <w:rPr>
          <w:rFonts w:hint="eastAsia" w:ascii="宋体" w:hAnsi="宋体"/>
          <w:color w:val="auto"/>
          <w:sz w:val="24"/>
          <w:highlight w:val="none"/>
          <w:lang w:val="en-US" w:eastAsia="zh-CN"/>
        </w:rPr>
        <w:t>六</w:t>
      </w:r>
      <w:r>
        <w:rPr>
          <w:rFonts w:hint="eastAsia" w:ascii="宋体" w:hAnsi="宋体"/>
          <w:color w:val="auto"/>
          <w:sz w:val="24"/>
          <w:highlight w:val="none"/>
        </w:rPr>
        <w:t>部分：磋商</w:t>
      </w:r>
      <w:r>
        <w:rPr>
          <w:rFonts w:hint="eastAsia" w:ascii="宋体" w:hAnsi="宋体"/>
          <w:bCs/>
          <w:color w:val="auto"/>
          <w:sz w:val="24"/>
          <w:highlight w:val="none"/>
        </w:rPr>
        <w:t>响应文件格式</w:t>
      </w:r>
      <w:r>
        <w:rPr>
          <w:rFonts w:hint="eastAsia" w:ascii="宋体" w:hAnsi="宋体"/>
          <w:bCs/>
          <w:color w:val="auto"/>
          <w:sz w:val="24"/>
          <w:highlight w:val="none"/>
          <w:lang w:eastAsia="zh-CN"/>
        </w:rPr>
        <w:t>；</w:t>
      </w:r>
    </w:p>
    <w:p w14:paraId="017BC75F">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eastAsia="宋体" w:cs="Times New Roman"/>
          <w:color w:val="auto"/>
          <w:sz w:val="24"/>
          <w:highlight w:val="none"/>
          <w:lang w:eastAsia="zh-CN"/>
        </w:rPr>
      </w:pPr>
      <w:r>
        <w:rPr>
          <w:rFonts w:hint="eastAsia" w:ascii="宋体" w:hAnsi="宋体"/>
          <w:bCs/>
          <w:color w:val="auto"/>
          <w:sz w:val="24"/>
          <w:highlight w:val="none"/>
        </w:rPr>
        <w:t>1</w:t>
      </w:r>
      <w:r>
        <w:rPr>
          <w:rFonts w:hint="eastAsia" w:ascii="宋体" w:hAnsi="宋体"/>
          <w:bCs/>
          <w:color w:val="auto"/>
          <w:sz w:val="24"/>
          <w:highlight w:val="none"/>
          <w:lang w:val="en-US" w:eastAsia="zh-CN"/>
        </w:rPr>
        <w:t>1</w:t>
      </w:r>
      <w:r>
        <w:rPr>
          <w:rFonts w:hint="eastAsia" w:ascii="宋体" w:hAnsi="宋体"/>
          <w:bCs/>
          <w:color w:val="auto"/>
          <w:sz w:val="24"/>
          <w:highlight w:val="none"/>
        </w:rPr>
        <w:t>.1.</w:t>
      </w:r>
      <w:r>
        <w:rPr>
          <w:rFonts w:hint="eastAsia" w:ascii="宋体" w:hAnsi="宋体"/>
          <w:bCs/>
          <w:color w:val="auto"/>
          <w:sz w:val="24"/>
          <w:highlight w:val="none"/>
          <w:lang w:val="en-US" w:eastAsia="zh-CN"/>
        </w:rPr>
        <w:t>7</w:t>
      </w:r>
      <w:r>
        <w:rPr>
          <w:rFonts w:hint="eastAsia" w:ascii="宋体" w:hAnsi="宋体"/>
          <w:color w:val="auto"/>
          <w:sz w:val="24"/>
          <w:highlight w:val="none"/>
        </w:rPr>
        <w:t>第</w:t>
      </w:r>
      <w:r>
        <w:rPr>
          <w:rFonts w:hint="eastAsia" w:ascii="宋体" w:hAnsi="宋体" w:cs="Times New Roman"/>
          <w:color w:val="auto"/>
          <w:sz w:val="24"/>
          <w:highlight w:val="none"/>
          <w:lang w:val="en-US" w:eastAsia="zh-CN"/>
        </w:rPr>
        <w:t>七</w:t>
      </w:r>
      <w:r>
        <w:rPr>
          <w:rFonts w:hint="eastAsia" w:ascii="宋体" w:hAnsi="宋体" w:eastAsia="宋体" w:cs="Times New Roman"/>
          <w:color w:val="auto"/>
          <w:sz w:val="24"/>
          <w:highlight w:val="none"/>
        </w:rPr>
        <w:t>部分：</w:t>
      </w:r>
      <w:r>
        <w:rPr>
          <w:rFonts w:hint="eastAsia" w:ascii="宋体" w:hAnsi="宋体" w:eastAsia="宋体" w:cs="Times New Roman"/>
          <w:color w:val="auto"/>
          <w:sz w:val="24"/>
          <w:highlight w:val="none"/>
          <w:lang w:eastAsia="zh-CN"/>
        </w:rPr>
        <w:t>工程量清单</w:t>
      </w:r>
      <w:r>
        <w:rPr>
          <w:rFonts w:hint="eastAsia" w:ascii="宋体" w:hAnsi="宋体"/>
          <w:bCs/>
          <w:color w:val="auto"/>
          <w:sz w:val="24"/>
          <w:highlight w:val="none"/>
          <w:lang w:eastAsia="zh-CN"/>
        </w:rPr>
        <w:t>；</w:t>
      </w:r>
    </w:p>
    <w:p w14:paraId="6C97B459">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w:t>
      </w:r>
      <w:r>
        <w:rPr>
          <w:rFonts w:hint="eastAsia" w:ascii="宋体" w:hAnsi="宋体" w:cs="Times New Roman"/>
          <w:color w:val="auto"/>
          <w:sz w:val="24"/>
          <w:highlight w:val="none"/>
          <w:lang w:val="en-US" w:eastAsia="zh-CN"/>
        </w:rPr>
        <w:t>8</w:t>
      </w:r>
      <w:r>
        <w:rPr>
          <w:rFonts w:hint="eastAsia" w:ascii="宋体" w:hAnsi="宋体" w:eastAsia="宋体" w:cs="Times New Roman"/>
          <w:color w:val="auto"/>
          <w:sz w:val="24"/>
          <w:highlight w:val="none"/>
          <w:lang w:val="en-US" w:eastAsia="zh-CN"/>
        </w:rPr>
        <w:t>第</w:t>
      </w:r>
      <w:r>
        <w:rPr>
          <w:rFonts w:hint="eastAsia" w:ascii="宋体" w:hAnsi="宋体" w:cs="Times New Roman"/>
          <w:color w:val="auto"/>
          <w:sz w:val="24"/>
          <w:highlight w:val="none"/>
          <w:lang w:val="en-US" w:eastAsia="zh-CN"/>
        </w:rPr>
        <w:t>八</w:t>
      </w:r>
      <w:r>
        <w:rPr>
          <w:rFonts w:hint="eastAsia" w:ascii="宋体" w:hAnsi="宋体" w:eastAsia="宋体" w:cs="Times New Roman"/>
          <w:color w:val="auto"/>
          <w:sz w:val="24"/>
          <w:highlight w:val="none"/>
          <w:lang w:val="en-US" w:eastAsia="zh-CN"/>
        </w:rPr>
        <w:t>部分：图纸。</w:t>
      </w:r>
    </w:p>
    <w:p w14:paraId="334DE53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rPr>
        <w:t>1</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rPr>
        <w:t>2</w:t>
      </w:r>
      <w:r>
        <w:rPr>
          <w:rFonts w:ascii="宋体" w:hAnsi="宋体"/>
          <w:color w:val="auto"/>
          <w:sz w:val="24"/>
        </w:rPr>
        <w:t>供应商应认真阅读磋商文件中所有的事项、格式、条款和规范等要求。</w:t>
      </w:r>
      <w:r>
        <w:rPr>
          <w:rFonts w:ascii="宋体" w:hAnsi="宋体"/>
          <w:color w:val="auto"/>
          <w:sz w:val="24"/>
          <w:highlight w:val="none"/>
        </w:rPr>
        <w:t>如果供应商没有按照磋商文件要求提交全部资料，或者磋商响应文件没有对磋商文件在各方面都做出实质性响应，由此带来的不利于供应商的评</w:t>
      </w:r>
      <w:r>
        <w:rPr>
          <w:rFonts w:hint="eastAsia" w:ascii="宋体" w:hAnsi="宋体"/>
          <w:color w:val="auto"/>
          <w:sz w:val="24"/>
          <w:highlight w:val="none"/>
        </w:rPr>
        <w:t>审</w:t>
      </w:r>
      <w:r>
        <w:rPr>
          <w:rFonts w:ascii="宋体" w:hAnsi="宋体"/>
          <w:color w:val="auto"/>
          <w:sz w:val="24"/>
          <w:highlight w:val="none"/>
        </w:rPr>
        <w:t>结果，其风险由供应商</w:t>
      </w:r>
      <w:r>
        <w:rPr>
          <w:rFonts w:hint="eastAsia" w:ascii="宋体" w:hAnsi="宋体"/>
          <w:color w:val="auto"/>
          <w:sz w:val="24"/>
          <w:highlight w:val="none"/>
        </w:rPr>
        <w:t>自行</w:t>
      </w:r>
      <w:r>
        <w:rPr>
          <w:rFonts w:ascii="宋体" w:hAnsi="宋体"/>
          <w:color w:val="auto"/>
          <w:sz w:val="24"/>
          <w:highlight w:val="none"/>
        </w:rPr>
        <w:t>承担。</w:t>
      </w:r>
    </w:p>
    <w:p w14:paraId="51769838">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.3供应商获取竞争性磋商文件后，应仔细检查竞争性磋商文件的所有内容，如有残缺等问题应在获得磋商文件</w:t>
      </w:r>
      <w:r>
        <w:rPr>
          <w:rFonts w:ascii="宋体" w:hAnsi="宋体"/>
          <w:color w:val="auto"/>
          <w:sz w:val="24"/>
        </w:rPr>
        <w:t>3</w:t>
      </w:r>
      <w:r>
        <w:rPr>
          <w:rFonts w:hint="eastAsia" w:ascii="宋体" w:hAnsi="宋体"/>
          <w:color w:val="auto"/>
          <w:sz w:val="24"/>
        </w:rPr>
        <w:t>日内向采购代理机构提出，否则，由此引起的损失由供应商自行承担。</w:t>
      </w:r>
    </w:p>
    <w:p w14:paraId="38300B76">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.4</w:t>
      </w:r>
      <w:r>
        <w:rPr>
          <w:rFonts w:ascii="宋体" w:hAnsi="宋体"/>
          <w:color w:val="auto"/>
          <w:sz w:val="24"/>
          <w:highlight w:val="none"/>
        </w:rPr>
        <w:t>本磋商文件的解释权</w:t>
      </w:r>
      <w:r>
        <w:rPr>
          <w:rFonts w:hint="eastAsia" w:ascii="宋体" w:hAnsi="宋体"/>
          <w:color w:val="auto"/>
          <w:sz w:val="24"/>
          <w:highlight w:val="none"/>
        </w:rPr>
        <w:t>归采购代理</w:t>
      </w:r>
      <w:r>
        <w:rPr>
          <w:rFonts w:hint="eastAsia" w:ascii="宋体" w:hAnsi="宋体"/>
          <w:color w:val="auto"/>
          <w:sz w:val="24"/>
          <w:highlight w:val="none"/>
          <w:lang w:eastAsia="zh-CN"/>
        </w:rPr>
        <w:t>机构</w:t>
      </w:r>
      <w:r>
        <w:rPr>
          <w:rFonts w:hint="eastAsia" w:ascii="宋体" w:hAnsi="宋体"/>
          <w:color w:val="auto"/>
          <w:sz w:val="24"/>
          <w:highlight w:val="none"/>
        </w:rPr>
        <w:t>及采购人</w:t>
      </w:r>
      <w:r>
        <w:rPr>
          <w:rFonts w:ascii="宋体" w:hAnsi="宋体"/>
          <w:color w:val="auto"/>
          <w:sz w:val="24"/>
          <w:highlight w:val="none"/>
        </w:rPr>
        <w:t>。</w:t>
      </w:r>
    </w:p>
    <w:p w14:paraId="5D603F64">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2</w:t>
      </w:r>
      <w:r>
        <w:rPr>
          <w:rFonts w:hint="eastAsia" w:ascii="宋体" w:hAnsi="宋体"/>
          <w:b/>
          <w:color w:val="auto"/>
          <w:sz w:val="24"/>
        </w:rPr>
        <w:t>.竞争性磋商文件的澄清修改和质疑答复</w:t>
      </w:r>
    </w:p>
    <w:p w14:paraId="78EE380D">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default" w:ascii="宋体" w:hAnsi="宋体" w:eastAsia="宋体"/>
          <w:color w:val="auto"/>
          <w:sz w:val="24"/>
          <w:lang w:val="en-US" w:eastAsia="zh-CN"/>
        </w:rPr>
      </w:pPr>
      <w:bookmarkStart w:id="30" w:name="_Hlt510342861"/>
      <w:bookmarkEnd w:id="30"/>
      <w:bookmarkStart w:id="31" w:name="_Hlt509649724"/>
      <w:bookmarkEnd w:id="31"/>
      <w:bookmarkStart w:id="32" w:name="_Hlt509650697"/>
      <w:bookmarkEnd w:id="32"/>
      <w:r>
        <w:rPr>
          <w:rFonts w:hint="eastAsia" w:ascii="宋体" w:hAnsi="宋体"/>
          <w:color w:val="auto"/>
          <w:sz w:val="24"/>
        </w:rPr>
        <w:t>1</w:t>
      </w:r>
      <w:r>
        <w:rPr>
          <w:rFonts w:hint="eastAsia" w:ascii="宋体" w:hAnsi="宋体"/>
          <w:color w:val="auto"/>
          <w:sz w:val="24"/>
          <w:lang w:val="en-US" w:eastAsia="zh-CN"/>
        </w:rPr>
        <w:t>2</w:t>
      </w:r>
      <w:r>
        <w:rPr>
          <w:rFonts w:ascii="宋体" w:hAnsi="宋体"/>
          <w:color w:val="auto"/>
          <w:sz w:val="24"/>
        </w:rPr>
        <w:t>.</w:t>
      </w:r>
      <w:r>
        <w:rPr>
          <w:rFonts w:hint="eastAsia" w:ascii="宋体" w:hAnsi="宋体"/>
          <w:color w:val="auto"/>
          <w:sz w:val="24"/>
        </w:rPr>
        <w:t>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供应商应当按照磋商文件澄清或修改后的要求参与竞争性磋商，供应商没有作出实质性响应</w:t>
      </w:r>
      <w:r>
        <w:rPr>
          <w:rFonts w:hint="eastAsia" w:ascii="宋体" w:hAnsi="宋体"/>
          <w:color w:val="auto"/>
          <w:sz w:val="24"/>
          <w:lang w:val="en-US" w:eastAsia="zh-CN"/>
        </w:rPr>
        <w:t>而可能导致其响应文件被拒绝的风险将由供应商自行承担。</w:t>
      </w:r>
    </w:p>
    <w:p w14:paraId="384FB393">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2.2</w:t>
      </w:r>
      <w:r>
        <w:rPr>
          <w:rFonts w:hint="eastAsia" w:ascii="宋体" w:hAnsi="宋体"/>
          <w:color w:val="auto"/>
          <w:sz w:val="24"/>
        </w:rPr>
        <w:t>对于在规定时间内收到的供应商依法提出的询问或者质疑，</w:t>
      </w:r>
      <w:r>
        <w:rPr>
          <w:rFonts w:ascii="宋体" w:hAnsi="宋体"/>
          <w:color w:val="auto"/>
          <w:sz w:val="24"/>
        </w:rPr>
        <w:t>采购代理机构将</w:t>
      </w:r>
      <w:r>
        <w:rPr>
          <w:rFonts w:hint="eastAsia" w:ascii="宋体" w:hAnsi="宋体"/>
          <w:color w:val="auto"/>
          <w:sz w:val="24"/>
        </w:rPr>
        <w:t>按质疑程序及时作出答复，若对磋商文件做出实质性变动，则按照相关规定延长磋商</w:t>
      </w:r>
      <w:r>
        <w:rPr>
          <w:rFonts w:hint="eastAsia" w:ascii="宋体" w:hAnsi="宋体"/>
          <w:color w:val="auto"/>
          <w:sz w:val="24"/>
          <w:highlight w:val="none"/>
          <w:lang w:eastAsia="zh-CN"/>
        </w:rPr>
        <w:t>响应文件递交</w:t>
      </w:r>
      <w:r>
        <w:rPr>
          <w:rFonts w:hint="eastAsia" w:ascii="宋体" w:hAnsi="宋体"/>
          <w:color w:val="auto"/>
          <w:sz w:val="24"/>
          <w:highlight w:val="none"/>
        </w:rPr>
        <w:t>截</w:t>
      </w:r>
      <w:r>
        <w:rPr>
          <w:rFonts w:hint="eastAsia" w:ascii="宋体" w:hAnsi="宋体"/>
          <w:color w:val="auto"/>
          <w:sz w:val="24"/>
        </w:rPr>
        <w:t>止时间。</w:t>
      </w:r>
    </w:p>
    <w:p w14:paraId="1292FB08">
      <w:pPr>
        <w:keepNext w:val="0"/>
        <w:keepLines w:val="0"/>
        <w:pageBreakBefore w:val="0"/>
        <w:widowControl w:val="0"/>
        <w:kinsoku/>
        <w:wordWrap/>
        <w:overflowPunct/>
        <w:topLinePunct w:val="0"/>
        <w:autoSpaceDE/>
        <w:autoSpaceDN/>
        <w:bidi w:val="0"/>
        <w:adjustRightInd/>
        <w:spacing w:line="360" w:lineRule="auto"/>
        <w:ind w:firstLine="36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供应商提出质疑应当有明确的请求和必要的证明材料。</w:t>
      </w:r>
    </w:p>
    <w:p w14:paraId="6A5D4B74">
      <w:pPr>
        <w:jc w:val="center"/>
        <w:outlineLvl w:val="9"/>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三、磋商响应文件的编制</w:t>
      </w:r>
    </w:p>
    <w:p w14:paraId="3DCCE4D7">
      <w:pPr>
        <w:keepNext w:val="0"/>
        <w:keepLines w:val="0"/>
        <w:pageBreakBefore w:val="0"/>
        <w:widowControl w:val="0"/>
        <w:kinsoku/>
        <w:wordWrap/>
        <w:overflowPunct/>
        <w:topLinePunct w:val="0"/>
        <w:autoSpaceDE/>
        <w:autoSpaceDN/>
        <w:bidi w:val="0"/>
        <w:adjustRightInd/>
        <w:spacing w:line="360" w:lineRule="auto"/>
        <w:ind w:firstLine="410" w:firstLineChars="170"/>
        <w:textAlignment w:val="auto"/>
        <w:outlineLvl w:val="9"/>
        <w:rPr>
          <w:rFonts w:hint="eastAsia"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3</w:t>
      </w:r>
      <w:r>
        <w:rPr>
          <w:rFonts w:hint="eastAsia" w:ascii="宋体" w:hAnsi="宋体"/>
          <w:b/>
          <w:color w:val="auto"/>
          <w:sz w:val="24"/>
        </w:rPr>
        <w:t>.磋商响应文件构成与格式</w:t>
      </w:r>
    </w:p>
    <w:p w14:paraId="57C4F7F6">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color w:val="auto"/>
          <w:sz w:val="24"/>
        </w:rPr>
      </w:pPr>
      <w:bookmarkStart w:id="33" w:name="_Hlt509650345"/>
      <w:bookmarkEnd w:id="33"/>
      <w:r>
        <w:rPr>
          <w:rFonts w:hint="eastAsia" w:ascii="宋体" w:hAnsi="宋体"/>
          <w:color w:val="auto"/>
          <w:sz w:val="24"/>
        </w:rPr>
        <w:t>1</w:t>
      </w:r>
      <w:r>
        <w:rPr>
          <w:rFonts w:hint="eastAsia" w:ascii="宋体" w:hAnsi="宋体"/>
          <w:color w:val="auto"/>
          <w:sz w:val="24"/>
          <w:lang w:val="en-US" w:eastAsia="zh-CN"/>
        </w:rPr>
        <w:t>3</w:t>
      </w:r>
      <w:r>
        <w:rPr>
          <w:rFonts w:hint="eastAsia" w:ascii="宋体" w:hAnsi="宋体"/>
          <w:color w:val="auto"/>
          <w:sz w:val="24"/>
        </w:rPr>
        <w:t>.1磋商响应文件是对竞争性磋商文件的实质性响应及承诺文件。</w:t>
      </w:r>
    </w:p>
    <w:p w14:paraId="7D0AC285">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color w:val="auto"/>
          <w:spacing w:val="-4"/>
          <w:sz w:val="24"/>
        </w:rPr>
      </w:pPr>
      <w:r>
        <w:rPr>
          <w:rFonts w:hint="eastAsia" w:ascii="宋体" w:hAnsi="宋体"/>
          <w:bCs/>
          <w:color w:val="auto"/>
          <w:sz w:val="24"/>
        </w:rPr>
        <w:t>1</w:t>
      </w:r>
      <w:r>
        <w:rPr>
          <w:rFonts w:hint="eastAsia" w:ascii="宋体" w:hAnsi="宋体"/>
          <w:color w:val="auto"/>
          <w:sz w:val="24"/>
          <w:lang w:val="en-US" w:eastAsia="zh-CN"/>
        </w:rPr>
        <w:t>3</w:t>
      </w:r>
      <w:r>
        <w:rPr>
          <w:rFonts w:hint="eastAsia" w:ascii="宋体" w:hAnsi="宋体"/>
          <w:bCs/>
          <w:color w:val="auto"/>
          <w:sz w:val="24"/>
        </w:rPr>
        <w:t>.2</w:t>
      </w:r>
      <w:r>
        <w:rPr>
          <w:rFonts w:hint="eastAsia" w:ascii="宋体" w:hAnsi="宋体"/>
          <w:bCs/>
          <w:color w:val="auto"/>
          <w:spacing w:val="-4"/>
          <w:sz w:val="24"/>
        </w:rPr>
        <w:t>除专用术语外，磋商响应文件以及供应商与采购人就有关投标的往来函电均应使用中文。供应商提交的支持性文件和印制的文件可以用另一种语言，但相应内容应翻译成中文，对不同文字文本磋商响应文件的解释发生异议的，以中文文本为准。</w:t>
      </w:r>
    </w:p>
    <w:p w14:paraId="45E932D9">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3</w:t>
      </w:r>
      <w:r>
        <w:rPr>
          <w:rFonts w:hint="eastAsia" w:ascii="宋体" w:hAnsi="宋体"/>
          <w:color w:val="auto"/>
          <w:sz w:val="24"/>
        </w:rPr>
        <w:t>.3除非磋商文件另有规定，磋商响应文件应使用中华人民共和国法定计量单位。</w:t>
      </w:r>
    </w:p>
    <w:p w14:paraId="7EA0CBD9">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3</w:t>
      </w:r>
      <w:r>
        <w:rPr>
          <w:rFonts w:hint="eastAsia" w:ascii="宋体" w:hAnsi="宋体"/>
          <w:color w:val="auto"/>
          <w:sz w:val="24"/>
        </w:rPr>
        <w:t>.4除非磋商文件另有规定，磋商响应文件应使用人民币填报所有报价。</w:t>
      </w:r>
    </w:p>
    <w:p w14:paraId="7296AA4C">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3</w:t>
      </w:r>
      <w:r>
        <w:rPr>
          <w:rFonts w:hint="eastAsia" w:ascii="宋体" w:hAnsi="宋体"/>
          <w:color w:val="auto"/>
          <w:sz w:val="24"/>
        </w:rPr>
        <w:t>.5</w:t>
      </w:r>
      <w:r>
        <w:rPr>
          <w:rFonts w:hint="eastAsia" w:ascii="宋体" w:hAnsi="宋体" w:cs="宋体"/>
          <w:color w:val="auto"/>
          <w:kern w:val="24"/>
          <w:sz w:val="24"/>
          <w:lang w:val="en-US" w:eastAsia="zh-CN"/>
        </w:rPr>
        <w:t>供应商编写磋商响应文件时，请按磋商文件</w:t>
      </w:r>
      <w:r>
        <w:rPr>
          <w:rFonts w:hint="eastAsia" w:ascii="宋体" w:hAnsi="宋体" w:cs="宋体"/>
          <w:color w:val="auto"/>
          <w:kern w:val="24"/>
          <w:sz w:val="24"/>
          <w:highlight w:val="none"/>
          <w:lang w:val="en-US" w:eastAsia="zh-CN"/>
        </w:rPr>
        <w:t>“第六部分</w:t>
      </w:r>
      <w:r>
        <w:rPr>
          <w:rFonts w:hint="eastAsia" w:ascii="宋体" w:hAnsi="宋体" w:cs="宋体"/>
          <w:color w:val="auto"/>
          <w:kern w:val="24"/>
          <w:sz w:val="24"/>
          <w:lang w:val="en-US" w:eastAsia="zh-CN"/>
        </w:rPr>
        <w:t xml:space="preserve"> 磋商响应文件格式”提供的相应格式及顺序编排，</w:t>
      </w:r>
      <w:r>
        <w:rPr>
          <w:rFonts w:hint="eastAsia" w:ascii="宋体" w:hAnsi="宋体"/>
          <w:color w:val="auto"/>
          <w:sz w:val="24"/>
        </w:rPr>
        <w:t>磋商响应文件需打印，按A4规格制作</w:t>
      </w:r>
      <w:r>
        <w:rPr>
          <w:rFonts w:hint="eastAsia" w:ascii="宋体" w:hAnsi="宋体" w:cs="宋体"/>
          <w:color w:val="auto"/>
          <w:kern w:val="24"/>
          <w:sz w:val="24"/>
        </w:rPr>
        <w:t>，统一胶装</w:t>
      </w:r>
      <w:r>
        <w:rPr>
          <w:rFonts w:hint="eastAsia" w:ascii="宋体" w:hAnsi="宋体" w:cs="宋体"/>
          <w:color w:val="auto"/>
          <w:kern w:val="1"/>
          <w:sz w:val="24"/>
        </w:rPr>
        <w:t>（</w:t>
      </w:r>
      <w:r>
        <w:rPr>
          <w:rFonts w:hint="eastAsia" w:ascii="宋体" w:hAnsi="宋体" w:cs="宋体"/>
          <w:b/>
          <w:color w:val="auto"/>
          <w:kern w:val="1"/>
          <w:sz w:val="24"/>
        </w:rPr>
        <w:t>非胶装的磋商响应文件视为无效磋商响应文件</w:t>
      </w:r>
      <w:r>
        <w:rPr>
          <w:rFonts w:hint="eastAsia" w:ascii="宋体" w:hAnsi="宋体" w:cs="宋体"/>
          <w:color w:val="auto"/>
          <w:kern w:val="1"/>
          <w:sz w:val="24"/>
        </w:rPr>
        <w:t>）</w:t>
      </w:r>
      <w:r>
        <w:rPr>
          <w:rFonts w:hint="eastAsia" w:ascii="宋体" w:hAnsi="宋体" w:cs="宋体"/>
          <w:color w:val="auto"/>
          <w:kern w:val="24"/>
          <w:sz w:val="24"/>
        </w:rPr>
        <w:t>、标码（页码应有连续性，但由工程类专业软件编制的内容可除外），并标明目录</w:t>
      </w:r>
      <w:r>
        <w:rPr>
          <w:rFonts w:hint="eastAsia" w:ascii="宋体" w:hAnsi="宋体" w:cs="宋体"/>
          <w:color w:val="auto"/>
          <w:kern w:val="24"/>
          <w:sz w:val="24"/>
          <w:highlight w:val="none"/>
        </w:rPr>
        <w:t>（目录含页码，</w:t>
      </w:r>
      <w:r>
        <w:rPr>
          <w:rFonts w:hint="eastAsia" w:ascii="宋体" w:hAnsi="宋体" w:cs="宋体"/>
          <w:color w:val="auto"/>
          <w:kern w:val="24"/>
          <w:sz w:val="24"/>
        </w:rPr>
        <w:t>磋商文件中响应文件格式未提供目录，请供应商自行编制），</w:t>
      </w:r>
      <w:r>
        <w:rPr>
          <w:rFonts w:hint="eastAsia" w:ascii="宋体" w:hAnsi="宋体" w:cs="宋体"/>
          <w:color w:val="auto"/>
          <w:sz w:val="24"/>
          <w:szCs w:val="22"/>
        </w:rPr>
        <w:t>为响应国家环保号召，磋商响应文件建议采用双面打印</w:t>
      </w:r>
      <w:r>
        <w:rPr>
          <w:rFonts w:hint="eastAsia" w:ascii="宋体" w:hAnsi="宋体" w:cs="宋体"/>
          <w:color w:val="auto"/>
          <w:kern w:val="24"/>
          <w:sz w:val="24"/>
        </w:rPr>
        <w:t>。</w:t>
      </w:r>
    </w:p>
    <w:p w14:paraId="23DDA42F">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.6电报、电话、</w:t>
      </w:r>
      <w:r>
        <w:rPr>
          <w:rFonts w:hint="eastAsia" w:ascii="宋体" w:hAnsi="宋体"/>
          <w:color w:val="auto"/>
          <w:sz w:val="24"/>
          <w:highlight w:val="none"/>
          <w:lang w:val="en-US" w:eastAsia="zh-CN"/>
        </w:rPr>
        <w:t>邮寄、</w:t>
      </w:r>
      <w:r>
        <w:rPr>
          <w:rFonts w:hint="eastAsia" w:ascii="宋体" w:hAnsi="宋体"/>
          <w:color w:val="auto"/>
          <w:sz w:val="24"/>
          <w:highlight w:val="none"/>
        </w:rPr>
        <w:t>传真形式的投标概不接受。</w:t>
      </w:r>
    </w:p>
    <w:p w14:paraId="3D8690CA">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3</w:t>
      </w:r>
      <w:r>
        <w:rPr>
          <w:rFonts w:hint="eastAsia" w:ascii="宋体" w:hAnsi="宋体"/>
          <w:color w:val="auto"/>
          <w:sz w:val="24"/>
        </w:rPr>
        <w:t>.7采购人一律不予退还供应商的磋商响应文件。</w:t>
      </w:r>
    </w:p>
    <w:p w14:paraId="403FCE3F">
      <w:pPr>
        <w:keepNext w:val="0"/>
        <w:keepLines w:val="0"/>
        <w:pageBreakBefore w:val="0"/>
        <w:widowControl w:val="0"/>
        <w:kinsoku/>
        <w:wordWrap/>
        <w:overflowPunct/>
        <w:topLinePunct w:val="0"/>
        <w:autoSpaceDE/>
        <w:autoSpaceDN/>
        <w:bidi w:val="0"/>
        <w:adjustRightInd/>
        <w:spacing w:line="360" w:lineRule="auto"/>
        <w:ind w:firstLine="410" w:firstLineChars="170"/>
        <w:textAlignment w:val="auto"/>
        <w:outlineLvl w:val="9"/>
        <w:rPr>
          <w:rFonts w:hint="eastAsia" w:ascii="宋体" w:hAnsi="宋体"/>
          <w:color w:val="auto"/>
          <w:sz w:val="24"/>
        </w:rPr>
      </w:pPr>
      <w:r>
        <w:rPr>
          <w:rFonts w:hint="eastAsia" w:ascii="宋体" w:hAnsi="宋体"/>
          <w:b/>
          <w:color w:val="auto"/>
          <w:sz w:val="24"/>
        </w:rPr>
        <w:t>1</w:t>
      </w:r>
      <w:r>
        <w:rPr>
          <w:rFonts w:hint="eastAsia" w:ascii="宋体" w:hAnsi="宋体"/>
          <w:b/>
          <w:color w:val="auto"/>
          <w:sz w:val="24"/>
          <w:lang w:val="en-US" w:eastAsia="zh-CN"/>
        </w:rPr>
        <w:t>4</w:t>
      </w:r>
      <w:r>
        <w:rPr>
          <w:rFonts w:hint="eastAsia" w:ascii="宋体" w:hAnsi="宋体"/>
          <w:b/>
          <w:color w:val="auto"/>
          <w:sz w:val="24"/>
        </w:rPr>
        <w:t>.报价</w:t>
      </w:r>
    </w:p>
    <w:p w14:paraId="2C0038B9">
      <w:pPr>
        <w:keepNext w:val="0"/>
        <w:keepLines w:val="0"/>
        <w:pageBreakBefore w:val="0"/>
        <w:widowControl w:val="0"/>
        <w:kinsoku/>
        <w:wordWrap/>
        <w:overflowPunct/>
        <w:topLinePunct w:val="0"/>
        <w:autoSpaceDE/>
        <w:autoSpaceDN/>
        <w:bidi w:val="0"/>
        <w:adjustRightInd/>
        <w:spacing w:line="360" w:lineRule="auto"/>
        <w:ind w:firstLine="408" w:firstLineChars="17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.1供应商的报价应含所投项目工程内容所发生的一切应有费用。</w:t>
      </w:r>
      <w:r>
        <w:rPr>
          <w:rFonts w:hint="eastAsia" w:ascii="宋体" w:hAnsi="宋体"/>
          <w:color w:val="auto"/>
          <w:sz w:val="24"/>
          <w:lang w:eastAsia="zh-CN"/>
        </w:rPr>
        <w:t>磋商</w:t>
      </w:r>
      <w:r>
        <w:rPr>
          <w:rFonts w:hint="eastAsia" w:ascii="宋体" w:hAnsi="宋体"/>
          <w:color w:val="auto"/>
          <w:sz w:val="24"/>
          <w:highlight w:val="none"/>
          <w:lang w:val="en-US" w:eastAsia="zh-CN"/>
        </w:rPr>
        <w:t>最终</w:t>
      </w:r>
      <w:r>
        <w:rPr>
          <w:rFonts w:hint="eastAsia" w:ascii="宋体" w:hAnsi="宋体"/>
          <w:color w:val="auto"/>
          <w:sz w:val="24"/>
        </w:rPr>
        <w:t>报价为签订合同的依据。</w:t>
      </w:r>
    </w:p>
    <w:p w14:paraId="322B2E4E">
      <w:pPr>
        <w:keepNext w:val="0"/>
        <w:keepLines w:val="0"/>
        <w:pageBreakBefore w:val="0"/>
        <w:widowControl w:val="0"/>
        <w:kinsoku/>
        <w:wordWrap/>
        <w:overflowPunct/>
        <w:topLinePunct w:val="0"/>
        <w:autoSpaceDE/>
        <w:autoSpaceDN/>
        <w:bidi w:val="0"/>
        <w:adjustRightInd/>
        <w:spacing w:line="360" w:lineRule="auto"/>
        <w:ind w:firstLine="389" w:firstLineChars="171"/>
        <w:textAlignment w:val="auto"/>
        <w:outlineLvl w:val="9"/>
        <w:rPr>
          <w:rFonts w:ascii="宋体" w:hAnsi="宋体"/>
          <w:color w:val="auto"/>
          <w:spacing w:val="-6"/>
          <w:sz w:val="24"/>
        </w:rPr>
      </w:pPr>
      <w:r>
        <w:rPr>
          <w:rFonts w:hint="eastAsia" w:ascii="宋体" w:hAnsi="宋体"/>
          <w:color w:val="auto"/>
          <w:spacing w:val="-6"/>
          <w:sz w:val="24"/>
        </w:rPr>
        <w:t>1</w:t>
      </w:r>
      <w:r>
        <w:rPr>
          <w:rFonts w:hint="eastAsia" w:ascii="宋体" w:hAnsi="宋体"/>
          <w:color w:val="auto"/>
          <w:spacing w:val="-6"/>
          <w:sz w:val="24"/>
          <w:lang w:val="en-US" w:eastAsia="zh-CN"/>
        </w:rPr>
        <w:t>4</w:t>
      </w:r>
      <w:r>
        <w:rPr>
          <w:rFonts w:hint="eastAsia" w:ascii="宋体" w:hAnsi="宋体"/>
          <w:color w:val="auto"/>
          <w:spacing w:val="-6"/>
          <w:sz w:val="24"/>
        </w:rPr>
        <w:t>.2</w:t>
      </w:r>
      <w:r>
        <w:rPr>
          <w:rFonts w:ascii="宋体" w:hAnsi="宋体"/>
          <w:color w:val="auto"/>
          <w:spacing w:val="-6"/>
          <w:sz w:val="24"/>
        </w:rPr>
        <w:t>磋商报价应以人民币报价。任何包含非人民币报价的</w:t>
      </w:r>
      <w:r>
        <w:rPr>
          <w:rFonts w:hint="eastAsia" w:ascii="宋体" w:hAnsi="宋体"/>
          <w:color w:val="auto"/>
          <w:spacing w:val="-6"/>
          <w:sz w:val="24"/>
        </w:rPr>
        <w:t>磋商响应文件均按无效处理</w:t>
      </w:r>
      <w:r>
        <w:rPr>
          <w:rFonts w:ascii="宋体" w:hAnsi="宋体"/>
          <w:color w:val="auto"/>
          <w:spacing w:val="-6"/>
          <w:sz w:val="24"/>
        </w:rPr>
        <w:t>。</w:t>
      </w:r>
    </w:p>
    <w:p w14:paraId="22FF5550">
      <w:pPr>
        <w:keepNext w:val="0"/>
        <w:keepLines w:val="0"/>
        <w:pageBreakBefore w:val="0"/>
        <w:widowControl w:val="0"/>
        <w:kinsoku/>
        <w:wordWrap/>
        <w:overflowPunct/>
        <w:topLinePunct w:val="0"/>
        <w:autoSpaceDE/>
        <w:autoSpaceDN/>
        <w:bidi w:val="0"/>
        <w:adjustRightInd/>
        <w:spacing w:line="360" w:lineRule="auto"/>
        <w:ind w:firstLine="389" w:firstLineChars="171"/>
        <w:textAlignment w:val="auto"/>
        <w:outlineLvl w:val="9"/>
        <w:rPr>
          <w:rFonts w:hint="eastAsia" w:ascii="宋体" w:hAnsi="宋体"/>
          <w:color w:val="auto"/>
          <w:spacing w:val="-6"/>
          <w:sz w:val="24"/>
        </w:rPr>
      </w:pPr>
      <w:r>
        <w:rPr>
          <w:rFonts w:hint="eastAsia" w:ascii="宋体" w:hAnsi="宋体"/>
          <w:color w:val="auto"/>
          <w:spacing w:val="-6"/>
          <w:sz w:val="24"/>
        </w:rPr>
        <w:t>1</w:t>
      </w:r>
      <w:r>
        <w:rPr>
          <w:rFonts w:hint="eastAsia" w:ascii="宋体" w:hAnsi="宋体"/>
          <w:color w:val="auto"/>
          <w:spacing w:val="-6"/>
          <w:sz w:val="24"/>
          <w:lang w:val="en-US" w:eastAsia="zh-CN"/>
        </w:rPr>
        <w:t>4</w:t>
      </w:r>
      <w:r>
        <w:rPr>
          <w:rFonts w:hint="eastAsia" w:ascii="宋体" w:hAnsi="宋体"/>
          <w:color w:val="auto"/>
          <w:spacing w:val="-6"/>
          <w:sz w:val="24"/>
        </w:rPr>
        <w:t>.3除非磋商文件另有规定，只允许有一个最终报价，任何有选择的报价或替代方案将导致投标无效。</w:t>
      </w:r>
    </w:p>
    <w:p w14:paraId="738F1438">
      <w:pPr>
        <w:keepNext w:val="0"/>
        <w:keepLines w:val="0"/>
        <w:pageBreakBefore w:val="0"/>
        <w:widowControl w:val="0"/>
        <w:kinsoku/>
        <w:wordWrap/>
        <w:overflowPunct/>
        <w:topLinePunct w:val="0"/>
        <w:autoSpaceDE/>
        <w:autoSpaceDN/>
        <w:bidi w:val="0"/>
        <w:adjustRightInd/>
        <w:spacing w:line="360" w:lineRule="auto"/>
        <w:ind w:firstLine="410" w:firstLineChars="171"/>
        <w:textAlignment w:val="auto"/>
        <w:outlineLvl w:val="9"/>
        <w:rPr>
          <w:rFonts w:hint="eastAsia" w:ascii="宋体" w:hAnsi="宋体"/>
          <w:color w:val="auto"/>
          <w:sz w:val="24"/>
          <w:highlight w:val="none"/>
        </w:rPr>
      </w:pPr>
      <w:r>
        <w:rPr>
          <w:rFonts w:hint="eastAsia" w:ascii="宋体" w:hAnsi="宋体"/>
          <w:color w:val="auto"/>
          <w:sz w:val="24"/>
        </w:rPr>
        <w:t>1</w:t>
      </w:r>
      <w:r>
        <w:rPr>
          <w:rFonts w:hint="eastAsia" w:ascii="宋体" w:hAnsi="宋体"/>
          <w:color w:val="auto"/>
          <w:sz w:val="24"/>
          <w:lang w:val="en-US" w:eastAsia="zh-CN"/>
        </w:rPr>
        <w:t>4</w:t>
      </w:r>
      <w:r>
        <w:rPr>
          <w:rFonts w:hint="eastAsia" w:ascii="宋体" w:hAnsi="宋体"/>
          <w:color w:val="auto"/>
          <w:sz w:val="24"/>
        </w:rPr>
        <w:t>.4供应商</w:t>
      </w:r>
      <w:r>
        <w:rPr>
          <w:rFonts w:hint="eastAsia" w:ascii="宋体" w:hAnsi="宋体"/>
          <w:color w:val="auto"/>
          <w:sz w:val="24"/>
          <w:lang w:val="en-US" w:eastAsia="zh-CN"/>
        </w:rPr>
        <w:t>最终</w:t>
      </w:r>
      <w:r>
        <w:rPr>
          <w:rFonts w:hint="eastAsia" w:ascii="宋体" w:hAnsi="宋体"/>
          <w:color w:val="auto"/>
          <w:sz w:val="24"/>
        </w:rPr>
        <w:t>报价在合同实施期间不因市场变化因素</w:t>
      </w:r>
      <w:r>
        <w:rPr>
          <w:rFonts w:hint="eastAsia" w:ascii="宋体" w:hAnsi="宋体"/>
          <w:color w:val="auto"/>
          <w:sz w:val="24"/>
          <w:highlight w:val="none"/>
        </w:rPr>
        <w:t>而变动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政策性调整除外</w:t>
      </w:r>
      <w:r>
        <w:rPr>
          <w:rFonts w:hint="eastAsia" w:ascii="宋体" w:hAnsi="宋体"/>
          <w:color w:val="auto"/>
          <w:sz w:val="24"/>
          <w:highlight w:val="none"/>
          <w:lang w:eastAsia="zh-CN"/>
        </w:rPr>
        <w:t>）</w:t>
      </w:r>
      <w:r>
        <w:rPr>
          <w:rFonts w:hint="eastAsia" w:ascii="宋体" w:hAnsi="宋体"/>
          <w:color w:val="auto"/>
          <w:sz w:val="24"/>
          <w:highlight w:val="none"/>
        </w:rPr>
        <w:t>。</w:t>
      </w:r>
    </w:p>
    <w:p w14:paraId="5CEFDF9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5</w:t>
      </w:r>
      <w:r>
        <w:rPr>
          <w:rFonts w:hint="eastAsia" w:ascii="宋体" w:hAnsi="宋体"/>
          <w:b/>
          <w:bCs/>
          <w:color w:val="auto"/>
          <w:sz w:val="24"/>
          <w:highlight w:val="none"/>
        </w:rPr>
        <w:t>.</w:t>
      </w:r>
      <w:r>
        <w:rPr>
          <w:rFonts w:ascii="宋体" w:hAnsi="宋体"/>
          <w:b/>
          <w:color w:val="auto"/>
          <w:sz w:val="24"/>
          <w:highlight w:val="none"/>
        </w:rPr>
        <w:t xml:space="preserve"> 磋商响应文件的构成</w:t>
      </w:r>
    </w:p>
    <w:p w14:paraId="3F9B2F8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ascii="宋体" w:hAnsi="宋体"/>
          <w:color w:val="auto"/>
          <w:sz w:val="24"/>
          <w:highlight w:val="none"/>
        </w:rPr>
        <w:t>按照磋商须知的要求和磋商响应文件规定格式填写的磋商报价</w:t>
      </w:r>
      <w:r>
        <w:rPr>
          <w:rFonts w:hint="eastAsia" w:ascii="宋体" w:hAnsi="宋体"/>
          <w:color w:val="auto"/>
          <w:sz w:val="24"/>
          <w:highlight w:val="none"/>
          <w:lang w:val="en-US" w:eastAsia="zh-CN"/>
        </w:rPr>
        <w:t>表</w:t>
      </w:r>
      <w:r>
        <w:rPr>
          <w:rFonts w:hint="eastAsia" w:ascii="宋体" w:hAnsi="宋体"/>
          <w:color w:val="auto"/>
          <w:sz w:val="24"/>
          <w:highlight w:val="none"/>
          <w:lang w:eastAsia="zh-CN"/>
        </w:rPr>
        <w:t>，</w:t>
      </w:r>
      <w:r>
        <w:rPr>
          <w:rFonts w:ascii="宋体" w:hAnsi="宋体"/>
          <w:color w:val="auto"/>
          <w:sz w:val="24"/>
          <w:highlight w:val="none"/>
        </w:rPr>
        <w:t>按要求格式出具的法定代表人授权</w:t>
      </w:r>
      <w:r>
        <w:rPr>
          <w:rFonts w:hint="eastAsia" w:ascii="宋体" w:hAnsi="宋体"/>
          <w:color w:val="auto"/>
          <w:sz w:val="24"/>
          <w:highlight w:val="none"/>
          <w:lang w:eastAsia="zh-CN"/>
        </w:rPr>
        <w:t>委托</w:t>
      </w:r>
      <w:r>
        <w:rPr>
          <w:rFonts w:ascii="宋体" w:hAnsi="宋体"/>
          <w:color w:val="auto"/>
          <w:sz w:val="24"/>
          <w:highlight w:val="none"/>
        </w:rPr>
        <w:t>书。</w:t>
      </w:r>
    </w:p>
    <w:p w14:paraId="7D844F6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5.2</w:t>
      </w:r>
      <w:r>
        <w:rPr>
          <w:rFonts w:ascii="宋体" w:hAnsi="宋体"/>
          <w:color w:val="auto"/>
          <w:sz w:val="24"/>
          <w:highlight w:val="none"/>
        </w:rPr>
        <w:t>按照</w:t>
      </w:r>
      <w:r>
        <w:rPr>
          <w:rFonts w:hint="eastAsia" w:ascii="宋体" w:hAnsi="宋体"/>
          <w:color w:val="auto"/>
          <w:sz w:val="24"/>
          <w:highlight w:val="none"/>
        </w:rPr>
        <w:t>磋商</w:t>
      </w:r>
      <w:r>
        <w:rPr>
          <w:rFonts w:ascii="宋体" w:hAnsi="宋体"/>
          <w:color w:val="auto"/>
          <w:sz w:val="24"/>
          <w:highlight w:val="none"/>
        </w:rPr>
        <w:t>文件的要求编制的</w:t>
      </w:r>
      <w:r>
        <w:rPr>
          <w:rFonts w:hint="eastAsia" w:ascii="宋体" w:hAnsi="宋体"/>
          <w:color w:val="auto"/>
          <w:sz w:val="24"/>
          <w:highlight w:val="none"/>
        </w:rPr>
        <w:t>磋商响应文件</w:t>
      </w:r>
      <w:r>
        <w:rPr>
          <w:rFonts w:ascii="宋体" w:hAnsi="宋体"/>
          <w:color w:val="auto"/>
          <w:sz w:val="24"/>
          <w:highlight w:val="none"/>
        </w:rPr>
        <w:t>，内容应包括</w:t>
      </w:r>
      <w:r>
        <w:rPr>
          <w:rFonts w:hint="eastAsia" w:ascii="宋体" w:hAnsi="宋体"/>
          <w:color w:val="auto"/>
          <w:sz w:val="24"/>
          <w:highlight w:val="none"/>
        </w:rPr>
        <w:t>磋商文件“第</w:t>
      </w:r>
      <w:r>
        <w:rPr>
          <w:rFonts w:hint="eastAsia" w:ascii="宋体" w:hAnsi="宋体"/>
          <w:color w:val="auto"/>
          <w:sz w:val="24"/>
          <w:highlight w:val="none"/>
          <w:lang w:val="en-US" w:eastAsia="zh-CN"/>
        </w:rPr>
        <w:t>六</w:t>
      </w:r>
      <w:r>
        <w:rPr>
          <w:rFonts w:hint="eastAsia" w:ascii="宋体" w:hAnsi="宋体"/>
          <w:color w:val="auto"/>
          <w:sz w:val="24"/>
          <w:highlight w:val="none"/>
        </w:rPr>
        <w:t>部分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磋商响应文件</w:t>
      </w:r>
      <w:r>
        <w:rPr>
          <w:rFonts w:hint="eastAsia" w:ascii="宋体" w:hAnsi="宋体"/>
          <w:color w:val="auto"/>
          <w:sz w:val="24"/>
          <w:highlight w:val="none"/>
          <w:lang w:val="en-US" w:eastAsia="zh-CN"/>
        </w:rPr>
        <w:t>格式</w:t>
      </w:r>
      <w:r>
        <w:rPr>
          <w:rFonts w:hint="eastAsia" w:ascii="宋体" w:hAnsi="宋体"/>
          <w:color w:val="auto"/>
          <w:sz w:val="24"/>
          <w:highlight w:val="none"/>
        </w:rPr>
        <w:t>”内的所有内容</w:t>
      </w:r>
      <w:r>
        <w:rPr>
          <w:rFonts w:ascii="宋体" w:hAnsi="宋体"/>
          <w:color w:val="auto"/>
          <w:sz w:val="24"/>
          <w:highlight w:val="none"/>
        </w:rPr>
        <w:t>。</w:t>
      </w:r>
    </w:p>
    <w:p w14:paraId="29CC51B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5.3</w:t>
      </w:r>
      <w:r>
        <w:rPr>
          <w:rFonts w:ascii="宋体" w:hAnsi="宋体"/>
          <w:color w:val="auto"/>
          <w:sz w:val="24"/>
          <w:highlight w:val="none"/>
        </w:rPr>
        <w:t>按照磋商文件的要求提交的资</w:t>
      </w:r>
      <w:r>
        <w:rPr>
          <w:rFonts w:hint="eastAsia" w:ascii="宋体" w:hAnsi="宋体"/>
          <w:color w:val="auto"/>
          <w:sz w:val="24"/>
          <w:highlight w:val="none"/>
          <w:lang w:val="en-US" w:eastAsia="zh-CN"/>
        </w:rPr>
        <w:t>格</w:t>
      </w:r>
      <w:r>
        <w:rPr>
          <w:rFonts w:ascii="宋体" w:hAnsi="宋体"/>
          <w:color w:val="auto"/>
          <w:sz w:val="24"/>
          <w:highlight w:val="none"/>
        </w:rPr>
        <w:t>证明文件</w:t>
      </w:r>
      <w:r>
        <w:rPr>
          <w:rFonts w:hint="eastAsia" w:ascii="宋体" w:hAnsi="宋体"/>
          <w:color w:val="auto"/>
          <w:sz w:val="24"/>
          <w:highlight w:val="none"/>
        </w:rPr>
        <w:t>和其他证明文件。</w:t>
      </w:r>
    </w:p>
    <w:p w14:paraId="352B5C2A">
      <w:pPr>
        <w:keepNext w:val="0"/>
        <w:keepLines w:val="0"/>
        <w:pageBreakBefore w:val="0"/>
        <w:widowControl w:val="0"/>
        <w:kinsoku/>
        <w:wordWrap/>
        <w:overflowPunct/>
        <w:topLinePunct w:val="0"/>
        <w:autoSpaceDE/>
        <w:autoSpaceDN/>
        <w:bidi w:val="0"/>
        <w:adjustRightInd/>
        <w:spacing w:line="360" w:lineRule="auto"/>
        <w:ind w:firstLine="412" w:firstLineChars="171"/>
        <w:textAlignment w:val="auto"/>
        <w:outlineLvl w:val="9"/>
        <w:rPr>
          <w:rFonts w:hint="eastAsia" w:ascii="宋体" w:hAnsi="宋体"/>
          <w:b/>
          <w:color w:val="auto"/>
          <w:sz w:val="24"/>
          <w:highlight w:val="none"/>
        </w:rPr>
      </w:pPr>
      <w:r>
        <w:rPr>
          <w:rFonts w:hint="eastAsia" w:ascii="宋体" w:hAnsi="宋体"/>
          <w:b/>
          <w:color w:val="auto"/>
          <w:sz w:val="24"/>
        </w:rPr>
        <w:t>1</w:t>
      </w:r>
      <w:r>
        <w:rPr>
          <w:rFonts w:hint="eastAsia" w:ascii="宋体" w:hAnsi="宋体"/>
          <w:b/>
          <w:color w:val="auto"/>
          <w:sz w:val="24"/>
          <w:lang w:val="en-US" w:eastAsia="zh-CN"/>
        </w:rPr>
        <w:t>6</w:t>
      </w:r>
      <w:r>
        <w:rPr>
          <w:rFonts w:hint="eastAsia" w:ascii="宋体" w:hAnsi="宋体"/>
          <w:b/>
          <w:color w:val="auto"/>
          <w:sz w:val="24"/>
        </w:rPr>
        <w:t>.投标内容填写及说明</w:t>
      </w:r>
    </w:p>
    <w:p w14:paraId="56FD554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color w:val="auto"/>
          <w:kern w:val="1"/>
          <w:sz w:val="24"/>
          <w:highlight w:val="none"/>
        </w:rPr>
      </w:pPr>
      <w:bookmarkStart w:id="34" w:name="_Hlt509650572"/>
      <w:bookmarkEnd w:id="34"/>
      <w:bookmarkStart w:id="35" w:name="_Toc356157315"/>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.1</w:t>
      </w:r>
      <w:r>
        <w:rPr>
          <w:rFonts w:hint="eastAsia" w:ascii="宋体" w:hAnsi="宋体" w:cs="宋体"/>
          <w:color w:val="auto"/>
          <w:spacing w:val="-4"/>
          <w:kern w:val="24"/>
          <w:sz w:val="24"/>
          <w:highlight w:val="none"/>
        </w:rPr>
        <w:t>供应商应严格按照竞争性磋商文件第</w:t>
      </w:r>
      <w:r>
        <w:rPr>
          <w:rFonts w:hint="eastAsia" w:ascii="宋体" w:hAnsi="宋体" w:cs="宋体"/>
          <w:color w:val="auto"/>
          <w:spacing w:val="-4"/>
          <w:kern w:val="24"/>
          <w:sz w:val="24"/>
          <w:highlight w:val="none"/>
          <w:lang w:val="en-US" w:eastAsia="zh-CN"/>
        </w:rPr>
        <w:t>六</w:t>
      </w:r>
      <w:r>
        <w:rPr>
          <w:rFonts w:hint="eastAsia" w:ascii="宋体" w:hAnsi="宋体" w:cs="宋体"/>
          <w:color w:val="auto"/>
          <w:spacing w:val="-4"/>
          <w:kern w:val="24"/>
          <w:sz w:val="24"/>
          <w:highlight w:val="none"/>
        </w:rPr>
        <w:t>部分中提供的“磋商响应文件格式”填写相关内容。</w:t>
      </w:r>
      <w:r>
        <w:rPr>
          <w:rFonts w:hint="eastAsia" w:ascii="宋体" w:hAnsi="宋体" w:cs="宋体"/>
          <w:b/>
          <w:bCs/>
          <w:color w:val="auto"/>
          <w:kern w:val="1"/>
          <w:sz w:val="24"/>
          <w:highlight w:val="none"/>
        </w:rPr>
        <w:t>除明确允许</w:t>
      </w:r>
      <w:r>
        <w:rPr>
          <w:rFonts w:hint="eastAsia" w:ascii="宋体" w:hAnsi="宋体" w:cs="宋体"/>
          <w:b/>
          <w:bCs/>
          <w:color w:val="auto"/>
          <w:kern w:val="1"/>
          <w:sz w:val="24"/>
          <w:highlight w:val="none"/>
          <w:lang w:eastAsia="zh-CN"/>
        </w:rPr>
        <w:t>供应商</w:t>
      </w:r>
      <w:r>
        <w:rPr>
          <w:rFonts w:hint="eastAsia" w:ascii="宋体" w:hAnsi="宋体" w:cs="宋体"/>
          <w:b/>
          <w:bCs/>
          <w:color w:val="auto"/>
          <w:kern w:val="1"/>
          <w:sz w:val="24"/>
          <w:highlight w:val="none"/>
        </w:rPr>
        <w:t>可以自行编写的外，</w:t>
      </w:r>
      <w:r>
        <w:rPr>
          <w:rFonts w:hint="eastAsia" w:ascii="宋体" w:hAnsi="宋体" w:cs="宋体"/>
          <w:b/>
          <w:bCs/>
          <w:color w:val="auto"/>
          <w:kern w:val="1"/>
          <w:sz w:val="24"/>
          <w:highlight w:val="none"/>
          <w:lang w:eastAsia="zh-CN"/>
        </w:rPr>
        <w:t>供应商</w:t>
      </w:r>
      <w:r>
        <w:rPr>
          <w:rFonts w:hint="eastAsia" w:ascii="宋体" w:hAnsi="宋体" w:cs="宋体"/>
          <w:b/>
          <w:bCs/>
          <w:color w:val="auto"/>
          <w:kern w:val="1"/>
          <w:sz w:val="24"/>
          <w:highlight w:val="none"/>
        </w:rPr>
        <w:t>不得以“磋商响应文件格式”规定之外的方式填写相关内容。</w:t>
      </w:r>
    </w:p>
    <w:p w14:paraId="1DC519A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pacing w:val="4"/>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.2</w:t>
      </w:r>
      <w:r>
        <w:rPr>
          <w:rFonts w:hint="eastAsia" w:ascii="宋体" w:hAnsi="宋体" w:cs="宋体"/>
          <w:color w:val="auto"/>
          <w:kern w:val="1"/>
          <w:sz w:val="24"/>
          <w:highlight w:val="none"/>
        </w:rPr>
        <w:t>对于没有格式要求的磋商响应文件由</w:t>
      </w:r>
      <w:r>
        <w:rPr>
          <w:rFonts w:hint="eastAsia" w:ascii="宋体" w:hAnsi="宋体" w:cs="宋体"/>
          <w:color w:val="auto"/>
          <w:kern w:val="1"/>
          <w:sz w:val="24"/>
          <w:highlight w:val="none"/>
          <w:lang w:val="en-US" w:eastAsia="zh-CN"/>
        </w:rPr>
        <w:t>供应商</w:t>
      </w:r>
      <w:r>
        <w:rPr>
          <w:rFonts w:hint="eastAsia" w:ascii="宋体" w:hAnsi="宋体" w:cs="宋体"/>
          <w:color w:val="auto"/>
          <w:kern w:val="1"/>
          <w:sz w:val="24"/>
          <w:highlight w:val="none"/>
        </w:rPr>
        <w:t>自行编写。</w:t>
      </w:r>
    </w:p>
    <w:p w14:paraId="147B807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color w:val="auto"/>
          <w:kern w:val="1"/>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kern w:val="1"/>
          <w:sz w:val="24"/>
          <w:highlight w:val="none"/>
        </w:rPr>
        <w:t>供应商自行承担未按照</w:t>
      </w:r>
      <w:r>
        <w:rPr>
          <w:rFonts w:hint="eastAsia" w:ascii="宋体" w:hAnsi="宋体" w:cs="宋体"/>
          <w:color w:val="auto"/>
          <w:kern w:val="1"/>
          <w:sz w:val="24"/>
          <w:highlight w:val="none"/>
          <w:lang w:val="en-US" w:eastAsia="zh-CN"/>
        </w:rPr>
        <w:t>采购</w:t>
      </w:r>
      <w:r>
        <w:rPr>
          <w:rFonts w:hint="eastAsia" w:ascii="宋体" w:hAnsi="宋体" w:cs="宋体"/>
          <w:color w:val="auto"/>
          <w:kern w:val="1"/>
          <w:sz w:val="24"/>
          <w:highlight w:val="none"/>
        </w:rPr>
        <w:t>要求提供相关内容被视为无效</w:t>
      </w:r>
      <w:r>
        <w:rPr>
          <w:rFonts w:hint="eastAsia" w:ascii="宋体" w:hAnsi="宋体" w:cs="宋体"/>
          <w:color w:val="auto"/>
          <w:kern w:val="1"/>
          <w:sz w:val="24"/>
          <w:highlight w:val="none"/>
          <w:lang w:val="en-US" w:eastAsia="zh-CN"/>
        </w:rPr>
        <w:t>投标</w:t>
      </w:r>
      <w:r>
        <w:rPr>
          <w:rFonts w:hint="eastAsia" w:ascii="宋体" w:hAnsi="宋体" w:cs="宋体"/>
          <w:color w:val="auto"/>
          <w:kern w:val="1"/>
          <w:sz w:val="24"/>
          <w:highlight w:val="none"/>
        </w:rPr>
        <w:t>的风险。</w:t>
      </w:r>
    </w:p>
    <w:p w14:paraId="05FDABC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eastAsia="宋体"/>
          <w:b/>
          <w:color w:val="auto"/>
          <w:sz w:val="24"/>
          <w:highlight w:val="none"/>
          <w:lang w:eastAsia="zh-CN"/>
        </w:rPr>
      </w:pPr>
      <w:r>
        <w:rPr>
          <w:rFonts w:hint="eastAsia" w:ascii="宋体" w:hAnsi="宋体"/>
          <w:b/>
          <w:color w:val="auto"/>
          <w:sz w:val="24"/>
          <w:highlight w:val="none"/>
        </w:rPr>
        <w:t>1</w:t>
      </w:r>
      <w:r>
        <w:rPr>
          <w:rFonts w:hint="eastAsia" w:ascii="宋体" w:hAnsi="宋体"/>
          <w:b/>
          <w:color w:val="auto"/>
          <w:sz w:val="24"/>
          <w:highlight w:val="none"/>
          <w:lang w:val="en-US" w:eastAsia="zh-CN"/>
        </w:rPr>
        <w:t>7</w:t>
      </w:r>
      <w:r>
        <w:rPr>
          <w:rFonts w:hint="eastAsia" w:ascii="宋体" w:hAnsi="宋体"/>
          <w:b/>
          <w:color w:val="auto"/>
          <w:sz w:val="24"/>
          <w:highlight w:val="none"/>
        </w:rPr>
        <w:t>.</w:t>
      </w:r>
      <w:r>
        <w:rPr>
          <w:rFonts w:hint="eastAsia" w:ascii="宋体" w:hAnsi="宋体"/>
          <w:b/>
          <w:color w:val="auto"/>
          <w:sz w:val="24"/>
          <w:highlight w:val="none"/>
          <w:lang w:eastAsia="zh-CN"/>
        </w:rPr>
        <w:t>磋商保证金</w:t>
      </w:r>
    </w:p>
    <w:p w14:paraId="738D273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.1</w:t>
      </w:r>
      <w:r>
        <w:rPr>
          <w:rFonts w:hint="eastAsia" w:ascii="宋体" w:hAnsi="宋体"/>
          <w:color w:val="auto"/>
          <w:sz w:val="24"/>
          <w:highlight w:val="none"/>
          <w:lang w:eastAsia="zh-CN"/>
        </w:rPr>
        <w:t>磋商保证金</w:t>
      </w:r>
      <w:r>
        <w:rPr>
          <w:rFonts w:hint="eastAsia" w:ascii="宋体" w:hAnsi="宋体"/>
          <w:color w:val="auto"/>
          <w:sz w:val="24"/>
          <w:highlight w:val="none"/>
        </w:rPr>
        <w:t>按照</w:t>
      </w:r>
      <w:r>
        <w:rPr>
          <w:rFonts w:hint="eastAsia" w:ascii="宋体" w:hAnsi="宋体"/>
          <w:color w:val="auto"/>
          <w:sz w:val="24"/>
          <w:highlight w:val="none"/>
          <w:lang w:val="en-US" w:eastAsia="zh-CN"/>
        </w:rPr>
        <w:t>磋商</w:t>
      </w:r>
      <w:r>
        <w:rPr>
          <w:rFonts w:hint="eastAsia" w:ascii="宋体" w:hAnsi="宋体"/>
          <w:color w:val="auto"/>
          <w:sz w:val="24"/>
          <w:highlight w:val="none"/>
        </w:rPr>
        <w:t>须知前附表要求缴纳。</w:t>
      </w:r>
    </w:p>
    <w:p w14:paraId="4960917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供应商未按照</w:t>
      </w:r>
      <w:r>
        <w:rPr>
          <w:rFonts w:hint="eastAsia" w:ascii="宋体" w:hAnsi="宋体"/>
          <w:color w:val="auto"/>
          <w:sz w:val="24"/>
          <w:highlight w:val="none"/>
          <w:lang w:eastAsia="zh-CN"/>
        </w:rPr>
        <w:t>竞争性磋商文件</w:t>
      </w:r>
      <w:r>
        <w:rPr>
          <w:rFonts w:hint="eastAsia" w:ascii="宋体" w:hAnsi="宋体"/>
          <w:color w:val="auto"/>
          <w:sz w:val="24"/>
          <w:highlight w:val="none"/>
        </w:rPr>
        <w:t>要求</w:t>
      </w:r>
      <w:r>
        <w:rPr>
          <w:rFonts w:hint="eastAsia" w:ascii="宋体" w:hAnsi="宋体"/>
          <w:color w:val="auto"/>
          <w:sz w:val="24"/>
          <w:highlight w:val="none"/>
          <w:lang w:val="en-US" w:eastAsia="zh-CN"/>
        </w:rPr>
        <w:t>缴</w:t>
      </w:r>
      <w:r>
        <w:rPr>
          <w:rFonts w:hint="eastAsia" w:ascii="宋体" w:hAnsi="宋体"/>
          <w:color w:val="auto"/>
          <w:sz w:val="24"/>
          <w:highlight w:val="none"/>
        </w:rPr>
        <w:t>纳</w:t>
      </w:r>
      <w:r>
        <w:rPr>
          <w:rFonts w:hint="eastAsia" w:ascii="宋体" w:hAnsi="宋体"/>
          <w:color w:val="auto"/>
          <w:sz w:val="24"/>
          <w:highlight w:val="none"/>
          <w:lang w:eastAsia="zh-CN"/>
        </w:rPr>
        <w:t>磋商保证金</w:t>
      </w:r>
      <w:r>
        <w:rPr>
          <w:rFonts w:hint="eastAsia" w:ascii="宋体" w:hAnsi="宋体"/>
          <w:color w:val="auto"/>
          <w:sz w:val="24"/>
          <w:highlight w:val="none"/>
        </w:rPr>
        <w:t>的或</w:t>
      </w:r>
      <w:r>
        <w:rPr>
          <w:rFonts w:hint="eastAsia" w:ascii="宋体" w:hAnsi="宋体"/>
          <w:color w:val="auto"/>
          <w:sz w:val="24"/>
          <w:highlight w:val="none"/>
          <w:lang w:eastAsia="zh-CN"/>
        </w:rPr>
        <w:t>磋商保证金</w:t>
      </w:r>
      <w:r>
        <w:rPr>
          <w:rFonts w:hint="eastAsia" w:ascii="宋体" w:hAnsi="宋体"/>
          <w:color w:val="auto"/>
          <w:sz w:val="24"/>
          <w:highlight w:val="none"/>
        </w:rPr>
        <w:t>的交付单位和供应商的名称不一致，视为无效磋商。</w:t>
      </w:r>
    </w:p>
    <w:p w14:paraId="2E26CFB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b/>
          <w:color w:val="auto"/>
          <w:sz w:val="24"/>
          <w:highlight w:val="none"/>
        </w:rPr>
      </w:pP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mailto:17.11华春建设工程项目管理有限责任公司将在成交通知书发出后5个工作日内退还未成交供应商的磋商保证金；采购合同签订后5个工作日内退还成交供应商的保证金（成交供应商须在合同签订后两个工作日内，提供完整的合同扫描件发送至邮箱673951152@qq.com）。" </w:instrText>
      </w:r>
      <w:r>
        <w:rPr>
          <w:rFonts w:hint="eastAsia" w:ascii="宋体" w:hAnsi="宋体"/>
          <w:color w:val="auto"/>
          <w:sz w:val="24"/>
          <w:highlight w:val="none"/>
        </w:rPr>
        <w:fldChar w:fldCharType="separate"/>
      </w: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3未成交供应商的磋商保证金应当在成交通知书发出后5个工作日内退还，成交供应商的磋商保证金应当在采购合同签订后5个工作日内退还。</w:t>
      </w:r>
      <w:r>
        <w:rPr>
          <w:rFonts w:hint="eastAsia" w:ascii="宋体" w:hAnsi="宋体" w:eastAsia="宋体" w:cs="宋体"/>
          <w:b/>
          <w:bCs/>
          <w:color w:val="auto"/>
          <w:kern w:val="1"/>
          <w:sz w:val="24"/>
          <w:highlight w:val="none"/>
          <w:lang w:val="zh-CN"/>
        </w:rPr>
        <w:t>（成交供应商须在合同签订后两个工作日内，提供完整的合同扫描件发送至邮箱</w:t>
      </w:r>
      <w:r>
        <w:rPr>
          <w:rFonts w:hint="eastAsia" w:ascii="宋体" w:hAnsi="宋体" w:cs="宋体"/>
          <w:b/>
          <w:bCs/>
          <w:kern w:val="1"/>
          <w:sz w:val="24"/>
          <w:highlight w:val="none"/>
          <w:lang w:val="en-US" w:eastAsia="zh-CN"/>
        </w:rPr>
        <w:t>694008170@qq.com</w:t>
      </w:r>
      <w:r>
        <w:rPr>
          <w:rFonts w:hint="eastAsia" w:ascii="宋体" w:hAnsi="宋体" w:eastAsia="宋体" w:cs="宋体"/>
          <w:b/>
          <w:bCs/>
          <w:color w:val="auto"/>
          <w:kern w:val="1"/>
          <w:sz w:val="24"/>
          <w:highlight w:val="none"/>
          <w:lang w:val="zh-CN"/>
        </w:rPr>
        <w:t>）</w:t>
      </w:r>
      <w:r>
        <w:rPr>
          <w:rStyle w:val="33"/>
          <w:rFonts w:hint="eastAsia" w:ascii="宋体" w:hAnsi="宋体"/>
          <w:b/>
          <w:color w:val="auto"/>
          <w:sz w:val="24"/>
          <w:highlight w:val="none"/>
        </w:rPr>
        <w:t>。</w:t>
      </w:r>
      <w:r>
        <w:rPr>
          <w:rFonts w:hint="eastAsia" w:ascii="宋体" w:hAnsi="宋体"/>
          <w:color w:val="auto"/>
          <w:sz w:val="24"/>
          <w:highlight w:val="none"/>
        </w:rPr>
        <w:fldChar w:fldCharType="end"/>
      </w:r>
    </w:p>
    <w:p w14:paraId="71095A7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color w:val="auto"/>
          <w:sz w:val="24"/>
          <w:lang w:val="en-US" w:eastAsia="zh-CN"/>
        </w:rPr>
      </w:pPr>
      <w:r>
        <w:rPr>
          <w:rFonts w:hint="eastAsia" w:ascii="宋体" w:hAnsi="宋体" w:cs="Times New Roman"/>
          <w:color w:val="auto"/>
          <w:sz w:val="24"/>
          <w:lang w:val="en-US" w:eastAsia="zh-CN"/>
        </w:rPr>
        <w:t>17.4磋商保证金退还方式：</w:t>
      </w:r>
    </w:p>
    <w:p w14:paraId="07211E7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color w:val="auto"/>
          <w:sz w:val="24"/>
          <w:lang w:val="en-US" w:eastAsia="zh-CN"/>
        </w:rPr>
      </w:pPr>
      <w:r>
        <w:rPr>
          <w:rFonts w:hint="eastAsia" w:ascii="宋体" w:hAnsi="宋体" w:cs="Times New Roman"/>
          <w:color w:val="auto"/>
          <w:sz w:val="24"/>
          <w:lang w:val="en-US" w:eastAsia="zh-CN"/>
        </w:rPr>
        <w:t>（1）供应商以银行转账/电汇形式缴纳保证金的，代理机构以银行转账形式退还至供应商基本账户。</w:t>
      </w:r>
    </w:p>
    <w:p w14:paraId="2ACF2D0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Times New Roman"/>
          <w:color w:val="auto"/>
          <w:sz w:val="24"/>
        </w:rPr>
      </w:pPr>
      <w:r>
        <w:rPr>
          <w:rFonts w:hint="eastAsia" w:ascii="宋体" w:hAnsi="宋体" w:cs="Times New Roman"/>
          <w:color w:val="auto"/>
          <w:sz w:val="24"/>
          <w:lang w:val="en-US" w:eastAsia="zh-CN"/>
        </w:rPr>
        <w:t>（2）供应商以金融机构/担保机构保函形式缴纳磋商保证金的，磋商结束之后代理机构将其保函原件退回（退还时间参照17.3条款）。供应商领取保函原件时须携带法定代表人授权委托书原件。</w:t>
      </w:r>
    </w:p>
    <w:p w14:paraId="4E5EFEF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7</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发生下列情形之一的，代理机构将不予退还供应商</w:t>
      </w:r>
      <w:r>
        <w:rPr>
          <w:rFonts w:hint="eastAsia" w:ascii="宋体" w:hAnsi="宋体"/>
          <w:color w:val="auto"/>
          <w:sz w:val="24"/>
          <w:lang w:eastAsia="zh-CN"/>
        </w:rPr>
        <w:t>缴纳</w:t>
      </w:r>
      <w:r>
        <w:rPr>
          <w:rFonts w:hint="eastAsia" w:ascii="宋体" w:hAnsi="宋体"/>
          <w:color w:val="auto"/>
          <w:sz w:val="24"/>
        </w:rPr>
        <w:t>的</w:t>
      </w:r>
      <w:r>
        <w:rPr>
          <w:rFonts w:hint="eastAsia" w:ascii="宋体" w:hAnsi="宋体"/>
          <w:color w:val="auto"/>
          <w:sz w:val="24"/>
          <w:lang w:eastAsia="zh-CN"/>
        </w:rPr>
        <w:t>磋商保证金</w:t>
      </w:r>
      <w:r>
        <w:rPr>
          <w:rFonts w:hint="eastAsia" w:ascii="宋体" w:hAnsi="宋体"/>
          <w:color w:val="auto"/>
          <w:sz w:val="24"/>
        </w:rPr>
        <w:t>：</w:t>
      </w:r>
    </w:p>
    <w:p w14:paraId="1550EC6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.1供应商在</w:t>
      </w:r>
      <w:r>
        <w:rPr>
          <w:rFonts w:hint="eastAsia" w:ascii="宋体" w:hAnsi="宋体"/>
          <w:color w:val="auto"/>
          <w:sz w:val="24"/>
          <w:highlight w:val="none"/>
          <w:lang w:val="en-US" w:eastAsia="zh-CN"/>
        </w:rPr>
        <w:t>提交响应文件截止时间后</w:t>
      </w:r>
      <w:r>
        <w:rPr>
          <w:rFonts w:hint="eastAsia" w:ascii="宋体" w:hAnsi="宋体"/>
          <w:color w:val="auto"/>
          <w:sz w:val="24"/>
          <w:highlight w:val="none"/>
        </w:rPr>
        <w:t>撤回</w:t>
      </w:r>
      <w:r>
        <w:rPr>
          <w:rFonts w:hint="eastAsia" w:ascii="宋体" w:hAnsi="宋体"/>
          <w:color w:val="auto"/>
          <w:sz w:val="24"/>
          <w:highlight w:val="none"/>
          <w:lang w:val="en-US" w:eastAsia="zh-CN"/>
        </w:rPr>
        <w:t>响应文件的</w:t>
      </w:r>
      <w:r>
        <w:rPr>
          <w:rFonts w:hint="eastAsia" w:ascii="宋体" w:hAnsi="宋体"/>
          <w:color w:val="auto"/>
          <w:sz w:val="24"/>
          <w:highlight w:val="none"/>
        </w:rPr>
        <w:t>；</w:t>
      </w:r>
    </w:p>
    <w:p w14:paraId="68E6187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.2</w:t>
      </w:r>
      <w:r>
        <w:rPr>
          <w:rFonts w:hint="eastAsia" w:ascii="宋体" w:hAnsi="宋体"/>
          <w:color w:val="auto"/>
          <w:sz w:val="24"/>
          <w:highlight w:val="none"/>
          <w:lang w:val="en-US" w:eastAsia="zh-CN"/>
        </w:rPr>
        <w:t>供应商在响应文件中提供虚假材料的；</w:t>
      </w:r>
    </w:p>
    <w:p w14:paraId="690D503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17.5.3除因不可抗力或竞争性磋商文件认可的情形以外，成交供应商不与采购人签订合同的；</w:t>
      </w:r>
    </w:p>
    <w:p w14:paraId="16562E3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4供应商与采购人、其他供应商或者采购代理机构恶意串通的；</w:t>
      </w:r>
    </w:p>
    <w:p w14:paraId="7F1EB25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lang w:val="en-US" w:eastAsia="zh-CN"/>
        </w:rPr>
        <w:t>17.5.5磋商文件规定的其他情形</w:t>
      </w:r>
      <w:r>
        <w:rPr>
          <w:rFonts w:hint="eastAsia" w:ascii="宋体" w:hAnsi="宋体"/>
          <w:color w:val="auto"/>
          <w:sz w:val="24"/>
          <w:highlight w:val="none"/>
        </w:rPr>
        <w:t>。</w:t>
      </w:r>
    </w:p>
    <w:p w14:paraId="1B0E0B2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color w:val="auto"/>
          <w:sz w:val="24"/>
        </w:rPr>
      </w:pPr>
      <w:r>
        <w:rPr>
          <w:rFonts w:hint="eastAsia" w:ascii="宋体" w:hAnsi="宋体"/>
          <w:b/>
          <w:color w:val="auto"/>
          <w:sz w:val="24"/>
        </w:rPr>
        <w:t>1</w:t>
      </w:r>
      <w:r>
        <w:rPr>
          <w:rFonts w:hint="eastAsia" w:ascii="宋体" w:hAnsi="宋体"/>
          <w:b/>
          <w:color w:val="auto"/>
          <w:sz w:val="24"/>
          <w:lang w:val="en-US" w:eastAsia="zh-CN"/>
        </w:rPr>
        <w:t>8</w:t>
      </w:r>
      <w:r>
        <w:rPr>
          <w:rFonts w:hint="eastAsia" w:ascii="宋体" w:hAnsi="宋体"/>
          <w:b/>
          <w:color w:val="auto"/>
          <w:sz w:val="24"/>
        </w:rPr>
        <w:t>.磋商有效期</w:t>
      </w:r>
    </w:p>
    <w:p w14:paraId="378BB44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.1磋商有效期见</w:t>
      </w:r>
      <w:r>
        <w:rPr>
          <w:rFonts w:hint="eastAsia" w:ascii="宋体" w:hAnsi="宋体"/>
          <w:color w:val="auto"/>
          <w:sz w:val="24"/>
          <w:lang w:val="en-US" w:eastAsia="zh-CN"/>
        </w:rPr>
        <w:t>磋商</w:t>
      </w:r>
      <w:r>
        <w:rPr>
          <w:rFonts w:hint="eastAsia" w:ascii="宋体" w:hAnsi="宋体"/>
          <w:color w:val="auto"/>
          <w:sz w:val="24"/>
        </w:rPr>
        <w:t>须知前附表，</w:t>
      </w:r>
      <w:r>
        <w:rPr>
          <w:rFonts w:hint="eastAsia" w:ascii="宋体" w:hAnsi="宋体"/>
          <w:color w:val="auto"/>
          <w:sz w:val="24"/>
          <w:lang w:val="en-US" w:eastAsia="zh-CN"/>
        </w:rPr>
        <w:t>不响应</w:t>
      </w:r>
      <w:r>
        <w:rPr>
          <w:rFonts w:hint="eastAsia" w:ascii="宋体" w:hAnsi="宋体"/>
          <w:color w:val="auto"/>
          <w:sz w:val="24"/>
        </w:rPr>
        <w:t>磋商有效期</w:t>
      </w:r>
      <w:r>
        <w:rPr>
          <w:rFonts w:hint="eastAsia" w:ascii="宋体" w:hAnsi="宋体"/>
          <w:color w:val="auto"/>
          <w:sz w:val="24"/>
          <w:lang w:val="en-US" w:eastAsia="zh-CN"/>
        </w:rPr>
        <w:t>的</w:t>
      </w:r>
      <w:r>
        <w:rPr>
          <w:rFonts w:hint="eastAsia" w:ascii="宋体" w:hAnsi="宋体"/>
          <w:color w:val="auto"/>
          <w:sz w:val="24"/>
        </w:rPr>
        <w:t>，视为无效</w:t>
      </w:r>
      <w:r>
        <w:rPr>
          <w:rFonts w:hint="eastAsia" w:ascii="宋体" w:hAnsi="宋体"/>
          <w:color w:val="auto"/>
          <w:sz w:val="24"/>
          <w:lang w:val="en-US" w:eastAsia="zh-CN"/>
        </w:rPr>
        <w:t>响应</w:t>
      </w:r>
      <w:r>
        <w:rPr>
          <w:rFonts w:hint="eastAsia" w:ascii="宋体" w:hAnsi="宋体"/>
          <w:color w:val="auto"/>
          <w:sz w:val="24"/>
        </w:rPr>
        <w:t>文件，其磋商响应文件将被拒绝。成交</w:t>
      </w:r>
      <w:r>
        <w:rPr>
          <w:rFonts w:hint="eastAsia" w:ascii="宋体" w:hAnsi="宋体"/>
          <w:color w:val="auto"/>
          <w:sz w:val="24"/>
          <w:lang w:val="en-US" w:eastAsia="zh-CN"/>
        </w:rPr>
        <w:t>供应商</w:t>
      </w:r>
      <w:r>
        <w:rPr>
          <w:rFonts w:hint="eastAsia" w:ascii="宋体" w:hAnsi="宋体"/>
          <w:color w:val="auto"/>
          <w:sz w:val="24"/>
        </w:rPr>
        <w:t>的磋商响应文件有效期延长至合同执行完毕。</w:t>
      </w:r>
    </w:p>
    <w:p w14:paraId="6F3C7BF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rPr>
        <w:t>1</w:t>
      </w:r>
      <w:r>
        <w:rPr>
          <w:rFonts w:hint="eastAsia" w:ascii="宋体" w:hAnsi="宋体"/>
          <w:color w:val="auto"/>
          <w:sz w:val="24"/>
          <w:lang w:val="en-US" w:eastAsia="zh-CN"/>
        </w:rPr>
        <w:t>8</w:t>
      </w:r>
      <w:r>
        <w:rPr>
          <w:rFonts w:hint="eastAsia" w:ascii="宋体" w:hAnsi="宋体"/>
          <w:color w:val="auto"/>
          <w:sz w:val="24"/>
        </w:rPr>
        <w:t>.2在磋商</w:t>
      </w:r>
      <w:r>
        <w:rPr>
          <w:rFonts w:hint="eastAsia" w:ascii="宋体" w:hAnsi="宋体"/>
          <w:color w:val="auto"/>
          <w:sz w:val="24"/>
          <w:lang w:eastAsia="zh-CN"/>
        </w:rPr>
        <w:t>响应</w:t>
      </w:r>
      <w:r>
        <w:rPr>
          <w:rFonts w:hint="eastAsia" w:ascii="宋体" w:hAnsi="宋体"/>
          <w:color w:val="auto"/>
          <w:sz w:val="24"/>
        </w:rPr>
        <w:t>文件递交后，供应商的投标保持有效，供应商不得要求撤销或修改其磋商响应文件。</w:t>
      </w:r>
    </w:p>
    <w:p w14:paraId="1F965B2C">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color w:val="auto"/>
          <w:sz w:val="24"/>
        </w:rPr>
      </w:pPr>
      <w:r>
        <w:rPr>
          <w:rFonts w:hint="eastAsia" w:ascii="宋体" w:hAnsi="宋体"/>
          <w:b/>
          <w:color w:val="auto"/>
          <w:sz w:val="24"/>
          <w:lang w:val="en-US" w:eastAsia="zh-CN"/>
        </w:rPr>
        <w:t>19</w:t>
      </w:r>
      <w:r>
        <w:rPr>
          <w:rFonts w:hint="eastAsia" w:ascii="宋体" w:hAnsi="宋体"/>
          <w:b/>
          <w:color w:val="auto"/>
          <w:sz w:val="24"/>
        </w:rPr>
        <w:t>.磋商响应文件份数和签署</w:t>
      </w:r>
    </w:p>
    <w:p w14:paraId="79E7B78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.1 供应商应按照磋商须知前附表的要求准备磋商响应文件，并在封面上注明“正本”和“副本”字样。磋商响应文件的正本与副本如有不一致之处，以正本为准。</w:t>
      </w:r>
    </w:p>
    <w:p w14:paraId="03565DB2">
      <w:pPr>
        <w:jc w:val="center"/>
        <w:outlineLvl w:val="9"/>
        <w:rPr>
          <w:rFonts w:hint="eastAsia"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四、</w:t>
      </w:r>
      <w:r>
        <w:rPr>
          <w:rFonts w:hint="eastAsia" w:ascii="宋体" w:hAnsi="宋体" w:eastAsia="宋体" w:cs="Times New Roman"/>
          <w:b/>
          <w:color w:val="auto"/>
          <w:sz w:val="28"/>
          <w:szCs w:val="28"/>
        </w:rPr>
        <w:t>磋商响应文件的递交</w:t>
      </w:r>
      <w:bookmarkEnd w:id="35"/>
      <w:bookmarkStart w:id="36" w:name="_Hlt509649414"/>
      <w:bookmarkEnd w:id="36"/>
    </w:p>
    <w:p w14:paraId="39DF8DE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cs="Times New Roman"/>
          <w:color w:val="auto"/>
          <w:sz w:val="24"/>
          <w:highlight w:val="none"/>
          <w:lang w:val="en-US" w:eastAsia="zh-CN"/>
        </w:rPr>
      </w:pPr>
      <w:r>
        <w:rPr>
          <w:rFonts w:hint="eastAsia" w:ascii="宋体" w:hAnsi="宋体"/>
          <w:b/>
          <w:color w:val="auto"/>
          <w:sz w:val="24"/>
        </w:rPr>
        <w:t>2</w:t>
      </w:r>
      <w:r>
        <w:rPr>
          <w:rFonts w:hint="eastAsia" w:ascii="宋体" w:hAnsi="宋体"/>
          <w:b/>
          <w:color w:val="auto"/>
          <w:sz w:val="24"/>
          <w:lang w:val="en-US" w:eastAsia="zh-CN"/>
        </w:rPr>
        <w:t>0.</w:t>
      </w:r>
      <w:r>
        <w:rPr>
          <w:rFonts w:hint="eastAsia" w:ascii="宋体" w:hAnsi="宋体"/>
          <w:b/>
          <w:color w:val="auto"/>
          <w:sz w:val="24"/>
        </w:rPr>
        <w:t>磋商响应文件的密封和标记</w:t>
      </w:r>
    </w:p>
    <w:p w14:paraId="2B49052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s="Times New Roman"/>
          <w:color w:val="auto"/>
          <w:sz w:val="24"/>
          <w:highlight w:val="none"/>
          <w:lang w:val="en-US" w:eastAsia="zh-CN"/>
        </w:rPr>
        <w:t>20.1磋商响应文件应胶装成册并封装（非胶装的磋商响应文件视为无效磋商响应文件），并在密封袋上由法定代表人或被授权人</w:t>
      </w:r>
      <w:r>
        <w:rPr>
          <w:rFonts w:hint="eastAsia" w:ascii="宋体" w:hAnsi="宋体"/>
          <w:color w:val="auto"/>
          <w:sz w:val="24"/>
          <w:highlight w:val="none"/>
        </w:rPr>
        <w:t>签字</w:t>
      </w:r>
      <w:r>
        <w:rPr>
          <w:rFonts w:hint="eastAsia" w:ascii="宋体" w:hAnsi="宋体"/>
          <w:color w:val="auto"/>
          <w:sz w:val="24"/>
          <w:highlight w:val="none"/>
          <w:lang w:val="en-US" w:eastAsia="zh-CN"/>
        </w:rPr>
        <w:t>或盖章，</w:t>
      </w:r>
      <w:r>
        <w:rPr>
          <w:rFonts w:hint="eastAsia" w:ascii="宋体" w:hAnsi="宋体"/>
          <w:color w:val="auto"/>
          <w:sz w:val="24"/>
          <w:highlight w:val="none"/>
        </w:rPr>
        <w:t>并</w:t>
      </w:r>
      <w:r>
        <w:rPr>
          <w:rFonts w:ascii="宋体" w:hAnsi="宋体" w:cs="宋体"/>
          <w:color w:val="auto"/>
          <w:kern w:val="1"/>
          <w:sz w:val="24"/>
          <w:highlight w:val="none"/>
        </w:rPr>
        <w:t>标注项目名称、项目编号、供应商</w:t>
      </w:r>
      <w:r>
        <w:rPr>
          <w:rFonts w:hint="eastAsia" w:ascii="宋体" w:hAnsi="宋体" w:cs="宋体"/>
          <w:color w:val="auto"/>
          <w:kern w:val="1"/>
          <w:sz w:val="24"/>
          <w:highlight w:val="none"/>
          <w:lang w:val="en-US" w:eastAsia="zh-CN"/>
        </w:rPr>
        <w:t>全称</w:t>
      </w:r>
      <w:r>
        <w:rPr>
          <w:rFonts w:ascii="宋体" w:hAnsi="宋体" w:cs="宋体"/>
          <w:color w:val="auto"/>
          <w:kern w:val="1"/>
          <w:sz w:val="24"/>
          <w:highlight w:val="none"/>
        </w:rPr>
        <w:t>。</w:t>
      </w:r>
    </w:p>
    <w:p w14:paraId="62FE826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s="宋体"/>
          <w:b/>
          <w:color w:val="auto"/>
          <w:kern w:val="1"/>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0</w:t>
      </w:r>
      <w:r>
        <w:rPr>
          <w:rFonts w:hint="eastAsia" w:ascii="宋体" w:hAnsi="宋体"/>
          <w:color w:val="auto"/>
          <w:sz w:val="24"/>
          <w:highlight w:val="none"/>
        </w:rPr>
        <w:t>.</w:t>
      </w:r>
      <w:bookmarkStart w:id="37" w:name="_Hlt509650747"/>
      <w:bookmarkEnd w:id="37"/>
      <w:r>
        <w:rPr>
          <w:rFonts w:hint="eastAsia" w:ascii="宋体" w:hAnsi="宋体"/>
          <w:color w:val="auto"/>
          <w:sz w:val="24"/>
          <w:highlight w:val="none"/>
          <w:lang w:val="en-US" w:eastAsia="zh-CN"/>
        </w:rPr>
        <w:t>2</w:t>
      </w:r>
      <w:r>
        <w:rPr>
          <w:rFonts w:hint="eastAsia" w:ascii="宋体" w:hAnsi="宋体" w:cs="宋体"/>
          <w:color w:val="auto"/>
          <w:kern w:val="1"/>
          <w:sz w:val="24"/>
          <w:highlight w:val="none"/>
          <w:lang w:eastAsia="zh-CN"/>
        </w:rPr>
        <w:t>磋商响应文件</w:t>
      </w:r>
      <w:r>
        <w:rPr>
          <w:rFonts w:hint="eastAsia" w:ascii="宋体" w:hAnsi="宋体" w:cs="宋体"/>
          <w:color w:val="auto"/>
          <w:kern w:val="1"/>
          <w:sz w:val="24"/>
          <w:highlight w:val="none"/>
        </w:rPr>
        <w:t>的</w:t>
      </w:r>
      <w:r>
        <w:rPr>
          <w:rFonts w:hint="eastAsia" w:ascii="宋体" w:hAnsi="宋体" w:cs="宋体"/>
          <w:color w:val="auto"/>
          <w:kern w:val="1"/>
          <w:sz w:val="24"/>
          <w:highlight w:val="none"/>
          <w:lang w:eastAsia="zh-CN"/>
        </w:rPr>
        <w:t>正本</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副本应</w:t>
      </w:r>
      <w:r>
        <w:rPr>
          <w:rFonts w:hint="eastAsia" w:ascii="宋体" w:hAnsi="宋体" w:cs="宋体"/>
          <w:color w:val="auto"/>
          <w:kern w:val="1"/>
          <w:sz w:val="24"/>
          <w:highlight w:val="none"/>
        </w:rPr>
        <w:t>分开包装，加贴封条，标明</w:t>
      </w:r>
      <w:r>
        <w:rPr>
          <w:rFonts w:hint="eastAsia" w:ascii="宋体" w:hAnsi="宋体" w:cs="宋体"/>
          <w:color w:val="auto"/>
          <w:kern w:val="1"/>
          <w:sz w:val="24"/>
          <w:highlight w:val="none"/>
          <w:lang w:eastAsia="zh-CN"/>
        </w:rPr>
        <w:t>正本</w:t>
      </w:r>
      <w:r>
        <w:rPr>
          <w:rFonts w:hint="eastAsia" w:ascii="宋体" w:hAnsi="宋体" w:cs="宋体"/>
          <w:color w:val="auto"/>
          <w:kern w:val="1"/>
          <w:sz w:val="24"/>
          <w:highlight w:val="none"/>
        </w:rPr>
        <w:t>、</w:t>
      </w:r>
      <w:r>
        <w:rPr>
          <w:rFonts w:hint="eastAsia" w:ascii="宋体" w:hAnsi="宋体" w:cs="宋体"/>
          <w:color w:val="auto"/>
          <w:kern w:val="1"/>
          <w:sz w:val="24"/>
          <w:highlight w:val="none"/>
          <w:lang w:eastAsia="zh-CN"/>
        </w:rPr>
        <w:t>副本</w:t>
      </w:r>
      <w:r>
        <w:rPr>
          <w:rFonts w:hint="eastAsia" w:ascii="宋体" w:hAnsi="宋体" w:cs="宋体"/>
          <w:color w:val="auto"/>
          <w:kern w:val="1"/>
          <w:sz w:val="24"/>
          <w:highlight w:val="none"/>
        </w:rPr>
        <w:t>字样，封套的封口处加盖</w:t>
      </w:r>
      <w:r>
        <w:rPr>
          <w:rFonts w:hint="eastAsia" w:ascii="宋体" w:hAnsi="宋体" w:cs="宋体"/>
          <w:color w:val="auto"/>
          <w:kern w:val="1"/>
          <w:sz w:val="24"/>
          <w:highlight w:val="none"/>
          <w:lang w:eastAsia="zh-CN"/>
        </w:rPr>
        <w:t>供应商</w:t>
      </w:r>
      <w:r>
        <w:rPr>
          <w:rFonts w:hint="eastAsia" w:ascii="宋体" w:hAnsi="宋体" w:cs="宋体"/>
          <w:color w:val="auto"/>
          <w:kern w:val="1"/>
          <w:sz w:val="24"/>
          <w:highlight w:val="none"/>
        </w:rPr>
        <w:t>公章</w:t>
      </w:r>
      <w:r>
        <w:rPr>
          <w:rFonts w:hint="eastAsia" w:ascii="宋体" w:hAnsi="宋体" w:cs="宋体"/>
          <w:color w:val="auto"/>
          <w:kern w:val="1"/>
          <w:sz w:val="24"/>
          <w:highlight w:val="none"/>
          <w:lang w:eastAsia="zh-CN"/>
        </w:rPr>
        <w:t>且须</w:t>
      </w:r>
      <w:r>
        <w:rPr>
          <w:rFonts w:hint="eastAsia" w:ascii="宋体" w:hAnsi="宋体" w:cs="宋体"/>
          <w:color w:val="auto"/>
          <w:kern w:val="1"/>
          <w:sz w:val="24"/>
          <w:highlight w:val="none"/>
        </w:rPr>
        <w:t>法定代表人或被授权</w:t>
      </w:r>
      <w:r>
        <w:rPr>
          <w:rFonts w:hint="eastAsia" w:ascii="宋体" w:hAnsi="宋体" w:cs="宋体"/>
          <w:color w:val="auto"/>
          <w:kern w:val="1"/>
          <w:sz w:val="24"/>
          <w:highlight w:val="none"/>
          <w:lang w:val="en-US" w:eastAsia="zh-CN"/>
        </w:rPr>
        <w:t>人</w:t>
      </w:r>
      <w:r>
        <w:rPr>
          <w:rFonts w:hint="eastAsia" w:ascii="宋体" w:hAnsi="宋体" w:cs="宋体"/>
          <w:color w:val="auto"/>
          <w:kern w:val="1"/>
          <w:sz w:val="24"/>
          <w:highlight w:val="none"/>
          <w:lang w:eastAsia="zh-CN"/>
        </w:rPr>
        <w:t>签字或盖章，</w:t>
      </w:r>
      <w:r>
        <w:rPr>
          <w:rFonts w:hint="eastAsia" w:ascii="宋体" w:hAnsi="宋体" w:cs="宋体"/>
          <w:color w:val="auto"/>
          <w:kern w:val="1"/>
          <w:sz w:val="24"/>
          <w:highlight w:val="none"/>
        </w:rPr>
        <w:t>电子</w:t>
      </w:r>
      <w:r>
        <w:rPr>
          <w:rFonts w:hint="eastAsia" w:ascii="宋体" w:hAnsi="宋体" w:cs="宋体"/>
          <w:color w:val="auto"/>
          <w:kern w:val="1"/>
          <w:sz w:val="24"/>
          <w:highlight w:val="none"/>
          <w:lang w:val="en-US" w:eastAsia="zh-CN"/>
        </w:rPr>
        <w:t>U盘必须</w:t>
      </w:r>
      <w:r>
        <w:rPr>
          <w:rFonts w:hint="eastAsia" w:ascii="宋体" w:hAnsi="宋体" w:cs="宋体"/>
          <w:color w:val="auto"/>
          <w:kern w:val="1"/>
          <w:sz w:val="24"/>
          <w:highlight w:val="none"/>
        </w:rPr>
        <w:t>随正本密封在一起。</w:t>
      </w:r>
    </w:p>
    <w:p w14:paraId="7D8E9B8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20.3供应商所提供的电子版响应文件必须为纸质版响应文件的所有内容，包括响应文件的全部内容word或pdf形式</w:t>
      </w:r>
      <w:r>
        <w:rPr>
          <w:rFonts w:hint="eastAsia" w:ascii="宋体" w:hAnsi="宋体" w:cs="宋体"/>
          <w:b/>
          <w:bCs/>
          <w:color w:val="auto"/>
          <w:kern w:val="1"/>
          <w:sz w:val="24"/>
          <w:highlight w:val="none"/>
          <w:lang w:val="en-US" w:eastAsia="zh-CN"/>
        </w:rPr>
        <w:t>（注：已标价工程量清单可为Excel版本）</w:t>
      </w:r>
      <w:r>
        <w:rPr>
          <w:rFonts w:hint="eastAsia" w:ascii="宋体" w:hAnsi="宋体" w:cs="宋体"/>
          <w:color w:val="auto"/>
          <w:kern w:val="1"/>
          <w:sz w:val="24"/>
          <w:highlight w:val="none"/>
          <w:lang w:val="en-US" w:eastAsia="zh-CN"/>
        </w:rPr>
        <w:t>，所有电子版响应文件须密封于正本文件中。</w:t>
      </w:r>
    </w:p>
    <w:p w14:paraId="545C1E5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s="宋体"/>
          <w:b/>
          <w:color w:val="auto"/>
          <w:kern w:val="1"/>
          <w:sz w:val="24"/>
        </w:rPr>
      </w:pPr>
      <w:r>
        <w:rPr>
          <w:rFonts w:hint="eastAsia" w:ascii="宋体" w:hAnsi="宋体"/>
          <w:color w:val="auto"/>
          <w:sz w:val="24"/>
          <w:highlight w:val="none"/>
        </w:rPr>
        <w:t>2</w:t>
      </w:r>
      <w:r>
        <w:rPr>
          <w:rFonts w:hint="eastAsia" w:ascii="宋体" w:hAnsi="宋体"/>
          <w:color w:val="auto"/>
          <w:sz w:val="24"/>
          <w:highlight w:val="none"/>
          <w:lang w:val="en-US" w:eastAsia="zh-CN"/>
        </w:rPr>
        <w:t>0</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s="宋体"/>
          <w:b/>
          <w:color w:val="auto"/>
          <w:kern w:val="1"/>
          <w:sz w:val="24"/>
          <w:highlight w:val="none"/>
        </w:rPr>
        <w:t>对于须提供的</w:t>
      </w:r>
      <w:r>
        <w:rPr>
          <w:rFonts w:hint="eastAsia" w:ascii="宋体" w:hAnsi="宋体" w:cs="宋体"/>
          <w:b/>
          <w:color w:val="auto"/>
          <w:kern w:val="1"/>
          <w:sz w:val="24"/>
          <w:highlight w:val="none"/>
          <w:lang w:eastAsia="zh-CN"/>
        </w:rPr>
        <w:t>磋商</w:t>
      </w:r>
      <w:r>
        <w:rPr>
          <w:rFonts w:hint="eastAsia" w:ascii="宋体" w:hAnsi="宋体" w:cs="宋体"/>
          <w:b/>
          <w:color w:val="auto"/>
          <w:kern w:val="1"/>
          <w:sz w:val="24"/>
          <w:highlight w:val="none"/>
        </w:rPr>
        <w:t>公告中第</w:t>
      </w:r>
      <w:r>
        <w:rPr>
          <w:rFonts w:hint="eastAsia" w:ascii="宋体" w:hAnsi="宋体" w:cs="宋体"/>
          <w:b/>
          <w:color w:val="auto"/>
          <w:kern w:val="1"/>
          <w:sz w:val="24"/>
          <w:highlight w:val="none"/>
          <w:lang w:val="en-US" w:eastAsia="zh-CN"/>
        </w:rPr>
        <w:t>二</w:t>
      </w:r>
      <w:r>
        <w:rPr>
          <w:rFonts w:hint="eastAsia" w:ascii="宋体" w:hAnsi="宋体" w:cs="宋体"/>
          <w:b/>
          <w:color w:val="auto"/>
          <w:kern w:val="1"/>
          <w:sz w:val="24"/>
          <w:highlight w:val="none"/>
        </w:rPr>
        <w:t>项</w:t>
      </w:r>
      <w:r>
        <w:rPr>
          <w:rFonts w:hint="eastAsia" w:ascii="宋体" w:hAnsi="宋体" w:cs="宋体"/>
          <w:b/>
          <w:color w:val="auto"/>
          <w:kern w:val="1"/>
          <w:sz w:val="24"/>
          <w:highlight w:val="none"/>
          <w:lang w:eastAsia="zh-CN"/>
        </w:rPr>
        <w:t>“</w:t>
      </w:r>
      <w:r>
        <w:rPr>
          <w:rFonts w:hint="eastAsia" w:ascii="宋体" w:hAnsi="宋体" w:cs="宋体"/>
          <w:b/>
          <w:color w:val="auto"/>
          <w:kern w:val="1"/>
          <w:sz w:val="24"/>
          <w:highlight w:val="none"/>
          <w:lang w:val="en-US" w:eastAsia="zh-CN"/>
        </w:rPr>
        <w:t>申请人的资格要求</w:t>
      </w:r>
      <w:r>
        <w:rPr>
          <w:rFonts w:hint="eastAsia" w:ascii="宋体" w:hAnsi="宋体" w:cs="宋体"/>
          <w:b/>
          <w:color w:val="auto"/>
          <w:kern w:val="1"/>
          <w:sz w:val="24"/>
          <w:highlight w:val="none"/>
          <w:lang w:eastAsia="zh-CN"/>
        </w:rPr>
        <w:t>”</w:t>
      </w:r>
      <w:r>
        <w:rPr>
          <w:rFonts w:hint="eastAsia" w:ascii="宋体" w:hAnsi="宋体" w:cs="宋体"/>
          <w:b/>
          <w:color w:val="auto"/>
          <w:kern w:val="1"/>
          <w:sz w:val="24"/>
          <w:highlight w:val="none"/>
        </w:rPr>
        <w:t>的全部内容（含被授权</w:t>
      </w:r>
      <w:r>
        <w:rPr>
          <w:rFonts w:hint="eastAsia" w:ascii="宋体" w:hAnsi="宋体" w:cs="宋体"/>
          <w:b/>
          <w:color w:val="auto"/>
          <w:kern w:val="1"/>
          <w:sz w:val="24"/>
          <w:highlight w:val="none"/>
          <w:lang w:val="en-US" w:eastAsia="zh-CN"/>
        </w:rPr>
        <w:t>人</w:t>
      </w:r>
      <w:r>
        <w:rPr>
          <w:rFonts w:hint="eastAsia" w:ascii="宋体" w:hAnsi="宋体" w:cs="宋体"/>
          <w:b/>
          <w:color w:val="auto"/>
          <w:kern w:val="1"/>
          <w:sz w:val="24"/>
          <w:highlight w:val="none"/>
        </w:rPr>
        <w:t>身份证原件）及</w:t>
      </w:r>
      <w:r>
        <w:rPr>
          <w:rFonts w:hint="eastAsia" w:ascii="宋体" w:hAnsi="宋体" w:cs="宋体"/>
          <w:b/>
          <w:color w:val="auto"/>
          <w:kern w:val="1"/>
          <w:sz w:val="24"/>
          <w:highlight w:val="none"/>
          <w:lang w:eastAsia="zh-CN"/>
        </w:rPr>
        <w:t>磋商</w:t>
      </w:r>
      <w:r>
        <w:rPr>
          <w:rFonts w:hint="eastAsia" w:ascii="宋体" w:hAnsi="宋体" w:cs="宋体"/>
          <w:b/>
          <w:color w:val="auto"/>
          <w:kern w:val="1"/>
          <w:sz w:val="24"/>
          <w:highlight w:val="none"/>
        </w:rPr>
        <w:t>文件中要求的其他</w:t>
      </w:r>
      <w:r>
        <w:rPr>
          <w:rFonts w:hint="eastAsia" w:ascii="宋体" w:hAnsi="宋体" w:cs="宋体"/>
          <w:b/>
          <w:color w:val="auto"/>
          <w:kern w:val="1"/>
          <w:sz w:val="24"/>
          <w:highlight w:val="none"/>
          <w:lang w:val="en-US" w:eastAsia="zh-CN"/>
        </w:rPr>
        <w:t>资格</w:t>
      </w:r>
      <w:r>
        <w:rPr>
          <w:rFonts w:hint="eastAsia" w:ascii="宋体" w:hAnsi="宋体" w:cs="宋体"/>
          <w:b/>
          <w:color w:val="auto"/>
          <w:kern w:val="1"/>
          <w:sz w:val="24"/>
          <w:highlight w:val="none"/>
        </w:rPr>
        <w:t>证明文件</w:t>
      </w:r>
      <w:r>
        <w:rPr>
          <w:rFonts w:hint="eastAsia" w:ascii="宋体" w:hAnsi="宋体" w:cs="宋体"/>
          <w:b/>
          <w:color w:val="auto"/>
          <w:kern w:val="1"/>
          <w:sz w:val="24"/>
          <w:highlight w:val="none"/>
          <w:lang w:val="en-US" w:eastAsia="zh-CN"/>
        </w:rPr>
        <w:t>等</w:t>
      </w:r>
      <w:r>
        <w:rPr>
          <w:rFonts w:hint="eastAsia" w:ascii="宋体" w:hAnsi="宋体" w:cs="宋体"/>
          <w:b/>
          <w:color w:val="auto"/>
          <w:kern w:val="1"/>
          <w:sz w:val="24"/>
          <w:highlight w:val="none"/>
        </w:rPr>
        <w:t>资料单独密封以供审查，在递交</w:t>
      </w:r>
      <w:r>
        <w:rPr>
          <w:rFonts w:hint="eastAsia" w:ascii="宋体" w:hAnsi="宋体" w:cs="宋体"/>
          <w:b/>
          <w:color w:val="auto"/>
          <w:kern w:val="1"/>
          <w:sz w:val="24"/>
          <w:highlight w:val="none"/>
          <w:lang w:eastAsia="zh-CN"/>
        </w:rPr>
        <w:t>磋商响应</w:t>
      </w:r>
      <w:r>
        <w:rPr>
          <w:rFonts w:hint="eastAsia" w:ascii="宋体" w:hAnsi="宋体" w:cs="宋体"/>
          <w:b/>
          <w:color w:val="auto"/>
          <w:kern w:val="1"/>
          <w:sz w:val="24"/>
          <w:highlight w:val="none"/>
        </w:rPr>
        <w:t>文件时一同</w:t>
      </w:r>
      <w:r>
        <w:rPr>
          <w:rFonts w:hint="eastAsia" w:ascii="宋体" w:hAnsi="宋体" w:cs="宋体"/>
          <w:b/>
          <w:color w:val="auto"/>
          <w:kern w:val="1"/>
          <w:sz w:val="24"/>
        </w:rPr>
        <w:t>提交，</w:t>
      </w:r>
      <w:r>
        <w:rPr>
          <w:rFonts w:ascii="宋体" w:hAnsi="宋体" w:cs="宋体"/>
          <w:b/>
          <w:color w:val="auto"/>
          <w:spacing w:val="-4"/>
          <w:kern w:val="1"/>
          <w:sz w:val="24"/>
        </w:rPr>
        <w:t>逾时则视为</w:t>
      </w:r>
      <w:r>
        <w:rPr>
          <w:rFonts w:hint="eastAsia" w:ascii="宋体" w:hAnsi="宋体" w:cs="宋体"/>
          <w:b/>
          <w:color w:val="auto"/>
          <w:spacing w:val="-4"/>
          <w:kern w:val="1"/>
          <w:sz w:val="24"/>
        </w:rPr>
        <w:t>未提交</w:t>
      </w:r>
      <w:r>
        <w:rPr>
          <w:rFonts w:hint="eastAsia" w:ascii="宋体" w:hAnsi="宋体" w:cs="宋体"/>
          <w:b/>
          <w:color w:val="auto"/>
          <w:kern w:val="1"/>
          <w:sz w:val="24"/>
        </w:rPr>
        <w:t>。</w:t>
      </w:r>
    </w:p>
    <w:p w14:paraId="785D785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color w:val="auto"/>
          <w:highlight w:val="none"/>
        </w:rPr>
      </w:pPr>
      <w:r>
        <w:rPr>
          <w:rFonts w:hint="eastAsia" w:ascii="宋体" w:hAnsi="宋体" w:cs="宋体"/>
          <w:color w:val="auto"/>
          <w:kern w:val="1"/>
          <w:sz w:val="24"/>
          <w:highlight w:val="none"/>
        </w:rPr>
        <w:t>2</w:t>
      </w:r>
      <w:r>
        <w:rPr>
          <w:rFonts w:hint="eastAsia" w:ascii="宋体" w:hAnsi="宋体" w:cs="宋体"/>
          <w:color w:val="auto"/>
          <w:kern w:val="1"/>
          <w:sz w:val="24"/>
          <w:highlight w:val="none"/>
          <w:lang w:val="en-US" w:eastAsia="zh-CN"/>
        </w:rPr>
        <w:t>0</w:t>
      </w:r>
      <w:r>
        <w:rPr>
          <w:rFonts w:ascii="宋体" w:hAnsi="宋体" w:cs="宋体"/>
          <w:color w:val="auto"/>
          <w:kern w:val="1"/>
          <w:sz w:val="24"/>
          <w:highlight w:val="none"/>
        </w:rPr>
        <w:t>.</w:t>
      </w:r>
      <w:r>
        <w:rPr>
          <w:rFonts w:hint="eastAsia" w:ascii="宋体" w:hAnsi="宋体" w:cs="宋体"/>
          <w:color w:val="auto"/>
          <w:kern w:val="1"/>
          <w:sz w:val="24"/>
          <w:highlight w:val="none"/>
          <w:lang w:val="en-US" w:eastAsia="zh-CN"/>
        </w:rPr>
        <w:t>5</w:t>
      </w:r>
      <w:r>
        <w:rPr>
          <w:rFonts w:ascii="宋体" w:hAnsi="宋体" w:cs="宋体"/>
          <w:color w:val="auto"/>
          <w:kern w:val="1"/>
          <w:sz w:val="24"/>
          <w:highlight w:val="none"/>
        </w:rPr>
        <w:t>如果未按上述规定封装或加写标记，</w:t>
      </w:r>
      <w:r>
        <w:rPr>
          <w:rFonts w:hint="eastAsia" w:ascii="宋体" w:hAnsi="宋体" w:cs="宋体"/>
          <w:color w:val="auto"/>
          <w:kern w:val="1"/>
          <w:sz w:val="24"/>
          <w:highlight w:val="none"/>
          <w:lang w:val="en-US" w:eastAsia="zh-CN"/>
        </w:rPr>
        <w:t>引起</w:t>
      </w:r>
      <w:r>
        <w:rPr>
          <w:rFonts w:ascii="宋体" w:hAnsi="宋体" w:cs="宋体"/>
          <w:color w:val="auto"/>
          <w:kern w:val="1"/>
          <w:sz w:val="24"/>
          <w:highlight w:val="none"/>
        </w:rPr>
        <w:t>错放或提前开封</w:t>
      </w:r>
      <w:r>
        <w:rPr>
          <w:rFonts w:hint="eastAsia" w:ascii="宋体" w:hAnsi="宋体" w:cs="宋体"/>
          <w:color w:val="auto"/>
          <w:kern w:val="1"/>
          <w:sz w:val="24"/>
          <w:highlight w:val="none"/>
          <w:lang w:val="en-US" w:eastAsia="zh-CN"/>
        </w:rPr>
        <w:t>而导致投标无效</w:t>
      </w:r>
      <w:r>
        <w:rPr>
          <w:rFonts w:ascii="宋体" w:hAnsi="宋体" w:cs="宋体"/>
          <w:color w:val="auto"/>
          <w:kern w:val="1"/>
          <w:sz w:val="24"/>
          <w:highlight w:val="none"/>
        </w:rPr>
        <w:t>的责任</w:t>
      </w:r>
      <w:r>
        <w:rPr>
          <w:rFonts w:hint="eastAsia" w:ascii="宋体" w:hAnsi="宋体" w:cs="宋体"/>
          <w:color w:val="auto"/>
          <w:kern w:val="1"/>
          <w:sz w:val="24"/>
          <w:highlight w:val="none"/>
          <w:lang w:val="en-US" w:eastAsia="zh-CN"/>
        </w:rPr>
        <w:t>由供应商自行承担</w:t>
      </w:r>
      <w:r>
        <w:rPr>
          <w:rFonts w:ascii="宋体" w:hAnsi="宋体" w:cs="宋体"/>
          <w:color w:val="auto"/>
          <w:kern w:val="1"/>
          <w:sz w:val="24"/>
          <w:highlight w:val="none"/>
        </w:rPr>
        <w:t>。</w:t>
      </w:r>
    </w:p>
    <w:p w14:paraId="270B693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1</w:t>
      </w:r>
      <w:r>
        <w:rPr>
          <w:rFonts w:hint="eastAsia" w:ascii="宋体" w:hAnsi="宋体"/>
          <w:b/>
          <w:color w:val="auto"/>
          <w:sz w:val="24"/>
        </w:rPr>
        <w:t xml:space="preserve">.磋商响应文件的递交 </w:t>
      </w:r>
    </w:p>
    <w:p w14:paraId="250DFE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.1供应商应当在竞争性磋商文件要求提交磋商响应文件的截止时间前，将磋商响应文件密封送达磋商须知前附表指定磋商地点。</w:t>
      </w:r>
    </w:p>
    <w:p w14:paraId="539ECD3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.2在竞争性磋商文件要求提交磋商响应文件的截止时间之后送达的磋商响应文件，为无效磋商响应文件，采购代理机构将拒绝接收。</w:t>
      </w:r>
    </w:p>
    <w:p w14:paraId="0D68ADC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color w:val="auto"/>
          <w:sz w:val="24"/>
        </w:rPr>
      </w:pPr>
      <w:r>
        <w:rPr>
          <w:rFonts w:hint="eastAsia" w:ascii="宋体" w:hAnsi="宋体"/>
          <w:b/>
          <w:color w:val="auto"/>
          <w:sz w:val="24"/>
        </w:rPr>
        <w:t>2</w:t>
      </w:r>
      <w:r>
        <w:rPr>
          <w:rFonts w:hint="eastAsia" w:ascii="宋体" w:hAnsi="宋体"/>
          <w:b/>
          <w:color w:val="auto"/>
          <w:sz w:val="24"/>
          <w:lang w:val="en-US" w:eastAsia="zh-CN"/>
        </w:rPr>
        <w:t>2</w:t>
      </w:r>
      <w:r>
        <w:rPr>
          <w:rFonts w:hint="eastAsia" w:ascii="宋体" w:hAnsi="宋体"/>
          <w:b/>
          <w:color w:val="auto"/>
          <w:sz w:val="24"/>
        </w:rPr>
        <w:t>.磋商响应文件的修改和撤回</w:t>
      </w:r>
    </w:p>
    <w:p w14:paraId="2F26654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color w:val="auto"/>
          <w:sz w:val="24"/>
          <w:highlight w:val="none"/>
        </w:rPr>
      </w:pPr>
      <w:bookmarkStart w:id="38" w:name="_Hlt509649294"/>
      <w:bookmarkEnd w:id="38"/>
      <w:bookmarkStart w:id="39" w:name="_Toc356157316"/>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.1供应商在</w:t>
      </w:r>
      <w:r>
        <w:rPr>
          <w:rFonts w:hint="eastAsia" w:ascii="宋体" w:hAnsi="宋体" w:eastAsia="宋体" w:cs="Times New Roman"/>
          <w:color w:val="auto"/>
          <w:sz w:val="24"/>
          <w:highlight w:val="none"/>
          <w:lang w:val="en-US" w:eastAsia="zh-CN"/>
        </w:rPr>
        <w:t>提交</w:t>
      </w:r>
      <w:r>
        <w:rPr>
          <w:rFonts w:hint="eastAsia" w:ascii="宋体" w:hAnsi="宋体" w:eastAsia="宋体" w:cs="Times New Roman"/>
          <w:color w:val="auto"/>
          <w:sz w:val="24"/>
          <w:highlight w:val="none"/>
        </w:rPr>
        <w:t>响应文件</w:t>
      </w:r>
      <w:r>
        <w:rPr>
          <w:rFonts w:hint="eastAsia" w:ascii="宋体" w:hAnsi="宋体" w:eastAsia="宋体" w:cs="Times New Roman"/>
          <w:color w:val="auto"/>
          <w:sz w:val="24"/>
          <w:highlight w:val="none"/>
          <w:lang w:val="en-US" w:eastAsia="zh-CN"/>
        </w:rPr>
        <w:t>截止时间前</w:t>
      </w:r>
      <w:r>
        <w:rPr>
          <w:rFonts w:hint="eastAsia" w:ascii="宋体" w:hAnsi="宋体" w:eastAsia="宋体" w:cs="Times New Roman"/>
          <w:color w:val="auto"/>
          <w:sz w:val="24"/>
          <w:highlight w:val="none"/>
        </w:rPr>
        <w:t>，可以修改或撤回其磋商响应文件，也可以提出价格变动声明，但供应商必须在规定的磋商响应文件递交截止时间之前将修改或撤回或变动价格的书面通知文件递交到采购代理机构。</w:t>
      </w:r>
    </w:p>
    <w:p w14:paraId="11CAC4C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.2 在磋商响应文件递交截止时间之后，供应商不得对其磋商报价做任何修改或撤回。</w:t>
      </w:r>
    </w:p>
    <w:p w14:paraId="174E067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.3在磋商结束之后，对于供应商正常经营活动必须的资质和证明文件原件（包括但不限于：营业执照、</w:t>
      </w:r>
      <w:r>
        <w:rPr>
          <w:rFonts w:hint="eastAsia" w:ascii="宋体" w:hAnsi="宋体" w:eastAsia="宋体" w:cs="Times New Roman"/>
          <w:color w:val="auto"/>
          <w:sz w:val="24"/>
          <w:highlight w:val="none"/>
          <w:lang w:val="en-US" w:eastAsia="zh-CN"/>
        </w:rPr>
        <w:t>中标（成交）</w:t>
      </w:r>
      <w:r>
        <w:rPr>
          <w:rFonts w:hint="eastAsia" w:ascii="宋体" w:hAnsi="宋体" w:eastAsia="宋体" w:cs="Times New Roman"/>
          <w:color w:val="auto"/>
          <w:sz w:val="24"/>
          <w:highlight w:val="none"/>
          <w:lang w:eastAsia="zh-CN"/>
        </w:rPr>
        <w:t>通知书</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经济</w:t>
      </w:r>
      <w:r>
        <w:rPr>
          <w:rFonts w:hint="eastAsia" w:ascii="宋体" w:hAnsi="宋体" w:eastAsia="宋体" w:cs="Times New Roman"/>
          <w:color w:val="auto"/>
          <w:sz w:val="24"/>
          <w:highlight w:val="none"/>
        </w:rPr>
        <w:t>合同等），经审查后予以退还。其他磋商响应文件和资料一律不予退还。</w:t>
      </w:r>
    </w:p>
    <w:p w14:paraId="0993F5BB">
      <w:pPr>
        <w:jc w:val="center"/>
        <w:outlineLvl w:val="9"/>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五</w:t>
      </w:r>
      <w:bookmarkEnd w:id="39"/>
      <w:r>
        <w:rPr>
          <w:rFonts w:hint="eastAsia" w:ascii="宋体" w:hAnsi="宋体" w:eastAsia="宋体" w:cs="Times New Roman"/>
          <w:b/>
          <w:color w:val="auto"/>
          <w:sz w:val="28"/>
          <w:szCs w:val="28"/>
        </w:rPr>
        <w:t>、磋商与评审</w:t>
      </w:r>
    </w:p>
    <w:p w14:paraId="36B8B437">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hint="eastAsia"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lang w:val="en-US" w:eastAsia="zh-CN"/>
        </w:rPr>
        <w:t>3</w:t>
      </w:r>
      <w:r>
        <w:rPr>
          <w:rFonts w:ascii="宋体" w:hAnsi="宋体"/>
          <w:b/>
          <w:color w:val="auto"/>
          <w:sz w:val="24"/>
          <w:highlight w:val="none"/>
        </w:rPr>
        <w:t>.</w:t>
      </w:r>
      <w:r>
        <w:rPr>
          <w:rFonts w:hint="eastAsia" w:ascii="宋体" w:hAnsi="宋体"/>
          <w:b/>
          <w:color w:val="auto"/>
          <w:sz w:val="24"/>
          <w:highlight w:val="none"/>
        </w:rPr>
        <w:t>磋商小组和磋商评审原则</w:t>
      </w:r>
    </w:p>
    <w:p w14:paraId="53101768">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3</w:t>
      </w:r>
      <w:r>
        <w:rPr>
          <w:rFonts w:hint="eastAsia" w:ascii="宋体" w:hAnsi="宋体"/>
          <w:color w:val="auto"/>
          <w:sz w:val="24"/>
          <w:highlight w:val="none"/>
        </w:rPr>
        <w:t>.1按照《中华人民共和国政府采购法》《中华人民共和国政府采购法</w:t>
      </w:r>
      <w:r>
        <w:rPr>
          <w:rFonts w:hint="eastAsia" w:ascii="宋体" w:hAnsi="宋体"/>
          <w:color w:val="auto"/>
          <w:sz w:val="24"/>
          <w:highlight w:val="none"/>
          <w:lang w:eastAsia="zh-CN"/>
        </w:rPr>
        <w:t>实施条例</w:t>
      </w:r>
      <w:r>
        <w:rPr>
          <w:rFonts w:hint="eastAsia" w:ascii="宋体" w:hAnsi="宋体"/>
          <w:color w:val="auto"/>
          <w:sz w:val="24"/>
          <w:highlight w:val="none"/>
        </w:rPr>
        <w:t>》《政府采购竞争性磋商采购方式管理暂行办法》有关规定，依法组建磋商小组。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采购代理机构负责评标过程中的记录、联络及</w:t>
      </w:r>
      <w:r>
        <w:rPr>
          <w:rFonts w:hint="eastAsia" w:ascii="宋体" w:hAnsi="宋体"/>
          <w:color w:val="auto"/>
          <w:sz w:val="24"/>
          <w:highlight w:val="none"/>
          <w:lang w:eastAsia="zh-CN"/>
        </w:rPr>
        <w:t>磋商小组</w:t>
      </w:r>
      <w:r>
        <w:rPr>
          <w:rFonts w:hint="eastAsia" w:ascii="宋体" w:hAnsi="宋体"/>
          <w:color w:val="auto"/>
          <w:sz w:val="24"/>
          <w:highlight w:val="none"/>
        </w:rPr>
        <w:t>交办的其他工作</w:t>
      </w:r>
      <w:r>
        <w:rPr>
          <w:rFonts w:hint="eastAsia" w:ascii="宋体" w:hAnsi="宋体"/>
          <w:color w:val="auto"/>
          <w:sz w:val="24"/>
          <w:highlight w:val="none"/>
          <w:lang w:eastAsia="zh-CN"/>
        </w:rPr>
        <w:t>。</w:t>
      </w:r>
    </w:p>
    <w:p w14:paraId="6A6C2E6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3</w:t>
      </w:r>
      <w:r>
        <w:rPr>
          <w:rFonts w:hint="eastAsia" w:ascii="宋体" w:hAnsi="宋体"/>
          <w:color w:val="auto"/>
          <w:sz w:val="24"/>
          <w:highlight w:val="none"/>
        </w:rPr>
        <w:t>.2</w:t>
      </w:r>
      <w:r>
        <w:rPr>
          <w:rFonts w:ascii="宋体" w:hAnsi="宋体"/>
          <w:color w:val="auto"/>
          <w:sz w:val="24"/>
          <w:highlight w:val="none"/>
        </w:rPr>
        <w:t>磋商文件和</w:t>
      </w:r>
      <w:r>
        <w:rPr>
          <w:rFonts w:hint="eastAsia" w:ascii="宋体" w:hAnsi="宋体"/>
          <w:color w:val="auto"/>
          <w:sz w:val="24"/>
          <w:highlight w:val="none"/>
          <w:lang w:val="en-US" w:eastAsia="zh-CN"/>
        </w:rPr>
        <w:t>供应商</w:t>
      </w:r>
      <w:r>
        <w:rPr>
          <w:rFonts w:hint="eastAsia" w:ascii="宋体" w:hAnsi="宋体"/>
          <w:color w:val="auto"/>
          <w:sz w:val="24"/>
          <w:highlight w:val="none"/>
        </w:rPr>
        <w:t>的</w:t>
      </w:r>
      <w:r>
        <w:rPr>
          <w:rFonts w:ascii="宋体" w:hAnsi="宋体"/>
          <w:color w:val="auto"/>
          <w:sz w:val="24"/>
          <w:highlight w:val="none"/>
        </w:rPr>
        <w:t>响应文件是评审的依据。</w:t>
      </w:r>
    </w:p>
    <w:p w14:paraId="61CBF453">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4</w:t>
      </w:r>
      <w:r>
        <w:rPr>
          <w:rFonts w:hint="eastAsia" w:ascii="宋体" w:hAnsi="宋体"/>
          <w:b/>
          <w:color w:val="auto"/>
          <w:sz w:val="24"/>
          <w:highlight w:val="none"/>
        </w:rPr>
        <w:t>.</w:t>
      </w:r>
      <w:r>
        <w:rPr>
          <w:rFonts w:ascii="宋体" w:hAnsi="宋体"/>
          <w:b/>
          <w:color w:val="auto"/>
          <w:sz w:val="24"/>
          <w:highlight w:val="none"/>
        </w:rPr>
        <w:t>磋商</w:t>
      </w:r>
      <w:r>
        <w:rPr>
          <w:rFonts w:hint="eastAsia" w:ascii="宋体" w:hAnsi="宋体"/>
          <w:b/>
          <w:color w:val="auto"/>
          <w:sz w:val="24"/>
          <w:highlight w:val="none"/>
        </w:rPr>
        <w:t>及评审程序</w:t>
      </w:r>
    </w:p>
    <w:p w14:paraId="7A8C4DC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4</w:t>
      </w:r>
      <w:r>
        <w:rPr>
          <w:rFonts w:ascii="宋体" w:hAnsi="宋体"/>
          <w:color w:val="auto"/>
          <w:sz w:val="24"/>
          <w:highlight w:val="none"/>
        </w:rPr>
        <w:t>.1采购代理机构在规定的时间和地点组织磋商。</w:t>
      </w:r>
    </w:p>
    <w:p w14:paraId="3DB068D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.2本次磋商的报价次数、磋商程序和最终报价的产生原则见“磋商须知前附表”的规定。</w:t>
      </w:r>
    </w:p>
    <w:p w14:paraId="3C164F4D">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.3磋商开始后，</w:t>
      </w:r>
      <w:r>
        <w:rPr>
          <w:rFonts w:ascii="宋体" w:hAnsi="宋体"/>
          <w:color w:val="auto"/>
          <w:sz w:val="24"/>
          <w:highlight w:val="none"/>
        </w:rPr>
        <w:t>磋商小组</w:t>
      </w:r>
      <w:r>
        <w:rPr>
          <w:rFonts w:hint="eastAsia" w:ascii="宋体" w:hAnsi="宋体"/>
          <w:color w:val="auto"/>
          <w:sz w:val="24"/>
          <w:highlight w:val="none"/>
        </w:rPr>
        <w:t>首先</w:t>
      </w:r>
      <w:r>
        <w:rPr>
          <w:rFonts w:ascii="宋体" w:hAnsi="宋体"/>
          <w:color w:val="auto"/>
          <w:sz w:val="24"/>
          <w:highlight w:val="none"/>
        </w:rPr>
        <w:t>对响应文件进行评审，并根据磋商文件规定的程序、评定成交的标准等事项与实质性响应磋商文件要求的</w:t>
      </w:r>
      <w:r>
        <w:rPr>
          <w:rFonts w:hint="eastAsia" w:ascii="宋体" w:hAnsi="宋体"/>
          <w:color w:val="auto"/>
          <w:sz w:val="24"/>
          <w:highlight w:val="none"/>
          <w:lang w:eastAsia="zh-CN"/>
        </w:rPr>
        <w:t>供应商</w:t>
      </w:r>
      <w:r>
        <w:rPr>
          <w:rFonts w:ascii="宋体" w:hAnsi="宋体"/>
          <w:color w:val="auto"/>
          <w:sz w:val="24"/>
          <w:highlight w:val="none"/>
        </w:rPr>
        <w:t>进行磋商。未实质性响应磋商文件的响应文件按无效处理，磋商小组</w:t>
      </w:r>
      <w:r>
        <w:rPr>
          <w:rFonts w:hint="eastAsia" w:ascii="宋体" w:hAnsi="宋体"/>
          <w:color w:val="auto"/>
          <w:sz w:val="24"/>
          <w:highlight w:val="none"/>
        </w:rPr>
        <w:t>将</w:t>
      </w:r>
      <w:r>
        <w:rPr>
          <w:rFonts w:ascii="宋体" w:hAnsi="宋体"/>
          <w:color w:val="auto"/>
          <w:sz w:val="24"/>
          <w:highlight w:val="none"/>
        </w:rPr>
        <w:t>告知有关</w:t>
      </w:r>
      <w:r>
        <w:rPr>
          <w:rFonts w:hint="eastAsia" w:ascii="宋体" w:hAnsi="宋体"/>
          <w:color w:val="auto"/>
          <w:sz w:val="24"/>
          <w:highlight w:val="none"/>
          <w:lang w:eastAsia="zh-CN"/>
        </w:rPr>
        <w:t>供应商</w:t>
      </w:r>
      <w:r>
        <w:rPr>
          <w:rFonts w:ascii="宋体" w:hAnsi="宋体"/>
          <w:color w:val="auto"/>
          <w:sz w:val="24"/>
          <w:highlight w:val="none"/>
        </w:rPr>
        <w:t>。</w:t>
      </w:r>
    </w:p>
    <w:p w14:paraId="7E57BF0C">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.4磋商小组所有成员应当集中与单一供应商分别进行磋商</w:t>
      </w:r>
      <w:r>
        <w:rPr>
          <w:rFonts w:hint="eastAsia" w:ascii="宋体" w:hAnsi="宋体"/>
          <w:color w:val="auto"/>
          <w:sz w:val="24"/>
          <w:highlight w:val="none"/>
          <w:lang w:eastAsia="zh-CN"/>
        </w:rPr>
        <w:t>，</w:t>
      </w:r>
      <w:r>
        <w:rPr>
          <w:rFonts w:ascii="宋体" w:hAnsi="宋体"/>
          <w:color w:val="auto"/>
          <w:sz w:val="24"/>
          <w:highlight w:val="none"/>
        </w:rPr>
        <w:t>并给予所有参加磋商的</w:t>
      </w:r>
      <w:r>
        <w:rPr>
          <w:rFonts w:hint="eastAsia" w:ascii="宋体" w:hAnsi="宋体"/>
          <w:color w:val="auto"/>
          <w:sz w:val="24"/>
          <w:highlight w:val="none"/>
          <w:lang w:eastAsia="zh-CN"/>
        </w:rPr>
        <w:t>供应商</w:t>
      </w:r>
      <w:r>
        <w:rPr>
          <w:rFonts w:ascii="宋体" w:hAnsi="宋体"/>
          <w:color w:val="auto"/>
          <w:sz w:val="24"/>
          <w:highlight w:val="none"/>
        </w:rPr>
        <w:t>平等的磋商机会。</w:t>
      </w:r>
    </w:p>
    <w:p w14:paraId="45BA52A8">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24.5</w:t>
      </w:r>
      <w:r>
        <w:rPr>
          <w:rFonts w:hint="eastAsia" w:ascii="宋体" w:hAnsi="宋体"/>
          <w:color w:val="auto"/>
          <w:sz w:val="24"/>
          <w:highlight w:val="none"/>
        </w:rPr>
        <w:t>磋商时，磋商响应文件中出现下列情况，修正原则为：</w:t>
      </w:r>
    </w:p>
    <w:p w14:paraId="269A9BC6">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①磋商</w:t>
      </w:r>
      <w:r>
        <w:rPr>
          <w:rFonts w:hint="eastAsia" w:ascii="宋体" w:hAnsi="宋体"/>
          <w:color w:val="auto"/>
          <w:sz w:val="24"/>
          <w:highlight w:val="none"/>
          <w:lang w:val="en-US" w:eastAsia="zh-CN"/>
        </w:rPr>
        <w:t>报价表</w:t>
      </w:r>
      <w:r>
        <w:rPr>
          <w:rFonts w:hint="eastAsia" w:ascii="宋体" w:hAnsi="宋体"/>
          <w:color w:val="auto"/>
          <w:sz w:val="24"/>
          <w:highlight w:val="none"/>
        </w:rPr>
        <w:t>内容与响应文件中相应内容不一致的，以磋商</w:t>
      </w:r>
      <w:r>
        <w:rPr>
          <w:rFonts w:hint="eastAsia" w:ascii="宋体" w:hAnsi="宋体"/>
          <w:color w:val="auto"/>
          <w:sz w:val="24"/>
          <w:highlight w:val="none"/>
          <w:lang w:val="en-US" w:eastAsia="zh-CN"/>
        </w:rPr>
        <w:t>报价表</w:t>
      </w:r>
      <w:r>
        <w:rPr>
          <w:rFonts w:hint="eastAsia" w:ascii="宋体" w:hAnsi="宋体"/>
          <w:color w:val="auto"/>
          <w:sz w:val="24"/>
          <w:highlight w:val="none"/>
        </w:rPr>
        <w:t>为准；</w:t>
      </w:r>
    </w:p>
    <w:p w14:paraId="470BB945">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color w:val="auto"/>
          <w:sz w:val="24"/>
          <w:highlight w:val="none"/>
        </w:rPr>
      </w:pPr>
      <w:r>
        <w:rPr>
          <w:rFonts w:hint="eastAsia" w:ascii="宋体" w:hAnsi="宋体"/>
          <w:color w:val="auto"/>
          <w:sz w:val="24"/>
          <w:highlight w:val="none"/>
        </w:rPr>
        <w:t>②大写金额和小写金额不一致的，以大写金额为准；</w:t>
      </w:r>
    </w:p>
    <w:p w14:paraId="28C07F4E">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eastAsia="宋体" w:cs="Times New Roman"/>
          <w:color w:val="auto"/>
          <w:sz w:val="24"/>
          <w:highlight w:val="none"/>
          <w:lang w:val="en-US" w:eastAsia="zh-CN"/>
        </w:rPr>
      </w:pPr>
      <w:r>
        <w:rPr>
          <w:rFonts w:hint="eastAsia" w:ascii="宋体" w:hAnsi="宋体"/>
          <w:color w:val="auto"/>
          <w:sz w:val="24"/>
          <w:highlight w:val="none"/>
        </w:rPr>
        <w:t>③响应文件正本与副本不一致的，以正本为准</w:t>
      </w:r>
      <w:r>
        <w:rPr>
          <w:rFonts w:hint="eastAsia" w:ascii="宋体" w:hAnsi="宋体"/>
          <w:color w:val="auto"/>
          <w:sz w:val="24"/>
          <w:highlight w:val="none"/>
          <w:lang w:eastAsia="zh-CN"/>
        </w:rPr>
        <w:t>。</w:t>
      </w:r>
    </w:p>
    <w:p w14:paraId="01AF6F8E">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同时出现两种以上不一致的，按照前款的顺序修正</w:t>
      </w:r>
      <w:r>
        <w:rPr>
          <w:rFonts w:hint="eastAsia" w:ascii="宋体" w:hAnsi="宋体" w:eastAsia="宋体" w:cs="Times New Roman"/>
          <w:color w:val="auto"/>
          <w:sz w:val="24"/>
          <w:highlight w:val="none"/>
          <w:lang w:eastAsia="zh-CN"/>
        </w:rPr>
        <w:t>。</w:t>
      </w:r>
    </w:p>
    <w:p w14:paraId="3ECA252F">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ascii="宋体" w:hAnsi="宋体"/>
          <w:color w:val="auto"/>
          <w:sz w:val="24"/>
          <w:highlight w:val="none"/>
        </w:rPr>
        <w:t>在磋商过程中，磋商小组可以根据磋商文件和磋商情况实质性变动采购需求中的技术、服务要求以及合同草案条款</w:t>
      </w:r>
      <w:r>
        <w:rPr>
          <w:rFonts w:hint="eastAsia" w:ascii="宋体" w:hAnsi="宋体"/>
          <w:color w:val="auto"/>
          <w:sz w:val="24"/>
          <w:highlight w:val="none"/>
        </w:rPr>
        <w:t>。所有</w:t>
      </w:r>
      <w:r>
        <w:rPr>
          <w:rFonts w:ascii="宋体" w:hAnsi="宋体"/>
          <w:color w:val="auto"/>
          <w:sz w:val="24"/>
          <w:highlight w:val="none"/>
        </w:rPr>
        <w:t>变动</w:t>
      </w:r>
      <w:r>
        <w:rPr>
          <w:rFonts w:hint="eastAsia" w:ascii="宋体" w:hAnsi="宋体"/>
          <w:color w:val="auto"/>
          <w:sz w:val="24"/>
          <w:highlight w:val="none"/>
        </w:rPr>
        <w:t>内容均</w:t>
      </w:r>
      <w:r>
        <w:rPr>
          <w:rFonts w:ascii="宋体" w:hAnsi="宋体"/>
          <w:color w:val="auto"/>
          <w:sz w:val="24"/>
          <w:highlight w:val="none"/>
        </w:rPr>
        <w:t>是磋商文件的有效组成部分，磋商小组</w:t>
      </w:r>
      <w:r>
        <w:rPr>
          <w:rFonts w:hint="eastAsia" w:ascii="宋体" w:hAnsi="宋体"/>
          <w:color w:val="auto"/>
          <w:sz w:val="24"/>
          <w:highlight w:val="none"/>
        </w:rPr>
        <w:t>将</w:t>
      </w:r>
      <w:r>
        <w:rPr>
          <w:rFonts w:ascii="宋体" w:hAnsi="宋体"/>
          <w:color w:val="auto"/>
          <w:sz w:val="24"/>
          <w:highlight w:val="none"/>
        </w:rPr>
        <w:t>以书面形式同时通知所有参加磋商的</w:t>
      </w:r>
      <w:r>
        <w:rPr>
          <w:rFonts w:hint="eastAsia" w:ascii="宋体" w:hAnsi="宋体"/>
          <w:color w:val="auto"/>
          <w:sz w:val="24"/>
          <w:highlight w:val="none"/>
          <w:lang w:eastAsia="zh-CN"/>
        </w:rPr>
        <w:t>供应商</w:t>
      </w:r>
      <w:r>
        <w:rPr>
          <w:rFonts w:ascii="宋体" w:hAnsi="宋体"/>
          <w:color w:val="auto"/>
          <w:sz w:val="24"/>
          <w:highlight w:val="none"/>
        </w:rPr>
        <w:t>。</w:t>
      </w:r>
    </w:p>
    <w:p w14:paraId="5F5FA25F">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参加磋商的</w:t>
      </w:r>
      <w:r>
        <w:rPr>
          <w:rFonts w:hint="eastAsia" w:ascii="宋体" w:hAnsi="宋体"/>
          <w:color w:val="auto"/>
          <w:sz w:val="24"/>
          <w:highlight w:val="none"/>
          <w:lang w:eastAsia="zh-CN"/>
        </w:rPr>
        <w:t>供应商</w:t>
      </w:r>
      <w:r>
        <w:rPr>
          <w:rFonts w:ascii="宋体" w:hAnsi="宋体"/>
          <w:color w:val="auto"/>
          <w:sz w:val="24"/>
          <w:highlight w:val="none"/>
        </w:rPr>
        <w:t>应当按照磋商文件的变动情况和磋商小组的要求重新提交响应文件，并由其法定代表人或</w:t>
      </w:r>
      <w:r>
        <w:rPr>
          <w:rFonts w:hint="eastAsia" w:ascii="宋体" w:hAnsi="宋体"/>
          <w:color w:val="auto"/>
          <w:sz w:val="24"/>
          <w:highlight w:val="none"/>
          <w:lang w:val="en-US" w:eastAsia="zh-CN"/>
        </w:rPr>
        <w:t>被</w:t>
      </w:r>
      <w:r>
        <w:rPr>
          <w:rFonts w:ascii="宋体" w:hAnsi="宋体"/>
          <w:color w:val="auto"/>
          <w:sz w:val="24"/>
          <w:highlight w:val="none"/>
        </w:rPr>
        <w:t>授权</w:t>
      </w:r>
      <w:r>
        <w:rPr>
          <w:rFonts w:hint="eastAsia" w:ascii="宋体" w:hAnsi="宋体"/>
          <w:color w:val="auto"/>
          <w:sz w:val="24"/>
          <w:highlight w:val="none"/>
          <w:lang w:val="en-US" w:eastAsia="zh-CN"/>
        </w:rPr>
        <w:t>人</w:t>
      </w:r>
      <w:r>
        <w:rPr>
          <w:rFonts w:ascii="宋体" w:hAnsi="宋体"/>
          <w:color w:val="auto"/>
          <w:sz w:val="24"/>
          <w:highlight w:val="none"/>
        </w:rPr>
        <w:t>签字或者加盖公章。由</w:t>
      </w:r>
      <w:r>
        <w:rPr>
          <w:rFonts w:hint="eastAsia" w:ascii="宋体" w:hAnsi="宋体"/>
          <w:color w:val="auto"/>
          <w:sz w:val="24"/>
          <w:highlight w:val="none"/>
          <w:lang w:val="en-US" w:eastAsia="zh-CN"/>
        </w:rPr>
        <w:t>被</w:t>
      </w:r>
      <w:r>
        <w:rPr>
          <w:rFonts w:ascii="宋体" w:hAnsi="宋体"/>
          <w:color w:val="auto"/>
          <w:sz w:val="24"/>
          <w:highlight w:val="none"/>
        </w:rPr>
        <w:t>授权</w:t>
      </w:r>
      <w:r>
        <w:rPr>
          <w:rFonts w:hint="eastAsia" w:ascii="宋体" w:hAnsi="宋体"/>
          <w:color w:val="auto"/>
          <w:sz w:val="24"/>
          <w:highlight w:val="none"/>
          <w:lang w:val="en-US" w:eastAsia="zh-CN"/>
        </w:rPr>
        <w:t>人</w:t>
      </w:r>
      <w:r>
        <w:rPr>
          <w:rFonts w:ascii="宋体" w:hAnsi="宋体"/>
          <w:color w:val="auto"/>
          <w:sz w:val="24"/>
          <w:highlight w:val="none"/>
        </w:rPr>
        <w:t>签字的，应当附法定代表人授权</w:t>
      </w:r>
      <w:r>
        <w:rPr>
          <w:rFonts w:hint="eastAsia" w:ascii="宋体" w:hAnsi="宋体"/>
          <w:color w:val="auto"/>
          <w:sz w:val="24"/>
          <w:highlight w:val="none"/>
          <w:lang w:eastAsia="zh-CN"/>
        </w:rPr>
        <w:t>委托</w:t>
      </w:r>
      <w:r>
        <w:rPr>
          <w:rFonts w:ascii="宋体" w:hAnsi="宋体"/>
          <w:color w:val="auto"/>
          <w:sz w:val="24"/>
          <w:highlight w:val="none"/>
        </w:rPr>
        <w:t>书。</w:t>
      </w:r>
      <w:r>
        <w:rPr>
          <w:rFonts w:hint="eastAsia" w:ascii="宋体" w:hAnsi="宋体"/>
          <w:color w:val="auto"/>
          <w:sz w:val="24"/>
          <w:highlight w:val="none"/>
          <w:lang w:eastAsia="zh-CN"/>
        </w:rPr>
        <w:t>供应商</w:t>
      </w:r>
      <w:r>
        <w:rPr>
          <w:rFonts w:ascii="宋体" w:hAnsi="宋体"/>
          <w:color w:val="auto"/>
          <w:sz w:val="24"/>
          <w:highlight w:val="none"/>
        </w:rPr>
        <w:t>为自然人的，应当由本人签字并附身份证明。</w:t>
      </w:r>
    </w:p>
    <w:p w14:paraId="00316E8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磋商结束后，</w:t>
      </w:r>
      <w:r>
        <w:rPr>
          <w:rFonts w:ascii="宋体" w:hAnsi="宋体"/>
          <w:color w:val="auto"/>
          <w:sz w:val="24"/>
          <w:highlight w:val="none"/>
        </w:rPr>
        <w:t>磋商小组要求所有继续参加磋商的</w:t>
      </w:r>
      <w:r>
        <w:rPr>
          <w:rFonts w:hint="eastAsia" w:ascii="宋体" w:hAnsi="宋体"/>
          <w:color w:val="auto"/>
          <w:sz w:val="24"/>
          <w:highlight w:val="none"/>
          <w:lang w:val="en-US" w:eastAsia="zh-CN"/>
        </w:rPr>
        <w:t>供应商</w:t>
      </w:r>
      <w:r>
        <w:rPr>
          <w:rFonts w:ascii="宋体" w:hAnsi="宋体"/>
          <w:color w:val="auto"/>
          <w:sz w:val="24"/>
          <w:highlight w:val="none"/>
        </w:rPr>
        <w:t>在规定时间内提交最后报价，最后报价是</w:t>
      </w:r>
      <w:r>
        <w:rPr>
          <w:rFonts w:hint="eastAsia" w:ascii="宋体" w:hAnsi="宋体"/>
          <w:color w:val="auto"/>
          <w:sz w:val="24"/>
          <w:highlight w:val="none"/>
          <w:lang w:eastAsia="zh-CN"/>
        </w:rPr>
        <w:t>供应商</w:t>
      </w:r>
      <w:r>
        <w:rPr>
          <w:rFonts w:ascii="宋体" w:hAnsi="宋体"/>
          <w:color w:val="auto"/>
          <w:sz w:val="24"/>
          <w:highlight w:val="none"/>
        </w:rPr>
        <w:t>响应文件的有效组成部分。</w:t>
      </w:r>
    </w:p>
    <w:p w14:paraId="58A29E07">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ascii="宋体" w:hAnsi="宋体"/>
          <w:color w:val="auto"/>
          <w:sz w:val="24"/>
          <w:highlight w:val="none"/>
        </w:rPr>
        <w:t>已提交响应文件的</w:t>
      </w:r>
      <w:r>
        <w:rPr>
          <w:rFonts w:hint="eastAsia" w:ascii="宋体" w:hAnsi="宋体"/>
          <w:color w:val="auto"/>
          <w:sz w:val="24"/>
          <w:highlight w:val="none"/>
          <w:lang w:eastAsia="zh-CN"/>
        </w:rPr>
        <w:t>供应商</w:t>
      </w:r>
      <w:r>
        <w:rPr>
          <w:rFonts w:ascii="宋体" w:hAnsi="宋体"/>
          <w:color w:val="auto"/>
          <w:sz w:val="24"/>
          <w:highlight w:val="none"/>
        </w:rPr>
        <w:t>，在提交最后报价之前，可以根据磋商情况退出磋商。采购机构</w:t>
      </w:r>
      <w:r>
        <w:rPr>
          <w:rFonts w:hint="eastAsia" w:ascii="宋体" w:hAnsi="宋体"/>
          <w:color w:val="auto"/>
          <w:sz w:val="24"/>
          <w:highlight w:val="none"/>
        </w:rPr>
        <w:t>将</w:t>
      </w:r>
      <w:r>
        <w:rPr>
          <w:rFonts w:ascii="宋体" w:hAnsi="宋体"/>
          <w:color w:val="auto"/>
          <w:sz w:val="24"/>
          <w:highlight w:val="none"/>
        </w:rPr>
        <w:t>退还退出磋商的</w:t>
      </w:r>
      <w:r>
        <w:rPr>
          <w:rFonts w:hint="eastAsia" w:ascii="宋体" w:hAnsi="宋体"/>
          <w:color w:val="auto"/>
          <w:sz w:val="24"/>
          <w:highlight w:val="none"/>
          <w:lang w:eastAsia="zh-CN"/>
        </w:rPr>
        <w:t>供应商</w:t>
      </w:r>
      <w:r>
        <w:rPr>
          <w:rFonts w:ascii="宋体" w:hAnsi="宋体"/>
          <w:color w:val="auto"/>
          <w:sz w:val="24"/>
          <w:highlight w:val="none"/>
        </w:rPr>
        <w:t>的保证金。</w:t>
      </w:r>
    </w:p>
    <w:p w14:paraId="3114969A">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lang w:val="en-US" w:eastAsia="zh-CN"/>
        </w:rPr>
        <w:t>5</w:t>
      </w:r>
      <w:r>
        <w:rPr>
          <w:rFonts w:ascii="宋体" w:hAnsi="宋体"/>
          <w:b/>
          <w:color w:val="auto"/>
          <w:sz w:val="24"/>
          <w:highlight w:val="none"/>
        </w:rPr>
        <w:t>．评审过程的保密</w:t>
      </w:r>
    </w:p>
    <w:p w14:paraId="570F45F7">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.1竞争性磋商小组成员和与评审活动有关的工作人员不得泄露有关磋商响应文件的评审和比较、</w:t>
      </w:r>
      <w:r>
        <w:rPr>
          <w:rFonts w:hint="eastAsia" w:ascii="宋体" w:hAnsi="宋体"/>
          <w:color w:val="auto"/>
          <w:sz w:val="24"/>
          <w:highlight w:val="none"/>
        </w:rPr>
        <w:t>成交候选</w:t>
      </w:r>
      <w:r>
        <w:rPr>
          <w:rFonts w:hint="eastAsia" w:ascii="宋体" w:hAnsi="宋体"/>
          <w:color w:val="auto"/>
          <w:sz w:val="24"/>
          <w:highlight w:val="none"/>
          <w:lang w:val="en-US" w:eastAsia="zh-CN"/>
        </w:rPr>
        <w:t>供应商</w:t>
      </w:r>
      <w:r>
        <w:rPr>
          <w:rFonts w:ascii="宋体" w:hAnsi="宋体"/>
          <w:color w:val="auto"/>
          <w:sz w:val="24"/>
          <w:highlight w:val="none"/>
        </w:rPr>
        <w:t>的推荐以及与评审有关的其他情况。</w:t>
      </w:r>
    </w:p>
    <w:p w14:paraId="1B50A42C">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outlineLvl w:val="9"/>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.2在评审过程中，如果供应商试图在磋商响应文件的评审和比较、</w:t>
      </w:r>
      <w:r>
        <w:rPr>
          <w:rFonts w:hint="eastAsia" w:ascii="宋体" w:hAnsi="宋体"/>
          <w:color w:val="auto"/>
          <w:sz w:val="24"/>
          <w:highlight w:val="none"/>
        </w:rPr>
        <w:t>成交候选</w:t>
      </w:r>
      <w:r>
        <w:rPr>
          <w:rFonts w:hint="eastAsia" w:ascii="宋体" w:hAnsi="宋体"/>
          <w:color w:val="auto"/>
          <w:sz w:val="24"/>
          <w:highlight w:val="none"/>
          <w:lang w:val="en-US" w:eastAsia="zh-CN"/>
        </w:rPr>
        <w:t>供应商</w:t>
      </w:r>
      <w:r>
        <w:rPr>
          <w:rFonts w:ascii="宋体" w:hAnsi="宋体"/>
          <w:color w:val="auto"/>
          <w:sz w:val="24"/>
          <w:highlight w:val="none"/>
        </w:rPr>
        <w:t>的推荐以及与评审有关的其他方面，向磋商小组、采购人和采购代理机构施加任何影响，</w:t>
      </w:r>
      <w:r>
        <w:rPr>
          <w:rFonts w:hint="eastAsia" w:ascii="宋体" w:hAnsi="宋体"/>
          <w:color w:val="auto"/>
          <w:sz w:val="24"/>
          <w:highlight w:val="none"/>
        </w:rPr>
        <w:t>其</w:t>
      </w:r>
      <w:r>
        <w:rPr>
          <w:rFonts w:ascii="宋体" w:hAnsi="宋体"/>
          <w:color w:val="auto"/>
          <w:sz w:val="24"/>
          <w:highlight w:val="none"/>
        </w:rPr>
        <w:t>磋商</w:t>
      </w:r>
      <w:r>
        <w:rPr>
          <w:rFonts w:hint="eastAsia" w:ascii="宋体" w:hAnsi="宋体"/>
          <w:color w:val="auto"/>
          <w:sz w:val="24"/>
          <w:highlight w:val="none"/>
        </w:rPr>
        <w:t>响应文件</w:t>
      </w:r>
      <w:r>
        <w:rPr>
          <w:rFonts w:ascii="宋体" w:hAnsi="宋体"/>
          <w:color w:val="auto"/>
          <w:sz w:val="24"/>
          <w:highlight w:val="none"/>
        </w:rPr>
        <w:t>将</w:t>
      </w:r>
      <w:r>
        <w:rPr>
          <w:rFonts w:hint="eastAsia" w:ascii="宋体" w:hAnsi="宋体"/>
          <w:color w:val="auto"/>
          <w:sz w:val="24"/>
          <w:highlight w:val="none"/>
        </w:rPr>
        <w:t>按照无效处理</w:t>
      </w:r>
      <w:r>
        <w:rPr>
          <w:rFonts w:ascii="宋体" w:hAnsi="宋体"/>
          <w:color w:val="auto"/>
          <w:sz w:val="24"/>
          <w:highlight w:val="none"/>
        </w:rPr>
        <w:t>。</w:t>
      </w:r>
    </w:p>
    <w:p w14:paraId="5CE64B9B">
      <w:pPr>
        <w:keepNext w:val="0"/>
        <w:keepLines w:val="0"/>
        <w:pageBreakBefore w:val="0"/>
        <w:widowControl w:val="0"/>
        <w:kinsoku/>
        <w:wordWrap/>
        <w:overflowPunct/>
        <w:topLinePunct w:val="0"/>
        <w:autoSpaceDE/>
        <w:autoSpaceDN/>
        <w:bidi w:val="0"/>
        <w:adjustRightInd/>
        <w:spacing w:line="360" w:lineRule="auto"/>
        <w:ind w:firstLine="361" w:firstLineChars="150"/>
        <w:textAlignment w:val="auto"/>
        <w:outlineLvl w:val="9"/>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lang w:val="en-US" w:eastAsia="zh-CN"/>
        </w:rPr>
        <w:t>6</w:t>
      </w:r>
      <w:r>
        <w:rPr>
          <w:rFonts w:ascii="宋体" w:hAnsi="宋体"/>
          <w:b/>
          <w:color w:val="auto"/>
          <w:sz w:val="24"/>
          <w:highlight w:val="none"/>
        </w:rPr>
        <w:t>．评审方法</w:t>
      </w:r>
    </w:p>
    <w:p w14:paraId="57F492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按照财政部《政府采购竞争性磋商采购方式管理暂行办法》有关规定，竞争性磋商小组将从方案质量和服务均能满足磋商文件实质性响应要求，</w:t>
      </w:r>
      <w:r>
        <w:rPr>
          <w:rFonts w:ascii="宋体" w:hAnsi="宋体"/>
          <w:color w:val="auto"/>
          <w:sz w:val="24"/>
          <w:highlight w:val="none"/>
        </w:rPr>
        <w:t>且报价不高于</w:t>
      </w:r>
      <w:r>
        <w:rPr>
          <w:rFonts w:hint="eastAsia" w:ascii="宋体" w:hAnsi="宋体"/>
          <w:color w:val="auto"/>
          <w:sz w:val="24"/>
          <w:highlight w:val="none"/>
          <w:lang w:val="en-US" w:eastAsia="zh-CN"/>
        </w:rPr>
        <w:t>最高限价</w:t>
      </w:r>
      <w:r>
        <w:rPr>
          <w:rFonts w:hint="eastAsia" w:ascii="宋体" w:hAnsi="宋体"/>
          <w:color w:val="auto"/>
          <w:sz w:val="24"/>
          <w:highlight w:val="none"/>
        </w:rPr>
        <w:t>的供应商中，按照综合</w:t>
      </w:r>
      <w:r>
        <w:rPr>
          <w:rFonts w:ascii="宋体" w:hAnsi="宋体"/>
          <w:color w:val="auto"/>
          <w:sz w:val="24"/>
          <w:highlight w:val="none"/>
        </w:rPr>
        <w:t>考评</w:t>
      </w:r>
      <w:r>
        <w:rPr>
          <w:rFonts w:hint="eastAsia" w:ascii="宋体" w:hAnsi="宋体"/>
          <w:color w:val="auto"/>
          <w:sz w:val="24"/>
          <w:highlight w:val="none"/>
        </w:rPr>
        <w:t>得分</w:t>
      </w:r>
      <w:r>
        <w:rPr>
          <w:rFonts w:ascii="宋体" w:hAnsi="宋体"/>
          <w:color w:val="auto"/>
          <w:sz w:val="24"/>
          <w:highlight w:val="none"/>
        </w:rPr>
        <w:t>由高到</w:t>
      </w:r>
      <w:r>
        <w:rPr>
          <w:rFonts w:hint="eastAsia" w:ascii="宋体" w:hAnsi="宋体"/>
          <w:color w:val="auto"/>
          <w:sz w:val="24"/>
          <w:highlight w:val="none"/>
        </w:rPr>
        <w:t>低的顺序提出3名成交候选</w:t>
      </w:r>
      <w:r>
        <w:rPr>
          <w:rFonts w:hint="eastAsia" w:ascii="宋体" w:hAnsi="宋体"/>
          <w:color w:val="auto"/>
          <w:sz w:val="24"/>
          <w:highlight w:val="none"/>
          <w:lang w:val="en-US" w:eastAsia="zh-CN"/>
        </w:rPr>
        <w:t>供应商</w:t>
      </w:r>
      <w:r>
        <w:rPr>
          <w:rFonts w:hint="eastAsia" w:ascii="宋体" w:hAnsi="宋体"/>
          <w:color w:val="auto"/>
          <w:sz w:val="24"/>
          <w:highlight w:val="none"/>
        </w:rPr>
        <w:t>。</w:t>
      </w:r>
    </w:p>
    <w:p w14:paraId="6437E3F6">
      <w:pPr>
        <w:keepNext w:val="0"/>
        <w:keepLines w:val="0"/>
        <w:pageBreakBefore w:val="0"/>
        <w:widowControl w:val="0"/>
        <w:kinsoku/>
        <w:wordWrap/>
        <w:overflowPunct/>
        <w:topLinePunct w:val="0"/>
        <w:autoSpaceDE/>
        <w:autoSpaceDN/>
        <w:bidi w:val="0"/>
        <w:adjustRightInd/>
        <w:spacing w:line="360" w:lineRule="auto"/>
        <w:jc w:val="center"/>
        <w:textAlignment w:val="auto"/>
        <w:outlineLvl w:val="9"/>
        <w:rPr>
          <w:rFonts w:hAnsi="宋体"/>
          <w:color w:val="auto"/>
          <w:kern w:val="1"/>
          <w:sz w:val="24"/>
        </w:rPr>
      </w:pPr>
      <w:r>
        <w:rPr>
          <w:rFonts w:hint="eastAsia" w:ascii="宋体" w:hAnsi="宋体" w:eastAsia="宋体" w:cs="Times New Roman"/>
          <w:b/>
          <w:color w:val="auto"/>
          <w:sz w:val="28"/>
          <w:szCs w:val="28"/>
        </w:rPr>
        <w:t>六、确定成交人、</w:t>
      </w:r>
      <w:r>
        <w:rPr>
          <w:rFonts w:hint="eastAsia" w:ascii="宋体" w:hAnsi="宋体" w:eastAsia="宋体" w:cs="Times New Roman"/>
          <w:b/>
          <w:color w:val="auto"/>
          <w:sz w:val="28"/>
          <w:szCs w:val="28"/>
          <w:lang w:val="en-US" w:eastAsia="zh-CN"/>
        </w:rPr>
        <w:t>成交</w:t>
      </w:r>
      <w:r>
        <w:rPr>
          <w:rFonts w:hint="eastAsia" w:ascii="宋体" w:hAnsi="宋体" w:eastAsia="宋体" w:cs="Times New Roman"/>
          <w:b/>
          <w:color w:val="auto"/>
          <w:sz w:val="28"/>
          <w:szCs w:val="28"/>
        </w:rPr>
        <w:t>通知与签约</w:t>
      </w:r>
    </w:p>
    <w:p w14:paraId="272AA40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宋体" w:hAnsi="宋体"/>
          <w:b/>
          <w:color w:val="auto"/>
          <w:sz w:val="24"/>
        </w:rPr>
      </w:pPr>
      <w:r>
        <w:rPr>
          <w:rFonts w:ascii="宋体" w:hAnsi="宋体"/>
          <w:b/>
          <w:color w:val="auto"/>
          <w:sz w:val="24"/>
        </w:rPr>
        <w:t>2</w:t>
      </w:r>
      <w:r>
        <w:rPr>
          <w:rFonts w:hint="eastAsia" w:ascii="宋体" w:hAnsi="宋体"/>
          <w:b/>
          <w:color w:val="auto"/>
          <w:sz w:val="24"/>
          <w:lang w:val="en-US" w:eastAsia="zh-CN"/>
        </w:rPr>
        <w:t>7</w:t>
      </w:r>
      <w:r>
        <w:rPr>
          <w:rFonts w:ascii="宋体" w:hAnsi="宋体"/>
          <w:b/>
          <w:color w:val="auto"/>
          <w:sz w:val="24"/>
        </w:rPr>
        <w:t>．</w:t>
      </w:r>
      <w:r>
        <w:rPr>
          <w:rFonts w:hint="eastAsia" w:ascii="宋体" w:hAnsi="宋体"/>
          <w:b/>
          <w:color w:val="auto"/>
          <w:sz w:val="24"/>
        </w:rPr>
        <w:t>确定成交人</w:t>
      </w:r>
    </w:p>
    <w:p w14:paraId="2DDCA77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none"/>
        </w:rPr>
      </w:pPr>
      <w:r>
        <w:rPr>
          <w:rFonts w:ascii="宋体" w:hAnsi="宋体"/>
          <w:color w:val="auto"/>
          <w:sz w:val="24"/>
        </w:rPr>
        <w:t>2</w:t>
      </w:r>
      <w:r>
        <w:rPr>
          <w:rFonts w:hint="eastAsia" w:ascii="宋体" w:hAnsi="宋体"/>
          <w:color w:val="auto"/>
          <w:sz w:val="24"/>
          <w:lang w:val="en-US" w:eastAsia="zh-CN"/>
        </w:rPr>
        <w:t>7</w:t>
      </w:r>
      <w:r>
        <w:rPr>
          <w:rFonts w:ascii="宋体" w:hAnsi="宋体"/>
          <w:color w:val="auto"/>
          <w:sz w:val="24"/>
        </w:rPr>
        <w:t>.1</w:t>
      </w:r>
      <w:r>
        <w:rPr>
          <w:rFonts w:hint="eastAsia" w:ascii="宋体" w:hAnsi="宋体"/>
          <w:color w:val="auto"/>
          <w:sz w:val="24"/>
        </w:rPr>
        <w:t>磋商小组</w:t>
      </w:r>
      <w:r>
        <w:rPr>
          <w:rFonts w:ascii="宋体" w:hAnsi="宋体"/>
          <w:color w:val="auto"/>
          <w:sz w:val="24"/>
        </w:rPr>
        <w:t>根据评审方法的规定对供应商进行评审排序，推荐</w:t>
      </w:r>
      <w:r>
        <w:rPr>
          <w:rFonts w:hint="eastAsia" w:ascii="宋体" w:hAnsi="宋体"/>
          <w:color w:val="auto"/>
          <w:sz w:val="24"/>
          <w:highlight w:val="none"/>
        </w:rPr>
        <w:t>成交候选</w:t>
      </w:r>
      <w:r>
        <w:rPr>
          <w:rFonts w:hint="eastAsia" w:ascii="宋体" w:hAnsi="宋体"/>
          <w:color w:val="auto"/>
          <w:sz w:val="24"/>
          <w:highlight w:val="none"/>
          <w:lang w:val="en-US" w:eastAsia="zh-CN"/>
        </w:rPr>
        <w:t>供应商</w:t>
      </w:r>
      <w:r>
        <w:rPr>
          <w:rFonts w:ascii="宋体" w:hAnsi="宋体"/>
          <w:color w:val="auto"/>
          <w:sz w:val="24"/>
        </w:rPr>
        <w:t>，</w:t>
      </w:r>
      <w:r>
        <w:rPr>
          <w:rFonts w:hint="eastAsia" w:ascii="宋体" w:hAnsi="宋体"/>
          <w:color w:val="auto"/>
          <w:sz w:val="24"/>
        </w:rPr>
        <w:t>形</w:t>
      </w:r>
      <w:r>
        <w:rPr>
          <w:rFonts w:hint="eastAsia" w:ascii="宋体" w:hAnsi="宋体"/>
          <w:color w:val="auto"/>
          <w:sz w:val="24"/>
          <w:highlight w:val="none"/>
        </w:rPr>
        <w:t>成评审报告</w:t>
      </w:r>
      <w:r>
        <w:rPr>
          <w:rFonts w:ascii="宋体" w:hAnsi="宋体"/>
          <w:color w:val="auto"/>
          <w:sz w:val="24"/>
          <w:highlight w:val="none"/>
        </w:rPr>
        <w:t>。</w:t>
      </w:r>
      <w:r>
        <w:rPr>
          <w:rFonts w:hint="eastAsia" w:ascii="宋体" w:hAnsi="宋体"/>
          <w:color w:val="auto"/>
          <w:sz w:val="24"/>
          <w:highlight w:val="none"/>
        </w:rPr>
        <w:t>评审报告</w:t>
      </w:r>
      <w:r>
        <w:rPr>
          <w:rFonts w:ascii="宋体" w:hAnsi="宋体"/>
          <w:color w:val="auto"/>
          <w:sz w:val="24"/>
          <w:highlight w:val="none"/>
        </w:rPr>
        <w:t>由</w:t>
      </w:r>
      <w:r>
        <w:rPr>
          <w:rFonts w:hint="eastAsia" w:ascii="宋体" w:hAnsi="宋体"/>
          <w:color w:val="auto"/>
          <w:sz w:val="24"/>
          <w:highlight w:val="none"/>
        </w:rPr>
        <w:t>磋商小组成员</w:t>
      </w:r>
      <w:r>
        <w:rPr>
          <w:rFonts w:ascii="宋体" w:hAnsi="宋体"/>
          <w:color w:val="auto"/>
          <w:sz w:val="24"/>
          <w:highlight w:val="none"/>
        </w:rPr>
        <w:t>签字确认。</w:t>
      </w:r>
    </w:p>
    <w:p w14:paraId="530BB90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7</w:t>
      </w:r>
      <w:r>
        <w:rPr>
          <w:rFonts w:ascii="宋体" w:hAnsi="宋体"/>
          <w:color w:val="auto"/>
          <w:sz w:val="24"/>
          <w:highlight w:val="none"/>
        </w:rPr>
        <w:t>.2采</w:t>
      </w:r>
      <w:r>
        <w:rPr>
          <w:rFonts w:ascii="宋体" w:hAnsi="宋体"/>
          <w:b w:val="0"/>
          <w:bCs w:val="0"/>
          <w:color w:val="auto"/>
          <w:sz w:val="24"/>
          <w:highlight w:val="none"/>
        </w:rPr>
        <w:t>购</w:t>
      </w:r>
      <w:r>
        <w:rPr>
          <w:rFonts w:ascii="宋体" w:hAnsi="宋体"/>
          <w:color w:val="auto"/>
          <w:sz w:val="24"/>
          <w:highlight w:val="none"/>
        </w:rPr>
        <w:t>人从</w:t>
      </w:r>
      <w:r>
        <w:rPr>
          <w:rFonts w:hint="eastAsia" w:ascii="宋体" w:hAnsi="宋体"/>
          <w:color w:val="auto"/>
          <w:sz w:val="24"/>
          <w:highlight w:val="none"/>
        </w:rPr>
        <w:t>评审报告</w:t>
      </w:r>
      <w:r>
        <w:rPr>
          <w:rFonts w:ascii="宋体" w:hAnsi="宋体"/>
          <w:color w:val="auto"/>
          <w:sz w:val="24"/>
          <w:highlight w:val="none"/>
        </w:rPr>
        <w:t>提出的</w:t>
      </w:r>
      <w:r>
        <w:rPr>
          <w:rFonts w:hint="eastAsia" w:ascii="宋体" w:hAnsi="宋体"/>
          <w:color w:val="auto"/>
          <w:sz w:val="24"/>
          <w:highlight w:val="none"/>
        </w:rPr>
        <w:t>成交候选</w:t>
      </w:r>
      <w:r>
        <w:rPr>
          <w:rFonts w:hint="eastAsia" w:ascii="宋体" w:hAnsi="宋体"/>
          <w:color w:val="auto"/>
          <w:sz w:val="24"/>
          <w:highlight w:val="none"/>
          <w:lang w:val="en-US" w:eastAsia="zh-CN"/>
        </w:rPr>
        <w:t>供应商</w:t>
      </w:r>
      <w:r>
        <w:rPr>
          <w:rFonts w:ascii="宋体" w:hAnsi="宋体"/>
          <w:color w:val="auto"/>
          <w:sz w:val="24"/>
          <w:highlight w:val="none"/>
        </w:rPr>
        <w:t>中，根据</w:t>
      </w:r>
      <w:r>
        <w:rPr>
          <w:rFonts w:hint="eastAsia" w:ascii="宋体" w:hAnsi="宋体"/>
          <w:color w:val="auto"/>
          <w:sz w:val="24"/>
          <w:highlight w:val="none"/>
        </w:rPr>
        <w:t>评审因素及量化指标</w:t>
      </w:r>
      <w:r>
        <w:rPr>
          <w:rFonts w:hint="eastAsia" w:ascii="宋体" w:hAnsi="宋体"/>
          <w:color w:val="auto"/>
          <w:sz w:val="24"/>
          <w:highlight w:val="none"/>
          <w:lang w:eastAsia="zh-CN"/>
        </w:rPr>
        <w:t>、</w:t>
      </w:r>
      <w:r>
        <w:rPr>
          <w:rFonts w:ascii="宋体" w:hAnsi="宋体"/>
          <w:color w:val="auto"/>
          <w:sz w:val="24"/>
          <w:highlight w:val="none"/>
        </w:rPr>
        <w:t>最后报价</w:t>
      </w:r>
      <w:r>
        <w:rPr>
          <w:rFonts w:hint="eastAsia" w:ascii="宋体" w:hAnsi="宋体"/>
          <w:color w:val="auto"/>
          <w:sz w:val="24"/>
          <w:highlight w:val="none"/>
        </w:rPr>
        <w:t>综合权衡，</w:t>
      </w:r>
      <w:r>
        <w:rPr>
          <w:rFonts w:ascii="宋体" w:hAnsi="宋体"/>
          <w:color w:val="auto"/>
          <w:sz w:val="24"/>
          <w:highlight w:val="none"/>
        </w:rPr>
        <w:t>确定成交供应商</w:t>
      </w:r>
      <w:r>
        <w:rPr>
          <w:rFonts w:hint="eastAsia" w:ascii="宋体" w:hAnsi="宋体"/>
          <w:color w:val="auto"/>
          <w:sz w:val="24"/>
          <w:highlight w:val="none"/>
        </w:rPr>
        <w:t>。</w:t>
      </w:r>
    </w:p>
    <w:p w14:paraId="4009D57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7</w:t>
      </w:r>
      <w:r>
        <w:rPr>
          <w:rFonts w:hint="eastAsia" w:ascii="宋体" w:hAnsi="宋体"/>
          <w:color w:val="auto"/>
          <w:sz w:val="24"/>
          <w:highlight w:val="none"/>
        </w:rPr>
        <w:t>.3采购人也可以书面授权磋商小组直接确定成交供应商。</w:t>
      </w:r>
    </w:p>
    <w:p w14:paraId="6C82647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highlight w:val="green"/>
        </w:rPr>
      </w:pPr>
      <w:r>
        <w:rPr>
          <w:rFonts w:ascii="宋体" w:hAnsi="宋体"/>
          <w:color w:val="auto"/>
          <w:sz w:val="24"/>
          <w:highlight w:val="none"/>
        </w:rPr>
        <w:t>2</w:t>
      </w:r>
      <w:r>
        <w:rPr>
          <w:rFonts w:hint="eastAsia" w:ascii="宋体" w:hAnsi="宋体"/>
          <w:color w:val="auto"/>
          <w:sz w:val="24"/>
          <w:highlight w:val="none"/>
          <w:lang w:val="en-US" w:eastAsia="zh-CN"/>
        </w:rPr>
        <w:t>7</w:t>
      </w:r>
      <w:r>
        <w:rPr>
          <w:rFonts w:ascii="宋体" w:hAnsi="宋体"/>
          <w:color w:val="auto"/>
          <w:sz w:val="24"/>
          <w:highlight w:val="none"/>
        </w:rPr>
        <w:t>.4</w:t>
      </w:r>
      <w:r>
        <w:rPr>
          <w:rFonts w:hint="eastAsia" w:ascii="宋体" w:hAnsi="宋体"/>
          <w:color w:val="auto"/>
          <w:sz w:val="24"/>
          <w:highlight w:val="none"/>
        </w:rPr>
        <w:t>采购人或者采购代理机构在成交供应商确定后</w:t>
      </w:r>
      <w:r>
        <w:rPr>
          <w:rFonts w:hint="eastAsia" w:ascii="宋体" w:hAnsi="宋体"/>
          <w:color w:val="auto"/>
          <w:sz w:val="24"/>
          <w:highlight w:val="none"/>
          <w:lang w:val="en-US" w:eastAsia="zh-CN"/>
        </w:rPr>
        <w:t>1</w:t>
      </w:r>
      <w:r>
        <w:rPr>
          <w:rFonts w:hint="eastAsia" w:ascii="宋体" w:hAnsi="宋体"/>
          <w:color w:val="auto"/>
          <w:sz w:val="24"/>
          <w:highlight w:val="none"/>
        </w:rPr>
        <w:t>个工作日内，在省级以上财政部门指定的政府采购信息发布</w:t>
      </w:r>
      <w:r>
        <w:rPr>
          <w:rFonts w:hint="eastAsia" w:ascii="宋体" w:hAnsi="宋体"/>
          <w:color w:val="auto"/>
          <w:sz w:val="24"/>
        </w:rPr>
        <w:t>媒体上公告</w:t>
      </w:r>
      <w:r>
        <w:rPr>
          <w:rFonts w:hint="eastAsia" w:ascii="宋体" w:hAnsi="宋体"/>
          <w:color w:val="auto"/>
          <w:sz w:val="24"/>
          <w:lang w:val="en-US" w:eastAsia="zh-CN"/>
        </w:rPr>
        <w:t>成交结果</w:t>
      </w:r>
      <w:r>
        <w:rPr>
          <w:rFonts w:ascii="宋体" w:hAnsi="宋体"/>
          <w:color w:val="auto"/>
          <w:sz w:val="24"/>
        </w:rPr>
        <w:t>。</w:t>
      </w:r>
    </w:p>
    <w:p w14:paraId="3FB0527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7</w:t>
      </w:r>
      <w:r>
        <w:rPr>
          <w:rFonts w:ascii="宋体" w:hAnsi="宋体"/>
          <w:color w:val="auto"/>
          <w:sz w:val="24"/>
        </w:rPr>
        <w:t>.5供应商对</w:t>
      </w:r>
      <w:r>
        <w:rPr>
          <w:rFonts w:hint="eastAsia" w:ascii="宋体" w:hAnsi="宋体"/>
          <w:color w:val="auto"/>
          <w:sz w:val="24"/>
          <w:lang w:val="en-US" w:eastAsia="zh-CN"/>
        </w:rPr>
        <w:t>采购结果</w:t>
      </w:r>
      <w:r>
        <w:rPr>
          <w:rFonts w:ascii="宋体" w:hAnsi="宋体"/>
          <w:color w:val="auto"/>
          <w:sz w:val="24"/>
        </w:rPr>
        <w:t>公告有异议的，</w:t>
      </w:r>
      <w:r>
        <w:rPr>
          <w:rFonts w:hint="eastAsia" w:ascii="宋体" w:hAnsi="宋体"/>
          <w:color w:val="auto"/>
          <w:sz w:val="24"/>
        </w:rPr>
        <w:t>按照《中华人民共和国政府采购法》第五十二条之有关规定执行。</w:t>
      </w:r>
      <w:r>
        <w:rPr>
          <w:rFonts w:ascii="宋体" w:hAnsi="宋体"/>
          <w:color w:val="auto"/>
          <w:sz w:val="24"/>
        </w:rPr>
        <w:t>提出质疑的供应商</w:t>
      </w:r>
      <w:r>
        <w:rPr>
          <w:rFonts w:hint="eastAsia" w:ascii="宋体" w:hAnsi="宋体"/>
          <w:color w:val="auto"/>
          <w:sz w:val="24"/>
        </w:rPr>
        <w:t>应当有明确的请求和必要的证明材料，</w:t>
      </w:r>
      <w:r>
        <w:rPr>
          <w:rFonts w:ascii="宋体" w:hAnsi="宋体"/>
          <w:color w:val="auto"/>
          <w:sz w:val="24"/>
        </w:rPr>
        <w:t>应保证提出的质疑内容及相应证明材料的真实性及来源的合法性，并承担相应的法律责任。</w:t>
      </w:r>
    </w:p>
    <w:p w14:paraId="6DDBCA5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rPr>
      </w:pPr>
      <w:r>
        <w:rPr>
          <w:rFonts w:ascii="宋体" w:hAnsi="宋体"/>
          <w:color w:val="auto"/>
          <w:sz w:val="24"/>
        </w:rPr>
        <w:t>2</w:t>
      </w:r>
      <w:r>
        <w:rPr>
          <w:rFonts w:hint="eastAsia" w:ascii="宋体" w:hAnsi="宋体"/>
          <w:color w:val="auto"/>
          <w:sz w:val="24"/>
          <w:lang w:val="en-US" w:eastAsia="zh-CN"/>
        </w:rPr>
        <w:t>7</w:t>
      </w:r>
      <w:r>
        <w:rPr>
          <w:rFonts w:ascii="宋体" w:hAnsi="宋体"/>
          <w:color w:val="auto"/>
          <w:sz w:val="24"/>
        </w:rPr>
        <w:t>.6</w:t>
      </w:r>
      <w:r>
        <w:rPr>
          <w:rFonts w:hint="eastAsia" w:ascii="宋体" w:hAnsi="宋体"/>
          <w:color w:val="auto"/>
          <w:sz w:val="24"/>
        </w:rPr>
        <w:t>成交供应商拒绝与采购人签订合同的，采购人可以按照</w:t>
      </w:r>
      <w:r>
        <w:rPr>
          <w:rFonts w:hint="eastAsia" w:ascii="宋体" w:hAnsi="宋体"/>
          <w:color w:val="auto"/>
          <w:sz w:val="24"/>
          <w:highlight w:val="none"/>
        </w:rPr>
        <w:t>评审报告</w:t>
      </w:r>
      <w:r>
        <w:rPr>
          <w:rFonts w:hint="eastAsia" w:ascii="宋体" w:hAnsi="宋体"/>
          <w:color w:val="auto"/>
          <w:sz w:val="24"/>
        </w:rPr>
        <w:t>推荐的成交人名单排序，确定下一候选人为成交供应商，也可以重新开展政府采购活动。</w:t>
      </w:r>
    </w:p>
    <w:p w14:paraId="0D0A55B2">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color w:val="auto"/>
          <w:sz w:val="24"/>
        </w:rPr>
      </w:pPr>
      <w:r>
        <w:rPr>
          <w:rFonts w:hint="eastAsia" w:ascii="宋体" w:hAnsi="宋体"/>
          <w:b/>
          <w:bCs/>
          <w:color w:val="auto"/>
          <w:sz w:val="24"/>
        </w:rPr>
        <w:t>2</w:t>
      </w:r>
      <w:r>
        <w:rPr>
          <w:rFonts w:hint="eastAsia" w:ascii="宋体" w:hAnsi="宋体"/>
          <w:b/>
          <w:bCs/>
          <w:color w:val="auto"/>
          <w:sz w:val="24"/>
          <w:lang w:val="en-US" w:eastAsia="zh-CN"/>
        </w:rPr>
        <w:t>8</w:t>
      </w:r>
      <w:r>
        <w:rPr>
          <w:rFonts w:ascii="宋体" w:hAnsi="宋体"/>
          <w:b/>
          <w:bCs/>
          <w:color w:val="auto"/>
          <w:sz w:val="24"/>
        </w:rPr>
        <w:t>．</w:t>
      </w:r>
      <w:r>
        <w:rPr>
          <w:rFonts w:hint="eastAsia" w:ascii="宋体" w:hAnsi="宋体"/>
          <w:b/>
          <w:bCs/>
          <w:color w:val="auto"/>
          <w:sz w:val="24"/>
          <w:lang w:val="en-US" w:eastAsia="zh-CN"/>
        </w:rPr>
        <w:t>成交</w:t>
      </w:r>
      <w:r>
        <w:rPr>
          <w:rFonts w:ascii="宋体" w:hAnsi="宋体"/>
          <w:b/>
          <w:bCs/>
          <w:color w:val="auto"/>
          <w:sz w:val="24"/>
        </w:rPr>
        <w:t>通知</w:t>
      </w:r>
    </w:p>
    <w:p w14:paraId="08B27FD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ascii="宋体" w:hAnsi="宋体"/>
          <w:color w:val="auto"/>
          <w:sz w:val="24"/>
        </w:rPr>
        <w:t>.1</w:t>
      </w:r>
      <w:r>
        <w:rPr>
          <w:rFonts w:hint="eastAsia" w:ascii="宋体" w:hAnsi="宋体"/>
          <w:color w:val="auto"/>
          <w:sz w:val="24"/>
        </w:rPr>
        <w:t xml:space="preserve"> 成交供应商确定之后，</w:t>
      </w:r>
      <w:r>
        <w:rPr>
          <w:rFonts w:hint="eastAsia" w:ascii="宋体" w:hAnsi="宋体"/>
          <w:color w:val="auto"/>
          <w:sz w:val="24"/>
          <w:lang w:val="en-US" w:eastAsia="zh-CN"/>
        </w:rPr>
        <w:t>代理公司</w:t>
      </w:r>
      <w:r>
        <w:rPr>
          <w:rFonts w:hint="eastAsia" w:ascii="宋体" w:hAnsi="宋体"/>
          <w:color w:val="auto"/>
          <w:sz w:val="24"/>
        </w:rPr>
        <w:t>将</w:t>
      </w:r>
      <w:r>
        <w:rPr>
          <w:rFonts w:ascii="宋体" w:hAnsi="宋体"/>
          <w:color w:val="auto"/>
          <w:sz w:val="24"/>
          <w:highlight w:val="none"/>
        </w:rPr>
        <w:t>发出</w:t>
      </w:r>
      <w:r>
        <w:rPr>
          <w:rFonts w:hint="eastAsia" w:ascii="宋体" w:hAnsi="宋体"/>
          <w:color w:val="auto"/>
          <w:sz w:val="24"/>
          <w:highlight w:val="none"/>
          <w:lang w:eastAsia="zh-CN"/>
        </w:rPr>
        <w:t>成交通知书</w:t>
      </w:r>
      <w:r>
        <w:rPr>
          <w:rFonts w:hint="eastAsia" w:ascii="宋体" w:hAnsi="宋体"/>
          <w:color w:val="auto"/>
          <w:sz w:val="24"/>
          <w:highlight w:val="none"/>
        </w:rPr>
        <w:t>，</w:t>
      </w:r>
      <w:r>
        <w:rPr>
          <w:rFonts w:hint="eastAsia" w:ascii="宋体" w:hAnsi="宋体"/>
          <w:b/>
          <w:bCs/>
          <w:i w:val="0"/>
          <w:iCs w:val="0"/>
          <w:color w:val="auto"/>
          <w:sz w:val="24"/>
          <w:highlight w:val="none"/>
          <w:lang w:val="en-US" w:eastAsia="zh-CN"/>
        </w:rPr>
        <w:t>成</w:t>
      </w:r>
      <w:r>
        <w:rPr>
          <w:rFonts w:hint="eastAsia" w:ascii="宋体" w:hAnsi="宋体"/>
          <w:b/>
          <w:bCs/>
          <w:i w:val="0"/>
          <w:iCs w:val="0"/>
          <w:color w:val="auto"/>
          <w:sz w:val="24"/>
          <w:lang w:val="en-US" w:eastAsia="zh-CN"/>
        </w:rPr>
        <w:t>交</w:t>
      </w:r>
      <w:r>
        <w:rPr>
          <w:rFonts w:hint="eastAsia" w:ascii="宋体" w:hAnsi="宋体"/>
          <w:b/>
          <w:bCs/>
          <w:i w:val="0"/>
          <w:iCs w:val="0"/>
          <w:color w:val="auto"/>
          <w:sz w:val="24"/>
        </w:rPr>
        <w:t>供应商领取</w:t>
      </w:r>
      <w:r>
        <w:rPr>
          <w:rFonts w:hint="eastAsia" w:ascii="宋体" w:hAnsi="宋体"/>
          <w:b/>
          <w:bCs/>
          <w:i w:val="0"/>
          <w:iCs w:val="0"/>
          <w:color w:val="auto"/>
          <w:sz w:val="24"/>
          <w:lang w:eastAsia="zh-CN"/>
        </w:rPr>
        <w:t>成交通知书</w:t>
      </w:r>
      <w:r>
        <w:rPr>
          <w:rFonts w:hint="eastAsia" w:ascii="宋体" w:hAnsi="宋体"/>
          <w:b/>
          <w:bCs/>
          <w:i w:val="0"/>
          <w:iCs w:val="0"/>
          <w:color w:val="auto"/>
          <w:sz w:val="24"/>
        </w:rPr>
        <w:t>时请提供二次报价</w:t>
      </w:r>
      <w:r>
        <w:rPr>
          <w:rFonts w:hint="eastAsia" w:ascii="宋体" w:hAnsi="宋体"/>
          <w:b/>
          <w:bCs/>
          <w:i w:val="0"/>
          <w:iCs w:val="0"/>
          <w:color w:val="auto"/>
          <w:sz w:val="24"/>
          <w:highlight w:val="none"/>
        </w:rPr>
        <w:t>明细。</w:t>
      </w:r>
      <w:r>
        <w:rPr>
          <w:rFonts w:hint="eastAsia" w:ascii="宋体" w:hAnsi="宋体"/>
          <w:color w:val="auto"/>
          <w:sz w:val="24"/>
          <w:highlight w:val="none"/>
        </w:rPr>
        <w:t xml:space="preserve"> </w:t>
      </w:r>
    </w:p>
    <w:p w14:paraId="2C8F357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ascii="宋体" w:hAnsi="宋体"/>
          <w:color w:val="auto"/>
          <w:sz w:val="24"/>
        </w:rPr>
        <w:t>.2</w:t>
      </w:r>
      <w:r>
        <w:rPr>
          <w:rFonts w:hint="eastAsia" w:ascii="宋体" w:hAnsi="宋体"/>
          <w:color w:val="auto"/>
          <w:sz w:val="24"/>
          <w:lang w:eastAsia="zh-CN"/>
        </w:rPr>
        <w:t>成交通知书</w:t>
      </w:r>
      <w:r>
        <w:rPr>
          <w:rFonts w:ascii="宋体" w:hAnsi="宋体"/>
          <w:color w:val="auto"/>
          <w:sz w:val="24"/>
        </w:rPr>
        <w:t>对采购人和成交供应商具有同等法律效力。</w:t>
      </w:r>
      <w:r>
        <w:rPr>
          <w:rFonts w:hint="eastAsia" w:ascii="宋体" w:hAnsi="宋体"/>
          <w:color w:val="auto"/>
          <w:sz w:val="24"/>
          <w:lang w:eastAsia="zh-CN"/>
        </w:rPr>
        <w:t>成交通知书</w:t>
      </w:r>
      <w:r>
        <w:rPr>
          <w:rFonts w:ascii="宋体" w:hAnsi="宋体"/>
          <w:color w:val="auto"/>
          <w:sz w:val="24"/>
        </w:rPr>
        <w:t>发出</w:t>
      </w:r>
      <w:r>
        <w:rPr>
          <w:rFonts w:ascii="宋体" w:hAnsi="宋体"/>
          <w:color w:val="auto"/>
          <w:spacing w:val="-6"/>
          <w:sz w:val="24"/>
        </w:rPr>
        <w:t>之后，采购人改变成交结果，或者成交供应商放弃成交，应当承担相应的法律责任。</w:t>
      </w:r>
    </w:p>
    <w:p w14:paraId="5011996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ascii="宋体" w:hAnsi="宋体"/>
          <w:color w:val="auto"/>
          <w:sz w:val="24"/>
        </w:rPr>
        <w:t xml:space="preserve">.3 </w:t>
      </w:r>
      <w:r>
        <w:rPr>
          <w:rFonts w:hint="eastAsia" w:ascii="宋体" w:hAnsi="宋体"/>
          <w:color w:val="auto"/>
          <w:sz w:val="24"/>
          <w:lang w:eastAsia="zh-CN"/>
        </w:rPr>
        <w:t>成交通知书</w:t>
      </w:r>
      <w:r>
        <w:rPr>
          <w:rFonts w:ascii="宋体" w:hAnsi="宋体"/>
          <w:color w:val="auto"/>
          <w:sz w:val="24"/>
        </w:rPr>
        <w:t>发出后</w:t>
      </w:r>
      <w:r>
        <w:rPr>
          <w:rFonts w:hint="eastAsia" w:ascii="宋体" w:hAnsi="宋体"/>
          <w:color w:val="auto"/>
          <w:sz w:val="24"/>
        </w:rPr>
        <w:t>5</w:t>
      </w:r>
      <w:r>
        <w:rPr>
          <w:rFonts w:ascii="宋体" w:hAnsi="宋体"/>
          <w:color w:val="auto"/>
          <w:sz w:val="24"/>
        </w:rPr>
        <w:t>个工作日内，</w:t>
      </w:r>
      <w:r>
        <w:rPr>
          <w:rFonts w:hint="eastAsia" w:ascii="宋体" w:hAnsi="宋体"/>
          <w:color w:val="auto"/>
          <w:sz w:val="24"/>
          <w:lang w:val="en-US" w:eastAsia="zh-CN"/>
        </w:rPr>
        <w:t>代理公司</w:t>
      </w:r>
      <w:r>
        <w:rPr>
          <w:rFonts w:ascii="宋体" w:hAnsi="宋体"/>
          <w:color w:val="auto"/>
          <w:sz w:val="24"/>
        </w:rPr>
        <w:t>将通知未成交的供应商，</w:t>
      </w:r>
      <w:r>
        <w:rPr>
          <w:rFonts w:hint="eastAsia" w:ascii="宋体" w:hAnsi="宋体"/>
          <w:color w:val="auto"/>
          <w:sz w:val="24"/>
        </w:rPr>
        <w:t>并</w:t>
      </w:r>
      <w:r>
        <w:rPr>
          <w:rFonts w:ascii="宋体" w:hAnsi="宋体"/>
          <w:color w:val="auto"/>
          <w:sz w:val="24"/>
        </w:rPr>
        <w:t>退还</w:t>
      </w:r>
      <w:r>
        <w:rPr>
          <w:rFonts w:hint="eastAsia" w:ascii="宋体" w:hAnsi="宋体"/>
          <w:color w:val="auto"/>
          <w:sz w:val="24"/>
        </w:rPr>
        <w:t>其</w:t>
      </w:r>
      <w:r>
        <w:rPr>
          <w:rFonts w:hint="eastAsia" w:ascii="宋体" w:hAnsi="宋体"/>
          <w:color w:val="auto"/>
          <w:sz w:val="24"/>
          <w:lang w:eastAsia="zh-CN"/>
        </w:rPr>
        <w:t>磋商保证金</w:t>
      </w:r>
      <w:r>
        <w:rPr>
          <w:rFonts w:hint="eastAsia" w:ascii="宋体" w:hAnsi="宋体"/>
          <w:color w:val="auto"/>
          <w:sz w:val="24"/>
          <w:highlight w:val="none"/>
        </w:rPr>
        <w:t>；</w:t>
      </w:r>
      <w:r>
        <w:rPr>
          <w:rFonts w:hint="eastAsia" w:ascii="宋体" w:hAnsi="宋体"/>
          <w:color w:val="auto"/>
          <w:sz w:val="24"/>
          <w:highlight w:val="none"/>
          <w:lang w:val="en-US" w:eastAsia="zh-CN"/>
        </w:rPr>
        <w:t>采购合同</w:t>
      </w:r>
      <w:r>
        <w:rPr>
          <w:rFonts w:hint="eastAsia" w:ascii="宋体" w:hAnsi="宋体"/>
          <w:color w:val="auto"/>
          <w:sz w:val="24"/>
          <w:highlight w:val="none"/>
        </w:rPr>
        <w:t>签订</w:t>
      </w:r>
      <w:r>
        <w:rPr>
          <w:rFonts w:hint="eastAsia" w:ascii="宋体" w:hAnsi="宋体"/>
          <w:color w:val="auto"/>
          <w:sz w:val="24"/>
        </w:rPr>
        <w:t>后5个工作日内退还</w:t>
      </w:r>
      <w:r>
        <w:rPr>
          <w:rFonts w:hint="eastAsia" w:ascii="宋体" w:hAnsi="宋体"/>
          <w:color w:val="auto"/>
          <w:sz w:val="24"/>
          <w:lang w:eastAsia="zh-CN"/>
        </w:rPr>
        <w:t>成交</w:t>
      </w:r>
      <w:r>
        <w:rPr>
          <w:rFonts w:hint="eastAsia" w:ascii="宋体" w:hAnsi="宋体"/>
          <w:color w:val="auto"/>
          <w:sz w:val="24"/>
        </w:rPr>
        <w:t>供应商的保证金。</w:t>
      </w:r>
    </w:p>
    <w:p w14:paraId="30996BC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color w:val="auto"/>
          <w:sz w:val="24"/>
        </w:rPr>
      </w:pPr>
      <w:r>
        <w:rPr>
          <w:rFonts w:hint="eastAsia" w:ascii="宋体" w:hAnsi="宋体"/>
          <w:b/>
          <w:bCs/>
          <w:color w:val="auto"/>
          <w:sz w:val="24"/>
          <w:lang w:val="en-US" w:eastAsia="zh-CN"/>
        </w:rPr>
        <w:t>29.</w:t>
      </w:r>
      <w:r>
        <w:rPr>
          <w:rFonts w:ascii="宋体" w:hAnsi="宋体"/>
          <w:b/>
          <w:bCs/>
          <w:color w:val="auto"/>
          <w:sz w:val="24"/>
        </w:rPr>
        <w:t>成交合同的签订</w:t>
      </w:r>
    </w:p>
    <w:p w14:paraId="7EB1723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color w:val="auto"/>
          <w:sz w:val="24"/>
          <w:lang w:eastAsia="zh-CN"/>
        </w:rPr>
      </w:pPr>
      <w:r>
        <w:rPr>
          <w:rFonts w:ascii="宋体" w:hAnsi="宋体"/>
          <w:color w:val="auto"/>
          <w:sz w:val="24"/>
        </w:rPr>
        <w:t>采购人应当自</w:t>
      </w:r>
      <w:r>
        <w:rPr>
          <w:rFonts w:hint="eastAsia" w:ascii="宋体" w:hAnsi="宋体"/>
          <w:color w:val="auto"/>
          <w:sz w:val="24"/>
          <w:lang w:eastAsia="zh-CN"/>
        </w:rPr>
        <w:t>成交通知书</w:t>
      </w:r>
      <w:r>
        <w:rPr>
          <w:rFonts w:ascii="宋体" w:hAnsi="宋体"/>
          <w:color w:val="auto"/>
          <w:sz w:val="24"/>
        </w:rPr>
        <w:t>发出之日起</w:t>
      </w:r>
      <w:r>
        <w:rPr>
          <w:rFonts w:hint="eastAsia" w:ascii="宋体" w:hAnsi="宋体"/>
          <w:color w:val="auto"/>
          <w:sz w:val="24"/>
          <w:lang w:val="en-US" w:eastAsia="zh-CN"/>
        </w:rPr>
        <w:t>二十五</w:t>
      </w:r>
      <w:r>
        <w:rPr>
          <w:rFonts w:ascii="宋体" w:hAnsi="宋体"/>
          <w:color w:val="auto"/>
          <w:sz w:val="24"/>
        </w:rPr>
        <w:t>日内，按照磋商文件和成交供应商</w:t>
      </w:r>
      <w:r>
        <w:rPr>
          <w:rFonts w:hint="eastAsia" w:ascii="宋体" w:hAnsi="宋体"/>
          <w:color w:val="auto"/>
          <w:sz w:val="24"/>
        </w:rPr>
        <w:t>的</w:t>
      </w:r>
      <w:r>
        <w:rPr>
          <w:rFonts w:ascii="宋体" w:hAnsi="宋体"/>
          <w:color w:val="auto"/>
          <w:sz w:val="24"/>
        </w:rPr>
        <w:t>响应文件（包括</w:t>
      </w:r>
      <w:r>
        <w:rPr>
          <w:rFonts w:hint="eastAsia" w:ascii="宋体" w:hAnsi="宋体"/>
          <w:color w:val="auto"/>
          <w:sz w:val="24"/>
        </w:rPr>
        <w:t>磋商</w:t>
      </w:r>
      <w:r>
        <w:rPr>
          <w:rFonts w:ascii="宋体" w:hAnsi="宋体"/>
          <w:color w:val="auto"/>
          <w:sz w:val="24"/>
        </w:rPr>
        <w:t>评审中形成的</w:t>
      </w:r>
      <w:r>
        <w:rPr>
          <w:rFonts w:hint="eastAsia" w:ascii="宋体" w:hAnsi="宋体"/>
          <w:color w:val="auto"/>
          <w:sz w:val="24"/>
        </w:rPr>
        <w:t>最后报价等补充</w:t>
      </w:r>
      <w:r>
        <w:rPr>
          <w:rFonts w:ascii="宋体" w:hAnsi="宋体"/>
          <w:color w:val="auto"/>
          <w:sz w:val="24"/>
        </w:rPr>
        <w:t>文件），与成交供应商签订书面合同。</w:t>
      </w:r>
      <w:r>
        <w:rPr>
          <w:rFonts w:hint="eastAsia" w:ascii="宋体" w:hAnsi="宋体"/>
          <w:color w:val="auto"/>
          <w:sz w:val="24"/>
        </w:rPr>
        <w:t>成交供应商无正当理由不得拖延或拒绝与采购人签订书面合同，否则，采购人有权取消该供应商资格、不退还</w:t>
      </w:r>
      <w:r>
        <w:rPr>
          <w:rFonts w:hint="eastAsia" w:ascii="宋体" w:hAnsi="宋体"/>
          <w:color w:val="auto"/>
          <w:sz w:val="24"/>
          <w:lang w:eastAsia="zh-CN"/>
        </w:rPr>
        <w:t>磋商保证金</w:t>
      </w:r>
      <w:r>
        <w:rPr>
          <w:rFonts w:hint="eastAsia" w:ascii="宋体" w:hAnsi="宋体"/>
          <w:color w:val="auto"/>
          <w:sz w:val="24"/>
        </w:rPr>
        <w:t>，因此给采购人造成损失的，成交供应商还应赔偿其全部损失</w:t>
      </w:r>
      <w:r>
        <w:rPr>
          <w:rFonts w:hint="eastAsia" w:ascii="宋体" w:hAnsi="宋体"/>
          <w:color w:val="auto"/>
          <w:sz w:val="24"/>
          <w:lang w:eastAsia="zh-CN"/>
        </w:rPr>
        <w:t>。</w:t>
      </w:r>
    </w:p>
    <w:p w14:paraId="470405FC">
      <w:pPr>
        <w:keepNext w:val="0"/>
        <w:keepLines w:val="0"/>
        <w:pageBreakBefore w:val="0"/>
        <w:widowControl w:val="0"/>
        <w:numPr>
          <w:ilvl w:val="0"/>
          <w:numId w:val="2"/>
        </w:numPr>
        <w:kinsoku/>
        <w:wordWrap/>
        <w:overflowPunct/>
        <w:topLinePunct w:val="0"/>
        <w:autoSpaceDE/>
        <w:autoSpaceDN/>
        <w:bidi w:val="0"/>
        <w:adjustRightInd/>
        <w:spacing w:line="360" w:lineRule="auto"/>
        <w:ind w:firstLine="482" w:firstLineChars="200"/>
        <w:textAlignment w:val="auto"/>
        <w:outlineLvl w:val="9"/>
        <w:rPr>
          <w:rFonts w:ascii="宋体" w:hAnsi="宋体"/>
          <w:b/>
          <w:bCs/>
          <w:color w:val="auto"/>
          <w:sz w:val="24"/>
          <w:highlight w:val="none"/>
        </w:rPr>
      </w:pPr>
      <w:r>
        <w:rPr>
          <w:rFonts w:hint="eastAsia" w:ascii="宋体" w:hAnsi="宋体"/>
          <w:b/>
          <w:bCs/>
          <w:sz w:val="24"/>
          <w:highlight w:val="none"/>
          <w:lang w:val="en-US" w:eastAsia="zh-CN"/>
        </w:rPr>
        <w:t>招标代理服务费及造价咨询服务费</w:t>
      </w:r>
    </w:p>
    <w:p w14:paraId="5CBABEF3">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sz w:val="24"/>
          <w:highlight w:val="none"/>
          <w:lang w:val="en-US" w:eastAsia="zh-CN"/>
        </w:rPr>
        <w:t>招标代理服务费参照国家计委印发《招标代理服务收费管理暂行办法》的通知（计价格[2002]1980号）计算收取，按照《国家发展改革委办公厅关于招标代理服务收费有关问题的通知》（发改办价格[2003]857号）规定，由成交供应商支付。造价咨询服务费按（陕价行发[2014]88号文件）计算收取，由成交供应商支付。该费用由供应商综合考虑，投标报价时不对此费用单独列项。若本次招标失败（非代理机构原因），招标代理服务费和造价咨询服务费由采购人支付。具体金额详见中标（成交）结果公告，在领取中标（成交）通知书时向采购代理机构一次付清（现金或转账）</w:t>
      </w:r>
      <w:r>
        <w:rPr>
          <w:rFonts w:hint="eastAsia" w:ascii="宋体" w:hAnsi="宋体" w:eastAsia="宋体" w:cs="Times New Roman"/>
          <w:color w:val="auto"/>
          <w:sz w:val="24"/>
          <w:highlight w:val="none"/>
          <w:lang w:val="en-US" w:eastAsia="zh-CN"/>
        </w:rPr>
        <w:t>。</w:t>
      </w:r>
    </w:p>
    <w:p w14:paraId="2C88C9A5">
      <w:pPr>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outlineLvl w:val="9"/>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31.采购合同的履约验收</w:t>
      </w:r>
    </w:p>
    <w:p w14:paraId="04A0162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采购人按照政府采购合同规定组织对</w:t>
      </w:r>
      <w:r>
        <w:rPr>
          <w:rFonts w:hint="eastAsia" w:ascii="宋体" w:hAnsi="宋体" w:cs="Times New Roman"/>
          <w:color w:val="auto"/>
          <w:sz w:val="24"/>
          <w:highlight w:val="none"/>
          <w:lang w:val="en-US" w:eastAsia="zh-CN"/>
        </w:rPr>
        <w:t>供应商</w:t>
      </w:r>
      <w:r>
        <w:rPr>
          <w:rFonts w:hint="eastAsia" w:ascii="宋体" w:hAnsi="宋体" w:eastAsia="宋体" w:cs="Times New Roman"/>
          <w:color w:val="auto"/>
          <w:sz w:val="24"/>
          <w:highlight w:val="none"/>
          <w:lang w:val="en-US" w:eastAsia="zh-CN"/>
        </w:rPr>
        <w:t>履约情况进行验收。</w:t>
      </w:r>
    </w:p>
    <w:p w14:paraId="71F6911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color w:val="auto"/>
          <w:sz w:val="24"/>
          <w:highlight w:val="none"/>
        </w:rPr>
      </w:pPr>
      <w:r>
        <w:rPr>
          <w:rFonts w:hint="eastAsia" w:ascii="宋体" w:hAnsi="宋体"/>
          <w:b/>
          <w:bCs/>
          <w:color w:val="auto"/>
          <w:sz w:val="24"/>
          <w:highlight w:val="none"/>
          <w:lang w:val="en-US" w:eastAsia="zh-CN"/>
        </w:rPr>
        <w:t>32</w:t>
      </w:r>
      <w:r>
        <w:rPr>
          <w:rFonts w:ascii="宋体" w:hAnsi="宋体"/>
          <w:b/>
          <w:bCs/>
          <w:color w:val="auto"/>
          <w:sz w:val="24"/>
          <w:highlight w:val="none"/>
        </w:rPr>
        <w:t>.其他</w:t>
      </w:r>
    </w:p>
    <w:p w14:paraId="38026EF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bookmarkStart w:id="40" w:name="_Toc23054"/>
      <w:bookmarkStart w:id="41" w:name="_Toc20178"/>
      <w:r>
        <w:rPr>
          <w:rFonts w:hint="eastAsia" w:ascii="宋体" w:hAnsi="宋体"/>
          <w:color w:val="auto"/>
          <w:sz w:val="24"/>
          <w:highlight w:val="none"/>
        </w:rPr>
        <w:t>3</w:t>
      </w:r>
      <w:r>
        <w:rPr>
          <w:rFonts w:hint="eastAsia" w:ascii="宋体" w:hAnsi="宋体"/>
          <w:color w:val="auto"/>
          <w:sz w:val="24"/>
          <w:highlight w:val="none"/>
          <w:lang w:val="en-US" w:eastAsia="zh-CN"/>
        </w:rPr>
        <w:t>2</w:t>
      </w:r>
      <w:r>
        <w:rPr>
          <w:rFonts w:hint="eastAsia" w:ascii="宋体" w:hAnsi="宋体"/>
          <w:color w:val="auto"/>
          <w:sz w:val="24"/>
          <w:highlight w:val="none"/>
        </w:rPr>
        <w:t>.1磋商开始后，出现下列情形之一的，采购代理机构将终止竞争性磋商采</w:t>
      </w:r>
      <w:r>
        <w:rPr>
          <w:rFonts w:hint="eastAsia" w:ascii="宋体" w:hAnsi="宋体" w:eastAsia="宋体" w:cs="宋体"/>
          <w:color w:val="auto"/>
          <w:kern w:val="0"/>
          <w:sz w:val="24"/>
          <w:szCs w:val="24"/>
          <w:highlight w:val="none"/>
          <w:lang w:val="en-US" w:eastAsia="zh-CN"/>
        </w:rPr>
        <w:t>购活动，发布项目终止公告并说明原因，重新开展采购活动：</w:t>
      </w:r>
    </w:p>
    <w:p w14:paraId="16A71EF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（一）因情况变化，不再符合规定的竞争性磋商采购方式适用情形的；</w:t>
      </w:r>
    </w:p>
    <w:p w14:paraId="77267CE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（二）出现影响采购公正的违法、违规行为的；</w:t>
      </w:r>
    </w:p>
    <w:p w14:paraId="54F25A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（三）截止报名时间，</w:t>
      </w:r>
      <w:r>
        <w:rPr>
          <w:rFonts w:hint="eastAsia" w:ascii="宋体" w:hAnsi="宋体" w:cs="宋体"/>
          <w:color w:val="auto"/>
          <w:kern w:val="0"/>
          <w:sz w:val="24"/>
          <w:szCs w:val="24"/>
          <w:highlight w:val="none"/>
          <w:lang w:val="en-US" w:eastAsia="zh-CN"/>
        </w:rPr>
        <w:t>获取</w:t>
      </w:r>
      <w:r>
        <w:rPr>
          <w:rFonts w:hint="eastAsia" w:ascii="宋体" w:hAnsi="宋体" w:eastAsia="宋体" w:cs="宋体"/>
          <w:color w:val="auto"/>
          <w:kern w:val="0"/>
          <w:sz w:val="24"/>
          <w:szCs w:val="24"/>
          <w:highlight w:val="none"/>
          <w:lang w:val="en-US" w:eastAsia="zh-CN"/>
        </w:rPr>
        <w:t>磋商文件的供应商不足3家的；</w:t>
      </w:r>
    </w:p>
    <w:p w14:paraId="1BC10CA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（四）投标截止时间止递交磋商响应文件的供应商不足3家的；</w:t>
      </w:r>
    </w:p>
    <w:p w14:paraId="7873088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（五）在采购过程中符合要求的供应商不足3家的 ；</w:t>
      </w:r>
    </w:p>
    <w:p w14:paraId="63E52C2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（六）报价未超过</w:t>
      </w:r>
      <w:r>
        <w:rPr>
          <w:rFonts w:hint="eastAsia" w:ascii="宋体" w:hAnsi="宋体" w:cs="宋体"/>
          <w:color w:val="auto"/>
          <w:kern w:val="0"/>
          <w:sz w:val="24"/>
          <w:szCs w:val="24"/>
          <w:highlight w:val="none"/>
          <w:lang w:val="en-US" w:eastAsia="zh-CN"/>
        </w:rPr>
        <w:t>最高限价</w:t>
      </w:r>
      <w:r>
        <w:rPr>
          <w:rFonts w:hint="eastAsia" w:ascii="宋体" w:hAnsi="宋体" w:eastAsia="宋体" w:cs="宋体"/>
          <w:color w:val="auto"/>
          <w:kern w:val="0"/>
          <w:sz w:val="24"/>
          <w:szCs w:val="24"/>
          <w:highlight w:val="none"/>
          <w:lang w:val="en-US" w:eastAsia="zh-CN"/>
        </w:rPr>
        <w:t>的供应商不足3家的。</w:t>
      </w:r>
    </w:p>
    <w:p w14:paraId="345A1D1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32.2磋商报价产品符合财库［2019］19号文件精神，进入节能产品政府采购品目清单（有效期内）的，符合财库[2019]18号文件精神，进入环境标志产品政府采购品目清单（有效期内）的，提供证明文件，在评审中享受评标价格优惠折扣(详见评审方法)。磋商响应单位属于（财库[2020]46号）、（财库〔2022〕19号）、（陕财办采〔2023〕3号）文件规定的小微企业的，提供中小企业声明函（见磋商</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lang w:val="en-US" w:eastAsia="zh-CN"/>
        </w:rPr>
        <w:t>文件格式附件），在评审中享受评审价格优惠折扣 (详见评审方法)。磋商响应单位属于（财库[2014]68号）文件规定的监狱企业的，提供由省级以上监狱管理局、戒毒管理局出具的属于监狱企业的证明文件，视同小微企业，在评审中享受评审价格优惠折扣 (详见评审方法)。磋商响应单位属于（财库[2017]141号）文件规定的残疾人福利性单位的，提供残疾人福利性单位声明函（见磋商</w:t>
      </w:r>
      <w:r>
        <w:rPr>
          <w:rFonts w:hint="eastAsia" w:ascii="宋体" w:hAnsi="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lang w:val="en-US" w:eastAsia="zh-CN"/>
        </w:rPr>
        <w:t>文件格式附件），视同小微企业，在评审中享受评审价格优惠折扣 (详见评审方法)。</w:t>
      </w:r>
    </w:p>
    <w:p w14:paraId="22C50B8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32.3政府采购信用担保及信用融资政策</w:t>
      </w:r>
    </w:p>
    <w:p w14:paraId="364404B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为支持和促进中小企业发展，进一步发挥政府采购政策功能作用，根据《财政部关于开展政府采购信用担保试点工作的通知》《陕西省政府采购信用担保试点工作实施方案（试行）》和陕西省财政厅关于印发《陕西省中小企业政府采购信用融资办法》，以及渭南市财政局关于转发《陕西省中小企业政府采购信用融资办法》的通知，为参与渭南市政府采购项目的供应商提供政府采购信用担保和融资服务，并按照程序确定了合作的担保机构和商业银行。</w:t>
      </w:r>
    </w:p>
    <w:p w14:paraId="7445B555">
      <w:pPr>
        <w:keepNext w:val="0"/>
        <w:keepLines w:val="0"/>
        <w:pageBreakBefore w:val="0"/>
        <w:widowControl w:val="0"/>
        <w:kinsoku/>
        <w:wordWrap/>
        <w:overflowPunct/>
        <w:topLinePunct w:val="0"/>
        <w:autoSpaceDE/>
        <w:autoSpaceDN/>
        <w:bidi w:val="0"/>
        <w:adjustRightInd/>
        <w:spacing w:line="360" w:lineRule="auto"/>
        <w:ind w:firstLine="456" w:firstLineChars="200"/>
        <w:textAlignment w:val="auto"/>
        <w:outlineLvl w:val="9"/>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成交供应商缴纳履约保证金（如有）时可自愿选择通过担保机构保函的形式缴纳；成交供应商如果需要融资贷款服务的，可凭成交通知书、政府采购合同等相关资料，按照相关程序申请办理，具体规定可登陆陕西省政府采购网（www.ccgp-shaanxi.gov.cn/）重要通知专栏中查询了解。</w:t>
      </w:r>
    </w:p>
    <w:p w14:paraId="371CD270">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宋体" w:hAnsi="宋体"/>
          <w:b/>
          <w:bCs/>
          <w:color w:val="auto"/>
          <w:sz w:val="24"/>
          <w:highlight w:val="none"/>
        </w:rPr>
      </w:pPr>
      <w:r>
        <w:rPr>
          <w:rFonts w:hint="eastAsia" w:ascii="宋体" w:hAnsi="宋体"/>
          <w:b/>
          <w:bCs/>
          <w:color w:val="auto"/>
          <w:sz w:val="24"/>
          <w:highlight w:val="none"/>
        </w:rPr>
        <w:t>3</w:t>
      </w:r>
      <w:r>
        <w:rPr>
          <w:rFonts w:hint="eastAsia" w:ascii="宋体" w:hAnsi="宋体"/>
          <w:b/>
          <w:bCs/>
          <w:color w:val="auto"/>
          <w:sz w:val="24"/>
          <w:highlight w:val="none"/>
          <w:lang w:val="en-US" w:eastAsia="zh-CN"/>
        </w:rPr>
        <w:t>3</w:t>
      </w:r>
      <w:r>
        <w:rPr>
          <w:rFonts w:ascii="宋体" w:hAnsi="宋体"/>
          <w:b/>
          <w:bCs/>
          <w:color w:val="auto"/>
          <w:sz w:val="24"/>
          <w:highlight w:val="none"/>
        </w:rPr>
        <w:t>.</w:t>
      </w:r>
      <w:r>
        <w:rPr>
          <w:rFonts w:hint="eastAsia" w:ascii="宋体" w:hAnsi="宋体"/>
          <w:b/>
          <w:bCs/>
          <w:color w:val="auto"/>
          <w:sz w:val="24"/>
          <w:highlight w:val="none"/>
        </w:rPr>
        <w:t>质疑和投诉</w:t>
      </w:r>
    </w:p>
    <w:p w14:paraId="05DAEE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42" w:name="_Toc18843"/>
      <w:bookmarkStart w:id="43" w:name="_Toc16205"/>
      <w:r>
        <w:rPr>
          <w:rFonts w:hint="eastAsia" w:ascii="宋体" w:hAnsi="宋体" w:cs="宋体"/>
          <w:color w:val="auto"/>
          <w:sz w:val="24"/>
          <w:szCs w:val="24"/>
          <w:highlight w:val="none"/>
        </w:rPr>
        <w:t>质疑、投诉的接收和处理严格</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《中华人民共和国政府采购法》《政府采购供应商投诉处理办法》《政府采购质疑和投诉办法》《财政部关于加强政府采购供应商投诉受理审查工作的通知》《陕西省财政厅关于进一步规范政府采购活动的通知》</w:t>
      </w:r>
      <w:r>
        <w:rPr>
          <w:rFonts w:hint="eastAsia" w:ascii="宋体" w:hAnsi="宋体" w:eastAsia="宋体" w:cs="宋体"/>
          <w:color w:val="auto"/>
          <w:sz w:val="24"/>
          <w:szCs w:val="24"/>
          <w:highlight w:val="none"/>
        </w:rPr>
        <w:t xml:space="preserve">等的相关规定办理。 </w:t>
      </w:r>
    </w:p>
    <w:p w14:paraId="5BDDC4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lang w:val="en-US" w:eastAsia="zh-CN"/>
        </w:rPr>
        <w:t>33.1</w:t>
      </w:r>
      <w:r>
        <w:rPr>
          <w:rFonts w:hint="eastAsia" w:ascii="宋体" w:hAnsi="宋体" w:cs="宋体"/>
          <w:color w:val="auto"/>
          <w:sz w:val="24"/>
          <w:szCs w:val="24"/>
        </w:rPr>
        <w:t>供应商认为</w:t>
      </w:r>
      <w:r>
        <w:rPr>
          <w:rFonts w:hint="eastAsia" w:ascii="宋体" w:hAnsi="宋体" w:cs="宋体"/>
          <w:color w:val="auto"/>
          <w:sz w:val="24"/>
          <w:szCs w:val="24"/>
          <w:lang w:val="en-US" w:eastAsia="zh-CN"/>
        </w:rPr>
        <w:t>竞争性磋商文件</w:t>
      </w:r>
      <w:r>
        <w:rPr>
          <w:rFonts w:hint="eastAsia" w:ascii="宋体" w:hAnsi="宋体" w:cs="宋体"/>
          <w:color w:val="auto"/>
          <w:sz w:val="24"/>
          <w:szCs w:val="24"/>
        </w:rPr>
        <w:t>、采购过程和</w:t>
      </w:r>
      <w:r>
        <w:rPr>
          <w:rFonts w:hint="eastAsia" w:ascii="宋体" w:hAnsi="宋体" w:cs="宋体"/>
          <w:color w:val="auto"/>
          <w:sz w:val="24"/>
          <w:szCs w:val="24"/>
          <w:lang w:val="en-US" w:eastAsia="zh-CN"/>
        </w:rPr>
        <w:t>成交</w:t>
      </w:r>
      <w:r>
        <w:rPr>
          <w:rFonts w:hint="eastAsia" w:ascii="宋体" w:hAnsi="宋体" w:cs="宋体"/>
          <w:color w:val="auto"/>
          <w:sz w:val="24"/>
          <w:szCs w:val="24"/>
        </w:rPr>
        <w:t>结果使自己的权益受到损害的，可以在知道或者应知其权益受到损害之日起七个工作日内，以书面原件形式向采购人或采购代理机构提出质疑，供应商应该在法定质疑期内一次性提出针对同一采购程序环节的质疑，逾期质疑无效。</w:t>
      </w:r>
    </w:p>
    <w:p w14:paraId="33894E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33.2</w:t>
      </w:r>
      <w:r>
        <w:rPr>
          <w:rFonts w:hint="eastAsia" w:ascii="宋体" w:hAnsi="宋体" w:cs="宋体"/>
          <w:color w:val="auto"/>
          <w:sz w:val="24"/>
          <w:szCs w:val="24"/>
          <w:highlight w:val="none"/>
        </w:rPr>
        <w:t>质疑文件应当包括下列主要内容：</w:t>
      </w:r>
    </w:p>
    <w:p w14:paraId="7D5F14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rPr>
        <w:t>1）质疑供应商</w:t>
      </w:r>
      <w:r>
        <w:rPr>
          <w:rFonts w:hint="eastAsia" w:ascii="宋体" w:hAnsi="宋体" w:cs="宋体"/>
          <w:color w:val="auto"/>
          <w:sz w:val="24"/>
          <w:szCs w:val="24"/>
          <w:lang w:eastAsia="zh-CN"/>
        </w:rPr>
        <w:t>的姓名或者</w:t>
      </w:r>
      <w:r>
        <w:rPr>
          <w:rFonts w:hint="eastAsia" w:ascii="宋体" w:hAnsi="宋体" w:cs="宋体"/>
          <w:color w:val="auto"/>
          <w:sz w:val="24"/>
          <w:szCs w:val="24"/>
        </w:rPr>
        <w:t>名称、地址、</w:t>
      </w:r>
      <w:r>
        <w:rPr>
          <w:rFonts w:hint="eastAsia" w:ascii="宋体" w:hAnsi="宋体" w:cs="宋体"/>
          <w:color w:val="auto"/>
          <w:sz w:val="24"/>
          <w:szCs w:val="24"/>
          <w:lang w:eastAsia="zh-CN"/>
        </w:rPr>
        <w:t>邮编、</w:t>
      </w:r>
      <w:r>
        <w:rPr>
          <w:rFonts w:hint="eastAsia" w:ascii="宋体" w:hAnsi="宋体" w:cs="宋体"/>
          <w:color w:val="auto"/>
          <w:sz w:val="24"/>
          <w:szCs w:val="24"/>
        </w:rPr>
        <w:t>联系人及联系电话；</w:t>
      </w:r>
    </w:p>
    <w:p w14:paraId="210194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2）质疑项目</w:t>
      </w:r>
      <w:r>
        <w:rPr>
          <w:rFonts w:hint="eastAsia" w:ascii="宋体" w:hAnsi="宋体" w:cs="宋体"/>
          <w:color w:val="auto"/>
          <w:sz w:val="24"/>
          <w:szCs w:val="24"/>
          <w:lang w:eastAsia="zh-CN"/>
        </w:rPr>
        <w:t>的名称、编号；</w:t>
      </w:r>
    </w:p>
    <w:p w14:paraId="75E6E2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lang w:val="en-US" w:eastAsia="zh-CN"/>
        </w:rPr>
        <w:t>3）具体、明确的质疑事项和与质疑事项相关的请求</w:t>
      </w:r>
      <w:r>
        <w:rPr>
          <w:rFonts w:hint="eastAsia" w:ascii="宋体" w:hAnsi="宋体" w:cs="宋体"/>
          <w:color w:val="auto"/>
          <w:sz w:val="24"/>
          <w:szCs w:val="24"/>
        </w:rPr>
        <w:t>；</w:t>
      </w:r>
    </w:p>
    <w:p w14:paraId="60B5F7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eastAsia="zh-CN"/>
        </w:rPr>
        <w:t>事实依据；</w:t>
      </w:r>
    </w:p>
    <w:p w14:paraId="3C3C5F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5）必要的法律依据；</w:t>
      </w:r>
    </w:p>
    <w:p w14:paraId="7A10A3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6）提出质疑的日期。</w:t>
      </w:r>
    </w:p>
    <w:p w14:paraId="2289D5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bCs/>
          <w:color w:val="auto"/>
          <w:sz w:val="24"/>
          <w:szCs w:val="24"/>
          <w:lang w:eastAsia="zh-CN"/>
        </w:rPr>
      </w:pPr>
      <w:r>
        <w:rPr>
          <w:rFonts w:hint="eastAsia" w:ascii="宋体" w:hAnsi="宋体" w:cs="宋体"/>
          <w:bCs/>
          <w:color w:val="auto"/>
          <w:sz w:val="24"/>
          <w:szCs w:val="24"/>
          <w:lang w:val="en-US" w:eastAsia="zh-CN"/>
        </w:rPr>
        <w:t>33.</w:t>
      </w:r>
      <w:r>
        <w:rPr>
          <w:rFonts w:hint="eastAsia" w:ascii="宋体" w:hAnsi="宋体" w:cs="宋体"/>
          <w:bCs/>
          <w:color w:val="auto"/>
          <w:sz w:val="24"/>
          <w:szCs w:val="24"/>
        </w:rPr>
        <w:t>3质疑函应当署名。质疑供应商为自然人的，应当由本人签字；</w:t>
      </w:r>
      <w:r>
        <w:rPr>
          <w:rFonts w:hint="eastAsia" w:ascii="宋体" w:hAnsi="宋体" w:cs="宋体"/>
          <w:bCs/>
          <w:color w:val="auto"/>
          <w:sz w:val="24"/>
          <w:szCs w:val="24"/>
          <w:lang w:eastAsia="zh-CN"/>
        </w:rPr>
        <w:t>供应商为法人或者其他组织的，应当由法定代表人、主要负责人，或者其</w:t>
      </w:r>
      <w:r>
        <w:rPr>
          <w:rFonts w:hint="eastAsia" w:ascii="宋体" w:hAnsi="宋体"/>
          <w:color w:val="auto"/>
          <w:sz w:val="24"/>
          <w:highlight w:val="none"/>
          <w:lang w:val="en-US" w:eastAsia="zh-CN"/>
        </w:rPr>
        <w:t>被</w:t>
      </w:r>
      <w:r>
        <w:rPr>
          <w:rFonts w:ascii="宋体" w:hAnsi="宋体"/>
          <w:color w:val="auto"/>
          <w:sz w:val="24"/>
          <w:highlight w:val="none"/>
        </w:rPr>
        <w:t>授权</w:t>
      </w:r>
      <w:r>
        <w:rPr>
          <w:rFonts w:hint="eastAsia" w:ascii="宋体" w:hAnsi="宋体"/>
          <w:color w:val="auto"/>
          <w:sz w:val="24"/>
          <w:highlight w:val="none"/>
          <w:lang w:val="en-US" w:eastAsia="zh-CN"/>
        </w:rPr>
        <w:t>人</w:t>
      </w:r>
      <w:r>
        <w:rPr>
          <w:rFonts w:hint="eastAsia" w:ascii="宋体" w:hAnsi="宋体" w:cs="宋体"/>
          <w:bCs/>
          <w:color w:val="auto"/>
          <w:sz w:val="24"/>
          <w:szCs w:val="24"/>
          <w:lang w:eastAsia="zh-CN"/>
        </w:rPr>
        <w:t>签字或者盖章，并加盖公章。</w:t>
      </w:r>
    </w:p>
    <w:p w14:paraId="5DFCD3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rPr>
      </w:pPr>
      <w:r>
        <w:rPr>
          <w:rFonts w:hint="eastAsia" w:ascii="宋体" w:hAnsi="宋体" w:cs="宋体"/>
          <w:bCs/>
          <w:color w:val="auto"/>
          <w:sz w:val="24"/>
          <w:szCs w:val="24"/>
          <w:lang w:val="en-US" w:eastAsia="zh-CN"/>
        </w:rPr>
        <w:t>33.4</w:t>
      </w:r>
      <w:r>
        <w:rPr>
          <w:rFonts w:hint="eastAsia" w:ascii="宋体" w:hAnsi="宋体" w:cs="宋体"/>
          <w:bCs/>
          <w:color w:val="auto"/>
          <w:sz w:val="24"/>
          <w:szCs w:val="24"/>
        </w:rPr>
        <w:t>供应商质疑应当有明确的请求和必要的证明材料。</w:t>
      </w:r>
      <w:r>
        <w:rPr>
          <w:rFonts w:hint="eastAsia" w:ascii="宋体" w:hAnsi="宋体" w:cs="宋体"/>
          <w:color w:val="auto"/>
          <w:sz w:val="24"/>
          <w:szCs w:val="24"/>
        </w:rPr>
        <w:t>质疑内容不得含有虚假、恶意成份。依照谁主张谁举证的原则，提出质疑者必须同时提交相关确凿的证据材料和注明证据的确切来源，证据来源必须合法，采购代理机构有权将质疑函</w:t>
      </w:r>
      <w:r>
        <w:rPr>
          <w:rFonts w:hint="eastAsia" w:ascii="宋体" w:hAnsi="宋体" w:cs="宋体"/>
          <w:color w:val="auto"/>
          <w:sz w:val="24"/>
          <w:szCs w:val="24"/>
          <w:lang w:eastAsia="zh-CN"/>
        </w:rPr>
        <w:t>、</w:t>
      </w:r>
      <w:r>
        <w:rPr>
          <w:rFonts w:hint="eastAsia" w:ascii="宋体" w:hAnsi="宋体" w:cs="宋体"/>
          <w:color w:val="auto"/>
          <w:sz w:val="24"/>
          <w:szCs w:val="24"/>
        </w:rPr>
        <w:t>质疑事项转发各关联方，请其作出解释说明。对捏造事实、滥用维权扰乱采购秩序的恶意质疑者，将依法处理。</w:t>
      </w:r>
    </w:p>
    <w:p w14:paraId="3FF434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rPr>
      </w:pPr>
      <w:r>
        <w:rPr>
          <w:rFonts w:hint="eastAsia" w:ascii="宋体" w:hAnsi="宋体" w:cs="宋体"/>
          <w:bCs/>
          <w:color w:val="auto"/>
          <w:sz w:val="24"/>
          <w:szCs w:val="24"/>
          <w:lang w:val="en-US" w:eastAsia="zh-CN"/>
        </w:rPr>
        <w:t>33.5</w:t>
      </w:r>
      <w:r>
        <w:rPr>
          <w:rFonts w:hint="eastAsia" w:ascii="宋体" w:hAnsi="宋体" w:cs="宋体"/>
          <w:bCs/>
          <w:color w:val="auto"/>
          <w:sz w:val="24"/>
          <w:szCs w:val="24"/>
        </w:rP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14:paraId="5F4DD7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lang w:val="en-US" w:eastAsia="zh-CN"/>
        </w:rPr>
        <w:t>33.6</w:t>
      </w:r>
      <w:r>
        <w:rPr>
          <w:rFonts w:hint="eastAsia" w:ascii="宋体" w:hAnsi="宋体" w:cs="宋体"/>
          <w:color w:val="auto"/>
          <w:sz w:val="24"/>
          <w:szCs w:val="24"/>
        </w:rPr>
        <w:t>质疑供应商对采购人、采购代理机构的质疑答复不满意，或者采购人、采购代理机构未在规定期限内作出答复的，可以在答复期满后15个工作日内向采购人的同级政府采购监督管理部门提起投诉。</w:t>
      </w:r>
    </w:p>
    <w:p w14:paraId="62695D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lang w:val="en-US" w:eastAsia="zh-CN"/>
        </w:rPr>
        <w:t>33.7</w:t>
      </w:r>
      <w:r>
        <w:rPr>
          <w:rFonts w:hint="eastAsia" w:ascii="宋体" w:hAnsi="宋体" w:cs="宋体"/>
          <w:color w:val="auto"/>
          <w:sz w:val="24"/>
          <w:szCs w:val="24"/>
        </w:rPr>
        <w:t>质疑受理部门：</w:t>
      </w:r>
      <w:r>
        <w:rPr>
          <w:rFonts w:hint="eastAsia" w:ascii="宋体" w:hAnsi="宋体" w:cs="宋体"/>
          <w:color w:val="auto"/>
          <w:sz w:val="24"/>
          <w:szCs w:val="24"/>
          <w:lang w:val="en-US" w:eastAsia="zh-CN"/>
        </w:rPr>
        <w:t>采购代理机构</w:t>
      </w:r>
      <w:r>
        <w:rPr>
          <w:rFonts w:hint="eastAsia" w:ascii="宋体" w:hAnsi="宋体" w:cs="宋体"/>
          <w:color w:val="auto"/>
          <w:sz w:val="24"/>
          <w:szCs w:val="24"/>
        </w:rPr>
        <w:t>。</w:t>
      </w:r>
    </w:p>
    <w:p w14:paraId="1E4F50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lang w:val="en-US" w:eastAsia="zh-CN"/>
        </w:rPr>
        <w:t>33.8</w:t>
      </w:r>
      <w:r>
        <w:rPr>
          <w:rFonts w:hint="eastAsia" w:ascii="宋体" w:hAnsi="宋体" w:cs="宋体"/>
          <w:color w:val="auto"/>
          <w:sz w:val="24"/>
          <w:szCs w:val="24"/>
        </w:rPr>
        <w:t>提交质疑文</w:t>
      </w:r>
      <w:r>
        <w:rPr>
          <w:rFonts w:hint="eastAsia" w:ascii="宋体" w:hAnsi="宋体" w:cs="宋体"/>
          <w:color w:val="auto"/>
          <w:sz w:val="24"/>
          <w:szCs w:val="24"/>
          <w:highlight w:val="none"/>
        </w:rPr>
        <w:t>件地点：</w:t>
      </w:r>
      <w:r>
        <w:rPr>
          <w:rFonts w:hint="eastAsia" w:ascii="宋体" w:hAnsi="宋体" w:cs="宋体"/>
          <w:color w:val="auto"/>
          <w:sz w:val="24"/>
          <w:szCs w:val="24"/>
          <w:highlight w:val="none"/>
          <w:lang w:val="en-US" w:eastAsia="zh-CN"/>
        </w:rPr>
        <w:t>同获取磋商文件地点</w:t>
      </w:r>
      <w:r>
        <w:rPr>
          <w:rFonts w:hint="eastAsia" w:ascii="宋体" w:hAnsi="宋体" w:cs="宋体"/>
          <w:color w:val="auto"/>
          <w:sz w:val="24"/>
          <w:szCs w:val="24"/>
          <w:highlight w:val="none"/>
        </w:rPr>
        <w:t>。</w:t>
      </w:r>
    </w:p>
    <w:p w14:paraId="47489340">
      <w:pPr>
        <w:keepNext w:val="0"/>
        <w:keepLines w:val="0"/>
        <w:pageBreakBefore w:val="0"/>
        <w:widowControl w:val="0"/>
        <w:kinsoku/>
        <w:wordWrap/>
        <w:overflowPunct/>
        <w:topLinePunct w:val="0"/>
        <w:autoSpaceDE/>
        <w:autoSpaceDN/>
        <w:bidi w:val="0"/>
        <w:adjustRightInd/>
        <w:snapToGrid/>
        <w:spacing w:line="440" w:lineRule="exact"/>
        <w:ind w:right="-319" w:rightChars="-152" w:firstLine="480" w:firstLineChars="200"/>
        <w:textAlignment w:val="auto"/>
        <w:outlineLvl w:val="9"/>
        <w:rPr>
          <w:rFonts w:ascii="宋体" w:hAnsi="宋体" w:cs="宋体"/>
          <w:color w:val="auto"/>
          <w:sz w:val="24"/>
          <w:szCs w:val="24"/>
        </w:rPr>
      </w:pPr>
      <w:r>
        <w:rPr>
          <w:rFonts w:hint="eastAsia" w:ascii="宋体" w:hAnsi="宋体" w:cs="宋体"/>
          <w:color w:val="auto"/>
          <w:sz w:val="24"/>
          <w:szCs w:val="24"/>
          <w:lang w:val="en-US" w:eastAsia="zh-CN"/>
        </w:rPr>
        <w:t>33.9</w:t>
      </w:r>
      <w:r>
        <w:rPr>
          <w:rFonts w:hint="eastAsia" w:ascii="宋体" w:hAnsi="宋体" w:cs="宋体"/>
          <w:color w:val="auto"/>
          <w:sz w:val="24"/>
          <w:szCs w:val="24"/>
        </w:rPr>
        <w:t>本次采购活动中，采购代理机构对质疑回复等文件的送达方式为现场取件。</w:t>
      </w:r>
    </w:p>
    <w:p w14:paraId="0E1112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szCs w:val="24"/>
          <w:highlight w:val="yellow"/>
        </w:rPr>
      </w:pPr>
      <w:r>
        <w:rPr>
          <w:rFonts w:hint="eastAsia" w:ascii="宋体" w:hAnsi="宋体" w:cs="宋体"/>
          <w:color w:val="auto"/>
          <w:sz w:val="24"/>
          <w:szCs w:val="24"/>
          <w:lang w:val="en-US" w:eastAsia="zh-CN"/>
        </w:rPr>
        <w:t>33.10</w:t>
      </w:r>
      <w:r>
        <w:rPr>
          <w:rFonts w:hint="eastAsia" w:ascii="宋体" w:hAnsi="宋体" w:cs="宋体"/>
          <w:color w:val="auto"/>
          <w:sz w:val="24"/>
          <w:szCs w:val="24"/>
        </w:rPr>
        <w:t>质疑函应当使用中文。</w:t>
      </w:r>
    </w:p>
    <w:p w14:paraId="7ED7F82D">
      <w:pPr>
        <w:jc w:val="center"/>
        <w:outlineLvl w:val="0"/>
        <w:rPr>
          <w:rFonts w:hint="eastAsia" w:ascii="宋体" w:hAnsi="宋体"/>
          <w:b/>
          <w:color w:val="auto"/>
          <w:sz w:val="36"/>
          <w:highlight w:val="none"/>
        </w:rPr>
      </w:pPr>
      <w:bookmarkStart w:id="44" w:name="_Toc33"/>
      <w:r>
        <w:rPr>
          <w:rFonts w:hint="eastAsia" w:ascii="宋体" w:hAnsi="宋体"/>
          <w:b/>
          <w:color w:val="auto"/>
          <w:sz w:val="36"/>
          <w:highlight w:val="none"/>
        </w:rPr>
        <w:t>第</w:t>
      </w:r>
      <w:r>
        <w:rPr>
          <w:rFonts w:hint="eastAsia" w:ascii="宋体" w:hAnsi="宋体"/>
          <w:b/>
          <w:color w:val="auto"/>
          <w:sz w:val="36"/>
          <w:highlight w:val="none"/>
          <w:lang w:val="en-US" w:eastAsia="zh-CN"/>
        </w:rPr>
        <w:t>三</w:t>
      </w:r>
      <w:r>
        <w:rPr>
          <w:rFonts w:hint="eastAsia" w:ascii="宋体" w:hAnsi="宋体"/>
          <w:b/>
          <w:color w:val="auto"/>
          <w:sz w:val="36"/>
          <w:highlight w:val="none"/>
        </w:rPr>
        <w:t xml:space="preserve">部分  </w:t>
      </w:r>
      <w:bookmarkEnd w:id="40"/>
      <w:r>
        <w:rPr>
          <w:rFonts w:hint="eastAsia" w:ascii="宋体" w:hAnsi="宋体"/>
          <w:b/>
          <w:color w:val="auto"/>
          <w:sz w:val="36"/>
          <w:highlight w:val="none"/>
        </w:rPr>
        <w:t>评审方法</w:t>
      </w:r>
      <w:bookmarkEnd w:id="41"/>
      <w:bookmarkEnd w:id="42"/>
      <w:bookmarkEnd w:id="43"/>
      <w:bookmarkEnd w:id="44"/>
    </w:p>
    <w:p w14:paraId="7DD1AB74">
      <w:pPr>
        <w:tabs>
          <w:tab w:val="left" w:pos="360"/>
          <w:tab w:val="left" w:pos="540"/>
          <w:tab w:val="left" w:pos="3600"/>
          <w:tab w:val="left" w:pos="3780"/>
          <w:tab w:val="left" w:pos="8460"/>
          <w:tab w:val="left" w:pos="9180"/>
        </w:tabs>
        <w:spacing w:line="360" w:lineRule="auto"/>
        <w:ind w:right="-21" w:firstLine="422"/>
        <w:outlineLvl w:val="9"/>
        <w:rPr>
          <w:rFonts w:hint="eastAsia" w:ascii="宋体" w:hAnsi="宋体" w:cs="宋体"/>
          <w:b/>
          <w:color w:val="auto"/>
          <w:kern w:val="1"/>
          <w:sz w:val="24"/>
        </w:rPr>
      </w:pPr>
      <w:r>
        <w:rPr>
          <w:rFonts w:hint="eastAsia" w:ascii="宋体" w:hAnsi="宋体" w:cs="宋体"/>
          <w:b/>
          <w:color w:val="auto"/>
          <w:kern w:val="1"/>
          <w:sz w:val="24"/>
        </w:rPr>
        <w:t>一、总  则</w:t>
      </w:r>
    </w:p>
    <w:p w14:paraId="047E2ACE">
      <w:pPr>
        <w:tabs>
          <w:tab w:val="left" w:pos="6510"/>
        </w:tabs>
        <w:spacing w:line="360" w:lineRule="auto"/>
        <w:ind w:left="-61" w:right="-10" w:firstLine="514"/>
        <w:outlineLvl w:val="9"/>
        <w:rPr>
          <w:rFonts w:hint="eastAsia" w:ascii="宋体" w:hAnsi="宋体" w:cs="宋体"/>
          <w:bCs/>
          <w:color w:val="auto"/>
          <w:kern w:val="1"/>
          <w:sz w:val="24"/>
        </w:rPr>
      </w:pPr>
      <w:r>
        <w:rPr>
          <w:rFonts w:hint="eastAsia" w:ascii="宋体" w:hAnsi="宋体" w:cs="宋体"/>
          <w:bCs/>
          <w:color w:val="auto"/>
          <w:kern w:val="1"/>
          <w:sz w:val="24"/>
        </w:rPr>
        <w:t>第一条 为了做好</w:t>
      </w:r>
      <w:r>
        <w:rPr>
          <w:rFonts w:hint="eastAsia" w:ascii="宋体" w:hAnsi="宋体" w:cs="宋体"/>
          <w:bCs/>
          <w:color w:val="auto"/>
          <w:kern w:val="1"/>
          <w:sz w:val="24"/>
          <w:lang w:val="en-US" w:eastAsia="zh-CN"/>
        </w:rPr>
        <w:t>富平县2025年农村饮水工程维修养护项目</w:t>
      </w:r>
      <w:r>
        <w:rPr>
          <w:rFonts w:hint="eastAsia" w:ascii="宋体" w:hAnsi="宋体" w:cs="宋体"/>
          <w:bCs/>
          <w:color w:val="auto"/>
          <w:kern w:val="1"/>
          <w:sz w:val="24"/>
        </w:rPr>
        <w:t>（</w:t>
      </w:r>
      <w:r>
        <w:rPr>
          <w:rFonts w:hint="eastAsia" w:ascii="宋体" w:hAnsi="宋体" w:cs="宋体"/>
          <w:bCs/>
          <w:color w:val="auto"/>
          <w:kern w:val="1"/>
          <w:sz w:val="24"/>
          <w:highlight w:val="none"/>
          <w:lang w:val="en-US" w:eastAsia="zh-CN"/>
        </w:rPr>
        <w:t>项目编号</w:t>
      </w:r>
      <w:r>
        <w:rPr>
          <w:rFonts w:hint="eastAsia" w:ascii="宋体" w:hAnsi="宋体" w:cs="宋体"/>
          <w:bCs/>
          <w:color w:val="auto"/>
          <w:kern w:val="1"/>
          <w:sz w:val="24"/>
        </w:rPr>
        <w:t>：</w:t>
      </w:r>
      <w:r>
        <w:rPr>
          <w:rFonts w:hint="eastAsia" w:ascii="宋体" w:hAnsi="宋体" w:cs="宋体"/>
          <w:bCs/>
          <w:color w:val="auto"/>
          <w:kern w:val="1"/>
          <w:sz w:val="24"/>
          <w:highlight w:val="none"/>
          <w:lang w:val="en-US" w:eastAsia="zh-CN"/>
        </w:rPr>
        <w:t>HCF2025—CGZB—015</w:t>
      </w:r>
      <w:r>
        <w:rPr>
          <w:rFonts w:hint="eastAsia" w:ascii="宋体" w:hAnsi="宋体" w:cs="宋体"/>
          <w:bCs/>
          <w:color w:val="auto"/>
          <w:kern w:val="1"/>
          <w:sz w:val="24"/>
        </w:rPr>
        <w:t>）的招标评标工作，保证项目评审工作的正常有序进行，维护采购人、供应商的合法权益，依据</w:t>
      </w:r>
      <w:r>
        <w:rPr>
          <w:rFonts w:hint="eastAsia" w:ascii="宋体" w:hAnsi="宋体" w:cs="宋体"/>
          <w:bCs/>
          <w:color w:val="auto"/>
          <w:kern w:val="1"/>
          <w:sz w:val="24"/>
          <w:lang w:eastAsia="zh-CN"/>
        </w:rPr>
        <w:t>《</w:t>
      </w:r>
      <w:r>
        <w:rPr>
          <w:rFonts w:hint="eastAsia" w:ascii="宋体" w:hAnsi="宋体" w:cs="宋体"/>
          <w:bCs/>
          <w:color w:val="auto"/>
          <w:kern w:val="1"/>
          <w:sz w:val="24"/>
        </w:rPr>
        <w:t>中华人民共和国</w:t>
      </w:r>
      <w:r>
        <w:rPr>
          <w:rFonts w:hint="eastAsia" w:ascii="宋体" w:hAnsi="宋体" w:cs="宋体"/>
          <w:bCs/>
          <w:color w:val="auto"/>
          <w:kern w:val="1"/>
          <w:sz w:val="24"/>
          <w:lang w:val="en-US" w:eastAsia="zh-CN"/>
        </w:rPr>
        <w:t>政府采购法</w:t>
      </w:r>
      <w:r>
        <w:rPr>
          <w:rFonts w:hint="eastAsia" w:ascii="宋体" w:hAnsi="宋体" w:cs="宋体"/>
          <w:bCs/>
          <w:color w:val="auto"/>
          <w:kern w:val="1"/>
          <w:sz w:val="24"/>
          <w:lang w:eastAsia="zh-CN"/>
        </w:rPr>
        <w:t>》</w:t>
      </w:r>
      <w:r>
        <w:rPr>
          <w:rFonts w:hint="eastAsia" w:ascii="宋体" w:hAnsi="宋体" w:cs="宋体"/>
          <w:bCs/>
          <w:color w:val="auto"/>
          <w:kern w:val="1"/>
          <w:sz w:val="24"/>
        </w:rPr>
        <w:t>《中华人民共和国政府采购法</w:t>
      </w:r>
      <w:r>
        <w:rPr>
          <w:rFonts w:hint="eastAsia" w:ascii="宋体" w:hAnsi="宋体" w:cs="宋体"/>
          <w:bCs/>
          <w:color w:val="auto"/>
          <w:kern w:val="1"/>
          <w:sz w:val="24"/>
          <w:lang w:eastAsia="zh-CN"/>
        </w:rPr>
        <w:t>实施条例</w:t>
      </w:r>
      <w:r>
        <w:rPr>
          <w:rFonts w:hint="eastAsia" w:ascii="宋体" w:hAnsi="宋体" w:cs="宋体"/>
          <w:bCs/>
          <w:color w:val="auto"/>
          <w:kern w:val="1"/>
          <w:sz w:val="24"/>
        </w:rPr>
        <w:t>》及其它相关法律法规，本着公开、公平、公正的原则，制定评标办法。</w:t>
      </w:r>
    </w:p>
    <w:p w14:paraId="6EC3D7FA">
      <w:pPr>
        <w:spacing w:line="360" w:lineRule="auto"/>
        <w:ind w:left="-61" w:right="-10" w:firstLine="514"/>
        <w:outlineLvl w:val="9"/>
        <w:rPr>
          <w:rFonts w:hint="eastAsia" w:ascii="宋体" w:hAnsi="宋体" w:cs="宋体"/>
          <w:bCs/>
          <w:color w:val="auto"/>
          <w:kern w:val="1"/>
          <w:sz w:val="24"/>
        </w:rPr>
      </w:pPr>
      <w:r>
        <w:rPr>
          <w:rFonts w:hint="eastAsia" w:ascii="宋体" w:hAnsi="宋体" w:cs="宋体"/>
          <w:bCs/>
          <w:color w:val="auto"/>
          <w:kern w:val="1"/>
          <w:sz w:val="24"/>
        </w:rPr>
        <w:t>第二条 本次项目评标采</w:t>
      </w:r>
      <w:r>
        <w:rPr>
          <w:rFonts w:hint="eastAsia" w:ascii="宋体" w:hAnsi="宋体" w:cs="宋体"/>
          <w:bCs/>
          <w:color w:val="auto"/>
          <w:kern w:val="1"/>
          <w:sz w:val="24"/>
          <w:highlight w:val="none"/>
        </w:rPr>
        <w:t>用综合评</w:t>
      </w:r>
      <w:r>
        <w:rPr>
          <w:rFonts w:hint="eastAsia" w:ascii="宋体" w:hAnsi="宋体" w:cs="宋体"/>
          <w:bCs/>
          <w:color w:val="auto"/>
          <w:kern w:val="1"/>
          <w:sz w:val="24"/>
          <w:highlight w:val="none"/>
          <w:lang w:val="en-US" w:eastAsia="zh-CN"/>
        </w:rPr>
        <w:t>分</w:t>
      </w:r>
      <w:r>
        <w:rPr>
          <w:rFonts w:hint="eastAsia" w:ascii="宋体" w:hAnsi="宋体" w:cs="宋体"/>
          <w:bCs/>
          <w:color w:val="auto"/>
          <w:kern w:val="1"/>
          <w:sz w:val="24"/>
          <w:highlight w:val="none"/>
        </w:rPr>
        <w:t>法作为对供</w:t>
      </w:r>
      <w:r>
        <w:rPr>
          <w:rFonts w:hint="eastAsia" w:ascii="宋体" w:hAnsi="宋体" w:cs="宋体"/>
          <w:bCs/>
          <w:color w:val="auto"/>
          <w:kern w:val="1"/>
          <w:sz w:val="24"/>
        </w:rPr>
        <w:t>应商</w:t>
      </w:r>
      <w:r>
        <w:rPr>
          <w:rFonts w:hint="eastAsia" w:ascii="宋体" w:hAnsi="宋体" w:cs="宋体"/>
          <w:bCs/>
          <w:color w:val="auto"/>
          <w:kern w:val="1"/>
          <w:sz w:val="24"/>
          <w:highlight w:val="none"/>
          <w:lang w:val="en-US" w:eastAsia="zh-CN"/>
        </w:rPr>
        <w:t>磋商响应文件</w:t>
      </w:r>
      <w:r>
        <w:rPr>
          <w:rFonts w:hint="eastAsia" w:ascii="宋体" w:hAnsi="宋体" w:cs="宋体"/>
          <w:bCs/>
          <w:color w:val="auto"/>
          <w:kern w:val="1"/>
          <w:sz w:val="24"/>
        </w:rPr>
        <w:t>的比较方法。</w:t>
      </w:r>
    </w:p>
    <w:p w14:paraId="10B27954">
      <w:pPr>
        <w:spacing w:line="360" w:lineRule="auto"/>
        <w:ind w:left="-61" w:right="-10" w:firstLine="514"/>
        <w:outlineLvl w:val="9"/>
        <w:rPr>
          <w:rFonts w:hint="eastAsia" w:ascii="宋体" w:hAnsi="宋体" w:eastAsia="宋体" w:cs="宋体"/>
          <w:bCs/>
          <w:color w:val="auto"/>
          <w:kern w:val="1"/>
          <w:sz w:val="24"/>
          <w:lang w:eastAsia="zh-CN"/>
        </w:rPr>
      </w:pPr>
      <w:r>
        <w:rPr>
          <w:rFonts w:hint="eastAsia" w:ascii="宋体" w:hAnsi="宋体" w:cs="宋体"/>
          <w:bCs/>
          <w:color w:val="auto"/>
          <w:kern w:val="1"/>
          <w:sz w:val="24"/>
        </w:rPr>
        <w:t>第三条 按照《中华人民共和国政府采购法》和《政府采购竞争性磋商采购方式管理暂行办法》，依法组建磋商小组。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r>
        <w:rPr>
          <w:rFonts w:hint="eastAsia" w:ascii="宋体" w:hAnsi="宋体" w:cs="宋体"/>
          <w:color w:val="auto"/>
          <w:kern w:val="1"/>
          <w:sz w:val="24"/>
        </w:rPr>
        <w:t>采购代理机构负责评标过程中的记录、联络及</w:t>
      </w:r>
      <w:r>
        <w:rPr>
          <w:rFonts w:hint="eastAsia" w:ascii="宋体" w:hAnsi="宋体" w:cs="宋体"/>
          <w:color w:val="auto"/>
          <w:kern w:val="1"/>
          <w:sz w:val="24"/>
          <w:lang w:val="en-US" w:eastAsia="zh-CN"/>
        </w:rPr>
        <w:t>磋商小组</w:t>
      </w:r>
      <w:r>
        <w:rPr>
          <w:rFonts w:hint="eastAsia" w:ascii="宋体" w:hAnsi="宋体" w:cs="宋体"/>
          <w:color w:val="auto"/>
          <w:kern w:val="1"/>
          <w:sz w:val="24"/>
        </w:rPr>
        <w:t>交办的其他工作</w:t>
      </w:r>
      <w:r>
        <w:rPr>
          <w:rFonts w:hint="eastAsia" w:ascii="宋体" w:hAnsi="宋体" w:cs="宋体"/>
          <w:color w:val="auto"/>
          <w:kern w:val="1"/>
          <w:sz w:val="24"/>
          <w:lang w:eastAsia="zh-CN"/>
        </w:rPr>
        <w:t>。</w:t>
      </w:r>
    </w:p>
    <w:p w14:paraId="411B9F82">
      <w:pPr>
        <w:spacing w:line="360" w:lineRule="auto"/>
        <w:ind w:firstLine="480" w:firstLineChars="200"/>
        <w:outlineLvl w:val="9"/>
        <w:rPr>
          <w:rFonts w:hint="eastAsia" w:ascii="宋体" w:hAnsi="宋体"/>
          <w:b/>
          <w:color w:val="auto"/>
          <w:spacing w:val="4"/>
          <w:sz w:val="24"/>
        </w:rPr>
      </w:pPr>
      <w:r>
        <w:rPr>
          <w:rFonts w:hint="eastAsia" w:ascii="宋体" w:hAnsi="宋体" w:cs="宋体"/>
          <w:bCs/>
          <w:color w:val="auto"/>
          <w:kern w:val="1"/>
          <w:sz w:val="24"/>
        </w:rPr>
        <w:t xml:space="preserve">第四条 </w:t>
      </w:r>
      <w:r>
        <w:rPr>
          <w:rFonts w:hint="eastAsia" w:ascii="宋体" w:hAnsi="宋体" w:cs="宋体"/>
          <w:bCs/>
          <w:color w:val="auto"/>
          <w:kern w:val="1"/>
          <w:sz w:val="24"/>
          <w:highlight w:val="none"/>
          <w:lang w:eastAsia="zh-CN"/>
        </w:rPr>
        <w:t>磋商小组成员应当按照</w:t>
      </w:r>
      <w:r>
        <w:rPr>
          <w:rFonts w:hint="eastAsia" w:ascii="宋体" w:hAnsi="宋体" w:cs="宋体"/>
          <w:bCs/>
          <w:color w:val="auto"/>
          <w:kern w:val="1"/>
          <w:sz w:val="24"/>
          <w:highlight w:val="none"/>
        </w:rPr>
        <w:t>客观</w:t>
      </w:r>
      <w:r>
        <w:rPr>
          <w:rFonts w:hint="eastAsia" w:ascii="宋体" w:hAnsi="宋体" w:cs="宋体"/>
          <w:bCs/>
          <w:color w:val="auto"/>
          <w:kern w:val="1"/>
          <w:sz w:val="24"/>
          <w:highlight w:val="none"/>
          <w:lang w:eastAsia="zh-CN"/>
        </w:rPr>
        <w:t>、</w:t>
      </w:r>
      <w:r>
        <w:rPr>
          <w:rFonts w:hint="eastAsia" w:ascii="宋体" w:hAnsi="宋体" w:cs="宋体"/>
          <w:bCs/>
          <w:color w:val="auto"/>
          <w:kern w:val="1"/>
          <w:sz w:val="24"/>
          <w:highlight w:val="none"/>
        </w:rPr>
        <w:t>公</w:t>
      </w:r>
      <w:r>
        <w:rPr>
          <w:rFonts w:hint="eastAsia" w:ascii="宋体" w:hAnsi="宋体" w:cs="宋体"/>
          <w:bCs/>
          <w:color w:val="auto"/>
          <w:kern w:val="1"/>
          <w:sz w:val="24"/>
          <w:highlight w:val="none"/>
          <w:lang w:eastAsia="zh-CN"/>
        </w:rPr>
        <w:t>正、审慎</w:t>
      </w:r>
      <w:r>
        <w:rPr>
          <w:rFonts w:hint="eastAsia" w:ascii="宋体" w:hAnsi="宋体" w:cs="宋体"/>
          <w:bCs/>
          <w:color w:val="auto"/>
          <w:kern w:val="1"/>
          <w:sz w:val="24"/>
          <w:highlight w:val="none"/>
        </w:rPr>
        <w:t>的原则，</w:t>
      </w:r>
      <w:r>
        <w:rPr>
          <w:rFonts w:hint="eastAsia" w:ascii="宋体" w:hAnsi="宋体" w:cs="宋体"/>
          <w:bCs/>
          <w:color w:val="auto"/>
          <w:kern w:val="1"/>
          <w:sz w:val="24"/>
          <w:highlight w:val="none"/>
          <w:lang w:eastAsia="zh-CN"/>
        </w:rPr>
        <w:t>根据磋商文件规定的评审程序、评审方法和评审标准进行独立评审。未实质性响应磋商文件的响应文件按无效响应处理，磋商小组应当告知提交响应文件的供应商。</w:t>
      </w:r>
    </w:p>
    <w:p w14:paraId="6305463F">
      <w:pPr>
        <w:spacing w:line="360" w:lineRule="auto"/>
        <w:ind w:firstLine="498" w:firstLineChars="200"/>
        <w:outlineLvl w:val="9"/>
        <w:rPr>
          <w:rFonts w:hint="eastAsia" w:ascii="宋体" w:hAnsi="宋体"/>
          <w:b/>
          <w:color w:val="auto"/>
          <w:spacing w:val="4"/>
          <w:sz w:val="24"/>
        </w:rPr>
      </w:pPr>
      <w:r>
        <w:rPr>
          <w:rFonts w:hint="eastAsia" w:ascii="宋体" w:hAnsi="宋体"/>
          <w:b/>
          <w:color w:val="auto"/>
          <w:spacing w:val="4"/>
          <w:sz w:val="24"/>
        </w:rPr>
        <w:t>二、评审方法</w:t>
      </w:r>
    </w:p>
    <w:p w14:paraId="4815B7DC">
      <w:pPr>
        <w:spacing w:line="360" w:lineRule="auto"/>
        <w:ind w:firstLine="496" w:firstLineChars="200"/>
        <w:outlineLvl w:val="9"/>
        <w:rPr>
          <w:rFonts w:hint="eastAsia" w:ascii="宋体" w:hAnsi="宋体"/>
          <w:color w:val="auto"/>
          <w:spacing w:val="4"/>
          <w:sz w:val="24"/>
        </w:rPr>
      </w:pPr>
      <w:r>
        <w:rPr>
          <w:rFonts w:ascii="宋体" w:hAnsi="宋体"/>
          <w:color w:val="auto"/>
          <w:spacing w:val="4"/>
          <w:sz w:val="24"/>
        </w:rPr>
        <w:t>按照《中华人民共和国政府采购法》</w:t>
      </w:r>
      <w:r>
        <w:rPr>
          <w:rFonts w:hint="eastAsia" w:ascii="宋体" w:hAnsi="宋体"/>
          <w:color w:val="auto"/>
          <w:spacing w:val="4"/>
          <w:sz w:val="24"/>
        </w:rPr>
        <w:t>《中华人民共和国政府采购法实施条例》《政府采购竞争性磋商采购方式管理暂行办法》规定，竞争性磋商小组采用综合评分法对提交最后报价的供应商的响应文件和最后报价进行综合评分，按照评审得分由高到低顺序推荐3</w:t>
      </w:r>
      <w:r>
        <w:rPr>
          <w:rFonts w:hint="eastAsia" w:ascii="宋体" w:hAnsi="宋体"/>
          <w:color w:val="auto"/>
          <w:spacing w:val="4"/>
          <w:sz w:val="24"/>
          <w:highlight w:val="none"/>
        </w:rPr>
        <w:t>名</w:t>
      </w:r>
      <w:r>
        <w:rPr>
          <w:rFonts w:hint="eastAsia" w:ascii="宋体" w:hAnsi="宋体"/>
          <w:color w:val="auto"/>
          <w:sz w:val="24"/>
          <w:highlight w:val="none"/>
        </w:rPr>
        <w:t>成交候选</w:t>
      </w:r>
      <w:r>
        <w:rPr>
          <w:rFonts w:hint="eastAsia" w:ascii="宋体" w:hAnsi="宋体"/>
          <w:color w:val="auto"/>
          <w:sz w:val="24"/>
          <w:highlight w:val="none"/>
          <w:lang w:val="en-US" w:eastAsia="zh-CN"/>
        </w:rPr>
        <w:t>供应商</w:t>
      </w:r>
      <w:r>
        <w:rPr>
          <w:rFonts w:hint="eastAsia" w:ascii="宋体" w:hAnsi="宋体"/>
          <w:color w:val="auto"/>
          <w:spacing w:val="4"/>
          <w:sz w:val="24"/>
          <w:highlight w:val="none"/>
        </w:rPr>
        <w:t>。</w:t>
      </w:r>
    </w:p>
    <w:p w14:paraId="4CDE2AA0">
      <w:pPr>
        <w:spacing w:line="360" w:lineRule="auto"/>
        <w:ind w:firstLine="498" w:firstLineChars="200"/>
        <w:outlineLvl w:val="9"/>
        <w:rPr>
          <w:rFonts w:hint="eastAsia" w:ascii="宋体" w:hAnsi="宋体"/>
          <w:b/>
          <w:color w:val="auto"/>
          <w:spacing w:val="4"/>
          <w:sz w:val="24"/>
        </w:rPr>
      </w:pPr>
      <w:r>
        <w:rPr>
          <w:rFonts w:hint="eastAsia" w:ascii="宋体" w:hAnsi="宋体"/>
          <w:b/>
          <w:color w:val="auto"/>
          <w:spacing w:val="4"/>
          <w:sz w:val="24"/>
        </w:rPr>
        <w:t>三、评审程序</w:t>
      </w:r>
    </w:p>
    <w:p w14:paraId="50A2A2F7">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审查分为</w:t>
      </w:r>
      <w:r>
        <w:rPr>
          <w:rFonts w:hint="eastAsia" w:ascii="宋体" w:hAnsi="宋体"/>
          <w:color w:val="auto"/>
          <w:spacing w:val="4"/>
          <w:sz w:val="24"/>
          <w:lang w:val="en-US" w:eastAsia="zh-CN"/>
        </w:rPr>
        <w:t>资格性</w:t>
      </w:r>
      <w:r>
        <w:rPr>
          <w:rFonts w:hint="eastAsia" w:ascii="宋体" w:hAnsi="宋体"/>
          <w:color w:val="auto"/>
          <w:spacing w:val="4"/>
          <w:sz w:val="24"/>
        </w:rPr>
        <w:t>评审</w:t>
      </w:r>
      <w:r>
        <w:rPr>
          <w:rFonts w:hint="eastAsia" w:ascii="宋体" w:hAnsi="宋体"/>
          <w:color w:val="auto"/>
          <w:spacing w:val="4"/>
          <w:sz w:val="24"/>
          <w:lang w:eastAsia="zh-CN"/>
        </w:rPr>
        <w:t>、</w:t>
      </w:r>
      <w:r>
        <w:rPr>
          <w:rFonts w:hint="eastAsia" w:ascii="宋体" w:hAnsi="宋体"/>
          <w:color w:val="auto"/>
          <w:spacing w:val="4"/>
          <w:sz w:val="24"/>
          <w:lang w:val="en-US" w:eastAsia="zh-CN"/>
        </w:rPr>
        <w:t>符合性</w:t>
      </w:r>
      <w:r>
        <w:rPr>
          <w:rFonts w:hint="eastAsia" w:ascii="宋体" w:hAnsi="宋体"/>
          <w:color w:val="auto"/>
          <w:spacing w:val="4"/>
          <w:sz w:val="24"/>
        </w:rPr>
        <w:t>评审和详细评审。分别按照以下内容对磋商响应文件进行</w:t>
      </w:r>
      <w:r>
        <w:rPr>
          <w:rFonts w:hint="eastAsia" w:ascii="宋体" w:hAnsi="宋体"/>
          <w:color w:val="auto"/>
          <w:spacing w:val="4"/>
          <w:sz w:val="24"/>
          <w:lang w:val="en-US" w:eastAsia="zh-CN"/>
        </w:rPr>
        <w:t>审查</w:t>
      </w:r>
      <w:r>
        <w:rPr>
          <w:rFonts w:hint="eastAsia" w:ascii="宋体" w:hAnsi="宋体"/>
          <w:color w:val="auto"/>
          <w:spacing w:val="4"/>
          <w:sz w:val="24"/>
        </w:rPr>
        <w:t>，一项不合格即按照无效响应处理。</w:t>
      </w:r>
    </w:p>
    <w:p w14:paraId="3B07DE73">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olor w:val="auto"/>
          <w:spacing w:val="4"/>
          <w:sz w:val="24"/>
          <w:highlight w:val="none"/>
        </w:rPr>
      </w:pPr>
      <w:r>
        <w:rPr>
          <w:rFonts w:hint="eastAsia" w:ascii="宋体" w:hAnsi="宋体"/>
          <w:color w:val="auto"/>
          <w:spacing w:val="4"/>
          <w:sz w:val="24"/>
          <w:highlight w:val="none"/>
        </w:rPr>
        <w:t>1、资格</w:t>
      </w:r>
      <w:r>
        <w:rPr>
          <w:rFonts w:hint="eastAsia" w:ascii="宋体" w:hAnsi="宋体"/>
          <w:color w:val="auto"/>
          <w:spacing w:val="4"/>
          <w:sz w:val="24"/>
          <w:highlight w:val="none"/>
          <w:lang w:val="en-US" w:eastAsia="zh-CN"/>
        </w:rPr>
        <w:t>性</w:t>
      </w:r>
      <w:r>
        <w:rPr>
          <w:rFonts w:hint="eastAsia" w:ascii="宋体" w:hAnsi="宋体"/>
          <w:color w:val="auto"/>
          <w:spacing w:val="4"/>
          <w:sz w:val="24"/>
          <w:highlight w:val="none"/>
        </w:rPr>
        <w:t>评审：具体</w:t>
      </w:r>
      <w:r>
        <w:rPr>
          <w:rFonts w:hint="eastAsia" w:ascii="宋体" w:hAnsi="宋体"/>
          <w:color w:val="auto"/>
          <w:spacing w:val="4"/>
          <w:sz w:val="24"/>
          <w:highlight w:val="none"/>
          <w:lang w:val="en-US" w:eastAsia="zh-CN"/>
        </w:rPr>
        <w:t>内容</w:t>
      </w:r>
      <w:r>
        <w:rPr>
          <w:rFonts w:hint="eastAsia" w:ascii="宋体" w:hAnsi="宋体"/>
          <w:color w:val="auto"/>
          <w:spacing w:val="4"/>
          <w:sz w:val="24"/>
          <w:highlight w:val="none"/>
        </w:rPr>
        <w:t>详见后附表。</w:t>
      </w:r>
    </w:p>
    <w:p w14:paraId="6B17DC2F">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olor w:val="auto"/>
          <w:spacing w:val="4"/>
          <w:sz w:val="24"/>
          <w:highlight w:val="none"/>
        </w:rPr>
      </w:pPr>
      <w:r>
        <w:rPr>
          <w:rFonts w:hint="eastAsia" w:ascii="宋体" w:hAnsi="宋体"/>
          <w:color w:val="auto"/>
          <w:spacing w:val="4"/>
          <w:sz w:val="24"/>
          <w:highlight w:val="none"/>
        </w:rPr>
        <w:t>依据《中华人民共和国政府采购法》第二十三条和竞争性磋商文件的规定，对磋商响应文件中的资格证明文件进行审查，审查供应商是否具备相应资格。</w:t>
      </w:r>
    </w:p>
    <w:p w14:paraId="7400D210">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olor w:val="auto"/>
          <w:spacing w:val="4"/>
          <w:sz w:val="24"/>
          <w:highlight w:val="none"/>
        </w:rPr>
      </w:pPr>
      <w:r>
        <w:rPr>
          <w:rFonts w:hint="eastAsia" w:ascii="宋体" w:hAnsi="宋体"/>
          <w:color w:val="auto"/>
          <w:spacing w:val="4"/>
          <w:sz w:val="24"/>
          <w:highlight w:val="none"/>
        </w:rPr>
        <w:t>开标结束后，由采购人依法对供应商的资格进行审查，审查合格的供应商方可进入评标阶段，缺项或一项不符合要求即不合格，不合格的供应商其投标无效，不再进入下一步评审。供应商须在提交磋商文件截止时间前单独提交资格证明材料原件，逾期不接受任何补充资料。</w:t>
      </w:r>
    </w:p>
    <w:p w14:paraId="4F058096">
      <w:pPr>
        <w:spacing w:line="360" w:lineRule="auto"/>
        <w:ind w:firstLine="496" w:firstLineChars="200"/>
        <w:outlineLvl w:val="9"/>
        <w:rPr>
          <w:rFonts w:hint="eastAsia" w:ascii="宋体" w:hAnsi="宋体" w:eastAsia="宋体" w:cs="Times New Roman"/>
          <w:color w:val="auto"/>
          <w:spacing w:val="4"/>
          <w:sz w:val="24"/>
          <w:highlight w:val="none"/>
        </w:rPr>
      </w:pPr>
      <w:r>
        <w:rPr>
          <w:rFonts w:hint="eastAsia" w:ascii="宋体" w:hAnsi="宋体" w:eastAsia="宋体" w:cs="Times New Roman"/>
          <w:color w:val="auto"/>
          <w:spacing w:val="4"/>
          <w:sz w:val="24"/>
          <w:lang w:val="en-US" w:eastAsia="zh-CN"/>
        </w:rPr>
        <w:t>2、符合性评审：</w:t>
      </w:r>
      <w:r>
        <w:rPr>
          <w:rFonts w:hint="eastAsia" w:ascii="宋体" w:hAnsi="宋体" w:eastAsia="宋体" w:cs="Times New Roman"/>
          <w:color w:val="auto"/>
          <w:spacing w:val="4"/>
          <w:sz w:val="24"/>
        </w:rPr>
        <w:t>具</w:t>
      </w:r>
      <w:r>
        <w:rPr>
          <w:rFonts w:hint="eastAsia" w:ascii="宋体" w:hAnsi="宋体" w:eastAsia="宋体" w:cs="Times New Roman"/>
          <w:color w:val="auto"/>
          <w:spacing w:val="4"/>
          <w:sz w:val="24"/>
          <w:highlight w:val="none"/>
        </w:rPr>
        <w:t>体</w:t>
      </w:r>
      <w:r>
        <w:rPr>
          <w:rFonts w:hint="eastAsia" w:ascii="宋体" w:hAnsi="宋体" w:eastAsia="宋体" w:cs="Times New Roman"/>
          <w:color w:val="auto"/>
          <w:spacing w:val="4"/>
          <w:sz w:val="24"/>
          <w:highlight w:val="none"/>
          <w:lang w:val="en-US" w:eastAsia="zh-CN"/>
        </w:rPr>
        <w:t>内容</w:t>
      </w:r>
      <w:r>
        <w:rPr>
          <w:rFonts w:hint="eastAsia" w:ascii="宋体" w:hAnsi="宋体" w:eastAsia="宋体" w:cs="Times New Roman"/>
          <w:color w:val="auto"/>
          <w:spacing w:val="4"/>
          <w:sz w:val="24"/>
          <w:highlight w:val="none"/>
        </w:rPr>
        <w:t>详见后附表。</w:t>
      </w:r>
    </w:p>
    <w:p w14:paraId="2518485E">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评审过程中</w:t>
      </w:r>
      <w:r>
        <w:rPr>
          <w:rFonts w:hint="eastAsia" w:ascii="宋体" w:hAnsi="宋体"/>
          <w:color w:val="auto"/>
          <w:spacing w:val="4"/>
          <w:sz w:val="24"/>
          <w:highlight w:val="none"/>
        </w:rPr>
        <w:t>凡有一项不合格即作为无效响应处理，不再进入下一步评审</w:t>
      </w:r>
      <w:r>
        <w:rPr>
          <w:rFonts w:hint="eastAsia" w:ascii="宋体" w:hAnsi="宋体"/>
          <w:color w:val="auto"/>
          <w:spacing w:val="4"/>
          <w:sz w:val="24"/>
          <w:highlight w:val="none"/>
          <w:lang w:eastAsia="zh-CN"/>
        </w:rPr>
        <w:t>。</w:t>
      </w:r>
    </w:p>
    <w:p w14:paraId="400F32AD">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3</w:t>
      </w:r>
      <w:r>
        <w:rPr>
          <w:rFonts w:hint="eastAsia" w:ascii="宋体" w:hAnsi="宋体"/>
          <w:color w:val="auto"/>
          <w:spacing w:val="4"/>
          <w:sz w:val="24"/>
          <w:highlight w:val="none"/>
        </w:rPr>
        <w:t>、详细评审</w:t>
      </w:r>
    </w:p>
    <w:p w14:paraId="36220871">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highlight w:val="none"/>
        </w:rPr>
        <w:t>按《评审因素及量化指标分解表》对实质性响</w:t>
      </w:r>
      <w:r>
        <w:rPr>
          <w:rFonts w:hint="eastAsia" w:ascii="宋体" w:hAnsi="宋体"/>
          <w:color w:val="auto"/>
          <w:spacing w:val="4"/>
          <w:sz w:val="24"/>
        </w:rPr>
        <w:t>应磋商文件要求的供应商的响应文件进行评审。</w:t>
      </w:r>
    </w:p>
    <w:p w14:paraId="2C1432D4">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4</w:t>
      </w:r>
      <w:r>
        <w:rPr>
          <w:rFonts w:hint="eastAsia" w:ascii="宋体" w:hAnsi="宋体"/>
          <w:color w:val="auto"/>
          <w:spacing w:val="4"/>
          <w:sz w:val="24"/>
        </w:rPr>
        <w:t>、澄清有关问题</w:t>
      </w:r>
    </w:p>
    <w:p w14:paraId="3DE279A9">
      <w:pPr>
        <w:spacing w:line="360" w:lineRule="auto"/>
        <w:ind w:firstLine="496" w:firstLineChars="200"/>
        <w:outlineLvl w:val="9"/>
        <w:rPr>
          <w:rFonts w:hint="eastAsia" w:ascii="宋体" w:hAnsi="宋体"/>
          <w:color w:val="auto"/>
          <w:spacing w:val="4"/>
          <w:sz w:val="24"/>
        </w:rPr>
      </w:pPr>
      <w:r>
        <w:rPr>
          <w:rFonts w:ascii="宋体" w:hAnsi="宋体"/>
          <w:color w:val="auto"/>
          <w:spacing w:val="4"/>
          <w:sz w:val="24"/>
        </w:rPr>
        <w:t>磋商小组在对响应文件的有效性、完整性和响应程度进行审查时，可以要求</w:t>
      </w:r>
      <w:r>
        <w:rPr>
          <w:rFonts w:hint="eastAsia" w:ascii="宋体" w:hAnsi="宋体"/>
          <w:color w:val="auto"/>
          <w:spacing w:val="4"/>
          <w:sz w:val="24"/>
          <w:lang w:eastAsia="zh-CN"/>
        </w:rPr>
        <w:t>供应商</w:t>
      </w:r>
      <w:r>
        <w:rPr>
          <w:rFonts w:ascii="宋体" w:hAnsi="宋体"/>
          <w:color w:val="auto"/>
          <w:spacing w:val="4"/>
          <w:sz w:val="24"/>
        </w:rPr>
        <w:t>对响应文件中含义不明确、同类问题表述不一致或者有明显文字和计算错误的内容等作出必要的澄清、说明或者更正。</w:t>
      </w:r>
      <w:r>
        <w:rPr>
          <w:rFonts w:hint="eastAsia" w:ascii="宋体" w:hAnsi="宋体"/>
          <w:color w:val="auto"/>
          <w:spacing w:val="4"/>
          <w:sz w:val="24"/>
          <w:lang w:eastAsia="zh-CN"/>
        </w:rPr>
        <w:t>供应商</w:t>
      </w:r>
      <w:r>
        <w:rPr>
          <w:rFonts w:ascii="宋体" w:hAnsi="宋体"/>
          <w:color w:val="auto"/>
          <w:spacing w:val="4"/>
          <w:sz w:val="24"/>
        </w:rPr>
        <w:t>的澄清、说明或者更正不得超出响应文件的范围或者改变响应文件的实质性内容。</w:t>
      </w:r>
    </w:p>
    <w:p w14:paraId="7D0371C7">
      <w:pPr>
        <w:spacing w:line="360" w:lineRule="auto"/>
        <w:ind w:firstLine="496" w:firstLineChars="200"/>
        <w:outlineLvl w:val="9"/>
        <w:rPr>
          <w:rFonts w:ascii="宋体" w:hAnsi="宋体"/>
          <w:color w:val="auto"/>
          <w:spacing w:val="4"/>
          <w:sz w:val="24"/>
        </w:rPr>
      </w:pPr>
      <w:r>
        <w:rPr>
          <w:rFonts w:ascii="宋体" w:hAnsi="宋体"/>
          <w:color w:val="auto"/>
          <w:spacing w:val="4"/>
          <w:sz w:val="24"/>
        </w:rPr>
        <w:t>磋商小组要求</w:t>
      </w:r>
      <w:r>
        <w:rPr>
          <w:rFonts w:hint="eastAsia" w:ascii="宋体" w:hAnsi="宋体"/>
          <w:color w:val="auto"/>
          <w:spacing w:val="4"/>
          <w:sz w:val="24"/>
          <w:lang w:eastAsia="zh-CN"/>
        </w:rPr>
        <w:t>供应商</w:t>
      </w:r>
      <w:r>
        <w:rPr>
          <w:rFonts w:ascii="宋体" w:hAnsi="宋体"/>
          <w:color w:val="auto"/>
          <w:spacing w:val="4"/>
          <w:sz w:val="24"/>
        </w:rPr>
        <w:t>澄清、说明或者更正响应文件应当以书面形式</w:t>
      </w:r>
      <w:r>
        <w:rPr>
          <w:rFonts w:hint="eastAsia" w:ascii="宋体" w:hAnsi="宋体"/>
          <w:color w:val="auto"/>
          <w:spacing w:val="4"/>
          <w:sz w:val="24"/>
        </w:rPr>
        <w:t>提</w:t>
      </w:r>
      <w:r>
        <w:rPr>
          <w:rFonts w:ascii="宋体" w:hAnsi="宋体"/>
          <w:color w:val="auto"/>
          <w:spacing w:val="4"/>
          <w:sz w:val="24"/>
        </w:rPr>
        <w:t>出。</w:t>
      </w:r>
      <w:r>
        <w:rPr>
          <w:rFonts w:hint="eastAsia" w:ascii="宋体" w:hAnsi="宋体"/>
          <w:color w:val="auto"/>
          <w:spacing w:val="4"/>
          <w:sz w:val="24"/>
          <w:lang w:eastAsia="zh-CN"/>
        </w:rPr>
        <w:t>供应商</w:t>
      </w:r>
      <w:r>
        <w:rPr>
          <w:rFonts w:ascii="宋体" w:hAnsi="宋体"/>
          <w:color w:val="auto"/>
          <w:spacing w:val="4"/>
          <w:sz w:val="24"/>
        </w:rPr>
        <w:t>的澄清、说明或者更正应当由法定代表人或其</w:t>
      </w:r>
      <w:r>
        <w:rPr>
          <w:rFonts w:hint="eastAsia" w:ascii="宋体" w:hAnsi="宋体"/>
          <w:color w:val="auto"/>
          <w:sz w:val="24"/>
          <w:highlight w:val="none"/>
          <w:lang w:val="en-US" w:eastAsia="zh-CN"/>
        </w:rPr>
        <w:t>被</w:t>
      </w:r>
      <w:r>
        <w:rPr>
          <w:rFonts w:ascii="宋体" w:hAnsi="宋体"/>
          <w:color w:val="auto"/>
          <w:sz w:val="24"/>
          <w:highlight w:val="none"/>
        </w:rPr>
        <w:t>授权</w:t>
      </w:r>
      <w:r>
        <w:rPr>
          <w:rFonts w:hint="eastAsia" w:ascii="宋体" w:hAnsi="宋体"/>
          <w:color w:val="auto"/>
          <w:sz w:val="24"/>
          <w:highlight w:val="none"/>
          <w:lang w:val="en-US" w:eastAsia="zh-CN"/>
        </w:rPr>
        <w:t>人</w:t>
      </w:r>
      <w:r>
        <w:rPr>
          <w:rFonts w:ascii="宋体" w:hAnsi="宋体"/>
          <w:color w:val="auto"/>
          <w:spacing w:val="4"/>
          <w:sz w:val="24"/>
        </w:rPr>
        <w:t>签字或者加盖公章。由</w:t>
      </w:r>
      <w:r>
        <w:rPr>
          <w:rFonts w:hint="eastAsia" w:ascii="宋体" w:hAnsi="宋体"/>
          <w:color w:val="auto"/>
          <w:sz w:val="24"/>
          <w:highlight w:val="none"/>
          <w:lang w:val="en-US" w:eastAsia="zh-CN"/>
        </w:rPr>
        <w:t>被</w:t>
      </w:r>
      <w:r>
        <w:rPr>
          <w:rFonts w:ascii="宋体" w:hAnsi="宋体"/>
          <w:color w:val="auto"/>
          <w:sz w:val="24"/>
          <w:highlight w:val="none"/>
        </w:rPr>
        <w:t>授权</w:t>
      </w:r>
      <w:r>
        <w:rPr>
          <w:rFonts w:hint="eastAsia" w:ascii="宋体" w:hAnsi="宋体"/>
          <w:color w:val="auto"/>
          <w:sz w:val="24"/>
          <w:highlight w:val="none"/>
          <w:lang w:val="en-US" w:eastAsia="zh-CN"/>
        </w:rPr>
        <w:t>人</w:t>
      </w:r>
      <w:r>
        <w:rPr>
          <w:rFonts w:ascii="宋体" w:hAnsi="宋体"/>
          <w:color w:val="auto"/>
          <w:spacing w:val="4"/>
          <w:sz w:val="24"/>
        </w:rPr>
        <w:t>签字的，应当</w:t>
      </w:r>
      <w:r>
        <w:rPr>
          <w:rFonts w:hint="eastAsia" w:ascii="宋体" w:hAnsi="宋体"/>
          <w:color w:val="auto"/>
          <w:spacing w:val="4"/>
          <w:sz w:val="24"/>
          <w:lang w:val="en-US" w:eastAsia="zh-CN"/>
        </w:rPr>
        <w:t>提供</w:t>
      </w:r>
      <w:r>
        <w:rPr>
          <w:rFonts w:ascii="宋体" w:hAnsi="宋体"/>
          <w:color w:val="auto"/>
          <w:spacing w:val="4"/>
          <w:sz w:val="24"/>
        </w:rPr>
        <w:t>法定代表人授权</w:t>
      </w:r>
      <w:r>
        <w:rPr>
          <w:rFonts w:hint="eastAsia" w:ascii="宋体" w:hAnsi="宋体"/>
          <w:color w:val="auto"/>
          <w:spacing w:val="4"/>
          <w:sz w:val="24"/>
          <w:lang w:eastAsia="zh-CN"/>
        </w:rPr>
        <w:t>委托</w:t>
      </w:r>
      <w:r>
        <w:rPr>
          <w:rFonts w:ascii="宋体" w:hAnsi="宋体"/>
          <w:color w:val="auto"/>
          <w:spacing w:val="4"/>
          <w:sz w:val="24"/>
        </w:rPr>
        <w:t>书。</w:t>
      </w:r>
      <w:r>
        <w:rPr>
          <w:rFonts w:hint="eastAsia" w:ascii="宋体" w:hAnsi="宋体"/>
          <w:color w:val="auto"/>
          <w:spacing w:val="4"/>
          <w:sz w:val="24"/>
          <w:lang w:eastAsia="zh-CN"/>
        </w:rPr>
        <w:t>供应商为自然人的，应当由本人签字并附身份证明。</w:t>
      </w:r>
    </w:p>
    <w:p w14:paraId="56D07555">
      <w:pPr>
        <w:spacing w:line="360" w:lineRule="auto"/>
        <w:ind w:firstLine="496" w:firstLineChars="200"/>
        <w:outlineLvl w:val="9"/>
        <w:rPr>
          <w:rFonts w:hint="eastAsia" w:ascii="宋体" w:hAnsi="宋体" w:eastAsia="宋体"/>
          <w:color w:val="auto"/>
          <w:spacing w:val="4"/>
          <w:sz w:val="24"/>
          <w:lang w:eastAsia="zh-CN"/>
        </w:rPr>
      </w:pPr>
      <w:r>
        <w:rPr>
          <w:rFonts w:hint="eastAsia" w:ascii="宋体" w:hAnsi="宋体"/>
          <w:color w:val="auto"/>
          <w:spacing w:val="4"/>
          <w:sz w:val="24"/>
          <w:lang w:val="en-US" w:eastAsia="zh-CN"/>
        </w:rPr>
        <w:t>5</w:t>
      </w:r>
      <w:r>
        <w:rPr>
          <w:rFonts w:hint="eastAsia" w:ascii="宋体" w:hAnsi="宋体"/>
          <w:color w:val="auto"/>
          <w:spacing w:val="4"/>
          <w:sz w:val="24"/>
        </w:rPr>
        <w:t>、</w:t>
      </w:r>
      <w:r>
        <w:rPr>
          <w:rFonts w:hint="eastAsia" w:ascii="宋体" w:hAnsi="宋体"/>
          <w:color w:val="auto"/>
          <w:sz w:val="24"/>
        </w:rPr>
        <w:t>磋商小组所有成员应当集中与单一供应商分别进行磋商</w:t>
      </w:r>
      <w:r>
        <w:rPr>
          <w:rFonts w:hint="eastAsia" w:ascii="宋体" w:hAnsi="宋体"/>
          <w:color w:val="auto"/>
          <w:spacing w:val="4"/>
          <w:sz w:val="24"/>
          <w:highlight w:val="none"/>
          <w:lang w:val="en-US" w:eastAsia="zh-CN"/>
        </w:rPr>
        <w:t>。</w:t>
      </w:r>
    </w:p>
    <w:p w14:paraId="584D85F8">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6</w:t>
      </w:r>
      <w:r>
        <w:rPr>
          <w:rFonts w:hint="eastAsia" w:ascii="宋体" w:hAnsi="宋体"/>
          <w:color w:val="auto"/>
          <w:spacing w:val="4"/>
          <w:sz w:val="24"/>
          <w:highlight w:val="none"/>
        </w:rPr>
        <w:t>、政策性价格优惠折扣规定</w:t>
      </w:r>
    </w:p>
    <w:p w14:paraId="37C8BEC6">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经</w:t>
      </w:r>
      <w:r>
        <w:rPr>
          <w:rFonts w:hint="eastAsia" w:ascii="宋体" w:hAnsi="宋体"/>
          <w:color w:val="auto"/>
          <w:spacing w:val="4"/>
          <w:sz w:val="24"/>
          <w:lang w:eastAsia="zh-CN"/>
        </w:rPr>
        <w:t>符合性审查合格</w:t>
      </w:r>
      <w:r>
        <w:rPr>
          <w:rFonts w:hint="eastAsia" w:ascii="宋体" w:hAnsi="宋体"/>
          <w:color w:val="auto"/>
          <w:spacing w:val="4"/>
          <w:sz w:val="24"/>
        </w:rPr>
        <w:t>后，对于满足</w:t>
      </w:r>
      <w:r>
        <w:rPr>
          <w:rFonts w:hint="eastAsia" w:ascii="宋体" w:hAnsi="宋体"/>
          <w:color w:val="auto"/>
          <w:spacing w:val="4"/>
          <w:sz w:val="24"/>
          <w:lang w:val="en-US" w:eastAsia="zh-CN"/>
        </w:rPr>
        <w:t>磋商响应</w:t>
      </w:r>
      <w:r>
        <w:rPr>
          <w:rFonts w:hint="eastAsia" w:ascii="宋体" w:hAnsi="宋体"/>
          <w:color w:val="auto"/>
          <w:spacing w:val="4"/>
          <w:sz w:val="24"/>
        </w:rPr>
        <w:t>文件全部实质性要求并按照规定提交了</w:t>
      </w:r>
      <w:r>
        <w:rPr>
          <w:rFonts w:hint="eastAsia" w:ascii="宋体" w:hAnsi="宋体"/>
          <w:color w:val="auto"/>
          <w:spacing w:val="4"/>
          <w:sz w:val="24"/>
          <w:lang w:val="en-US" w:eastAsia="zh-CN"/>
        </w:rPr>
        <w:t>磋商</w:t>
      </w:r>
      <w:r>
        <w:rPr>
          <w:rFonts w:hint="eastAsia" w:ascii="宋体" w:hAnsi="宋体"/>
          <w:color w:val="auto"/>
          <w:spacing w:val="4"/>
          <w:sz w:val="24"/>
        </w:rPr>
        <w:t>报价的</w:t>
      </w:r>
      <w:r>
        <w:rPr>
          <w:rFonts w:hint="eastAsia" w:ascii="宋体" w:hAnsi="宋体"/>
          <w:color w:val="auto"/>
          <w:spacing w:val="4"/>
          <w:sz w:val="24"/>
          <w:lang w:val="en-US" w:eastAsia="zh-CN"/>
        </w:rPr>
        <w:t>磋商响应</w:t>
      </w:r>
      <w:r>
        <w:rPr>
          <w:rFonts w:hint="eastAsia" w:ascii="宋体" w:hAnsi="宋体"/>
          <w:color w:val="auto"/>
          <w:spacing w:val="4"/>
          <w:sz w:val="24"/>
          <w:lang w:eastAsia="zh-CN"/>
        </w:rPr>
        <w:t>文件</w:t>
      </w:r>
      <w:r>
        <w:rPr>
          <w:rFonts w:hint="eastAsia" w:ascii="宋体" w:hAnsi="宋体"/>
          <w:color w:val="auto"/>
          <w:spacing w:val="4"/>
          <w:sz w:val="24"/>
        </w:rPr>
        <w:t>，按照以下规则进行评审价格的确定。</w:t>
      </w:r>
    </w:p>
    <w:p w14:paraId="113B1E76">
      <w:pPr>
        <w:spacing w:line="360" w:lineRule="auto"/>
        <w:ind w:firstLine="496" w:firstLineChars="200"/>
        <w:outlineLvl w:val="9"/>
        <w:rPr>
          <w:rFonts w:hint="eastAsia" w:ascii="宋体" w:hAnsi="宋体" w:cs="Times New Roman"/>
          <w:color w:val="auto"/>
          <w:spacing w:val="4"/>
          <w:sz w:val="24"/>
        </w:rPr>
      </w:pPr>
      <w:r>
        <w:rPr>
          <w:rFonts w:hint="eastAsia" w:ascii="宋体" w:hAnsi="宋体" w:cs="Times New Roman"/>
          <w:color w:val="auto"/>
          <w:spacing w:val="4"/>
          <w:sz w:val="24"/>
          <w:lang w:val="en-US" w:eastAsia="zh-CN"/>
        </w:rPr>
        <w:t>6</w:t>
      </w:r>
      <w:r>
        <w:rPr>
          <w:rFonts w:hint="eastAsia" w:ascii="宋体" w:hAnsi="宋体" w:cs="Times New Roman"/>
          <w:color w:val="auto"/>
          <w:spacing w:val="4"/>
          <w:sz w:val="24"/>
        </w:rPr>
        <w:t>.1采购人采购的产品属于环境标志产品政府采购品目清单（2023）中品目的，由中国环境保护产品认证检测机构目录颁发的《中国环境产品标志认证证书》的，在性能、技术、服务等指标同等条件下，应当优先采购清单中的产品。</w:t>
      </w:r>
    </w:p>
    <w:p w14:paraId="52345707">
      <w:pPr>
        <w:spacing w:line="360" w:lineRule="auto"/>
        <w:ind w:firstLine="496" w:firstLineChars="200"/>
        <w:outlineLvl w:val="9"/>
        <w:rPr>
          <w:rFonts w:hint="eastAsia" w:ascii="宋体" w:hAnsi="宋体" w:cs="Times New Roman"/>
          <w:color w:val="auto"/>
          <w:spacing w:val="4"/>
          <w:sz w:val="24"/>
        </w:rPr>
      </w:pPr>
      <w:r>
        <w:rPr>
          <w:rFonts w:hint="eastAsia" w:ascii="宋体" w:hAnsi="宋体" w:cs="Times New Roman"/>
          <w:color w:val="auto"/>
          <w:spacing w:val="4"/>
          <w:sz w:val="24"/>
          <w:lang w:val="en-US" w:eastAsia="zh-CN"/>
        </w:rPr>
        <w:t xml:space="preserve">6.2根据财政部、国家环保总局联合印发《关于环境标志产品政府采购实施的意见》（财库〔2006〕90号）规定“采购人采购的产品属于环境标志产品政府采购清单中品目的，在性能、技术、服务等指标同等条件下，应当优先采购清单中的产品。” </w:t>
      </w:r>
    </w:p>
    <w:p w14:paraId="28E170A3">
      <w:pPr>
        <w:spacing w:line="360" w:lineRule="auto"/>
        <w:ind w:firstLine="496" w:firstLineChars="200"/>
        <w:outlineLvl w:val="9"/>
        <w:rPr>
          <w:rFonts w:hint="eastAsia" w:ascii="宋体" w:hAnsi="宋体"/>
          <w:color w:val="auto"/>
          <w:spacing w:val="4"/>
          <w:sz w:val="24"/>
          <w:lang w:val="en-US" w:eastAsia="zh-CN"/>
        </w:rPr>
      </w:pPr>
      <w:r>
        <w:rPr>
          <w:rFonts w:hint="eastAsia" w:ascii="宋体" w:hAnsi="宋体"/>
          <w:color w:val="auto"/>
          <w:spacing w:val="4"/>
          <w:sz w:val="24"/>
          <w:lang w:val="en-US" w:eastAsia="zh-CN"/>
        </w:rPr>
        <w:t xml:space="preserve">6.3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1BBA0686">
      <w:pPr>
        <w:spacing w:line="360" w:lineRule="auto"/>
        <w:ind w:firstLine="496" w:firstLineChars="200"/>
        <w:outlineLvl w:val="9"/>
        <w:rPr>
          <w:rFonts w:hint="eastAsia" w:ascii="宋体" w:hAnsi="宋体"/>
          <w:color w:val="auto"/>
          <w:spacing w:val="4"/>
          <w:sz w:val="24"/>
          <w:lang w:val="en-US" w:eastAsia="zh-CN"/>
        </w:rPr>
      </w:pPr>
      <w:r>
        <w:rPr>
          <w:rFonts w:hint="eastAsia" w:ascii="宋体" w:hAnsi="宋体"/>
          <w:color w:val="auto"/>
          <w:spacing w:val="4"/>
          <w:sz w:val="24"/>
          <w:lang w:val="en-US" w:eastAsia="zh-CN"/>
        </w:rPr>
        <w:t>6.4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7408E36">
      <w:pPr>
        <w:spacing w:line="360" w:lineRule="auto"/>
        <w:ind w:firstLine="496" w:firstLineChars="200"/>
        <w:outlineLvl w:val="9"/>
        <w:rPr>
          <w:rFonts w:hint="eastAsia" w:ascii="宋体" w:hAnsi="宋体"/>
          <w:color w:val="auto"/>
          <w:spacing w:val="4"/>
          <w:sz w:val="24"/>
          <w:lang w:val="en-US" w:eastAsia="zh-CN"/>
        </w:rPr>
      </w:pPr>
      <w:r>
        <w:rPr>
          <w:rFonts w:hint="eastAsia" w:ascii="宋体" w:hAnsi="宋体"/>
          <w:color w:val="auto"/>
          <w:spacing w:val="4"/>
          <w:sz w:val="24"/>
          <w:lang w:val="en-US" w:eastAsia="zh-CN"/>
        </w:rPr>
        <w:t>6.5国家确定的节能产品、环境标志产品认证机构详见市场监管总局《关于发布参与实施政府采购节能产品、环境标志产品认证机构名录的公告》（2019年第16号）。</w:t>
      </w:r>
    </w:p>
    <w:p w14:paraId="1F8B35A2">
      <w:pPr>
        <w:spacing w:line="360" w:lineRule="auto"/>
        <w:ind w:firstLine="496" w:firstLineChars="200"/>
        <w:outlineLvl w:val="9"/>
        <w:rPr>
          <w:rFonts w:hint="eastAsia" w:ascii="宋体" w:hAnsi="宋体"/>
          <w:color w:val="auto"/>
          <w:spacing w:val="4"/>
          <w:sz w:val="24"/>
          <w:lang w:val="en-US" w:eastAsia="zh-CN"/>
        </w:rPr>
      </w:pPr>
      <w:r>
        <w:rPr>
          <w:rFonts w:hint="eastAsia" w:ascii="宋体" w:hAnsi="宋体"/>
          <w:color w:val="auto"/>
          <w:spacing w:val="4"/>
          <w:sz w:val="24"/>
          <w:lang w:val="en-US" w:eastAsia="zh-CN"/>
        </w:rPr>
        <w:t xml:space="preserve">6.6环境标志产品政府采购品目清单详见财政部、生态环境部《关于印发环境标志产品政府采购品目清单的通知》（财库〔2019〕18号）。 </w:t>
      </w:r>
    </w:p>
    <w:p w14:paraId="25F773AA">
      <w:pPr>
        <w:spacing w:line="360" w:lineRule="auto"/>
        <w:ind w:firstLine="496" w:firstLineChars="200"/>
        <w:outlineLvl w:val="9"/>
        <w:rPr>
          <w:rFonts w:hint="eastAsia" w:ascii="宋体" w:hAnsi="宋体"/>
          <w:color w:val="auto"/>
          <w:spacing w:val="4"/>
          <w:sz w:val="24"/>
          <w:lang w:val="en-US" w:eastAsia="zh-CN"/>
        </w:rPr>
      </w:pPr>
      <w:r>
        <w:rPr>
          <w:rFonts w:hint="eastAsia" w:ascii="宋体" w:hAnsi="宋体"/>
          <w:color w:val="auto"/>
          <w:spacing w:val="4"/>
          <w:sz w:val="24"/>
          <w:lang w:val="en-US" w:eastAsia="zh-CN"/>
        </w:rPr>
        <w:t xml:space="preserve">6.7节能产品政府采购品目清单详见财政部、发展改革委《关于印发节能产品政府采购品目清单的通知》（财库〔2019〕19号）。 </w:t>
      </w:r>
    </w:p>
    <w:p w14:paraId="425BAAD8">
      <w:pPr>
        <w:spacing w:line="360" w:lineRule="auto"/>
        <w:ind w:firstLine="496" w:firstLineChars="200"/>
        <w:outlineLvl w:val="9"/>
        <w:rPr>
          <w:rFonts w:hint="eastAsia" w:ascii="宋体" w:hAnsi="宋体"/>
          <w:color w:val="auto"/>
          <w:spacing w:val="4"/>
          <w:sz w:val="24"/>
          <w:lang w:val="en-US" w:eastAsia="zh-CN"/>
        </w:rPr>
      </w:pPr>
      <w:r>
        <w:rPr>
          <w:rFonts w:hint="eastAsia" w:ascii="宋体" w:hAnsi="宋体"/>
          <w:color w:val="auto"/>
          <w:spacing w:val="4"/>
          <w:sz w:val="24"/>
          <w:lang w:val="en-US" w:eastAsia="zh-CN"/>
        </w:rPr>
        <w:t xml:space="preserve">6.8根据《财政部 农业农村部 国家乡村振兴局关于运用政府采购政策支持乡村产业振兴的通知》（财库〔2021〕19号），自2021年起，各级预算单位应当按照不低于10%的比例预留年度食堂食材采购份额，通过脱贫地区农副产品网络销售平台采购脱贫地区农副产品。 </w:t>
      </w:r>
    </w:p>
    <w:p w14:paraId="234D681A">
      <w:pPr>
        <w:spacing w:line="360" w:lineRule="auto"/>
        <w:ind w:firstLine="496" w:firstLineChars="200"/>
        <w:outlineLvl w:val="9"/>
        <w:rPr>
          <w:rFonts w:hint="eastAsia" w:ascii="宋体" w:hAnsi="宋体"/>
          <w:color w:val="auto"/>
          <w:spacing w:val="4"/>
          <w:sz w:val="24"/>
          <w:lang w:val="en-US" w:eastAsia="zh-CN"/>
        </w:rPr>
      </w:pPr>
      <w:r>
        <w:rPr>
          <w:rFonts w:hint="eastAsia" w:ascii="宋体" w:hAnsi="宋体"/>
          <w:color w:val="auto"/>
          <w:spacing w:val="4"/>
          <w:sz w:val="24"/>
          <w:lang w:val="en-US" w:eastAsia="zh-CN"/>
        </w:rPr>
        <w:t>6.9根据陕西省财政厅关于印发《陕西省中小企业政府采购信用融资办法》（陕财办采〔2018〕23号）规定“银行为参与政府采购融资的中小企业提供的产品，应以信用贷款为主，贷款利率应当优于一般中小企业的贷款利率水平，并将产品信息（包括贷款发放条件、利率优惠、贷款金额）等在陕西政府采购网予以展示。”</w:t>
      </w:r>
    </w:p>
    <w:p w14:paraId="1464E167">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lang w:val="en-US" w:eastAsia="zh-CN"/>
        </w:rPr>
        <w:t>6.10根据《陕西省财政厅关于加快推进我省中小企业政府采购信用融资工作的通知》（陕财办采〔2020〕15 号）规定“有融资需求的供应商可根据自身情况，在陕西省政府采购信用融资平台（含各市分平台）自主选择金融机构及其融资产品，凭政府采购中标（成交）通知书或政府采购合同向金融机构提出融资申请。”</w:t>
      </w:r>
    </w:p>
    <w:p w14:paraId="0277E118">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6</w:t>
      </w:r>
      <w:r>
        <w:rPr>
          <w:rFonts w:hint="eastAsia" w:ascii="宋体" w:hAnsi="宋体"/>
          <w:color w:val="auto"/>
          <w:spacing w:val="4"/>
          <w:sz w:val="24"/>
          <w:highlight w:val="none"/>
        </w:rPr>
        <w:t>.</w:t>
      </w:r>
      <w:r>
        <w:rPr>
          <w:rFonts w:hint="eastAsia" w:ascii="宋体" w:hAnsi="宋体"/>
          <w:color w:val="auto"/>
          <w:spacing w:val="4"/>
          <w:sz w:val="24"/>
          <w:highlight w:val="none"/>
          <w:lang w:val="en-US" w:eastAsia="zh-CN"/>
        </w:rPr>
        <w:t>11</w:t>
      </w:r>
      <w:r>
        <w:rPr>
          <w:rFonts w:hint="eastAsia" w:ascii="宋体" w:hAnsi="宋体"/>
          <w:color w:val="auto"/>
          <w:spacing w:val="4"/>
          <w:sz w:val="24"/>
          <w:highlight w:val="none"/>
        </w:rPr>
        <w:t>磋商报价人为小型和微型企业、监狱企业的评审价计算规则：</w:t>
      </w:r>
    </w:p>
    <w:p w14:paraId="765EFFCC">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highlight w:val="none"/>
          <w:lang w:val="en-US" w:eastAsia="zh-CN"/>
        </w:rPr>
        <w:t>6</w:t>
      </w:r>
      <w:r>
        <w:rPr>
          <w:rFonts w:hint="eastAsia" w:ascii="宋体" w:hAnsi="宋体"/>
          <w:color w:val="auto"/>
          <w:spacing w:val="4"/>
          <w:sz w:val="24"/>
          <w:highlight w:val="none"/>
        </w:rPr>
        <w:t>.</w:t>
      </w:r>
      <w:r>
        <w:rPr>
          <w:rFonts w:hint="eastAsia" w:ascii="宋体" w:hAnsi="宋体"/>
          <w:color w:val="auto"/>
          <w:spacing w:val="4"/>
          <w:sz w:val="24"/>
          <w:highlight w:val="none"/>
          <w:lang w:val="en-US" w:eastAsia="zh-CN"/>
        </w:rPr>
        <w:t>11</w:t>
      </w:r>
      <w:r>
        <w:rPr>
          <w:rFonts w:hint="eastAsia" w:ascii="宋体" w:hAnsi="宋体"/>
          <w:color w:val="auto"/>
          <w:spacing w:val="4"/>
          <w:sz w:val="24"/>
          <w:highlight w:val="none"/>
        </w:rPr>
        <w:t>.1本办法所称中小企业（含中型</w:t>
      </w:r>
      <w:r>
        <w:rPr>
          <w:rFonts w:hint="eastAsia" w:ascii="宋体" w:hAnsi="宋体"/>
          <w:color w:val="auto"/>
          <w:spacing w:val="4"/>
          <w:sz w:val="24"/>
        </w:rPr>
        <w:t>、小型、微型企业，下同）应当同时符合以下条件：</w:t>
      </w:r>
    </w:p>
    <w:p w14:paraId="2B2C774D">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6</w:t>
      </w:r>
      <w:r>
        <w:rPr>
          <w:rFonts w:hint="eastAsia" w:ascii="宋体" w:hAnsi="宋体"/>
          <w:color w:val="auto"/>
          <w:spacing w:val="4"/>
          <w:sz w:val="24"/>
        </w:rPr>
        <w:t>.</w:t>
      </w:r>
      <w:r>
        <w:rPr>
          <w:rFonts w:hint="eastAsia" w:ascii="宋体" w:hAnsi="宋体"/>
          <w:color w:val="auto"/>
          <w:spacing w:val="4"/>
          <w:sz w:val="24"/>
          <w:lang w:val="en-US" w:eastAsia="zh-CN"/>
        </w:rPr>
        <w:t>11</w:t>
      </w:r>
      <w:r>
        <w:rPr>
          <w:rFonts w:hint="eastAsia" w:ascii="宋体" w:hAnsi="宋体"/>
          <w:color w:val="auto"/>
          <w:spacing w:val="4"/>
          <w:sz w:val="24"/>
        </w:rPr>
        <w:t>.1.1符合中小企业划分标准；</w:t>
      </w:r>
    </w:p>
    <w:p w14:paraId="591A33A7">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6</w:t>
      </w:r>
      <w:r>
        <w:rPr>
          <w:rFonts w:hint="eastAsia" w:ascii="宋体" w:hAnsi="宋体"/>
          <w:color w:val="auto"/>
          <w:spacing w:val="4"/>
          <w:sz w:val="24"/>
        </w:rPr>
        <w:t>.</w:t>
      </w:r>
      <w:r>
        <w:rPr>
          <w:rFonts w:hint="eastAsia" w:ascii="宋体" w:hAnsi="宋体"/>
          <w:color w:val="auto"/>
          <w:spacing w:val="4"/>
          <w:sz w:val="24"/>
          <w:lang w:val="en-US" w:eastAsia="zh-CN"/>
        </w:rPr>
        <w:t>11</w:t>
      </w:r>
      <w:r>
        <w:rPr>
          <w:rFonts w:hint="eastAsia" w:ascii="宋体" w:hAnsi="宋体"/>
          <w:color w:val="auto"/>
          <w:spacing w:val="4"/>
          <w:sz w:val="24"/>
        </w:rPr>
        <w:t>.1.2提供本企业制造的货物、承担的工程或者服务，或者提供其他中小企业制造的货物。</w:t>
      </w:r>
      <w:bookmarkStart w:id="45" w:name="OLE_LINK1"/>
      <w:r>
        <w:rPr>
          <w:rFonts w:hint="eastAsia" w:ascii="宋体" w:hAnsi="宋体"/>
          <w:color w:val="auto"/>
          <w:spacing w:val="4"/>
          <w:sz w:val="24"/>
        </w:rPr>
        <w:t>本项所称货物不包括使用大型企业注册商标的货物。</w:t>
      </w:r>
      <w:bookmarkEnd w:id="45"/>
    </w:p>
    <w:p w14:paraId="517DB69A">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lang w:val="en-US" w:eastAsia="zh-CN"/>
        </w:rPr>
        <w:t>6</w:t>
      </w:r>
      <w:r>
        <w:rPr>
          <w:rFonts w:hint="eastAsia" w:ascii="宋体" w:hAnsi="宋体"/>
          <w:color w:val="auto"/>
          <w:spacing w:val="4"/>
          <w:sz w:val="24"/>
        </w:rPr>
        <w:t>.</w:t>
      </w:r>
      <w:r>
        <w:rPr>
          <w:rFonts w:hint="eastAsia" w:ascii="宋体" w:hAnsi="宋体"/>
          <w:color w:val="auto"/>
          <w:spacing w:val="4"/>
          <w:sz w:val="24"/>
          <w:lang w:val="en-US" w:eastAsia="zh-CN"/>
        </w:rPr>
        <w:t>11</w:t>
      </w:r>
      <w:r>
        <w:rPr>
          <w:rFonts w:hint="eastAsia" w:ascii="宋体" w:hAnsi="宋体"/>
          <w:color w:val="auto"/>
          <w:spacing w:val="4"/>
          <w:sz w:val="24"/>
        </w:rPr>
        <w:t>.2本规定所称中小企业划分标准，是指国务院有关部门根据企业从业人员、营业收入、资产总额等指标制定的中小企业划型标准</w:t>
      </w:r>
      <w:r>
        <w:rPr>
          <w:rFonts w:hint="eastAsia" w:ascii="宋体" w:hAnsi="宋体"/>
          <w:color w:val="auto"/>
          <w:spacing w:val="4"/>
          <w:sz w:val="24"/>
          <w:highlight w:val="none"/>
        </w:rPr>
        <w:t>（工信部联企业〔2011〕300号）；</w:t>
      </w:r>
    </w:p>
    <w:p w14:paraId="19D896B5">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6</w:t>
      </w:r>
      <w:r>
        <w:rPr>
          <w:rFonts w:hint="eastAsia" w:ascii="宋体" w:hAnsi="宋体"/>
          <w:color w:val="auto"/>
          <w:spacing w:val="4"/>
          <w:sz w:val="24"/>
        </w:rPr>
        <w:t>.</w:t>
      </w:r>
      <w:r>
        <w:rPr>
          <w:rFonts w:hint="eastAsia" w:ascii="宋体" w:hAnsi="宋体"/>
          <w:color w:val="auto"/>
          <w:spacing w:val="4"/>
          <w:sz w:val="24"/>
          <w:lang w:val="en-US" w:eastAsia="zh-CN"/>
        </w:rPr>
        <w:t>11</w:t>
      </w:r>
      <w:r>
        <w:rPr>
          <w:rFonts w:hint="eastAsia" w:ascii="宋体" w:hAnsi="宋体"/>
          <w:color w:val="auto"/>
          <w:spacing w:val="4"/>
          <w:sz w:val="24"/>
        </w:rPr>
        <w:t>.3小型、微型企业提供有中型企业制造的货物的，视同为中型企业；小型、微型、中型企业提供有大型企业制造的货物的，视同为大型企业。</w:t>
      </w:r>
    </w:p>
    <w:p w14:paraId="46D2C8FA">
      <w:pPr>
        <w:spacing w:line="360" w:lineRule="auto"/>
        <w:ind w:firstLine="496" w:firstLineChars="200"/>
        <w:outlineLvl w:val="9"/>
        <w:rPr>
          <w:rFonts w:hint="eastAsia" w:ascii="宋体" w:hAnsi="宋体" w:eastAsia="宋体" w:cs="Times New Roman"/>
          <w:color w:val="auto"/>
          <w:spacing w:val="4"/>
          <w:sz w:val="24"/>
          <w:lang w:eastAsia="zh-CN"/>
        </w:rPr>
      </w:pPr>
      <w:r>
        <w:rPr>
          <w:rFonts w:hint="eastAsia" w:ascii="宋体" w:hAnsi="宋体"/>
          <w:color w:val="auto"/>
          <w:spacing w:val="4"/>
          <w:sz w:val="24"/>
          <w:lang w:val="en-US" w:eastAsia="zh-CN"/>
        </w:rPr>
        <w:t>6</w:t>
      </w:r>
      <w:r>
        <w:rPr>
          <w:rFonts w:hint="eastAsia" w:ascii="宋体" w:hAnsi="宋体"/>
          <w:color w:val="auto"/>
          <w:spacing w:val="4"/>
          <w:sz w:val="24"/>
        </w:rPr>
        <w:t>.</w:t>
      </w:r>
      <w:r>
        <w:rPr>
          <w:rFonts w:hint="eastAsia" w:ascii="宋体" w:hAnsi="宋体"/>
          <w:color w:val="auto"/>
          <w:spacing w:val="4"/>
          <w:sz w:val="24"/>
          <w:lang w:val="en-US" w:eastAsia="zh-CN"/>
        </w:rPr>
        <w:t>11</w:t>
      </w:r>
      <w:r>
        <w:rPr>
          <w:rFonts w:hint="eastAsia" w:ascii="宋体" w:hAnsi="宋体"/>
          <w:color w:val="auto"/>
          <w:spacing w:val="4"/>
          <w:sz w:val="24"/>
        </w:rPr>
        <w:t>.4本办法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w:t>
      </w:r>
      <w:r>
        <w:rPr>
          <w:rFonts w:hint="eastAsia" w:ascii="宋体" w:hAnsi="宋体" w:eastAsia="宋体" w:cs="Times New Roman"/>
          <w:color w:val="auto"/>
          <w:spacing w:val="4"/>
          <w:sz w:val="24"/>
        </w:rPr>
        <w:t>动时，应当提供由省级以上监狱管理局、戒毒管理局（含新疆生产建设兵团）出具的属于监狱企业的证明文件。</w:t>
      </w:r>
      <w:r>
        <w:rPr>
          <w:rFonts w:hint="eastAsia" w:ascii="宋体" w:hAnsi="宋体" w:eastAsia="宋体" w:cs="Times New Roman"/>
          <w:color w:val="auto"/>
          <w:spacing w:val="4"/>
          <w:sz w:val="24"/>
          <w:lang w:val="en-US" w:eastAsia="zh-CN"/>
        </w:rPr>
        <w:t>在</w:t>
      </w:r>
      <w:r>
        <w:rPr>
          <w:rFonts w:hint="eastAsia" w:ascii="宋体" w:hAnsi="宋体" w:eastAsia="宋体" w:cs="Times New Roman"/>
          <w:color w:val="auto"/>
          <w:spacing w:val="4"/>
          <w:sz w:val="24"/>
        </w:rPr>
        <w:t>参加政府采购活动时，视同小型、微型企业</w:t>
      </w:r>
      <w:r>
        <w:rPr>
          <w:rFonts w:hint="eastAsia" w:ascii="宋体" w:hAnsi="宋体" w:eastAsia="宋体" w:cs="Times New Roman"/>
          <w:color w:val="auto"/>
          <w:spacing w:val="4"/>
          <w:sz w:val="24"/>
          <w:lang w:eastAsia="zh-CN"/>
        </w:rPr>
        <w:t>，</w:t>
      </w:r>
      <w:r>
        <w:rPr>
          <w:rFonts w:hint="eastAsia" w:ascii="宋体" w:hAnsi="宋体" w:eastAsia="宋体" w:cs="Times New Roman"/>
          <w:color w:val="auto"/>
          <w:spacing w:val="4"/>
          <w:sz w:val="24"/>
          <w:lang w:val="en-US" w:eastAsia="zh-CN"/>
        </w:rPr>
        <w:t>享受评审中价格扣除等政府采购促进中小企业发展的政府采购政策</w:t>
      </w:r>
      <w:r>
        <w:rPr>
          <w:rFonts w:hint="eastAsia" w:ascii="宋体" w:hAnsi="宋体" w:eastAsia="宋体" w:cs="Times New Roman"/>
          <w:color w:val="auto"/>
          <w:spacing w:val="4"/>
          <w:sz w:val="24"/>
        </w:rPr>
        <w:t>。</w:t>
      </w:r>
    </w:p>
    <w:p w14:paraId="3ED40E1D">
      <w:pPr>
        <w:spacing w:line="360" w:lineRule="auto"/>
        <w:ind w:firstLine="496" w:firstLineChars="200"/>
        <w:outlineLvl w:val="9"/>
        <w:rPr>
          <w:rFonts w:hint="eastAsia" w:ascii="宋体" w:hAnsi="宋体" w:eastAsia="宋体" w:cs="Times New Roman"/>
          <w:color w:val="auto"/>
          <w:spacing w:val="4"/>
          <w:sz w:val="24"/>
        </w:rPr>
      </w:pPr>
      <w:r>
        <w:rPr>
          <w:rFonts w:hint="eastAsia" w:ascii="宋体" w:hAnsi="宋体" w:eastAsia="宋体" w:cs="Times New Roman"/>
          <w:color w:val="auto"/>
          <w:spacing w:val="4"/>
          <w:sz w:val="24"/>
          <w:lang w:val="en-US" w:eastAsia="zh-CN"/>
        </w:rPr>
        <w:t>6</w:t>
      </w:r>
      <w:r>
        <w:rPr>
          <w:rFonts w:hint="eastAsia" w:ascii="宋体" w:hAnsi="宋体" w:eastAsia="宋体" w:cs="Times New Roman"/>
          <w:color w:val="auto"/>
          <w:spacing w:val="4"/>
          <w:sz w:val="24"/>
        </w:rPr>
        <w:t>.</w:t>
      </w:r>
      <w:r>
        <w:rPr>
          <w:rFonts w:hint="eastAsia" w:ascii="宋体" w:hAnsi="宋体" w:cs="Times New Roman"/>
          <w:color w:val="auto"/>
          <w:spacing w:val="4"/>
          <w:sz w:val="24"/>
          <w:lang w:val="en-US" w:eastAsia="zh-CN"/>
        </w:rPr>
        <w:t>11</w:t>
      </w:r>
      <w:r>
        <w:rPr>
          <w:rFonts w:hint="eastAsia" w:ascii="宋体" w:hAnsi="宋体" w:eastAsia="宋体" w:cs="Times New Roman"/>
          <w:color w:val="auto"/>
          <w:spacing w:val="4"/>
          <w:sz w:val="24"/>
        </w:rPr>
        <w:t>.5符合条件的残疾人福利性单位在参加政府采购活动时，应当提供本通知规定的《残疾人福利性单位声明函》，并对声明的真实性负责。残疾人福利性单位参加政府采购活动时，视同小型、微型企业。</w:t>
      </w:r>
    </w:p>
    <w:p w14:paraId="3142AED4">
      <w:pPr>
        <w:spacing w:line="360" w:lineRule="auto"/>
        <w:ind w:firstLine="496" w:firstLineChars="200"/>
        <w:outlineLvl w:val="9"/>
        <w:rPr>
          <w:rFonts w:hint="default" w:ascii="宋体" w:hAnsi="宋体" w:eastAsia="宋体" w:cs="Times New Roman"/>
          <w:color w:val="auto"/>
          <w:spacing w:val="4"/>
          <w:sz w:val="24"/>
          <w:lang w:val="en-US" w:eastAsia="zh-CN"/>
        </w:rPr>
      </w:pPr>
      <w:r>
        <w:rPr>
          <w:rFonts w:hint="eastAsia" w:ascii="宋体" w:hAnsi="宋体" w:eastAsia="宋体" w:cs="Times New Roman"/>
          <w:color w:val="auto"/>
          <w:spacing w:val="4"/>
          <w:sz w:val="24"/>
          <w:lang w:val="en-US" w:eastAsia="zh-CN"/>
        </w:rPr>
        <w:t>6</w:t>
      </w:r>
      <w:r>
        <w:rPr>
          <w:rFonts w:hint="eastAsia" w:ascii="宋体" w:hAnsi="宋体" w:eastAsia="宋体" w:cs="Times New Roman"/>
          <w:color w:val="auto"/>
          <w:spacing w:val="4"/>
          <w:sz w:val="24"/>
        </w:rPr>
        <w:t>.</w:t>
      </w:r>
      <w:r>
        <w:rPr>
          <w:rFonts w:hint="eastAsia" w:ascii="宋体" w:hAnsi="宋体" w:cs="Times New Roman"/>
          <w:color w:val="auto"/>
          <w:spacing w:val="4"/>
          <w:sz w:val="24"/>
          <w:lang w:val="en-US" w:eastAsia="zh-CN"/>
        </w:rPr>
        <w:t>11</w:t>
      </w:r>
      <w:r>
        <w:rPr>
          <w:rFonts w:hint="eastAsia" w:ascii="宋体" w:hAnsi="宋体" w:eastAsia="宋体" w:cs="Times New Roman"/>
          <w:color w:val="auto"/>
          <w:spacing w:val="4"/>
          <w:sz w:val="24"/>
        </w:rPr>
        <w:t>.</w:t>
      </w:r>
      <w:r>
        <w:rPr>
          <w:rFonts w:hint="eastAsia" w:ascii="宋体" w:hAnsi="宋体" w:eastAsia="宋体" w:cs="Times New Roman"/>
          <w:color w:val="auto"/>
          <w:spacing w:val="4"/>
          <w:sz w:val="24"/>
          <w:lang w:val="en-US" w:eastAsia="zh-CN"/>
        </w:rPr>
        <w:t>6</w:t>
      </w:r>
      <w:r>
        <w:rPr>
          <w:rFonts w:hint="eastAsia" w:ascii="宋体" w:hAnsi="宋体" w:cs="Times New Roman"/>
          <w:color w:val="auto"/>
          <w:spacing w:val="4"/>
          <w:sz w:val="24"/>
          <w:lang w:val="en-US" w:eastAsia="zh-CN"/>
        </w:rPr>
        <w:t>政策性扣减</w:t>
      </w:r>
    </w:p>
    <w:p w14:paraId="32A6B89E">
      <w:pPr>
        <w:keepNext w:val="0"/>
        <w:keepLines w:val="0"/>
        <w:pageBreakBefore w:val="0"/>
        <w:widowControl w:val="0"/>
        <w:kinsoku/>
        <w:wordWrap/>
        <w:overflowPunct/>
        <w:topLinePunct w:val="0"/>
        <w:autoSpaceDE/>
        <w:autoSpaceDN/>
        <w:bidi w:val="0"/>
        <w:adjustRightInd/>
        <w:spacing w:line="360" w:lineRule="auto"/>
        <w:ind w:firstLine="498" w:firstLineChars="200"/>
        <w:textAlignment w:val="auto"/>
        <w:outlineLvl w:val="9"/>
        <w:rPr>
          <w:rFonts w:hint="default" w:ascii="宋体" w:hAnsi="宋体" w:cs="Times New Roman"/>
          <w:b/>
          <w:bCs/>
          <w:color w:val="auto"/>
          <w:spacing w:val="4"/>
          <w:kern w:val="2"/>
          <w:sz w:val="24"/>
          <w:szCs w:val="18"/>
          <w:highlight w:val="none"/>
          <w:lang w:val="en-US" w:eastAsia="zh-CN" w:bidi="ar-SA"/>
        </w:rPr>
      </w:pPr>
      <w:r>
        <w:rPr>
          <w:rFonts w:hint="eastAsia" w:ascii="宋体" w:hAnsi="宋体" w:cs="Times New Roman"/>
          <w:b/>
          <w:bCs/>
          <w:color w:val="auto"/>
          <w:spacing w:val="4"/>
          <w:kern w:val="2"/>
          <w:sz w:val="24"/>
          <w:szCs w:val="18"/>
          <w:highlight w:val="none"/>
          <w:lang w:val="en-US" w:eastAsia="zh-CN" w:bidi="ar-SA"/>
        </w:rPr>
        <w:t>根据《政府采购促进中小企业发展管理办法》（财库〔2020〕46号）、《关于进一步加大政府采购支持中小企业力度的通知》（财库〔2022〕1</w:t>
      </w:r>
      <w:r>
        <w:rPr>
          <w:rFonts w:hint="eastAsia" w:ascii="宋体" w:hAnsi="宋体" w:eastAsia="宋体" w:cs="Times New Roman"/>
          <w:b/>
          <w:bCs/>
          <w:color w:val="auto"/>
          <w:spacing w:val="4"/>
          <w:kern w:val="2"/>
          <w:sz w:val="24"/>
          <w:szCs w:val="18"/>
          <w:highlight w:val="none"/>
          <w:lang w:val="en-US" w:eastAsia="zh-CN" w:bidi="ar-SA"/>
        </w:rPr>
        <w:t>9号）、《陕西省财政厅关于进一步落实政府采购支持中小企业相关政策的通知》（陕财办采〔2023〕3号）文件规定，本项目专门面向中小企业采购，不再享受价格扣除</w:t>
      </w:r>
      <w:r>
        <w:rPr>
          <w:rFonts w:hint="eastAsia" w:ascii="宋体" w:hAnsi="宋体" w:cs="Times New Roman"/>
          <w:b/>
          <w:bCs/>
          <w:color w:val="auto"/>
          <w:spacing w:val="4"/>
          <w:kern w:val="2"/>
          <w:sz w:val="24"/>
          <w:szCs w:val="18"/>
          <w:highlight w:val="none"/>
          <w:lang w:val="en-US" w:eastAsia="zh-CN" w:bidi="ar-SA"/>
        </w:rPr>
        <w:t>。中小企业参加政府采购活动，应当出具本办法规定的《中小企业声明函》。未出具《中小企业声明函》的，按无效投标处理。</w:t>
      </w:r>
    </w:p>
    <w:p w14:paraId="532041FC">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7</w:t>
      </w:r>
      <w:r>
        <w:rPr>
          <w:rFonts w:hint="eastAsia" w:ascii="宋体" w:hAnsi="宋体"/>
          <w:color w:val="auto"/>
          <w:spacing w:val="4"/>
          <w:sz w:val="24"/>
          <w:highlight w:val="none"/>
        </w:rPr>
        <w:t>、比较、评价：</w:t>
      </w:r>
    </w:p>
    <w:p w14:paraId="51204464">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对所有实质性响应文件进行了</w:t>
      </w:r>
      <w:r>
        <w:rPr>
          <w:rFonts w:hint="eastAsia" w:ascii="宋体" w:hAnsi="宋体"/>
          <w:color w:val="auto"/>
          <w:spacing w:val="4"/>
          <w:sz w:val="24"/>
          <w:highlight w:val="none"/>
        </w:rPr>
        <w:t>评审价</w:t>
      </w:r>
      <w:r>
        <w:rPr>
          <w:rFonts w:hint="eastAsia" w:ascii="宋体" w:hAnsi="宋体"/>
          <w:color w:val="auto"/>
          <w:spacing w:val="4"/>
          <w:sz w:val="24"/>
        </w:rPr>
        <w:t>确认之后，由竞争性磋商小组各成员按照下列《评审因素及量化指标分解表》规定的内容独立进行综合比较，评价打分。</w:t>
      </w:r>
    </w:p>
    <w:p w14:paraId="61AFACF6">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8</w:t>
      </w:r>
      <w:r>
        <w:rPr>
          <w:rFonts w:hint="eastAsia" w:ascii="宋体" w:hAnsi="宋体"/>
          <w:color w:val="auto"/>
          <w:spacing w:val="4"/>
          <w:sz w:val="24"/>
        </w:rPr>
        <w:t>、推荐成交候选供应商名单</w:t>
      </w:r>
    </w:p>
    <w:p w14:paraId="74FC919D">
      <w:pPr>
        <w:spacing w:line="360" w:lineRule="auto"/>
        <w:ind w:firstLine="496" w:firstLineChars="200"/>
        <w:outlineLvl w:val="9"/>
        <w:rPr>
          <w:rFonts w:hint="eastAsia"/>
          <w:color w:val="auto"/>
        </w:rPr>
      </w:pPr>
      <w:r>
        <w:rPr>
          <w:rFonts w:hint="eastAsia" w:ascii="宋体" w:hAnsi="宋体"/>
          <w:color w:val="auto"/>
          <w:spacing w:val="4"/>
          <w:sz w:val="24"/>
        </w:rPr>
        <w:t>汇总磋商小组成员对每个</w:t>
      </w:r>
      <w:r>
        <w:rPr>
          <w:rFonts w:hint="eastAsia" w:ascii="宋体" w:hAnsi="宋体"/>
          <w:color w:val="auto"/>
          <w:spacing w:val="4"/>
          <w:sz w:val="24"/>
          <w:lang w:val="en-US" w:eastAsia="zh-CN"/>
        </w:rPr>
        <w:t>供应商的</w:t>
      </w:r>
      <w:r>
        <w:rPr>
          <w:rFonts w:hint="eastAsia" w:ascii="宋体" w:hAnsi="宋体"/>
          <w:color w:val="auto"/>
          <w:spacing w:val="4"/>
          <w:sz w:val="24"/>
        </w:rPr>
        <w:t>综合得分，按照评审得分由高到低顺序推荐3</w:t>
      </w:r>
      <w:r>
        <w:rPr>
          <w:rFonts w:hint="eastAsia" w:ascii="宋体" w:hAnsi="宋体"/>
          <w:color w:val="auto"/>
          <w:spacing w:val="4"/>
          <w:sz w:val="24"/>
          <w:highlight w:val="none"/>
        </w:rPr>
        <w:t>名</w:t>
      </w:r>
      <w:r>
        <w:rPr>
          <w:rFonts w:hint="eastAsia" w:ascii="宋体" w:hAnsi="宋体"/>
          <w:color w:val="auto"/>
          <w:sz w:val="24"/>
          <w:highlight w:val="none"/>
        </w:rPr>
        <w:t>成交候选</w:t>
      </w:r>
      <w:r>
        <w:rPr>
          <w:rFonts w:hint="eastAsia" w:ascii="宋体" w:hAnsi="宋体"/>
          <w:color w:val="auto"/>
          <w:sz w:val="24"/>
          <w:highlight w:val="none"/>
          <w:lang w:val="en-US" w:eastAsia="zh-CN"/>
        </w:rPr>
        <w:t>供应商</w:t>
      </w:r>
      <w:r>
        <w:rPr>
          <w:rFonts w:hint="eastAsia" w:ascii="宋体" w:hAnsi="宋体"/>
          <w:color w:val="auto"/>
          <w:spacing w:val="4"/>
          <w:sz w:val="24"/>
          <w:highlight w:val="none"/>
        </w:rPr>
        <w:t>。</w:t>
      </w:r>
    </w:p>
    <w:p w14:paraId="5D0AA11E">
      <w:pPr>
        <w:spacing w:line="400" w:lineRule="exact"/>
        <w:jc w:val="center"/>
        <w:outlineLvl w:val="9"/>
        <w:rPr>
          <w:rFonts w:hint="eastAsia" w:ascii="宋体" w:hAnsi="宋体"/>
          <w:b/>
          <w:color w:val="auto"/>
          <w:sz w:val="24"/>
        </w:rPr>
      </w:pPr>
    </w:p>
    <w:p w14:paraId="349F93AE">
      <w:pPr>
        <w:spacing w:line="400" w:lineRule="exact"/>
        <w:jc w:val="center"/>
        <w:outlineLvl w:val="0"/>
        <w:rPr>
          <w:rFonts w:hint="eastAsia" w:ascii="宋体" w:hAnsi="宋体"/>
          <w:b/>
          <w:color w:val="auto"/>
          <w:sz w:val="24"/>
        </w:rPr>
      </w:pPr>
      <w:bookmarkStart w:id="46" w:name="_Toc21840"/>
      <w:r>
        <w:rPr>
          <w:rFonts w:hint="eastAsia" w:ascii="宋体" w:hAnsi="宋体"/>
          <w:b/>
          <w:color w:val="auto"/>
          <w:sz w:val="24"/>
        </w:rPr>
        <w:t>否决投标条件</w:t>
      </w:r>
      <w:bookmarkEnd w:id="46"/>
    </w:p>
    <w:p w14:paraId="5C04F50E">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A0.总  则</w:t>
      </w:r>
    </w:p>
    <w:p w14:paraId="524D2A3A">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本附件所集中列示的否决投标条件，是本章</w:t>
      </w:r>
      <w:r>
        <w:rPr>
          <w:rFonts w:hint="eastAsia" w:ascii="宋体" w:hAnsi="宋体"/>
          <w:color w:val="auto"/>
          <w:spacing w:val="4"/>
          <w:sz w:val="24"/>
          <w:highlight w:val="none"/>
        </w:rPr>
        <w:t>“评</w:t>
      </w:r>
      <w:r>
        <w:rPr>
          <w:rFonts w:hint="eastAsia" w:ascii="宋体" w:hAnsi="宋体"/>
          <w:color w:val="auto"/>
          <w:spacing w:val="4"/>
          <w:sz w:val="24"/>
          <w:highlight w:val="none"/>
          <w:lang w:val="en-US" w:eastAsia="zh-CN"/>
        </w:rPr>
        <w:t>审方</w:t>
      </w:r>
      <w:r>
        <w:rPr>
          <w:rFonts w:hint="eastAsia" w:ascii="宋体" w:hAnsi="宋体"/>
          <w:color w:val="auto"/>
          <w:spacing w:val="4"/>
          <w:sz w:val="24"/>
          <w:highlight w:val="none"/>
        </w:rPr>
        <w:t>法”的</w:t>
      </w:r>
      <w:r>
        <w:rPr>
          <w:rFonts w:hint="eastAsia" w:ascii="宋体" w:hAnsi="宋体"/>
          <w:color w:val="auto"/>
          <w:spacing w:val="4"/>
          <w:sz w:val="24"/>
        </w:rPr>
        <w:t>组成部分，是对本章正文部分所规定的否决投标条件的总结和补充，如果出现相互矛盾的情况，以本章正文部分的规定为准。</w:t>
      </w:r>
    </w:p>
    <w:p w14:paraId="5D5AD9F7">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A1.否决投标条件</w:t>
      </w:r>
    </w:p>
    <w:p w14:paraId="4C15AA57">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供应商</w:t>
      </w:r>
      <w:r>
        <w:rPr>
          <w:rFonts w:hint="eastAsia" w:ascii="宋体" w:hAnsi="宋体"/>
          <w:color w:val="auto"/>
          <w:spacing w:val="4"/>
          <w:sz w:val="24"/>
          <w:highlight w:val="none"/>
        </w:rPr>
        <w:t>或其</w:t>
      </w:r>
      <w:r>
        <w:rPr>
          <w:rFonts w:hint="eastAsia" w:ascii="宋体" w:hAnsi="宋体"/>
          <w:color w:val="auto"/>
          <w:spacing w:val="4"/>
          <w:sz w:val="24"/>
          <w:highlight w:val="none"/>
          <w:lang w:val="en-US" w:eastAsia="zh-CN"/>
        </w:rPr>
        <w:t>磋商响应</w:t>
      </w:r>
      <w:r>
        <w:rPr>
          <w:rFonts w:hint="eastAsia" w:ascii="宋体" w:hAnsi="宋体"/>
          <w:color w:val="auto"/>
          <w:spacing w:val="4"/>
          <w:sz w:val="24"/>
          <w:highlight w:val="none"/>
        </w:rPr>
        <w:t>文件有下列情形之一的，否决其投标：</w:t>
      </w:r>
    </w:p>
    <w:p w14:paraId="5F728AE9">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A1.1 有串通投标或弄虚作假或有其他违法行为的。</w:t>
      </w:r>
    </w:p>
    <w:p w14:paraId="4BB0A6D5">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A1.2 不按</w:t>
      </w:r>
      <w:r>
        <w:rPr>
          <w:rFonts w:hint="eastAsia" w:ascii="宋体" w:hAnsi="宋体"/>
          <w:color w:val="auto"/>
          <w:spacing w:val="4"/>
          <w:sz w:val="24"/>
          <w:highlight w:val="none"/>
          <w:lang w:eastAsia="zh-CN"/>
        </w:rPr>
        <w:t>磋商小组</w:t>
      </w:r>
      <w:r>
        <w:rPr>
          <w:rFonts w:hint="eastAsia" w:ascii="宋体" w:hAnsi="宋体"/>
          <w:color w:val="auto"/>
          <w:spacing w:val="4"/>
          <w:sz w:val="24"/>
          <w:highlight w:val="none"/>
        </w:rPr>
        <w:t>要求澄清、说明或补正的。</w:t>
      </w:r>
    </w:p>
    <w:p w14:paraId="64F0E59C">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A1.3</w:t>
      </w: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在资格</w:t>
      </w:r>
      <w:r>
        <w:rPr>
          <w:rFonts w:hint="eastAsia" w:ascii="宋体" w:hAnsi="宋体"/>
          <w:color w:val="auto"/>
          <w:spacing w:val="4"/>
          <w:sz w:val="24"/>
          <w:highlight w:val="none"/>
          <w:lang w:val="en-US" w:eastAsia="zh-CN"/>
        </w:rPr>
        <w:t>性</w:t>
      </w:r>
      <w:r>
        <w:rPr>
          <w:rFonts w:hint="eastAsia" w:ascii="宋体" w:hAnsi="宋体"/>
          <w:color w:val="auto"/>
          <w:spacing w:val="4"/>
          <w:sz w:val="24"/>
          <w:highlight w:val="none"/>
        </w:rPr>
        <w:t>评审、</w:t>
      </w:r>
      <w:r>
        <w:rPr>
          <w:rFonts w:hint="eastAsia" w:ascii="宋体" w:hAnsi="宋体"/>
          <w:color w:val="auto"/>
          <w:spacing w:val="4"/>
          <w:sz w:val="24"/>
          <w:highlight w:val="none"/>
          <w:lang w:eastAsia="zh-CN"/>
        </w:rPr>
        <w:t>符合性</w:t>
      </w:r>
      <w:r>
        <w:rPr>
          <w:rFonts w:hint="eastAsia" w:ascii="宋体" w:hAnsi="宋体"/>
          <w:color w:val="auto"/>
          <w:spacing w:val="4"/>
          <w:sz w:val="24"/>
          <w:highlight w:val="none"/>
        </w:rPr>
        <w:t>评审中，不符合评标方法中规定的任何一项评审标准的。</w:t>
      </w:r>
    </w:p>
    <w:p w14:paraId="21852353">
      <w:pPr>
        <w:pStyle w:val="16"/>
        <w:outlineLvl w:val="9"/>
        <w:rPr>
          <w:rFonts w:hint="eastAsia"/>
          <w:color w:val="auto"/>
          <w:highlight w:val="none"/>
        </w:rPr>
      </w:pPr>
    </w:p>
    <w:p w14:paraId="70091A83">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w:t>
      </w:r>
      <w:r>
        <w:rPr>
          <w:rFonts w:hint="eastAsia" w:ascii="宋体" w:hAnsi="宋体"/>
          <w:color w:val="auto"/>
          <w:spacing w:val="4"/>
          <w:sz w:val="24"/>
          <w:highlight w:val="none"/>
          <w:lang w:val="en-US" w:eastAsia="zh-CN"/>
        </w:rPr>
        <w:t>4磋商响应</w:t>
      </w:r>
      <w:r>
        <w:rPr>
          <w:rFonts w:hint="eastAsia" w:ascii="宋体" w:hAnsi="宋体"/>
          <w:color w:val="auto"/>
          <w:spacing w:val="4"/>
          <w:sz w:val="24"/>
          <w:highlight w:val="none"/>
        </w:rPr>
        <w:t>文件完整性不符合竞争性磋商文件规定的投标。</w:t>
      </w:r>
    </w:p>
    <w:p w14:paraId="6709A16F">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w:t>
      </w:r>
      <w:r>
        <w:rPr>
          <w:rFonts w:hint="eastAsia" w:ascii="宋体" w:hAnsi="宋体"/>
          <w:color w:val="auto"/>
          <w:spacing w:val="4"/>
          <w:sz w:val="24"/>
          <w:highlight w:val="none"/>
          <w:lang w:val="en-US" w:eastAsia="zh-CN"/>
        </w:rPr>
        <w:t>5供应商</w:t>
      </w:r>
      <w:r>
        <w:rPr>
          <w:rFonts w:hint="eastAsia" w:ascii="宋体" w:hAnsi="宋体"/>
          <w:color w:val="auto"/>
          <w:spacing w:val="4"/>
          <w:sz w:val="24"/>
          <w:highlight w:val="none"/>
        </w:rPr>
        <w:t>递交两份或多份内容不同的</w:t>
      </w:r>
      <w:r>
        <w:rPr>
          <w:rFonts w:hint="eastAsia" w:ascii="宋体" w:hAnsi="宋体"/>
          <w:color w:val="auto"/>
          <w:spacing w:val="4"/>
          <w:sz w:val="24"/>
          <w:highlight w:val="none"/>
          <w:lang w:val="en-US" w:eastAsia="zh-CN"/>
        </w:rPr>
        <w:t>磋商响应</w:t>
      </w:r>
      <w:r>
        <w:rPr>
          <w:rFonts w:hint="eastAsia" w:ascii="宋体" w:hAnsi="宋体"/>
          <w:color w:val="auto"/>
          <w:spacing w:val="4"/>
          <w:sz w:val="24"/>
          <w:highlight w:val="none"/>
        </w:rPr>
        <w:t>文件，或在一份</w:t>
      </w:r>
      <w:r>
        <w:rPr>
          <w:rFonts w:hint="eastAsia" w:ascii="宋体" w:hAnsi="宋体"/>
          <w:color w:val="auto"/>
          <w:spacing w:val="4"/>
          <w:sz w:val="24"/>
          <w:highlight w:val="none"/>
          <w:lang w:val="en-US" w:eastAsia="zh-CN"/>
        </w:rPr>
        <w:t>磋商响应</w:t>
      </w:r>
      <w:r>
        <w:rPr>
          <w:rFonts w:hint="eastAsia" w:ascii="宋体" w:hAnsi="宋体"/>
          <w:color w:val="auto"/>
          <w:spacing w:val="4"/>
          <w:sz w:val="24"/>
          <w:highlight w:val="none"/>
        </w:rPr>
        <w:t>文件中对同一</w:t>
      </w:r>
      <w:r>
        <w:rPr>
          <w:rFonts w:hint="eastAsia" w:ascii="宋体" w:hAnsi="宋体"/>
          <w:color w:val="auto"/>
          <w:spacing w:val="4"/>
          <w:sz w:val="24"/>
          <w:highlight w:val="none"/>
          <w:lang w:val="en-US" w:eastAsia="zh-CN"/>
        </w:rPr>
        <w:t>采购</w:t>
      </w:r>
      <w:r>
        <w:rPr>
          <w:rFonts w:hint="eastAsia" w:ascii="宋体" w:hAnsi="宋体"/>
          <w:color w:val="auto"/>
          <w:spacing w:val="4"/>
          <w:sz w:val="24"/>
          <w:highlight w:val="none"/>
        </w:rPr>
        <w:t>项目有两个或多个报价的。</w:t>
      </w:r>
    </w:p>
    <w:p w14:paraId="4FC47229">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w:t>
      </w:r>
      <w:r>
        <w:rPr>
          <w:rFonts w:hint="eastAsia" w:ascii="宋体" w:hAnsi="宋体"/>
          <w:color w:val="auto"/>
          <w:spacing w:val="4"/>
          <w:sz w:val="24"/>
          <w:highlight w:val="none"/>
          <w:lang w:val="en-US" w:eastAsia="zh-CN"/>
        </w:rPr>
        <w:t>6</w:t>
      </w:r>
      <w:r>
        <w:rPr>
          <w:rFonts w:hint="eastAsia" w:ascii="宋体" w:hAnsi="宋体"/>
          <w:color w:val="auto"/>
          <w:spacing w:val="4"/>
          <w:sz w:val="24"/>
          <w:highlight w:val="none"/>
          <w:lang w:eastAsia="zh-CN"/>
        </w:rPr>
        <w:t>磋商小组认定供应商的报价明显低于其他通过符合性评审供应商的报价，有可能影响产品质量或者不能诚信履约的，且供应商不能在评标现场合理的时间内提供书面说明或者不能提供相应证明材料的。</w:t>
      </w:r>
    </w:p>
    <w:p w14:paraId="4B91517A">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w:t>
      </w:r>
      <w:r>
        <w:rPr>
          <w:rFonts w:hint="eastAsia" w:ascii="宋体" w:hAnsi="宋体"/>
          <w:color w:val="auto"/>
          <w:spacing w:val="4"/>
          <w:sz w:val="24"/>
          <w:highlight w:val="none"/>
          <w:lang w:val="en-US" w:eastAsia="zh-CN"/>
        </w:rPr>
        <w:t>7</w:t>
      </w:r>
      <w:r>
        <w:rPr>
          <w:rFonts w:hint="eastAsia" w:ascii="宋体" w:hAnsi="宋体"/>
          <w:color w:val="auto"/>
          <w:spacing w:val="4"/>
          <w:sz w:val="24"/>
          <w:highlight w:val="none"/>
        </w:rPr>
        <w:t>响应文件电子版与文字版报价数据不一致的投标。</w:t>
      </w:r>
    </w:p>
    <w:p w14:paraId="560B17E1">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w:t>
      </w:r>
      <w:r>
        <w:rPr>
          <w:rFonts w:hint="eastAsia" w:ascii="宋体" w:hAnsi="宋体"/>
          <w:color w:val="auto"/>
          <w:spacing w:val="4"/>
          <w:sz w:val="24"/>
          <w:highlight w:val="none"/>
          <w:lang w:val="en-US" w:eastAsia="zh-CN"/>
        </w:rPr>
        <w:t>8供应商</w:t>
      </w:r>
      <w:r>
        <w:rPr>
          <w:rFonts w:hint="eastAsia" w:ascii="宋体" w:hAnsi="宋体"/>
          <w:color w:val="auto"/>
          <w:spacing w:val="4"/>
          <w:sz w:val="24"/>
          <w:highlight w:val="none"/>
        </w:rPr>
        <w:t>私自改动磋商文件提供的工程量清单中的工程数量的投标。</w:t>
      </w:r>
    </w:p>
    <w:p w14:paraId="1C1A54A8">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w:t>
      </w:r>
      <w:r>
        <w:rPr>
          <w:rFonts w:hint="eastAsia" w:ascii="宋体" w:hAnsi="宋体"/>
          <w:color w:val="auto"/>
          <w:spacing w:val="4"/>
          <w:sz w:val="24"/>
          <w:highlight w:val="none"/>
          <w:lang w:val="en-US" w:eastAsia="zh-CN"/>
        </w:rPr>
        <w:t>9</w:t>
      </w:r>
      <w:r>
        <w:rPr>
          <w:rFonts w:hint="eastAsia" w:ascii="宋体" w:hAnsi="宋体"/>
          <w:color w:val="auto"/>
          <w:spacing w:val="4"/>
          <w:sz w:val="24"/>
          <w:highlight w:val="none"/>
        </w:rPr>
        <w:t>其他经</w:t>
      </w:r>
      <w:r>
        <w:rPr>
          <w:rFonts w:hint="eastAsia" w:ascii="宋体" w:hAnsi="宋体"/>
          <w:color w:val="auto"/>
          <w:spacing w:val="4"/>
          <w:sz w:val="24"/>
          <w:highlight w:val="none"/>
          <w:lang w:val="en-US" w:eastAsia="zh-CN"/>
        </w:rPr>
        <w:t>磋商小组</w:t>
      </w:r>
      <w:r>
        <w:rPr>
          <w:rFonts w:hint="eastAsia" w:ascii="宋体" w:hAnsi="宋体"/>
          <w:color w:val="auto"/>
          <w:spacing w:val="4"/>
          <w:sz w:val="24"/>
          <w:highlight w:val="none"/>
        </w:rPr>
        <w:t>确认的未能实质性响应竞争性磋商文件要求的投标。</w:t>
      </w:r>
    </w:p>
    <w:p w14:paraId="08624453">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A1.1</w:t>
      </w:r>
      <w:r>
        <w:rPr>
          <w:rFonts w:hint="eastAsia" w:ascii="宋体" w:hAnsi="宋体"/>
          <w:color w:val="auto"/>
          <w:spacing w:val="4"/>
          <w:sz w:val="24"/>
          <w:highlight w:val="none"/>
          <w:lang w:val="en-US" w:eastAsia="zh-CN"/>
        </w:rPr>
        <w:t>0</w:t>
      </w:r>
      <w:r>
        <w:rPr>
          <w:rFonts w:hint="eastAsia" w:ascii="宋体" w:hAnsi="宋体"/>
          <w:color w:val="auto"/>
          <w:spacing w:val="4"/>
          <w:sz w:val="24"/>
          <w:highlight w:val="none"/>
        </w:rPr>
        <w:t>法律、法规及行业有规定的其他情形。</w:t>
      </w:r>
    </w:p>
    <w:p w14:paraId="55B0CC4E">
      <w:pPr>
        <w:spacing w:line="360" w:lineRule="auto"/>
        <w:ind w:firstLine="496" w:firstLineChars="200"/>
        <w:outlineLvl w:val="9"/>
        <w:rPr>
          <w:rFonts w:hint="eastAsia" w:ascii="宋体" w:hAnsi="宋体"/>
          <w:color w:val="auto"/>
          <w:spacing w:val="4"/>
          <w:sz w:val="24"/>
          <w:highlight w:val="none"/>
          <w:lang w:eastAsia="zh-CN"/>
        </w:rPr>
      </w:pPr>
      <w:r>
        <w:rPr>
          <w:rFonts w:hint="eastAsia" w:ascii="宋体" w:hAnsi="宋体"/>
          <w:color w:val="auto"/>
          <w:spacing w:val="4"/>
          <w:sz w:val="24"/>
          <w:highlight w:val="none"/>
        </w:rPr>
        <w:t>A1.1</w:t>
      </w:r>
      <w:r>
        <w:rPr>
          <w:rFonts w:hint="eastAsia" w:ascii="宋体" w:hAnsi="宋体"/>
          <w:color w:val="auto"/>
          <w:spacing w:val="4"/>
          <w:sz w:val="24"/>
          <w:highlight w:val="none"/>
          <w:lang w:val="en-US" w:eastAsia="zh-CN"/>
        </w:rPr>
        <w:t>1磋商报价超过最高限价的。</w:t>
      </w:r>
    </w:p>
    <w:p w14:paraId="6C84A248">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A2.串通投标</w:t>
      </w:r>
    </w:p>
    <w:p w14:paraId="5ED15AD8">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有下列情形之一的，属于</w:t>
      </w:r>
      <w:r>
        <w:rPr>
          <w:rFonts w:hint="eastAsia" w:ascii="宋体" w:hAnsi="宋体"/>
          <w:color w:val="auto"/>
          <w:spacing w:val="4"/>
          <w:sz w:val="24"/>
          <w:lang w:val="en-US" w:eastAsia="zh-CN"/>
        </w:rPr>
        <w:t>供应商</w:t>
      </w:r>
      <w:r>
        <w:rPr>
          <w:rFonts w:hint="eastAsia" w:ascii="宋体" w:hAnsi="宋体"/>
          <w:color w:val="auto"/>
          <w:spacing w:val="4"/>
          <w:sz w:val="24"/>
        </w:rPr>
        <w:t>相互串通投标：</w:t>
      </w:r>
    </w:p>
    <w:p w14:paraId="32EB2060">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（1）</w:t>
      </w:r>
      <w:r>
        <w:rPr>
          <w:rFonts w:hint="eastAsia" w:ascii="宋体" w:hAnsi="宋体"/>
          <w:color w:val="auto"/>
          <w:spacing w:val="4"/>
          <w:sz w:val="24"/>
          <w:highlight w:val="none"/>
          <w:lang w:val="en-US" w:eastAsia="zh-CN"/>
        </w:rPr>
        <w:t>供应商</w:t>
      </w:r>
      <w:r>
        <w:rPr>
          <w:rFonts w:hint="eastAsia" w:ascii="宋体" w:hAnsi="宋体"/>
          <w:color w:val="auto"/>
          <w:spacing w:val="4"/>
          <w:sz w:val="24"/>
          <w:highlight w:val="none"/>
        </w:rPr>
        <w:t>之间协商</w:t>
      </w:r>
      <w:r>
        <w:rPr>
          <w:rFonts w:hint="eastAsia" w:ascii="宋体" w:hAnsi="宋体"/>
          <w:color w:val="auto"/>
          <w:spacing w:val="4"/>
          <w:sz w:val="24"/>
          <w:highlight w:val="none"/>
          <w:lang w:eastAsia="zh-CN"/>
        </w:rPr>
        <w:t>磋商</w:t>
      </w:r>
      <w:r>
        <w:rPr>
          <w:rFonts w:hint="eastAsia" w:ascii="宋体" w:hAnsi="宋体"/>
          <w:color w:val="auto"/>
          <w:spacing w:val="4"/>
          <w:sz w:val="24"/>
          <w:highlight w:val="none"/>
        </w:rPr>
        <w:t>报价等响应文件的实质性内容；</w:t>
      </w:r>
    </w:p>
    <w:p w14:paraId="41F9EE3B">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（2）</w:t>
      </w:r>
      <w:r>
        <w:rPr>
          <w:rFonts w:hint="eastAsia" w:ascii="宋体" w:hAnsi="宋体"/>
          <w:color w:val="auto"/>
          <w:spacing w:val="4"/>
          <w:sz w:val="24"/>
          <w:highlight w:val="none"/>
          <w:lang w:val="en-US" w:eastAsia="zh-CN"/>
        </w:rPr>
        <w:t>供应商</w:t>
      </w:r>
      <w:r>
        <w:rPr>
          <w:rFonts w:hint="eastAsia" w:ascii="宋体" w:hAnsi="宋体"/>
          <w:color w:val="auto"/>
          <w:spacing w:val="4"/>
          <w:sz w:val="24"/>
          <w:highlight w:val="none"/>
        </w:rPr>
        <w:t>之间约定</w:t>
      </w:r>
      <w:r>
        <w:rPr>
          <w:rFonts w:hint="eastAsia" w:ascii="宋体" w:hAnsi="宋体"/>
          <w:color w:val="auto"/>
          <w:spacing w:val="4"/>
          <w:sz w:val="24"/>
          <w:highlight w:val="none"/>
          <w:lang w:val="en-US" w:eastAsia="zh-CN"/>
        </w:rPr>
        <w:t>成交</w:t>
      </w:r>
      <w:r>
        <w:rPr>
          <w:rFonts w:hint="eastAsia" w:ascii="宋体" w:hAnsi="宋体"/>
          <w:color w:val="auto"/>
          <w:spacing w:val="4"/>
          <w:sz w:val="24"/>
          <w:highlight w:val="none"/>
        </w:rPr>
        <w:t>人；</w:t>
      </w:r>
    </w:p>
    <w:p w14:paraId="343B4437">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（3）</w:t>
      </w:r>
      <w:r>
        <w:rPr>
          <w:rFonts w:hint="eastAsia" w:ascii="宋体" w:hAnsi="宋体"/>
          <w:color w:val="auto"/>
          <w:spacing w:val="4"/>
          <w:sz w:val="24"/>
          <w:highlight w:val="none"/>
          <w:lang w:val="en-US" w:eastAsia="zh-CN"/>
        </w:rPr>
        <w:t>供应商</w:t>
      </w:r>
      <w:r>
        <w:rPr>
          <w:rFonts w:hint="eastAsia" w:ascii="宋体" w:hAnsi="宋体"/>
          <w:color w:val="auto"/>
          <w:spacing w:val="4"/>
          <w:sz w:val="24"/>
          <w:highlight w:val="none"/>
        </w:rPr>
        <w:t>之间约定部分</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放弃投标或者</w:t>
      </w:r>
      <w:r>
        <w:rPr>
          <w:rFonts w:hint="eastAsia" w:ascii="宋体" w:hAnsi="宋体"/>
          <w:color w:val="auto"/>
          <w:spacing w:val="4"/>
          <w:sz w:val="24"/>
          <w:highlight w:val="none"/>
          <w:lang w:val="en-US" w:eastAsia="zh-CN"/>
        </w:rPr>
        <w:t>成交</w:t>
      </w:r>
      <w:r>
        <w:rPr>
          <w:rFonts w:hint="eastAsia" w:ascii="宋体" w:hAnsi="宋体"/>
          <w:color w:val="auto"/>
          <w:spacing w:val="4"/>
          <w:sz w:val="24"/>
          <w:highlight w:val="none"/>
        </w:rPr>
        <w:t>；</w:t>
      </w:r>
    </w:p>
    <w:p w14:paraId="7EBC5200">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（4）属于同一集团、协会、商会等组织成员的</w:t>
      </w:r>
      <w:r>
        <w:rPr>
          <w:rFonts w:hint="eastAsia" w:ascii="宋体" w:hAnsi="宋体"/>
          <w:color w:val="auto"/>
          <w:spacing w:val="4"/>
          <w:sz w:val="24"/>
          <w:highlight w:val="none"/>
          <w:lang w:val="en-US" w:eastAsia="zh-CN"/>
        </w:rPr>
        <w:t>供应商</w:t>
      </w:r>
      <w:r>
        <w:rPr>
          <w:rFonts w:hint="eastAsia" w:ascii="宋体" w:hAnsi="宋体"/>
          <w:color w:val="auto"/>
          <w:spacing w:val="4"/>
          <w:sz w:val="24"/>
          <w:highlight w:val="none"/>
        </w:rPr>
        <w:t>按照该组织要求协同投标；</w:t>
      </w:r>
    </w:p>
    <w:p w14:paraId="7F2FEF5C">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（5）</w:t>
      </w:r>
      <w:r>
        <w:rPr>
          <w:rFonts w:hint="eastAsia" w:ascii="宋体" w:hAnsi="宋体"/>
          <w:color w:val="auto"/>
          <w:spacing w:val="4"/>
          <w:sz w:val="24"/>
          <w:highlight w:val="none"/>
          <w:lang w:val="en-US" w:eastAsia="zh-CN"/>
        </w:rPr>
        <w:t>供应商</w:t>
      </w:r>
      <w:r>
        <w:rPr>
          <w:rFonts w:hint="eastAsia" w:ascii="宋体" w:hAnsi="宋体"/>
          <w:color w:val="auto"/>
          <w:spacing w:val="4"/>
          <w:sz w:val="24"/>
          <w:highlight w:val="none"/>
        </w:rPr>
        <w:t>之间为谋取</w:t>
      </w:r>
      <w:r>
        <w:rPr>
          <w:rFonts w:hint="eastAsia" w:ascii="宋体" w:hAnsi="宋体"/>
          <w:color w:val="auto"/>
          <w:spacing w:val="4"/>
          <w:sz w:val="24"/>
          <w:highlight w:val="none"/>
          <w:lang w:val="en-US" w:eastAsia="zh-CN"/>
        </w:rPr>
        <w:t>成交</w:t>
      </w:r>
      <w:r>
        <w:rPr>
          <w:rFonts w:hint="eastAsia" w:ascii="宋体" w:hAnsi="宋体"/>
          <w:color w:val="auto"/>
          <w:spacing w:val="4"/>
          <w:sz w:val="24"/>
          <w:highlight w:val="none"/>
        </w:rPr>
        <w:t>或者排斥特定</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而采取的其他联合行动。</w:t>
      </w:r>
    </w:p>
    <w:p w14:paraId="5BE0AF0A">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有下列情形之一的，视为</w:t>
      </w:r>
      <w:r>
        <w:rPr>
          <w:rFonts w:hint="eastAsia" w:ascii="宋体" w:hAnsi="宋体"/>
          <w:color w:val="auto"/>
          <w:spacing w:val="4"/>
          <w:sz w:val="24"/>
          <w:highlight w:val="none"/>
          <w:lang w:val="en-US" w:eastAsia="zh-CN"/>
        </w:rPr>
        <w:t>供应商</w:t>
      </w:r>
      <w:r>
        <w:rPr>
          <w:rFonts w:hint="eastAsia" w:ascii="宋体" w:hAnsi="宋体"/>
          <w:color w:val="auto"/>
          <w:spacing w:val="4"/>
          <w:sz w:val="24"/>
          <w:highlight w:val="none"/>
        </w:rPr>
        <w:t>相互串通投标：</w:t>
      </w:r>
    </w:p>
    <w:p w14:paraId="4AEFC310">
      <w:pPr>
        <w:spacing w:line="360" w:lineRule="auto"/>
        <w:ind w:firstLine="496" w:firstLineChars="200"/>
        <w:outlineLvl w:val="9"/>
        <w:rPr>
          <w:rFonts w:hint="eastAsia" w:ascii="宋体" w:hAnsi="宋体"/>
          <w:color w:val="auto"/>
          <w:spacing w:val="4"/>
          <w:sz w:val="24"/>
          <w:highlight w:val="none"/>
        </w:rPr>
      </w:pPr>
      <w:r>
        <w:rPr>
          <w:rFonts w:hint="eastAsia" w:ascii="宋体" w:hAnsi="宋体"/>
          <w:color w:val="auto"/>
          <w:spacing w:val="4"/>
          <w:sz w:val="24"/>
          <w:highlight w:val="none"/>
        </w:rPr>
        <w:t>（1）</w:t>
      </w:r>
      <w:r>
        <w:rPr>
          <w:rFonts w:hint="eastAsia" w:ascii="宋体" w:hAnsi="宋体" w:eastAsia="宋体" w:cs="宋体"/>
          <w:color w:val="auto"/>
          <w:spacing w:val="4"/>
          <w:sz w:val="24"/>
          <w:highlight w:val="none"/>
        </w:rPr>
        <w:t>不</w:t>
      </w:r>
      <w:r>
        <w:rPr>
          <w:rFonts w:hint="eastAsia" w:ascii="宋体" w:hAnsi="宋体"/>
          <w:color w:val="auto"/>
          <w:spacing w:val="4"/>
          <w:sz w:val="24"/>
          <w:highlight w:val="none"/>
        </w:rPr>
        <w:t>同</w:t>
      </w:r>
      <w:r>
        <w:rPr>
          <w:rFonts w:hint="eastAsia" w:ascii="宋体" w:hAnsi="宋体"/>
          <w:color w:val="auto"/>
          <w:spacing w:val="4"/>
          <w:sz w:val="24"/>
          <w:highlight w:val="none"/>
          <w:lang w:val="en-US" w:eastAsia="zh-CN"/>
        </w:rPr>
        <w:t>供应商</w:t>
      </w:r>
      <w:r>
        <w:rPr>
          <w:rFonts w:hint="eastAsia" w:ascii="宋体" w:hAnsi="宋体"/>
          <w:color w:val="auto"/>
          <w:spacing w:val="4"/>
          <w:sz w:val="24"/>
          <w:highlight w:val="none"/>
        </w:rPr>
        <w:t>的响应文件由同一单位或者个人编制；</w:t>
      </w:r>
    </w:p>
    <w:p w14:paraId="0BD8275A">
      <w:pPr>
        <w:spacing w:line="360" w:lineRule="auto"/>
        <w:ind w:firstLine="496" w:firstLineChars="200"/>
        <w:outlineLvl w:val="9"/>
        <w:rPr>
          <w:rFonts w:hint="eastAsia" w:ascii="宋体" w:hAnsi="宋体" w:eastAsia="宋体" w:cs="宋体"/>
          <w:color w:val="auto"/>
          <w:spacing w:val="4"/>
          <w:sz w:val="24"/>
          <w:highlight w:val="none"/>
        </w:rPr>
      </w:pPr>
      <w:r>
        <w:rPr>
          <w:rFonts w:hint="eastAsia" w:ascii="宋体" w:hAnsi="宋体"/>
          <w:color w:val="auto"/>
          <w:spacing w:val="4"/>
          <w:sz w:val="24"/>
          <w:highlight w:val="none"/>
        </w:rPr>
        <w:t>（</w:t>
      </w:r>
      <w:r>
        <w:rPr>
          <w:rFonts w:hint="eastAsia" w:ascii="宋体" w:hAnsi="宋体"/>
          <w:color w:val="auto"/>
          <w:spacing w:val="4"/>
          <w:sz w:val="24"/>
          <w:highlight w:val="none"/>
          <w:lang w:val="en-US" w:eastAsia="zh-CN"/>
        </w:rPr>
        <w:t>2</w:t>
      </w:r>
      <w:r>
        <w:rPr>
          <w:rFonts w:hint="eastAsia" w:ascii="宋体" w:hAnsi="宋体"/>
          <w:color w:val="auto"/>
          <w:spacing w:val="4"/>
          <w:sz w:val="24"/>
          <w:highlight w:val="none"/>
        </w:rPr>
        <w:t>）</w:t>
      </w:r>
      <w:r>
        <w:rPr>
          <w:rFonts w:hint="eastAsia" w:ascii="宋体" w:hAnsi="宋体" w:eastAsia="宋体" w:cs="宋体"/>
          <w:color w:val="auto"/>
          <w:spacing w:val="4"/>
          <w:sz w:val="24"/>
          <w:highlight w:val="none"/>
        </w:rPr>
        <w:t>不同</w:t>
      </w:r>
      <w:r>
        <w:rPr>
          <w:rFonts w:hint="eastAsia" w:ascii="宋体" w:hAnsi="宋体" w:eastAsia="宋体" w:cs="宋体"/>
          <w:color w:val="auto"/>
          <w:spacing w:val="4"/>
          <w:sz w:val="24"/>
          <w:highlight w:val="none"/>
          <w:lang w:val="en-US" w:eastAsia="zh-CN"/>
        </w:rPr>
        <w:t>供应商</w:t>
      </w:r>
      <w:r>
        <w:rPr>
          <w:rFonts w:hint="eastAsia" w:ascii="宋体" w:hAnsi="宋体" w:eastAsia="宋体" w:cs="宋体"/>
          <w:color w:val="auto"/>
          <w:spacing w:val="4"/>
          <w:sz w:val="24"/>
          <w:highlight w:val="none"/>
        </w:rPr>
        <w:t>委托同一单位或者个人办理投标事宜；</w:t>
      </w:r>
    </w:p>
    <w:p w14:paraId="645953DB">
      <w:pPr>
        <w:spacing w:line="360" w:lineRule="auto"/>
        <w:ind w:firstLine="496" w:firstLineChars="200"/>
        <w:outlineLvl w:val="9"/>
        <w:rPr>
          <w:rFonts w:hint="eastAsia" w:ascii="宋体" w:hAnsi="宋体" w:eastAsia="宋体" w:cs="宋体"/>
          <w:color w:val="auto"/>
          <w:spacing w:val="4"/>
          <w:sz w:val="24"/>
          <w:highlight w:val="none"/>
        </w:rPr>
      </w:pPr>
      <w:r>
        <w:rPr>
          <w:rFonts w:hint="eastAsia" w:ascii="宋体" w:hAnsi="宋体"/>
          <w:color w:val="auto"/>
          <w:spacing w:val="4"/>
          <w:sz w:val="24"/>
          <w:highlight w:val="none"/>
        </w:rPr>
        <w:t>（</w:t>
      </w:r>
      <w:r>
        <w:rPr>
          <w:rFonts w:hint="eastAsia" w:ascii="宋体" w:hAnsi="宋体"/>
          <w:color w:val="auto"/>
          <w:spacing w:val="4"/>
          <w:sz w:val="24"/>
          <w:highlight w:val="none"/>
          <w:lang w:val="en-US" w:eastAsia="zh-CN"/>
        </w:rPr>
        <w:t>3</w:t>
      </w:r>
      <w:r>
        <w:rPr>
          <w:rFonts w:hint="eastAsia" w:ascii="宋体" w:hAnsi="宋体"/>
          <w:color w:val="auto"/>
          <w:spacing w:val="4"/>
          <w:sz w:val="24"/>
          <w:highlight w:val="none"/>
        </w:rPr>
        <w:t>）</w:t>
      </w:r>
      <w:r>
        <w:rPr>
          <w:rFonts w:hint="eastAsia" w:ascii="宋体" w:hAnsi="宋体" w:eastAsia="宋体" w:cs="宋体"/>
          <w:color w:val="auto"/>
          <w:spacing w:val="4"/>
          <w:sz w:val="24"/>
          <w:highlight w:val="none"/>
        </w:rPr>
        <w:t>不同</w:t>
      </w:r>
      <w:r>
        <w:rPr>
          <w:rFonts w:hint="eastAsia" w:ascii="宋体" w:hAnsi="宋体" w:eastAsia="宋体" w:cs="宋体"/>
          <w:color w:val="auto"/>
          <w:spacing w:val="4"/>
          <w:sz w:val="24"/>
          <w:highlight w:val="none"/>
          <w:lang w:val="en-US" w:eastAsia="zh-CN"/>
        </w:rPr>
        <w:t>供应商</w:t>
      </w:r>
      <w:r>
        <w:rPr>
          <w:rFonts w:hint="eastAsia" w:ascii="宋体" w:hAnsi="宋体" w:eastAsia="宋体" w:cs="宋体"/>
          <w:color w:val="auto"/>
          <w:spacing w:val="4"/>
          <w:sz w:val="24"/>
          <w:highlight w:val="none"/>
        </w:rPr>
        <w:t>的响应文件载明的项目管理成员为同一人；</w:t>
      </w:r>
    </w:p>
    <w:p w14:paraId="2110B20F">
      <w:pPr>
        <w:spacing w:line="360" w:lineRule="auto"/>
        <w:ind w:firstLine="496" w:firstLineChars="200"/>
        <w:outlineLvl w:val="9"/>
        <w:rPr>
          <w:rFonts w:hint="eastAsia" w:ascii="宋体" w:hAnsi="宋体" w:eastAsia="宋体" w:cs="宋体"/>
          <w:color w:val="auto"/>
          <w:spacing w:val="4"/>
          <w:sz w:val="24"/>
          <w:highlight w:val="none"/>
        </w:rPr>
      </w:pPr>
      <w:r>
        <w:rPr>
          <w:rFonts w:hint="eastAsia" w:ascii="宋体" w:hAnsi="宋体"/>
          <w:color w:val="auto"/>
          <w:spacing w:val="4"/>
          <w:sz w:val="24"/>
          <w:highlight w:val="none"/>
        </w:rPr>
        <w:t>（</w:t>
      </w:r>
      <w:r>
        <w:rPr>
          <w:rFonts w:hint="eastAsia" w:ascii="宋体" w:hAnsi="宋体"/>
          <w:color w:val="auto"/>
          <w:spacing w:val="4"/>
          <w:sz w:val="24"/>
          <w:highlight w:val="none"/>
          <w:lang w:val="en-US" w:eastAsia="zh-CN"/>
        </w:rPr>
        <w:t>4</w:t>
      </w:r>
      <w:r>
        <w:rPr>
          <w:rFonts w:hint="eastAsia" w:ascii="宋体" w:hAnsi="宋体"/>
          <w:color w:val="auto"/>
          <w:spacing w:val="4"/>
          <w:sz w:val="24"/>
          <w:highlight w:val="none"/>
        </w:rPr>
        <w:t>）</w:t>
      </w:r>
      <w:r>
        <w:rPr>
          <w:rFonts w:hint="eastAsia" w:ascii="宋体" w:hAnsi="宋体" w:eastAsia="宋体" w:cs="宋体"/>
          <w:color w:val="auto"/>
          <w:spacing w:val="4"/>
          <w:sz w:val="24"/>
          <w:highlight w:val="none"/>
        </w:rPr>
        <w:t>不同</w:t>
      </w:r>
      <w:r>
        <w:rPr>
          <w:rFonts w:hint="eastAsia" w:ascii="宋体" w:hAnsi="宋体" w:eastAsia="宋体" w:cs="宋体"/>
          <w:color w:val="auto"/>
          <w:spacing w:val="4"/>
          <w:sz w:val="24"/>
          <w:highlight w:val="none"/>
          <w:lang w:val="en-US" w:eastAsia="zh-CN"/>
        </w:rPr>
        <w:t>供应商</w:t>
      </w:r>
      <w:r>
        <w:rPr>
          <w:rFonts w:hint="eastAsia" w:ascii="宋体" w:hAnsi="宋体" w:eastAsia="宋体" w:cs="宋体"/>
          <w:color w:val="auto"/>
          <w:spacing w:val="4"/>
          <w:sz w:val="24"/>
          <w:highlight w:val="none"/>
        </w:rPr>
        <w:t>的响应文件异常一致或者</w:t>
      </w:r>
      <w:r>
        <w:rPr>
          <w:rFonts w:hint="eastAsia" w:ascii="宋体" w:hAnsi="宋体" w:eastAsia="宋体" w:cs="宋体"/>
          <w:color w:val="auto"/>
          <w:spacing w:val="4"/>
          <w:sz w:val="24"/>
          <w:highlight w:val="none"/>
          <w:lang w:val="en-US" w:eastAsia="zh-CN"/>
        </w:rPr>
        <w:t>磋商</w:t>
      </w:r>
      <w:r>
        <w:rPr>
          <w:rFonts w:hint="eastAsia" w:ascii="宋体" w:hAnsi="宋体" w:eastAsia="宋体" w:cs="宋体"/>
          <w:color w:val="auto"/>
          <w:spacing w:val="4"/>
          <w:sz w:val="24"/>
          <w:highlight w:val="none"/>
        </w:rPr>
        <w:t>报价呈规律性差异；</w:t>
      </w:r>
    </w:p>
    <w:p w14:paraId="3E80A51C">
      <w:pPr>
        <w:spacing w:line="360" w:lineRule="auto"/>
        <w:ind w:firstLine="496" w:firstLineChars="200"/>
        <w:outlineLvl w:val="9"/>
        <w:rPr>
          <w:rFonts w:hint="eastAsia" w:ascii="宋体" w:hAnsi="宋体" w:eastAsia="宋体" w:cs="宋体"/>
          <w:color w:val="auto"/>
          <w:spacing w:val="4"/>
          <w:sz w:val="24"/>
          <w:highlight w:val="none"/>
        </w:rPr>
      </w:pPr>
      <w:r>
        <w:rPr>
          <w:rFonts w:hint="eastAsia" w:ascii="宋体" w:hAnsi="宋体"/>
          <w:color w:val="auto"/>
          <w:spacing w:val="4"/>
          <w:sz w:val="24"/>
          <w:highlight w:val="none"/>
        </w:rPr>
        <w:t>（</w:t>
      </w: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w:t>
      </w:r>
      <w:r>
        <w:rPr>
          <w:rFonts w:hint="eastAsia" w:ascii="宋体" w:hAnsi="宋体" w:eastAsia="宋体" w:cs="宋体"/>
          <w:color w:val="auto"/>
          <w:spacing w:val="4"/>
          <w:sz w:val="24"/>
          <w:highlight w:val="none"/>
        </w:rPr>
        <w:t>不同</w:t>
      </w:r>
      <w:r>
        <w:rPr>
          <w:rFonts w:hint="eastAsia" w:ascii="宋体" w:hAnsi="宋体" w:eastAsia="宋体" w:cs="宋体"/>
          <w:color w:val="auto"/>
          <w:spacing w:val="4"/>
          <w:sz w:val="24"/>
          <w:highlight w:val="none"/>
          <w:lang w:val="en-US" w:eastAsia="zh-CN"/>
        </w:rPr>
        <w:t>供应商</w:t>
      </w:r>
      <w:r>
        <w:rPr>
          <w:rFonts w:hint="eastAsia" w:ascii="宋体" w:hAnsi="宋体" w:eastAsia="宋体" w:cs="宋体"/>
          <w:color w:val="auto"/>
          <w:spacing w:val="4"/>
          <w:sz w:val="24"/>
          <w:highlight w:val="none"/>
        </w:rPr>
        <w:t>的响应文件相互混装；</w:t>
      </w:r>
    </w:p>
    <w:p w14:paraId="11C0D148">
      <w:pPr>
        <w:spacing w:line="360" w:lineRule="auto"/>
        <w:ind w:firstLine="496" w:firstLineChars="200"/>
        <w:outlineLvl w:val="9"/>
        <w:rPr>
          <w:rFonts w:hint="eastAsia" w:ascii="宋体" w:hAnsi="宋体" w:eastAsia="宋体" w:cs="宋体"/>
          <w:color w:val="auto"/>
          <w:spacing w:val="4"/>
          <w:sz w:val="24"/>
          <w:highlight w:val="none"/>
        </w:rPr>
      </w:pPr>
      <w:r>
        <w:rPr>
          <w:rFonts w:hint="eastAsia" w:ascii="宋体" w:hAnsi="宋体"/>
          <w:color w:val="auto"/>
          <w:spacing w:val="4"/>
          <w:sz w:val="24"/>
          <w:highlight w:val="none"/>
        </w:rPr>
        <w:t>（</w:t>
      </w:r>
      <w:r>
        <w:rPr>
          <w:rFonts w:hint="eastAsia" w:ascii="宋体" w:hAnsi="宋体"/>
          <w:color w:val="auto"/>
          <w:spacing w:val="4"/>
          <w:sz w:val="24"/>
          <w:highlight w:val="none"/>
          <w:lang w:val="en-US" w:eastAsia="zh-CN"/>
        </w:rPr>
        <w:t>6</w:t>
      </w:r>
      <w:r>
        <w:rPr>
          <w:rFonts w:hint="eastAsia" w:ascii="宋体" w:hAnsi="宋体"/>
          <w:color w:val="auto"/>
          <w:spacing w:val="4"/>
          <w:sz w:val="24"/>
          <w:highlight w:val="none"/>
        </w:rPr>
        <w:t>）</w:t>
      </w:r>
      <w:r>
        <w:rPr>
          <w:rFonts w:hint="eastAsia" w:ascii="宋体" w:hAnsi="宋体" w:eastAsia="宋体" w:cs="宋体"/>
          <w:color w:val="auto"/>
          <w:spacing w:val="4"/>
          <w:sz w:val="24"/>
          <w:highlight w:val="none"/>
        </w:rPr>
        <w:t>不同</w:t>
      </w:r>
      <w:r>
        <w:rPr>
          <w:rFonts w:hint="eastAsia" w:ascii="宋体" w:hAnsi="宋体" w:eastAsia="宋体" w:cs="宋体"/>
          <w:color w:val="auto"/>
          <w:spacing w:val="4"/>
          <w:sz w:val="24"/>
          <w:highlight w:val="none"/>
          <w:lang w:val="en-US" w:eastAsia="zh-CN"/>
        </w:rPr>
        <w:t>供应商</w:t>
      </w:r>
      <w:r>
        <w:rPr>
          <w:rFonts w:hint="eastAsia" w:ascii="宋体" w:hAnsi="宋体" w:eastAsia="宋体" w:cs="宋体"/>
          <w:color w:val="auto"/>
          <w:spacing w:val="4"/>
          <w:sz w:val="24"/>
          <w:highlight w:val="none"/>
        </w:rPr>
        <w:t>的磋商保证金从同一单位或者个人的账户转出；</w:t>
      </w:r>
    </w:p>
    <w:p w14:paraId="41323EB1">
      <w:pPr>
        <w:spacing w:line="360" w:lineRule="auto"/>
        <w:ind w:firstLine="496" w:firstLineChars="200"/>
        <w:outlineLvl w:val="9"/>
        <w:rPr>
          <w:rFonts w:hint="default" w:ascii="宋体" w:hAnsi="宋体"/>
          <w:color w:val="auto"/>
          <w:spacing w:val="4"/>
          <w:sz w:val="24"/>
          <w:highlight w:val="none"/>
          <w:lang w:val="en-US" w:eastAsia="zh-CN"/>
        </w:rPr>
      </w:pPr>
      <w:r>
        <w:rPr>
          <w:rFonts w:hint="eastAsia" w:ascii="宋体" w:hAnsi="宋体"/>
          <w:color w:val="auto"/>
          <w:spacing w:val="4"/>
          <w:sz w:val="24"/>
          <w:highlight w:val="none"/>
        </w:rPr>
        <w:t>（</w:t>
      </w:r>
      <w:r>
        <w:rPr>
          <w:rFonts w:hint="eastAsia" w:ascii="宋体" w:hAnsi="宋体"/>
          <w:color w:val="auto"/>
          <w:spacing w:val="4"/>
          <w:sz w:val="24"/>
          <w:highlight w:val="none"/>
          <w:lang w:val="en-US" w:eastAsia="zh-CN"/>
        </w:rPr>
        <w:t>7</w:t>
      </w:r>
      <w:r>
        <w:rPr>
          <w:rFonts w:hint="eastAsia" w:ascii="宋体" w:hAnsi="宋体"/>
          <w:color w:val="auto"/>
          <w:spacing w:val="4"/>
          <w:sz w:val="24"/>
          <w:highlight w:val="none"/>
        </w:rPr>
        <w:t>）</w:t>
      </w:r>
      <w:r>
        <w:rPr>
          <w:rFonts w:hint="eastAsia" w:ascii="宋体" w:hAnsi="宋体" w:eastAsia="宋体" w:cs="宋体"/>
          <w:color w:val="auto"/>
          <w:spacing w:val="4"/>
          <w:sz w:val="24"/>
          <w:highlight w:val="none"/>
          <w:lang w:val="en-US" w:eastAsia="zh-CN"/>
        </w:rPr>
        <w:t>不同</w:t>
      </w:r>
      <w:r>
        <w:rPr>
          <w:rFonts w:hint="eastAsia" w:ascii="宋体" w:hAnsi="宋体"/>
          <w:color w:val="auto"/>
          <w:spacing w:val="4"/>
          <w:sz w:val="24"/>
          <w:highlight w:val="none"/>
          <w:lang w:val="en-US" w:eastAsia="zh-CN"/>
        </w:rPr>
        <w:t>供应商的响应文件由同一电脑编制、上传或磋商报价用同一个预算编制软件密码锁制作或出自同一电子文档。</w:t>
      </w:r>
    </w:p>
    <w:p w14:paraId="3E55ABB7">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A3.弄虚作假</w:t>
      </w:r>
    </w:p>
    <w:p w14:paraId="1AA3BA31">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供应商</w:t>
      </w:r>
      <w:r>
        <w:rPr>
          <w:rFonts w:hint="eastAsia" w:ascii="宋体" w:hAnsi="宋体"/>
          <w:color w:val="auto"/>
          <w:spacing w:val="4"/>
          <w:sz w:val="24"/>
        </w:rPr>
        <w:t>有下列情形之一的，属于弄虚作假的行为：</w:t>
      </w:r>
    </w:p>
    <w:p w14:paraId="3C1E467D">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A3.1 使用伪造、变造的许可证件；</w:t>
      </w:r>
    </w:p>
    <w:p w14:paraId="69E11926">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A3.2 提供虚假的财务状况或者业绩；</w:t>
      </w:r>
    </w:p>
    <w:p w14:paraId="04CBAC43">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A3.3 提供虚假的项目负责人或者主要技术人员简历、劳动关系证明；</w:t>
      </w:r>
    </w:p>
    <w:p w14:paraId="12F5B24E">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A3.4 提供虚假的信用状况；</w:t>
      </w:r>
    </w:p>
    <w:p w14:paraId="160A5A62">
      <w:pPr>
        <w:spacing w:line="360" w:lineRule="auto"/>
        <w:ind w:firstLine="496" w:firstLineChars="200"/>
        <w:outlineLvl w:val="9"/>
        <w:rPr>
          <w:rFonts w:hint="eastAsia" w:ascii="宋体" w:hAnsi="宋体"/>
          <w:color w:val="auto"/>
          <w:spacing w:val="4"/>
          <w:sz w:val="24"/>
        </w:rPr>
      </w:pPr>
      <w:r>
        <w:rPr>
          <w:rFonts w:hint="eastAsia" w:ascii="宋体" w:hAnsi="宋体"/>
          <w:color w:val="auto"/>
          <w:spacing w:val="4"/>
          <w:sz w:val="24"/>
        </w:rPr>
        <w:t>A3.5 其他弄虚作假的行为。</w:t>
      </w:r>
    </w:p>
    <w:p w14:paraId="49DF79EB">
      <w:pPr>
        <w:pStyle w:val="16"/>
        <w:outlineLvl w:val="9"/>
        <w:rPr>
          <w:rFonts w:hint="eastAsia" w:ascii="宋体" w:hAnsi="宋体"/>
          <w:color w:val="auto"/>
          <w:sz w:val="24"/>
        </w:rPr>
      </w:pPr>
    </w:p>
    <w:p w14:paraId="3093B701">
      <w:pPr>
        <w:pStyle w:val="16"/>
        <w:outlineLvl w:val="9"/>
        <w:rPr>
          <w:rFonts w:hint="eastAsia" w:ascii="宋体" w:hAnsi="宋体"/>
          <w:color w:val="auto"/>
          <w:sz w:val="24"/>
        </w:rPr>
      </w:pPr>
    </w:p>
    <w:p w14:paraId="3242788C">
      <w:pPr>
        <w:pStyle w:val="16"/>
        <w:outlineLvl w:val="9"/>
        <w:rPr>
          <w:rFonts w:hint="eastAsia" w:ascii="宋体" w:hAnsi="宋体"/>
          <w:color w:val="auto"/>
          <w:sz w:val="24"/>
        </w:rPr>
      </w:pPr>
    </w:p>
    <w:p w14:paraId="72B142A5">
      <w:pPr>
        <w:pStyle w:val="16"/>
        <w:outlineLvl w:val="9"/>
        <w:rPr>
          <w:rFonts w:hint="eastAsia" w:ascii="宋体" w:hAnsi="宋体"/>
          <w:color w:val="auto"/>
          <w:sz w:val="24"/>
        </w:rPr>
      </w:pPr>
    </w:p>
    <w:p w14:paraId="20F73C3B">
      <w:pPr>
        <w:pStyle w:val="16"/>
        <w:outlineLvl w:val="9"/>
        <w:rPr>
          <w:rFonts w:hint="eastAsia" w:ascii="宋体" w:hAnsi="宋体"/>
          <w:color w:val="auto"/>
          <w:sz w:val="24"/>
        </w:rPr>
      </w:pPr>
    </w:p>
    <w:p w14:paraId="108BCC1A">
      <w:pPr>
        <w:pStyle w:val="16"/>
        <w:outlineLvl w:val="9"/>
        <w:rPr>
          <w:rFonts w:hint="eastAsia" w:ascii="宋体" w:hAnsi="宋体"/>
          <w:color w:val="auto"/>
          <w:sz w:val="24"/>
        </w:rPr>
      </w:pPr>
    </w:p>
    <w:p w14:paraId="229A64E4">
      <w:pPr>
        <w:pStyle w:val="16"/>
        <w:outlineLvl w:val="9"/>
        <w:rPr>
          <w:rFonts w:hint="eastAsia" w:ascii="宋体" w:hAnsi="宋体"/>
          <w:color w:val="auto"/>
          <w:sz w:val="24"/>
        </w:rPr>
      </w:pPr>
    </w:p>
    <w:p w14:paraId="00CFCD86">
      <w:pPr>
        <w:pStyle w:val="16"/>
        <w:outlineLvl w:val="9"/>
        <w:rPr>
          <w:rFonts w:hint="eastAsia" w:ascii="宋体" w:hAnsi="宋体"/>
          <w:color w:val="auto"/>
          <w:sz w:val="24"/>
        </w:rPr>
      </w:pPr>
    </w:p>
    <w:p w14:paraId="42A9A5D1">
      <w:pPr>
        <w:pStyle w:val="16"/>
        <w:outlineLvl w:val="9"/>
        <w:rPr>
          <w:rFonts w:hint="eastAsia" w:ascii="宋体" w:hAnsi="宋体"/>
          <w:color w:val="auto"/>
          <w:sz w:val="24"/>
        </w:rPr>
      </w:pPr>
    </w:p>
    <w:p w14:paraId="42F807F2">
      <w:pPr>
        <w:pStyle w:val="16"/>
        <w:outlineLvl w:val="9"/>
        <w:rPr>
          <w:rFonts w:hint="eastAsia" w:ascii="宋体" w:hAnsi="宋体"/>
          <w:color w:val="auto"/>
          <w:sz w:val="24"/>
        </w:rPr>
      </w:pPr>
    </w:p>
    <w:p w14:paraId="724CF27F">
      <w:pPr>
        <w:pStyle w:val="16"/>
        <w:outlineLvl w:val="9"/>
        <w:rPr>
          <w:rFonts w:hint="eastAsia" w:ascii="宋体" w:hAnsi="宋体"/>
          <w:color w:val="auto"/>
          <w:sz w:val="24"/>
        </w:rPr>
      </w:pPr>
    </w:p>
    <w:p w14:paraId="5CBC3275">
      <w:pPr>
        <w:pStyle w:val="16"/>
        <w:outlineLvl w:val="9"/>
        <w:rPr>
          <w:rFonts w:hint="eastAsia" w:ascii="宋体" w:hAnsi="宋体"/>
          <w:color w:val="auto"/>
          <w:sz w:val="24"/>
        </w:rPr>
      </w:pPr>
    </w:p>
    <w:p w14:paraId="161A866A">
      <w:pPr>
        <w:pStyle w:val="16"/>
        <w:outlineLvl w:val="9"/>
        <w:rPr>
          <w:rFonts w:hint="eastAsia" w:ascii="宋体" w:hAnsi="宋体"/>
          <w:color w:val="auto"/>
          <w:sz w:val="24"/>
        </w:rPr>
      </w:pPr>
    </w:p>
    <w:p w14:paraId="6845E6A0">
      <w:pPr>
        <w:pStyle w:val="16"/>
        <w:outlineLvl w:val="9"/>
        <w:rPr>
          <w:rFonts w:hint="eastAsia" w:ascii="宋体" w:hAnsi="宋体"/>
          <w:color w:val="auto"/>
          <w:sz w:val="24"/>
        </w:rPr>
      </w:pPr>
    </w:p>
    <w:p w14:paraId="56E9333B">
      <w:pPr>
        <w:pStyle w:val="16"/>
        <w:outlineLvl w:val="9"/>
        <w:rPr>
          <w:rFonts w:hint="eastAsia" w:ascii="宋体" w:hAnsi="宋体"/>
          <w:color w:val="auto"/>
          <w:sz w:val="24"/>
        </w:rPr>
      </w:pPr>
    </w:p>
    <w:p w14:paraId="5A291585">
      <w:pPr>
        <w:pStyle w:val="16"/>
        <w:outlineLvl w:val="9"/>
        <w:rPr>
          <w:rFonts w:hint="eastAsia" w:ascii="宋体" w:hAnsi="宋体"/>
          <w:color w:val="auto"/>
          <w:sz w:val="24"/>
        </w:rPr>
      </w:pPr>
    </w:p>
    <w:p w14:paraId="2DD19544">
      <w:pPr>
        <w:pStyle w:val="16"/>
        <w:outlineLvl w:val="9"/>
        <w:rPr>
          <w:rFonts w:hint="eastAsia" w:ascii="宋体" w:hAnsi="宋体"/>
          <w:color w:val="auto"/>
          <w:sz w:val="24"/>
        </w:rPr>
      </w:pPr>
    </w:p>
    <w:p w14:paraId="366E27EC">
      <w:pPr>
        <w:pStyle w:val="16"/>
        <w:outlineLvl w:val="9"/>
        <w:rPr>
          <w:rFonts w:hint="eastAsia" w:ascii="宋体" w:hAnsi="宋体"/>
          <w:color w:val="auto"/>
          <w:sz w:val="24"/>
        </w:rPr>
      </w:pPr>
    </w:p>
    <w:p w14:paraId="747303FB">
      <w:pPr>
        <w:pStyle w:val="16"/>
        <w:outlineLvl w:val="9"/>
        <w:rPr>
          <w:rFonts w:hint="eastAsia" w:ascii="宋体" w:hAnsi="宋体"/>
          <w:color w:val="auto"/>
          <w:sz w:val="24"/>
        </w:rPr>
      </w:pPr>
    </w:p>
    <w:p w14:paraId="5DF0230C">
      <w:pPr>
        <w:pStyle w:val="16"/>
        <w:outlineLvl w:val="9"/>
        <w:rPr>
          <w:rFonts w:hint="eastAsia" w:ascii="宋体" w:hAnsi="宋体"/>
          <w:color w:val="auto"/>
          <w:sz w:val="24"/>
        </w:rPr>
      </w:pPr>
    </w:p>
    <w:p w14:paraId="789BE2DD">
      <w:pPr>
        <w:pStyle w:val="16"/>
        <w:outlineLvl w:val="9"/>
        <w:rPr>
          <w:rFonts w:hint="eastAsia" w:ascii="宋体" w:hAnsi="宋体"/>
          <w:color w:val="auto"/>
          <w:sz w:val="24"/>
        </w:rPr>
      </w:pPr>
    </w:p>
    <w:p w14:paraId="0A4F88FB">
      <w:pPr>
        <w:pStyle w:val="16"/>
        <w:outlineLvl w:val="9"/>
        <w:rPr>
          <w:rFonts w:hint="eastAsia" w:ascii="宋体" w:hAnsi="宋体"/>
          <w:color w:val="auto"/>
          <w:sz w:val="24"/>
        </w:rPr>
      </w:pPr>
    </w:p>
    <w:p w14:paraId="026E0163">
      <w:pPr>
        <w:pStyle w:val="16"/>
        <w:outlineLvl w:val="9"/>
        <w:rPr>
          <w:rFonts w:hint="eastAsia" w:ascii="宋体" w:hAnsi="宋体"/>
          <w:color w:val="auto"/>
          <w:sz w:val="24"/>
        </w:rPr>
      </w:pPr>
    </w:p>
    <w:p w14:paraId="2BD04911">
      <w:pPr>
        <w:pStyle w:val="16"/>
        <w:outlineLvl w:val="9"/>
        <w:rPr>
          <w:rFonts w:hint="eastAsia" w:ascii="宋体" w:hAnsi="宋体"/>
          <w:color w:val="auto"/>
          <w:sz w:val="24"/>
        </w:rPr>
      </w:pPr>
    </w:p>
    <w:p w14:paraId="3B95261E">
      <w:pPr>
        <w:pStyle w:val="16"/>
        <w:outlineLvl w:val="9"/>
        <w:rPr>
          <w:rFonts w:hint="eastAsia" w:ascii="宋体" w:hAnsi="宋体"/>
          <w:color w:val="auto"/>
          <w:sz w:val="24"/>
        </w:rPr>
      </w:pPr>
    </w:p>
    <w:p w14:paraId="72455E74">
      <w:pPr>
        <w:pStyle w:val="16"/>
        <w:outlineLvl w:val="9"/>
        <w:rPr>
          <w:rFonts w:hint="eastAsia" w:ascii="宋体" w:hAnsi="宋体"/>
          <w:color w:val="auto"/>
          <w:sz w:val="24"/>
        </w:rPr>
      </w:pPr>
    </w:p>
    <w:p w14:paraId="727E94A9">
      <w:pPr>
        <w:pStyle w:val="16"/>
        <w:outlineLvl w:val="9"/>
        <w:rPr>
          <w:rFonts w:hint="eastAsia" w:ascii="宋体" w:hAnsi="宋体"/>
          <w:color w:val="auto"/>
          <w:sz w:val="24"/>
        </w:rPr>
      </w:pPr>
    </w:p>
    <w:p w14:paraId="559FF98E">
      <w:pPr>
        <w:pStyle w:val="16"/>
        <w:outlineLvl w:val="9"/>
        <w:rPr>
          <w:rFonts w:hint="eastAsia" w:ascii="宋体" w:hAnsi="宋体"/>
          <w:color w:val="auto"/>
          <w:sz w:val="24"/>
        </w:rPr>
      </w:pPr>
    </w:p>
    <w:p w14:paraId="4EBA91F4">
      <w:pPr>
        <w:pStyle w:val="16"/>
        <w:jc w:val="center"/>
        <w:outlineLvl w:val="9"/>
        <w:rPr>
          <w:rFonts w:hint="default" w:ascii="宋体" w:hAnsi="宋体" w:eastAsia="宋体"/>
          <w:b/>
          <w:bCs/>
          <w:color w:val="auto"/>
          <w:spacing w:val="4"/>
          <w:sz w:val="28"/>
          <w:szCs w:val="28"/>
          <w:highlight w:val="none"/>
          <w:lang w:val="en-US" w:eastAsia="zh-CN"/>
        </w:rPr>
      </w:pPr>
      <w:r>
        <w:rPr>
          <w:rFonts w:hint="eastAsia" w:ascii="宋体" w:hAnsi="宋体"/>
          <w:b/>
          <w:bCs/>
          <w:color w:val="auto"/>
          <w:spacing w:val="4"/>
          <w:sz w:val="28"/>
          <w:szCs w:val="28"/>
          <w:highlight w:val="none"/>
          <w:lang w:val="en-US" w:eastAsia="zh-CN"/>
        </w:rPr>
        <w:t>资格性评审</w:t>
      </w:r>
    </w:p>
    <w:p w14:paraId="02C6C6C7">
      <w:pPr>
        <w:pStyle w:val="16"/>
        <w:outlineLvl w:val="9"/>
        <w:rPr>
          <w:rFonts w:hint="eastAsia" w:ascii="宋体" w:hAnsi="宋体"/>
          <w:color w:val="auto"/>
          <w:sz w:val="24"/>
        </w:rPr>
      </w:pPr>
    </w:p>
    <w:tbl>
      <w:tblPr>
        <w:tblStyle w:val="25"/>
        <w:tblpPr w:leftFromText="180" w:rightFromText="180" w:vertAnchor="text" w:horzAnchor="page" w:tblpX="1503" w:tblpY="68"/>
        <w:tblOverlap w:val="never"/>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899"/>
        <w:gridCol w:w="1324"/>
      </w:tblGrid>
      <w:tr w14:paraId="47F3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6" w:type="dxa"/>
            <w:noWrap w:val="0"/>
            <w:vAlign w:val="center"/>
          </w:tcPr>
          <w:p w14:paraId="5EF59FF4">
            <w:pPr>
              <w:spacing w:line="380" w:lineRule="exact"/>
              <w:jc w:val="center"/>
              <w:outlineLvl w:val="9"/>
              <w:rPr>
                <w:rFonts w:hint="eastAsia" w:ascii="宋体" w:hAnsi="宋体"/>
                <w:b/>
                <w:color w:val="auto"/>
                <w:szCs w:val="21"/>
              </w:rPr>
            </w:pPr>
            <w:r>
              <w:rPr>
                <w:rFonts w:hint="eastAsia" w:ascii="宋体" w:hAnsi="宋体"/>
                <w:b/>
                <w:color w:val="auto"/>
                <w:szCs w:val="21"/>
              </w:rPr>
              <w:t>评审内容</w:t>
            </w:r>
          </w:p>
        </w:tc>
        <w:tc>
          <w:tcPr>
            <w:tcW w:w="6899" w:type="dxa"/>
            <w:noWrap w:val="0"/>
            <w:vAlign w:val="center"/>
          </w:tcPr>
          <w:p w14:paraId="076B9C10">
            <w:pPr>
              <w:spacing w:line="380" w:lineRule="exact"/>
              <w:jc w:val="center"/>
              <w:outlineLvl w:val="9"/>
              <w:rPr>
                <w:rFonts w:hint="eastAsia" w:ascii="宋体" w:hAnsi="宋体"/>
                <w:b/>
                <w:color w:val="auto"/>
                <w:szCs w:val="21"/>
              </w:rPr>
            </w:pPr>
            <w:r>
              <w:rPr>
                <w:rFonts w:hint="eastAsia" w:ascii="宋体" w:hAnsi="宋体"/>
                <w:b/>
                <w:color w:val="auto"/>
                <w:szCs w:val="21"/>
              </w:rPr>
              <w:t>评审因素</w:t>
            </w:r>
          </w:p>
        </w:tc>
        <w:tc>
          <w:tcPr>
            <w:tcW w:w="1324" w:type="dxa"/>
            <w:noWrap w:val="0"/>
            <w:vAlign w:val="center"/>
          </w:tcPr>
          <w:p w14:paraId="0A0A0397">
            <w:pPr>
              <w:spacing w:line="380" w:lineRule="exact"/>
              <w:jc w:val="center"/>
              <w:outlineLvl w:val="9"/>
              <w:rPr>
                <w:rFonts w:hint="eastAsia" w:ascii="宋体" w:hAnsi="宋体"/>
                <w:b/>
                <w:color w:val="auto"/>
                <w:szCs w:val="21"/>
              </w:rPr>
            </w:pPr>
            <w:r>
              <w:rPr>
                <w:rFonts w:hint="eastAsia" w:ascii="宋体" w:hAnsi="宋体"/>
                <w:b/>
                <w:color w:val="auto"/>
                <w:szCs w:val="21"/>
              </w:rPr>
              <w:t>评审标准</w:t>
            </w:r>
          </w:p>
        </w:tc>
      </w:tr>
      <w:tr w14:paraId="5206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6" w:type="dxa"/>
            <w:vMerge w:val="restart"/>
            <w:noWrap w:val="0"/>
            <w:vAlign w:val="center"/>
          </w:tcPr>
          <w:p w14:paraId="19800996">
            <w:pPr>
              <w:spacing w:line="380" w:lineRule="exact"/>
              <w:jc w:val="left"/>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资格评审</w:t>
            </w:r>
          </w:p>
        </w:tc>
        <w:tc>
          <w:tcPr>
            <w:tcW w:w="6899" w:type="dxa"/>
            <w:noWrap w:val="0"/>
            <w:vAlign w:val="center"/>
          </w:tcPr>
          <w:p w14:paraId="7CCD1232">
            <w:pPr>
              <w:spacing w:line="500" w:lineRule="exact"/>
              <w:outlineLvl w:val="9"/>
              <w:rPr>
                <w:rFonts w:hint="eastAsia" w:cs="宋体"/>
                <w:color w:val="auto"/>
                <w:szCs w:val="24"/>
                <w:highlight w:val="none"/>
                <w:lang w:val="en-US" w:eastAsia="zh-CN"/>
              </w:rPr>
            </w:pPr>
            <w:r>
              <w:rPr>
                <w:rFonts w:hint="eastAsia" w:eastAsia="宋体" w:cs="宋体"/>
                <w:color w:val="auto"/>
                <w:szCs w:val="24"/>
                <w:lang w:val="en-US" w:eastAsia="zh-CN"/>
              </w:rPr>
              <w:t>具有独立承担民事责任能力的法人、其他组织或自然人，提供合法有效年报合格的统一社会信用代码营业执照或事业单位法人证书等国家规定的相关证明，自然人参与的提供其身份证明；</w:t>
            </w:r>
          </w:p>
        </w:tc>
        <w:tc>
          <w:tcPr>
            <w:tcW w:w="1324" w:type="dxa"/>
            <w:vMerge w:val="restart"/>
            <w:noWrap w:val="0"/>
            <w:vAlign w:val="center"/>
          </w:tcPr>
          <w:p w14:paraId="2F1EB875">
            <w:pPr>
              <w:spacing w:line="380" w:lineRule="exact"/>
              <w:jc w:val="center"/>
              <w:outlineLvl w:val="9"/>
              <w:rPr>
                <w:rFonts w:hint="eastAsia"/>
                <w:color w:val="auto"/>
                <w:highlight w:val="yellow"/>
              </w:rPr>
            </w:pPr>
          </w:p>
          <w:p w14:paraId="624DBC79">
            <w:pPr>
              <w:spacing w:line="380" w:lineRule="exact"/>
              <w:jc w:val="center"/>
              <w:outlineLvl w:val="9"/>
              <w:rPr>
                <w:rFonts w:hint="eastAsia"/>
                <w:b w:val="0"/>
                <w:bCs w:val="0"/>
                <w:color w:val="auto"/>
                <w:highlight w:val="none"/>
              </w:rPr>
            </w:pPr>
            <w:r>
              <w:rPr>
                <w:rFonts w:hint="eastAsia"/>
                <w:b w:val="0"/>
                <w:bCs w:val="0"/>
                <w:color w:val="auto"/>
                <w:highlight w:val="none"/>
              </w:rPr>
              <w:t>符合性评审</w:t>
            </w:r>
          </w:p>
          <w:p w14:paraId="1CB33EF0">
            <w:pPr>
              <w:spacing w:line="380" w:lineRule="exact"/>
              <w:jc w:val="center"/>
              <w:outlineLvl w:val="9"/>
              <w:rPr>
                <w:rFonts w:hint="eastAsia"/>
                <w:b w:val="0"/>
                <w:bCs w:val="0"/>
                <w:color w:val="auto"/>
                <w:highlight w:val="yellow"/>
              </w:rPr>
            </w:pPr>
          </w:p>
        </w:tc>
      </w:tr>
      <w:tr w14:paraId="3CA7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746" w:type="dxa"/>
            <w:vMerge w:val="continue"/>
            <w:noWrap w:val="0"/>
            <w:vAlign w:val="center"/>
          </w:tcPr>
          <w:p w14:paraId="6CA25DDF">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5C93A57C">
            <w:pPr>
              <w:spacing w:line="500" w:lineRule="exact"/>
              <w:outlineLvl w:val="9"/>
              <w:rPr>
                <w:rFonts w:hint="eastAsia" w:cs="宋体"/>
                <w:color w:val="auto"/>
                <w:szCs w:val="24"/>
                <w:lang w:val="en-US" w:eastAsia="zh-CN"/>
              </w:rPr>
            </w:pPr>
            <w:r>
              <w:rPr>
                <w:rFonts w:hint="eastAsia" w:cs="宋体"/>
                <w:color w:val="auto"/>
                <w:szCs w:val="24"/>
                <w:lang w:val="en-US" w:eastAsia="zh-CN"/>
              </w:rPr>
              <w:t xml:space="preserve">提供法定代表人授权委托书原件（附法定代表人、被授权人身份证复印件）及被授权人身份证原件（法定代表人参会只须提供其身份证原件）； </w:t>
            </w:r>
          </w:p>
        </w:tc>
        <w:tc>
          <w:tcPr>
            <w:tcW w:w="1324" w:type="dxa"/>
            <w:vMerge w:val="continue"/>
            <w:noWrap w:val="0"/>
            <w:vAlign w:val="center"/>
          </w:tcPr>
          <w:p w14:paraId="1F02D5C9">
            <w:pPr>
              <w:spacing w:line="380" w:lineRule="exact"/>
              <w:jc w:val="center"/>
              <w:outlineLvl w:val="9"/>
              <w:rPr>
                <w:rFonts w:hint="eastAsia" w:ascii="宋体" w:hAnsi="宋体"/>
                <w:color w:val="auto"/>
                <w:szCs w:val="21"/>
                <w:highlight w:val="yellow"/>
              </w:rPr>
            </w:pPr>
          </w:p>
        </w:tc>
      </w:tr>
      <w:tr w14:paraId="2354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6" w:type="dxa"/>
            <w:vMerge w:val="continue"/>
            <w:noWrap w:val="0"/>
            <w:vAlign w:val="center"/>
          </w:tcPr>
          <w:p w14:paraId="079980F7">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2CB0C224">
            <w:pPr>
              <w:spacing w:line="500" w:lineRule="exact"/>
              <w:outlineLvl w:val="9"/>
              <w:rPr>
                <w:rFonts w:hint="eastAsia" w:ascii="Times New Roman" w:hAnsi="Times New Roman" w:eastAsia="宋体" w:cs="宋体"/>
                <w:color w:val="auto"/>
                <w:szCs w:val="24"/>
                <w:highlight w:val="none"/>
                <w:lang w:val="en-US" w:eastAsia="zh-CN"/>
              </w:rPr>
            </w:pPr>
            <w:r>
              <w:rPr>
                <w:rFonts w:hint="eastAsia" w:ascii="Times New Roman" w:hAnsi="Times New Roman" w:eastAsia="宋体" w:cs="宋体"/>
                <w:color w:val="auto"/>
                <w:szCs w:val="24"/>
                <w:highlight w:val="none"/>
                <w:lang w:val="en-US" w:eastAsia="zh-CN"/>
              </w:rPr>
              <w:t>须具备水利水电工程施工总承包三级及以上资质</w:t>
            </w:r>
            <w:r>
              <w:rPr>
                <w:rFonts w:hint="eastAsia" w:cs="宋体"/>
                <w:color w:val="auto"/>
                <w:szCs w:val="24"/>
                <w:highlight w:val="none"/>
                <w:lang w:val="en-US" w:eastAsia="zh-CN"/>
              </w:rPr>
              <w:t>；</w:t>
            </w:r>
          </w:p>
        </w:tc>
        <w:tc>
          <w:tcPr>
            <w:tcW w:w="1324" w:type="dxa"/>
            <w:vMerge w:val="continue"/>
            <w:noWrap w:val="0"/>
            <w:vAlign w:val="center"/>
          </w:tcPr>
          <w:p w14:paraId="1D22C312">
            <w:pPr>
              <w:spacing w:line="380" w:lineRule="exact"/>
              <w:jc w:val="center"/>
              <w:outlineLvl w:val="9"/>
              <w:rPr>
                <w:rFonts w:hint="eastAsia" w:ascii="宋体" w:hAnsi="宋体"/>
                <w:color w:val="auto"/>
                <w:szCs w:val="21"/>
                <w:highlight w:val="yellow"/>
                <w:lang w:eastAsia="zh-CN"/>
              </w:rPr>
            </w:pPr>
          </w:p>
        </w:tc>
      </w:tr>
      <w:tr w14:paraId="43B8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46" w:type="dxa"/>
            <w:vMerge w:val="continue"/>
            <w:noWrap w:val="0"/>
            <w:vAlign w:val="center"/>
          </w:tcPr>
          <w:p w14:paraId="2DBEEED0">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2B719969">
            <w:pPr>
              <w:spacing w:line="500" w:lineRule="exact"/>
              <w:outlineLvl w:val="9"/>
              <w:rPr>
                <w:rFonts w:hint="eastAsia" w:ascii="Times New Roman" w:hAnsi="Times New Roman" w:eastAsia="宋体" w:cs="宋体"/>
                <w:color w:val="auto"/>
                <w:szCs w:val="24"/>
                <w:highlight w:val="none"/>
                <w:lang w:val="en-US" w:eastAsia="zh-CN"/>
              </w:rPr>
            </w:pPr>
            <w:r>
              <w:rPr>
                <w:rFonts w:hint="eastAsia" w:ascii="Times New Roman" w:hAnsi="Times New Roman" w:eastAsia="宋体" w:cs="宋体"/>
                <w:color w:val="auto"/>
                <w:szCs w:val="24"/>
                <w:highlight w:val="none"/>
                <w:lang w:val="en-US" w:eastAsia="zh-CN"/>
              </w:rPr>
              <w:t>须具有建设行政主管部门核发有效的安全生产许可证；</w:t>
            </w:r>
          </w:p>
        </w:tc>
        <w:tc>
          <w:tcPr>
            <w:tcW w:w="1324" w:type="dxa"/>
            <w:vMerge w:val="continue"/>
            <w:noWrap w:val="0"/>
            <w:vAlign w:val="center"/>
          </w:tcPr>
          <w:p w14:paraId="6166BC13">
            <w:pPr>
              <w:spacing w:line="380" w:lineRule="exact"/>
              <w:jc w:val="center"/>
              <w:outlineLvl w:val="9"/>
              <w:rPr>
                <w:rFonts w:hint="eastAsia" w:ascii="宋体" w:hAnsi="宋体"/>
                <w:b w:val="0"/>
                <w:bCs w:val="0"/>
                <w:color w:val="auto"/>
                <w:szCs w:val="21"/>
                <w:highlight w:val="yellow"/>
                <w:lang w:eastAsia="zh-CN"/>
              </w:rPr>
            </w:pPr>
          </w:p>
        </w:tc>
      </w:tr>
      <w:tr w14:paraId="3DB5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46" w:type="dxa"/>
            <w:vMerge w:val="continue"/>
            <w:noWrap w:val="0"/>
            <w:vAlign w:val="center"/>
          </w:tcPr>
          <w:p w14:paraId="262119EC">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0CBEAC89">
            <w:pPr>
              <w:spacing w:line="500" w:lineRule="exact"/>
              <w:outlineLvl w:val="9"/>
              <w:rPr>
                <w:rFonts w:hint="eastAsia" w:ascii="Times New Roman" w:hAnsi="Times New Roman" w:eastAsia="宋体" w:cs="宋体"/>
                <w:color w:val="auto"/>
                <w:szCs w:val="24"/>
                <w:highlight w:val="none"/>
                <w:lang w:val="en-US" w:eastAsia="zh-CN"/>
              </w:rPr>
            </w:pPr>
            <w:r>
              <w:rPr>
                <w:rFonts w:hint="eastAsia" w:ascii="Times New Roman" w:hAnsi="Times New Roman" w:eastAsia="宋体" w:cs="Times New Roman"/>
                <w:color w:val="auto"/>
                <w:lang w:val="en-US" w:eastAsia="zh-CN"/>
              </w:rPr>
              <w:t>拟派项目经理须具备水利水电工程注册建造师二级及以上资格和有效的安全生产考核证书，须提供项目经理无在建工程的相关证明材料或承诺书；</w:t>
            </w:r>
          </w:p>
        </w:tc>
        <w:tc>
          <w:tcPr>
            <w:tcW w:w="1324" w:type="dxa"/>
            <w:vMerge w:val="continue"/>
            <w:noWrap w:val="0"/>
            <w:vAlign w:val="center"/>
          </w:tcPr>
          <w:p w14:paraId="1A4703F0">
            <w:pPr>
              <w:pStyle w:val="16"/>
              <w:jc w:val="center"/>
              <w:outlineLvl w:val="9"/>
              <w:rPr>
                <w:rFonts w:hint="eastAsia"/>
                <w:color w:val="auto"/>
                <w:highlight w:val="yellow"/>
              </w:rPr>
            </w:pPr>
          </w:p>
        </w:tc>
      </w:tr>
      <w:tr w14:paraId="5C32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vMerge w:val="continue"/>
            <w:noWrap w:val="0"/>
            <w:vAlign w:val="center"/>
          </w:tcPr>
          <w:p w14:paraId="2E279236">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6C55EB2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cs="宋体"/>
                <w:color w:val="auto"/>
                <w:szCs w:val="24"/>
                <w:lang w:val="en-US" w:eastAsia="zh-CN"/>
              </w:rPr>
            </w:pPr>
            <w:r>
              <w:rPr>
                <w:rFonts w:hint="eastAsia" w:ascii="Times New Roman" w:hAnsi="Times New Roman" w:eastAsia="宋体" w:cs="Times New Roman"/>
                <w:color w:val="auto"/>
                <w:lang w:val="en-US" w:eastAsia="zh-CN"/>
              </w:rPr>
              <w:t>须提供2023年至今任意一年经审计的财务报告（成立时间至提交磋商响应文件截止时间不足一年的可提供成立后任意时段的财务报表）；</w:t>
            </w:r>
          </w:p>
        </w:tc>
        <w:tc>
          <w:tcPr>
            <w:tcW w:w="1324" w:type="dxa"/>
            <w:vMerge w:val="continue"/>
            <w:noWrap w:val="0"/>
            <w:vAlign w:val="center"/>
          </w:tcPr>
          <w:p w14:paraId="266921E5">
            <w:pPr>
              <w:spacing w:line="380" w:lineRule="exact"/>
              <w:jc w:val="center"/>
              <w:outlineLvl w:val="9"/>
              <w:rPr>
                <w:rFonts w:hint="eastAsia" w:ascii="宋体" w:hAnsi="宋体"/>
                <w:color w:val="auto"/>
                <w:szCs w:val="21"/>
                <w:highlight w:val="yellow"/>
              </w:rPr>
            </w:pPr>
          </w:p>
        </w:tc>
      </w:tr>
      <w:tr w14:paraId="7439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46" w:type="dxa"/>
            <w:vMerge w:val="continue"/>
            <w:noWrap w:val="0"/>
            <w:vAlign w:val="center"/>
          </w:tcPr>
          <w:p w14:paraId="6930EE53">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6585E2C4">
            <w:pPr>
              <w:spacing w:line="500" w:lineRule="exact"/>
              <w:outlineLvl w:val="9"/>
              <w:rPr>
                <w:rFonts w:hint="eastAsia" w:cs="宋体"/>
                <w:color w:val="auto"/>
                <w:szCs w:val="24"/>
                <w:lang w:val="en-US" w:eastAsia="zh-CN"/>
              </w:rPr>
            </w:pPr>
            <w:r>
              <w:rPr>
                <w:rFonts w:hint="eastAsia" w:ascii="Times New Roman" w:hAnsi="Times New Roman" w:eastAsia="宋体" w:cs="Times New Roman"/>
                <w:color w:val="auto"/>
                <w:lang w:val="en-US" w:eastAsia="zh-CN"/>
              </w:rPr>
              <w:t>须提供依法缴纳税收的良好记录（提供磋商响应文件递交截止时间前六个月内任意一个月份的缴纳凭据复印件并加盖单位公章。依法免税或开标前一年内零申报的供应商应提供相关证明文件）；</w:t>
            </w:r>
          </w:p>
        </w:tc>
        <w:tc>
          <w:tcPr>
            <w:tcW w:w="1324" w:type="dxa"/>
            <w:vMerge w:val="continue"/>
            <w:noWrap w:val="0"/>
            <w:vAlign w:val="center"/>
          </w:tcPr>
          <w:p w14:paraId="5B1E57AD">
            <w:pPr>
              <w:spacing w:line="380" w:lineRule="exact"/>
              <w:jc w:val="center"/>
              <w:outlineLvl w:val="9"/>
              <w:rPr>
                <w:rFonts w:hint="eastAsia" w:ascii="宋体" w:hAnsi="宋体"/>
                <w:color w:val="auto"/>
                <w:szCs w:val="21"/>
                <w:highlight w:val="yellow"/>
              </w:rPr>
            </w:pPr>
          </w:p>
        </w:tc>
      </w:tr>
      <w:tr w14:paraId="3A8B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746" w:type="dxa"/>
            <w:vMerge w:val="continue"/>
            <w:noWrap w:val="0"/>
            <w:vAlign w:val="center"/>
          </w:tcPr>
          <w:p w14:paraId="50F6D4B5">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61933F55">
            <w:pPr>
              <w:spacing w:line="500" w:lineRule="exact"/>
              <w:outlineLvl w:val="9"/>
              <w:rPr>
                <w:rFonts w:hint="eastAsia" w:cs="宋体"/>
                <w:color w:val="auto"/>
                <w:szCs w:val="24"/>
                <w:lang w:val="en-US" w:eastAsia="zh-CN"/>
              </w:rPr>
            </w:pPr>
            <w:r>
              <w:rPr>
                <w:rFonts w:hint="eastAsia" w:ascii="Times New Roman" w:hAnsi="Times New Roman" w:eastAsia="宋体" w:cs="Times New Roman"/>
                <w:color w:val="auto"/>
                <w:lang w:val="en-US" w:eastAsia="zh-CN"/>
              </w:rPr>
              <w:t>须提供依法缴纳社会保障资金的良好记录（提供磋商响应文件递交截止时间前六个月内任意一个月份的缴纳凭据复印件并加盖单位公章。依法不需要缴纳社会保障资金的供应商应提供相关证明文件）； </w:t>
            </w:r>
          </w:p>
        </w:tc>
        <w:tc>
          <w:tcPr>
            <w:tcW w:w="1324" w:type="dxa"/>
            <w:vMerge w:val="continue"/>
            <w:noWrap w:val="0"/>
            <w:vAlign w:val="center"/>
          </w:tcPr>
          <w:p w14:paraId="30E79BE8">
            <w:pPr>
              <w:spacing w:line="380" w:lineRule="exact"/>
              <w:jc w:val="center"/>
              <w:outlineLvl w:val="9"/>
              <w:rPr>
                <w:rFonts w:hint="eastAsia" w:ascii="宋体" w:hAnsi="宋体"/>
                <w:color w:val="auto"/>
                <w:szCs w:val="21"/>
                <w:highlight w:val="yellow"/>
              </w:rPr>
            </w:pPr>
          </w:p>
        </w:tc>
      </w:tr>
      <w:tr w14:paraId="7C7C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46" w:type="dxa"/>
            <w:vMerge w:val="continue"/>
            <w:noWrap w:val="0"/>
            <w:vAlign w:val="center"/>
          </w:tcPr>
          <w:p w14:paraId="369D79CE">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7A9258A0">
            <w:pPr>
              <w:spacing w:line="500" w:lineRule="exact"/>
              <w:outlineLvl w:val="9"/>
              <w:rPr>
                <w:rFonts w:hint="eastAsia" w:cs="宋体"/>
                <w:color w:val="auto"/>
                <w:szCs w:val="24"/>
                <w:lang w:val="en-US" w:eastAsia="zh-CN"/>
              </w:rPr>
            </w:pPr>
            <w:r>
              <w:rPr>
                <w:rFonts w:hint="eastAsia" w:ascii="Times New Roman" w:hAnsi="Times New Roman" w:eastAsia="宋体" w:cs="Times New Roman"/>
                <w:color w:val="auto"/>
                <w:lang w:val="en-US" w:eastAsia="zh-CN"/>
              </w:rPr>
              <w:t>投标截止日前不得为“信用中国”网站（www.creditchina.gov.cn）中列入失信被执行人、重大税收违法失信主体和政府采购严重违法失信行为记录名单的供应商；不得为“中国政府采购网”（www.ccgp.gov.cn）政府采购严重违法失信行为信息记录名单中被财政部门禁止参加政府采购活动的供应商（最终以采购代理机构评审现场查询结果为准）</w:t>
            </w:r>
            <w:r>
              <w:rPr>
                <w:rFonts w:hint="eastAsia" w:cs="Times New Roman"/>
                <w:color w:val="auto"/>
                <w:lang w:val="en-US" w:eastAsia="zh-CN"/>
              </w:rPr>
              <w:t>；</w:t>
            </w:r>
          </w:p>
        </w:tc>
        <w:tc>
          <w:tcPr>
            <w:tcW w:w="1324" w:type="dxa"/>
            <w:vMerge w:val="continue"/>
            <w:noWrap w:val="0"/>
            <w:vAlign w:val="center"/>
          </w:tcPr>
          <w:p w14:paraId="7A32A691">
            <w:pPr>
              <w:spacing w:line="380" w:lineRule="exact"/>
              <w:jc w:val="center"/>
              <w:outlineLvl w:val="9"/>
              <w:rPr>
                <w:rFonts w:hint="eastAsia"/>
                <w:color w:val="auto"/>
                <w:highlight w:val="yellow"/>
              </w:rPr>
            </w:pPr>
          </w:p>
        </w:tc>
      </w:tr>
      <w:tr w14:paraId="1C9C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vMerge w:val="continue"/>
            <w:noWrap w:val="0"/>
            <w:vAlign w:val="center"/>
          </w:tcPr>
          <w:p w14:paraId="582E1CB3">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06ECBCB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highlight w:val="none"/>
                <w:lang w:val="en-US" w:eastAsia="zh-CN"/>
              </w:rPr>
              <w:t>提供磋商保证金银行转账凭证及基本存款账户信息复印件或金融机构、担保机构出具的保函复印件，复印件均须加盖公章</w:t>
            </w:r>
            <w:r>
              <w:rPr>
                <w:rFonts w:hint="eastAsia" w:cs="Times New Roman"/>
                <w:color w:val="auto"/>
                <w:highlight w:val="none"/>
                <w:lang w:val="en-US" w:eastAsia="zh-CN"/>
              </w:rPr>
              <w:t>；</w:t>
            </w:r>
          </w:p>
        </w:tc>
        <w:tc>
          <w:tcPr>
            <w:tcW w:w="1324" w:type="dxa"/>
            <w:vMerge w:val="continue"/>
            <w:noWrap w:val="0"/>
            <w:vAlign w:val="center"/>
          </w:tcPr>
          <w:p w14:paraId="0679B44C">
            <w:pPr>
              <w:spacing w:line="380" w:lineRule="exact"/>
              <w:jc w:val="center"/>
              <w:outlineLvl w:val="9"/>
              <w:rPr>
                <w:rFonts w:hint="eastAsia" w:ascii="宋体" w:hAnsi="宋体"/>
                <w:color w:val="auto"/>
                <w:szCs w:val="21"/>
                <w:highlight w:val="yellow"/>
              </w:rPr>
            </w:pPr>
          </w:p>
        </w:tc>
      </w:tr>
      <w:tr w14:paraId="457A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46" w:type="dxa"/>
            <w:vMerge w:val="continue"/>
            <w:noWrap w:val="0"/>
            <w:vAlign w:val="center"/>
          </w:tcPr>
          <w:p w14:paraId="3E180B51">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0737A4D4">
            <w:pPr>
              <w:spacing w:line="500" w:lineRule="exact"/>
              <w:outlineLvl w:val="9"/>
              <w:rPr>
                <w:rFonts w:hint="eastAsia" w:cs="宋体"/>
                <w:color w:val="auto"/>
                <w:szCs w:val="24"/>
                <w:lang w:val="en-US" w:eastAsia="zh-CN"/>
              </w:rPr>
            </w:pPr>
            <w:r>
              <w:rPr>
                <w:rFonts w:hint="eastAsia" w:ascii="Times New Roman" w:hAnsi="Times New Roman" w:eastAsia="宋体" w:cs="Times New Roman"/>
                <w:color w:val="auto"/>
                <w:lang w:val="en-US" w:eastAsia="zh-CN"/>
              </w:rPr>
              <w:t>提供近三年内在经营活动中无重大违法记录的书面声明</w:t>
            </w:r>
            <w:r>
              <w:rPr>
                <w:rFonts w:hint="eastAsia" w:cs="Times New Roman"/>
                <w:color w:val="auto"/>
                <w:lang w:val="en-US" w:eastAsia="zh-CN"/>
              </w:rPr>
              <w:t>；</w:t>
            </w:r>
            <w:r>
              <w:rPr>
                <w:rFonts w:hint="eastAsia" w:cs="宋体"/>
                <w:b/>
                <w:bCs/>
                <w:color w:val="auto"/>
                <w:szCs w:val="24"/>
                <w:lang w:val="en-US" w:eastAsia="zh-CN"/>
              </w:rPr>
              <w:t>（原件）</w:t>
            </w:r>
          </w:p>
        </w:tc>
        <w:tc>
          <w:tcPr>
            <w:tcW w:w="1324" w:type="dxa"/>
            <w:vMerge w:val="continue"/>
            <w:noWrap w:val="0"/>
            <w:vAlign w:val="center"/>
          </w:tcPr>
          <w:p w14:paraId="4BCA029D">
            <w:pPr>
              <w:jc w:val="center"/>
              <w:outlineLvl w:val="9"/>
              <w:rPr>
                <w:rFonts w:hint="eastAsia" w:ascii="宋体" w:hAnsi="宋体"/>
                <w:color w:val="auto"/>
                <w:szCs w:val="21"/>
                <w:highlight w:val="yellow"/>
              </w:rPr>
            </w:pPr>
          </w:p>
        </w:tc>
      </w:tr>
      <w:tr w14:paraId="42E5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46" w:type="dxa"/>
            <w:vMerge w:val="continue"/>
            <w:noWrap w:val="0"/>
            <w:vAlign w:val="center"/>
          </w:tcPr>
          <w:p w14:paraId="5D6433A4">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3F598CC2">
            <w:pPr>
              <w:spacing w:line="500" w:lineRule="exact"/>
              <w:outlineLvl w:val="9"/>
              <w:rPr>
                <w:rFonts w:hint="eastAsia" w:cs="宋体"/>
                <w:color w:val="auto"/>
                <w:szCs w:val="24"/>
                <w:lang w:val="en-US" w:eastAsia="zh-CN"/>
              </w:rPr>
            </w:pPr>
            <w:r>
              <w:rPr>
                <w:rFonts w:hint="eastAsia" w:ascii="Times New Roman" w:hAnsi="Times New Roman" w:eastAsia="宋体" w:cs="Times New Roman"/>
                <w:color w:val="auto"/>
                <w:lang w:val="en-US" w:eastAsia="zh-CN"/>
              </w:rPr>
              <w:t>提供单位负责人为同一人或者存在直接控股、管理关系的不同供应商，不得参加同一合同项下的政府采购活动的书面声明；</w:t>
            </w:r>
            <w:r>
              <w:rPr>
                <w:rFonts w:hint="eastAsia" w:cs="宋体"/>
                <w:b/>
                <w:bCs/>
                <w:color w:val="auto"/>
                <w:szCs w:val="24"/>
                <w:lang w:val="en-US" w:eastAsia="zh-CN"/>
              </w:rPr>
              <w:t>（原件）</w:t>
            </w:r>
          </w:p>
        </w:tc>
        <w:tc>
          <w:tcPr>
            <w:tcW w:w="1324" w:type="dxa"/>
            <w:vMerge w:val="continue"/>
            <w:noWrap w:val="0"/>
            <w:vAlign w:val="center"/>
          </w:tcPr>
          <w:p w14:paraId="66EAF9B2">
            <w:pPr>
              <w:spacing w:line="380" w:lineRule="exact"/>
              <w:jc w:val="center"/>
              <w:outlineLvl w:val="9"/>
              <w:rPr>
                <w:rFonts w:hint="eastAsia"/>
                <w:color w:val="auto"/>
                <w:highlight w:val="yellow"/>
              </w:rPr>
            </w:pPr>
          </w:p>
        </w:tc>
      </w:tr>
      <w:tr w14:paraId="78E8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46" w:type="dxa"/>
            <w:vMerge w:val="continue"/>
            <w:noWrap w:val="0"/>
            <w:vAlign w:val="center"/>
          </w:tcPr>
          <w:p w14:paraId="69FE4921">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1B247BBE">
            <w:pPr>
              <w:spacing w:line="500" w:lineRule="exact"/>
              <w:outlineLvl w:val="9"/>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提供具有履行本合同所必需的设备和专业技术能力的说明及承诺</w:t>
            </w:r>
            <w:r>
              <w:rPr>
                <w:rFonts w:hint="eastAsia" w:cs="Times New Roman"/>
                <w:color w:val="auto"/>
                <w:lang w:val="en-US" w:eastAsia="zh-CN"/>
              </w:rPr>
              <w:t>；</w:t>
            </w:r>
            <w:r>
              <w:rPr>
                <w:rFonts w:hint="eastAsia" w:cs="宋体"/>
                <w:b/>
                <w:bCs/>
                <w:color w:val="auto"/>
                <w:szCs w:val="24"/>
                <w:lang w:val="en-US" w:eastAsia="zh-CN"/>
              </w:rPr>
              <w:t>（原件）</w:t>
            </w:r>
          </w:p>
        </w:tc>
        <w:tc>
          <w:tcPr>
            <w:tcW w:w="1324" w:type="dxa"/>
            <w:vMerge w:val="continue"/>
            <w:noWrap w:val="0"/>
            <w:vAlign w:val="center"/>
          </w:tcPr>
          <w:p w14:paraId="1242ED71">
            <w:pPr>
              <w:spacing w:line="380" w:lineRule="exact"/>
              <w:jc w:val="center"/>
              <w:outlineLvl w:val="9"/>
              <w:rPr>
                <w:rFonts w:hint="eastAsia"/>
                <w:color w:val="auto"/>
                <w:highlight w:val="yellow"/>
              </w:rPr>
            </w:pPr>
          </w:p>
        </w:tc>
      </w:tr>
      <w:tr w14:paraId="4A3E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6" w:type="dxa"/>
            <w:vMerge w:val="continue"/>
            <w:noWrap w:val="0"/>
            <w:vAlign w:val="center"/>
          </w:tcPr>
          <w:p w14:paraId="34D4464A">
            <w:pPr>
              <w:spacing w:line="380" w:lineRule="exact"/>
              <w:jc w:val="left"/>
              <w:outlineLvl w:val="9"/>
              <w:rPr>
                <w:rFonts w:hint="eastAsia" w:ascii="宋体" w:hAnsi="宋体"/>
                <w:color w:val="auto"/>
                <w:szCs w:val="21"/>
                <w:highlight w:val="none"/>
                <w:lang w:val="en-US" w:eastAsia="zh-CN"/>
              </w:rPr>
            </w:pPr>
          </w:p>
        </w:tc>
        <w:tc>
          <w:tcPr>
            <w:tcW w:w="6899" w:type="dxa"/>
            <w:noWrap w:val="0"/>
            <w:vAlign w:val="center"/>
          </w:tcPr>
          <w:p w14:paraId="7A8ED0C1">
            <w:pPr>
              <w:spacing w:line="500" w:lineRule="exact"/>
              <w:outlineLvl w:val="9"/>
              <w:rPr>
                <w:rFonts w:hint="eastAsia" w:cs="宋体"/>
                <w:color w:val="auto"/>
                <w:szCs w:val="24"/>
                <w:lang w:val="en-US" w:eastAsia="zh-CN"/>
              </w:rPr>
            </w:pPr>
            <w:r>
              <w:rPr>
                <w:rFonts w:hint="eastAsia" w:ascii="Times New Roman" w:hAnsi="Times New Roman" w:eastAsia="宋体" w:cs="Times New Roman"/>
                <w:color w:val="auto"/>
                <w:lang w:val="en-US" w:eastAsia="zh-CN"/>
              </w:rPr>
              <w:t>本项目专门面向中小企业采购，供应商须提供《中小企业声明函》</w:t>
            </w:r>
            <w:r>
              <w:rPr>
                <w:rFonts w:hint="eastAsia" w:cs="Times New Roman"/>
                <w:color w:val="auto"/>
                <w:lang w:val="en-US" w:eastAsia="zh-CN"/>
              </w:rPr>
              <w:t>。</w:t>
            </w:r>
            <w:r>
              <w:rPr>
                <w:rFonts w:hint="eastAsia" w:cs="宋体"/>
                <w:b/>
                <w:bCs/>
                <w:color w:val="auto"/>
                <w:szCs w:val="24"/>
                <w:lang w:val="en-US" w:eastAsia="zh-CN"/>
              </w:rPr>
              <w:t>（原件）</w:t>
            </w:r>
          </w:p>
        </w:tc>
        <w:tc>
          <w:tcPr>
            <w:tcW w:w="1324" w:type="dxa"/>
            <w:vMerge w:val="continue"/>
            <w:noWrap w:val="0"/>
            <w:vAlign w:val="center"/>
          </w:tcPr>
          <w:p w14:paraId="2B00EFAF">
            <w:pPr>
              <w:spacing w:line="380" w:lineRule="exact"/>
              <w:jc w:val="center"/>
              <w:outlineLvl w:val="9"/>
              <w:rPr>
                <w:rFonts w:hint="eastAsia"/>
                <w:color w:val="auto"/>
                <w:highlight w:val="yellow"/>
              </w:rPr>
            </w:pPr>
          </w:p>
        </w:tc>
      </w:tr>
      <w:tr w14:paraId="5D1C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46" w:type="dxa"/>
            <w:noWrap w:val="0"/>
            <w:vAlign w:val="center"/>
          </w:tcPr>
          <w:p w14:paraId="2CBC3B4D">
            <w:pPr>
              <w:spacing w:line="500" w:lineRule="exact"/>
              <w:outlineLvl w:val="9"/>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备注</w:t>
            </w:r>
          </w:p>
        </w:tc>
        <w:tc>
          <w:tcPr>
            <w:tcW w:w="8223" w:type="dxa"/>
            <w:gridSpan w:val="2"/>
            <w:noWrap w:val="0"/>
            <w:vAlign w:val="center"/>
          </w:tcPr>
          <w:p w14:paraId="7948878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color w:val="auto"/>
                <w:highlight w:val="none"/>
                <w:lang w:val="en-US" w:eastAsia="zh-CN"/>
              </w:rPr>
            </w:pPr>
            <w:r>
              <w:rPr>
                <w:rFonts w:hint="eastAsia"/>
                <w:color w:val="auto"/>
                <w:highlight w:val="none"/>
                <w:lang w:val="en-US" w:eastAsia="zh-CN"/>
              </w:rPr>
              <w:t>1、对于可通过互联网或相关信息系统查询的信息，可不提供纸质材料；</w:t>
            </w:r>
          </w:p>
          <w:p w14:paraId="68E7ABB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color w:val="auto"/>
                <w:lang w:eastAsia="zh-CN"/>
              </w:rPr>
            </w:pPr>
            <w:r>
              <w:rPr>
                <w:rFonts w:hint="eastAsia"/>
                <w:color w:val="auto"/>
                <w:highlight w:val="none"/>
                <w:lang w:val="en-US" w:eastAsia="zh-CN"/>
              </w:rPr>
              <w:t>2、开标时须携带以上资料一套（标袋封装），资格审查时查验。</w:t>
            </w:r>
          </w:p>
        </w:tc>
      </w:tr>
    </w:tbl>
    <w:p w14:paraId="0DFB4965">
      <w:pPr>
        <w:pStyle w:val="16"/>
        <w:jc w:val="center"/>
        <w:outlineLvl w:val="9"/>
        <w:rPr>
          <w:rFonts w:hint="eastAsia" w:ascii="宋体" w:hAnsi="宋体"/>
          <w:b/>
          <w:bCs/>
          <w:color w:val="auto"/>
          <w:spacing w:val="4"/>
          <w:sz w:val="28"/>
          <w:szCs w:val="28"/>
          <w:highlight w:val="none"/>
          <w:lang w:val="en-US" w:eastAsia="zh-CN"/>
        </w:rPr>
      </w:pPr>
    </w:p>
    <w:p w14:paraId="15DED9D0">
      <w:pPr>
        <w:pStyle w:val="16"/>
        <w:jc w:val="center"/>
        <w:outlineLvl w:val="9"/>
        <w:rPr>
          <w:rFonts w:hint="default" w:ascii="宋体" w:hAnsi="宋体" w:eastAsia="宋体"/>
          <w:b/>
          <w:bCs/>
          <w:color w:val="auto"/>
          <w:spacing w:val="4"/>
          <w:sz w:val="28"/>
          <w:szCs w:val="28"/>
          <w:highlight w:val="none"/>
          <w:lang w:val="en-US" w:eastAsia="zh-CN"/>
        </w:rPr>
      </w:pPr>
      <w:r>
        <w:rPr>
          <w:rFonts w:hint="eastAsia" w:ascii="宋体" w:hAnsi="宋体"/>
          <w:b/>
          <w:bCs/>
          <w:color w:val="auto"/>
          <w:spacing w:val="4"/>
          <w:sz w:val="28"/>
          <w:szCs w:val="28"/>
          <w:highlight w:val="none"/>
          <w:lang w:val="en-US" w:eastAsia="zh-CN"/>
        </w:rPr>
        <w:t>符合性评审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3224"/>
        <w:gridCol w:w="4542"/>
      </w:tblGrid>
      <w:tr w14:paraId="0B5E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2" w:type="dxa"/>
            <w:noWrap w:val="0"/>
            <w:vAlign w:val="center"/>
          </w:tcPr>
          <w:p w14:paraId="70C46260">
            <w:pPr>
              <w:pStyle w:val="16"/>
              <w:jc w:val="center"/>
              <w:outlineLvl w:val="9"/>
              <w:rPr>
                <w:rFonts w:hint="eastAsia" w:ascii="宋体" w:hAnsi="宋体"/>
                <w:color w:val="auto"/>
                <w:kern w:val="2"/>
                <w:sz w:val="21"/>
                <w:szCs w:val="21"/>
                <w:highlight w:val="none"/>
                <w:lang w:val="en-US" w:eastAsia="zh-CN" w:bidi="ar-SA"/>
              </w:rPr>
            </w:pPr>
            <w:r>
              <w:rPr>
                <w:rFonts w:hint="eastAsia" w:ascii="宋体" w:hAnsi="宋体"/>
                <w:b/>
                <w:color w:val="auto"/>
                <w:sz w:val="21"/>
                <w:szCs w:val="21"/>
              </w:rPr>
              <w:t>评审内容</w:t>
            </w:r>
          </w:p>
        </w:tc>
        <w:tc>
          <w:tcPr>
            <w:tcW w:w="3224" w:type="dxa"/>
            <w:noWrap w:val="0"/>
            <w:vAlign w:val="center"/>
          </w:tcPr>
          <w:p w14:paraId="2D97F8E0">
            <w:pPr>
              <w:spacing w:line="380" w:lineRule="exact"/>
              <w:jc w:val="center"/>
              <w:outlineLvl w:val="9"/>
              <w:rPr>
                <w:rFonts w:hint="eastAsia" w:ascii="宋体" w:hAnsi="宋体"/>
                <w:b/>
                <w:bCs/>
                <w:color w:val="auto"/>
                <w:spacing w:val="4"/>
                <w:sz w:val="21"/>
                <w:szCs w:val="21"/>
                <w:highlight w:val="none"/>
                <w:vertAlign w:val="baseline"/>
              </w:rPr>
            </w:pPr>
            <w:r>
              <w:rPr>
                <w:rFonts w:hint="eastAsia" w:ascii="宋体" w:hAnsi="宋体"/>
                <w:b/>
                <w:color w:val="auto"/>
                <w:sz w:val="21"/>
                <w:szCs w:val="21"/>
              </w:rPr>
              <w:t>评审因素</w:t>
            </w:r>
          </w:p>
        </w:tc>
        <w:tc>
          <w:tcPr>
            <w:tcW w:w="4542" w:type="dxa"/>
            <w:noWrap w:val="0"/>
            <w:vAlign w:val="center"/>
          </w:tcPr>
          <w:p w14:paraId="0A388D21">
            <w:pPr>
              <w:spacing w:line="380" w:lineRule="exact"/>
              <w:jc w:val="center"/>
              <w:outlineLvl w:val="9"/>
              <w:rPr>
                <w:rFonts w:hint="eastAsia" w:ascii="宋体" w:hAnsi="宋体"/>
                <w:b/>
                <w:bCs/>
                <w:color w:val="auto"/>
                <w:spacing w:val="4"/>
                <w:sz w:val="21"/>
                <w:szCs w:val="21"/>
                <w:highlight w:val="none"/>
                <w:vertAlign w:val="baseline"/>
              </w:rPr>
            </w:pPr>
            <w:r>
              <w:rPr>
                <w:rFonts w:hint="eastAsia" w:ascii="宋体" w:hAnsi="宋体"/>
                <w:b/>
                <w:color w:val="auto"/>
                <w:sz w:val="21"/>
                <w:szCs w:val="21"/>
              </w:rPr>
              <w:t>评审标准</w:t>
            </w:r>
          </w:p>
        </w:tc>
      </w:tr>
      <w:tr w14:paraId="2F7F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272" w:type="dxa"/>
            <w:vMerge w:val="restart"/>
            <w:noWrap w:val="0"/>
            <w:vAlign w:val="center"/>
          </w:tcPr>
          <w:p w14:paraId="7DD1B9BB">
            <w:pPr>
              <w:pStyle w:val="16"/>
              <w:jc w:val="center"/>
              <w:outlineLvl w:val="9"/>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符合性</w:t>
            </w:r>
          </w:p>
          <w:p w14:paraId="4F0198DE">
            <w:pPr>
              <w:pStyle w:val="16"/>
              <w:jc w:val="center"/>
              <w:outlineLvl w:val="9"/>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评审</w:t>
            </w:r>
          </w:p>
        </w:tc>
        <w:tc>
          <w:tcPr>
            <w:tcW w:w="3224" w:type="dxa"/>
            <w:noWrap w:val="0"/>
            <w:vAlign w:val="center"/>
          </w:tcPr>
          <w:p w14:paraId="40FFB31D">
            <w:pPr>
              <w:spacing w:line="500" w:lineRule="exact"/>
              <w:jc w:val="left"/>
              <w:outlineLvl w:val="9"/>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响应</w:t>
            </w:r>
            <w:r>
              <w:rPr>
                <w:rFonts w:hint="eastAsia" w:ascii="宋体" w:hAnsi="宋体"/>
                <w:color w:val="auto"/>
                <w:sz w:val="21"/>
                <w:szCs w:val="21"/>
                <w:highlight w:val="none"/>
              </w:rPr>
              <w:t>文件报价</w:t>
            </w:r>
          </w:p>
        </w:tc>
        <w:tc>
          <w:tcPr>
            <w:tcW w:w="4542" w:type="dxa"/>
            <w:noWrap w:val="0"/>
            <w:vAlign w:val="center"/>
          </w:tcPr>
          <w:p w14:paraId="53FEE7C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rPr>
              <w:t>内容无重大缺漏项，</w:t>
            </w:r>
            <w:r>
              <w:rPr>
                <w:rFonts w:hint="eastAsia" w:ascii="宋体" w:hAnsi="宋体"/>
                <w:color w:val="auto"/>
                <w:sz w:val="21"/>
                <w:szCs w:val="21"/>
                <w:highlight w:val="none"/>
                <w:lang w:eastAsia="zh-CN"/>
              </w:rPr>
              <w:t>报价唯一，</w:t>
            </w:r>
            <w:r>
              <w:rPr>
                <w:rFonts w:hint="eastAsia" w:ascii="宋体" w:hAnsi="宋体"/>
                <w:color w:val="auto"/>
                <w:sz w:val="21"/>
                <w:szCs w:val="21"/>
                <w:highlight w:val="none"/>
              </w:rPr>
              <w:t>且</w:t>
            </w:r>
            <w:r>
              <w:rPr>
                <w:rFonts w:hint="eastAsia" w:ascii="宋体" w:hAnsi="宋体"/>
                <w:color w:val="auto"/>
                <w:sz w:val="21"/>
                <w:szCs w:val="21"/>
                <w:highlight w:val="none"/>
                <w:lang w:val="en-US" w:eastAsia="zh-CN"/>
              </w:rPr>
              <w:t>不</w:t>
            </w:r>
            <w:r>
              <w:rPr>
                <w:rFonts w:hint="eastAsia" w:ascii="宋体" w:hAnsi="宋体"/>
                <w:color w:val="auto"/>
                <w:sz w:val="21"/>
                <w:szCs w:val="21"/>
                <w:highlight w:val="none"/>
              </w:rPr>
              <w:t>高于</w:t>
            </w:r>
            <w:r>
              <w:rPr>
                <w:rFonts w:hint="eastAsia" w:ascii="宋体" w:hAnsi="宋体"/>
                <w:color w:val="auto"/>
                <w:sz w:val="21"/>
                <w:szCs w:val="21"/>
                <w:highlight w:val="none"/>
                <w:lang w:val="en-US" w:eastAsia="zh-CN"/>
              </w:rPr>
              <w:t>本项目最高限价。</w:t>
            </w:r>
          </w:p>
        </w:tc>
      </w:tr>
      <w:tr w14:paraId="0B8E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2" w:type="dxa"/>
            <w:vMerge w:val="continue"/>
            <w:noWrap w:val="0"/>
            <w:vAlign w:val="center"/>
          </w:tcPr>
          <w:p w14:paraId="1F5D724F">
            <w:pPr>
              <w:pStyle w:val="16"/>
              <w:jc w:val="center"/>
              <w:outlineLvl w:val="9"/>
              <w:rPr>
                <w:rFonts w:hint="eastAsia" w:ascii="宋体" w:hAnsi="宋体"/>
                <w:color w:val="auto"/>
                <w:kern w:val="2"/>
                <w:sz w:val="21"/>
                <w:szCs w:val="21"/>
                <w:highlight w:val="none"/>
                <w:lang w:val="en-US" w:eastAsia="zh-CN" w:bidi="ar-SA"/>
              </w:rPr>
            </w:pPr>
          </w:p>
        </w:tc>
        <w:tc>
          <w:tcPr>
            <w:tcW w:w="3224" w:type="dxa"/>
            <w:noWrap w:val="0"/>
            <w:vAlign w:val="center"/>
          </w:tcPr>
          <w:p w14:paraId="5FA9558A">
            <w:pPr>
              <w:spacing w:line="500" w:lineRule="exact"/>
              <w:jc w:val="left"/>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供应商名称</w:t>
            </w:r>
          </w:p>
        </w:tc>
        <w:tc>
          <w:tcPr>
            <w:tcW w:w="4542" w:type="dxa"/>
            <w:noWrap w:val="0"/>
            <w:vAlign w:val="center"/>
          </w:tcPr>
          <w:p w14:paraId="149B4AA1">
            <w:pPr>
              <w:spacing w:line="500" w:lineRule="exact"/>
              <w:jc w:val="center"/>
              <w:outlineLvl w:val="9"/>
              <w:rPr>
                <w:rFonts w:hint="eastAsia" w:ascii="宋体" w:hAnsi="宋体"/>
                <w:color w:val="auto"/>
                <w:sz w:val="21"/>
                <w:szCs w:val="21"/>
                <w:highlight w:val="none"/>
                <w:lang w:val="en-US" w:eastAsia="zh-CN"/>
              </w:rPr>
            </w:pPr>
            <w:r>
              <w:rPr>
                <w:rFonts w:hint="eastAsia" w:ascii="宋体" w:hAnsi="宋体"/>
                <w:color w:val="auto"/>
                <w:sz w:val="21"/>
                <w:szCs w:val="21"/>
                <w:highlight w:val="none"/>
              </w:rPr>
              <w:t>与营业执照一致</w:t>
            </w:r>
          </w:p>
        </w:tc>
      </w:tr>
      <w:tr w14:paraId="41C1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2" w:type="dxa"/>
            <w:vMerge w:val="continue"/>
            <w:noWrap w:val="0"/>
            <w:vAlign w:val="top"/>
          </w:tcPr>
          <w:p w14:paraId="0849B377">
            <w:pPr>
              <w:pStyle w:val="16"/>
              <w:jc w:val="center"/>
              <w:outlineLvl w:val="9"/>
              <w:rPr>
                <w:rFonts w:hint="eastAsia" w:ascii="宋体" w:hAnsi="宋体"/>
                <w:b/>
                <w:bCs/>
                <w:color w:val="auto"/>
                <w:spacing w:val="4"/>
                <w:sz w:val="21"/>
                <w:szCs w:val="21"/>
                <w:highlight w:val="none"/>
                <w:vertAlign w:val="baseline"/>
              </w:rPr>
            </w:pPr>
          </w:p>
        </w:tc>
        <w:tc>
          <w:tcPr>
            <w:tcW w:w="3224" w:type="dxa"/>
            <w:noWrap w:val="0"/>
            <w:vAlign w:val="center"/>
          </w:tcPr>
          <w:p w14:paraId="23A652A1">
            <w:pPr>
              <w:spacing w:line="500" w:lineRule="exact"/>
              <w:jc w:val="left"/>
              <w:outlineLvl w:val="9"/>
              <w:rPr>
                <w:rFonts w:hint="eastAsia" w:ascii="宋体" w:hAnsi="宋体"/>
                <w:b/>
                <w:bCs/>
                <w:color w:val="auto"/>
                <w:spacing w:val="4"/>
                <w:sz w:val="21"/>
                <w:szCs w:val="21"/>
                <w:highlight w:val="none"/>
                <w:vertAlign w:val="baseline"/>
              </w:rPr>
            </w:pPr>
            <w:r>
              <w:rPr>
                <w:rFonts w:hint="eastAsia" w:ascii="宋体" w:hAnsi="宋体"/>
                <w:color w:val="auto"/>
                <w:sz w:val="21"/>
                <w:szCs w:val="21"/>
                <w:highlight w:val="none"/>
              </w:rPr>
              <w:t>磋商响应文件签字、盖章</w:t>
            </w:r>
          </w:p>
        </w:tc>
        <w:tc>
          <w:tcPr>
            <w:tcW w:w="4542" w:type="dxa"/>
            <w:noWrap w:val="0"/>
            <w:vAlign w:val="center"/>
          </w:tcPr>
          <w:p w14:paraId="6E446B7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bCs/>
                <w:color w:val="auto"/>
                <w:spacing w:val="4"/>
                <w:sz w:val="21"/>
                <w:szCs w:val="21"/>
                <w:highlight w:val="none"/>
                <w:vertAlign w:val="baseline"/>
              </w:rPr>
            </w:pPr>
            <w:r>
              <w:rPr>
                <w:rFonts w:hint="eastAsia" w:ascii="宋体" w:hAnsi="宋体"/>
                <w:color w:val="auto"/>
                <w:sz w:val="21"/>
                <w:szCs w:val="21"/>
                <w:highlight w:val="none"/>
              </w:rPr>
              <w:t>符合磋商文件要求</w:t>
            </w:r>
          </w:p>
        </w:tc>
      </w:tr>
      <w:tr w14:paraId="19E9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2" w:type="dxa"/>
            <w:vMerge w:val="continue"/>
            <w:noWrap w:val="0"/>
            <w:vAlign w:val="top"/>
          </w:tcPr>
          <w:p w14:paraId="352536A7">
            <w:pPr>
              <w:pStyle w:val="16"/>
              <w:jc w:val="center"/>
              <w:outlineLvl w:val="9"/>
              <w:rPr>
                <w:rFonts w:hint="eastAsia" w:ascii="宋体" w:hAnsi="宋体"/>
                <w:b/>
                <w:bCs/>
                <w:color w:val="auto"/>
                <w:spacing w:val="4"/>
                <w:sz w:val="21"/>
                <w:szCs w:val="21"/>
                <w:highlight w:val="none"/>
                <w:vertAlign w:val="baseline"/>
              </w:rPr>
            </w:pPr>
          </w:p>
        </w:tc>
        <w:tc>
          <w:tcPr>
            <w:tcW w:w="3224" w:type="dxa"/>
            <w:noWrap w:val="0"/>
            <w:vAlign w:val="center"/>
          </w:tcPr>
          <w:p w14:paraId="146863C6">
            <w:pPr>
              <w:spacing w:line="500" w:lineRule="exact"/>
              <w:jc w:val="left"/>
              <w:outlineLvl w:val="9"/>
              <w:rPr>
                <w:rFonts w:hint="eastAsia" w:ascii="宋体" w:hAnsi="宋体"/>
                <w:b/>
                <w:bCs/>
                <w:color w:val="auto"/>
                <w:spacing w:val="4"/>
                <w:sz w:val="21"/>
                <w:szCs w:val="21"/>
                <w:highlight w:val="none"/>
                <w:vertAlign w:val="baseline"/>
              </w:rPr>
            </w:pPr>
            <w:r>
              <w:rPr>
                <w:rFonts w:hint="eastAsia" w:ascii="宋体" w:hAnsi="宋体"/>
                <w:color w:val="auto"/>
                <w:sz w:val="21"/>
                <w:szCs w:val="21"/>
                <w:highlight w:val="none"/>
              </w:rPr>
              <w:t>磋商响应文件份数</w:t>
            </w:r>
          </w:p>
        </w:tc>
        <w:tc>
          <w:tcPr>
            <w:tcW w:w="4542" w:type="dxa"/>
            <w:noWrap w:val="0"/>
            <w:vAlign w:val="center"/>
          </w:tcPr>
          <w:p w14:paraId="3D46ED79">
            <w:pPr>
              <w:spacing w:line="500" w:lineRule="exact"/>
              <w:jc w:val="center"/>
              <w:outlineLvl w:val="9"/>
              <w:rPr>
                <w:rFonts w:hint="eastAsia" w:ascii="宋体" w:hAnsi="宋体"/>
                <w:b/>
                <w:bCs/>
                <w:color w:val="auto"/>
                <w:spacing w:val="4"/>
                <w:sz w:val="21"/>
                <w:szCs w:val="21"/>
                <w:highlight w:val="none"/>
                <w:vertAlign w:val="baseline"/>
              </w:rPr>
            </w:pPr>
            <w:r>
              <w:rPr>
                <w:rFonts w:hint="eastAsia" w:ascii="宋体" w:hAnsi="宋体"/>
                <w:color w:val="auto"/>
                <w:sz w:val="21"/>
                <w:szCs w:val="21"/>
                <w:highlight w:val="none"/>
              </w:rPr>
              <w:t>符合磋商文件要求</w:t>
            </w:r>
          </w:p>
        </w:tc>
      </w:tr>
      <w:tr w14:paraId="56B4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72" w:type="dxa"/>
            <w:vMerge w:val="continue"/>
            <w:noWrap w:val="0"/>
            <w:vAlign w:val="top"/>
          </w:tcPr>
          <w:p w14:paraId="63CF6373">
            <w:pPr>
              <w:pStyle w:val="16"/>
              <w:jc w:val="center"/>
              <w:outlineLvl w:val="9"/>
              <w:rPr>
                <w:rFonts w:hint="eastAsia" w:ascii="宋体" w:hAnsi="宋体"/>
                <w:b/>
                <w:bCs/>
                <w:color w:val="auto"/>
                <w:spacing w:val="4"/>
                <w:sz w:val="21"/>
                <w:szCs w:val="21"/>
                <w:highlight w:val="none"/>
                <w:vertAlign w:val="baseline"/>
              </w:rPr>
            </w:pPr>
          </w:p>
        </w:tc>
        <w:tc>
          <w:tcPr>
            <w:tcW w:w="3224" w:type="dxa"/>
            <w:noWrap w:val="0"/>
            <w:vAlign w:val="center"/>
          </w:tcPr>
          <w:p w14:paraId="12152251">
            <w:pPr>
              <w:spacing w:line="500" w:lineRule="exact"/>
              <w:outlineLvl w:val="9"/>
              <w:rPr>
                <w:rFonts w:hint="eastAsia" w:ascii="宋体" w:hAnsi="宋体" w:eastAsia="宋体" w:cs="Times New Roman"/>
                <w:b/>
                <w:bCs/>
                <w:color w:val="auto"/>
                <w:spacing w:val="4"/>
                <w:kern w:val="2"/>
                <w:sz w:val="21"/>
                <w:szCs w:val="21"/>
                <w:highlight w:val="none"/>
                <w:vertAlign w:val="baseline"/>
                <w:lang w:val="en-US" w:eastAsia="zh-CN" w:bidi="ar-SA"/>
              </w:rPr>
            </w:pPr>
            <w:r>
              <w:rPr>
                <w:rFonts w:hint="eastAsia" w:ascii="宋体" w:hAnsi="宋体"/>
                <w:color w:val="auto"/>
                <w:sz w:val="21"/>
                <w:szCs w:val="21"/>
                <w:highlight w:val="none"/>
                <w:lang w:val="en-US" w:eastAsia="zh-CN"/>
              </w:rPr>
              <w:t>工期</w:t>
            </w:r>
          </w:p>
        </w:tc>
        <w:tc>
          <w:tcPr>
            <w:tcW w:w="4542" w:type="dxa"/>
            <w:noWrap w:val="0"/>
            <w:vAlign w:val="center"/>
          </w:tcPr>
          <w:p w14:paraId="32339944">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Times New Roman"/>
                <w:b/>
                <w:bCs/>
                <w:color w:val="auto"/>
                <w:spacing w:val="4"/>
                <w:kern w:val="2"/>
                <w:sz w:val="21"/>
                <w:szCs w:val="21"/>
                <w:highlight w:val="none"/>
                <w:vertAlign w:val="baseline"/>
                <w:lang w:val="en-US" w:eastAsia="zh-CN" w:bidi="ar-SA"/>
              </w:rPr>
            </w:pPr>
            <w:r>
              <w:rPr>
                <w:rFonts w:hint="eastAsia" w:ascii="宋体" w:hAnsi="宋体"/>
                <w:color w:val="auto"/>
                <w:sz w:val="21"/>
                <w:szCs w:val="21"/>
                <w:highlight w:val="none"/>
              </w:rPr>
              <w:t>符合</w:t>
            </w:r>
            <w:r>
              <w:rPr>
                <w:rFonts w:hint="eastAsia" w:ascii="宋体" w:hAnsi="宋体"/>
                <w:color w:val="auto"/>
                <w:sz w:val="21"/>
                <w:szCs w:val="21"/>
                <w:highlight w:val="none"/>
                <w:lang w:val="en-US" w:eastAsia="zh-CN"/>
              </w:rPr>
              <w:t>或优于</w:t>
            </w:r>
            <w:r>
              <w:rPr>
                <w:rFonts w:hint="eastAsia" w:ascii="宋体" w:hAnsi="宋体"/>
                <w:color w:val="auto"/>
                <w:sz w:val="21"/>
                <w:szCs w:val="21"/>
                <w:highlight w:val="none"/>
              </w:rPr>
              <w:t>磋商文件要求</w:t>
            </w:r>
          </w:p>
        </w:tc>
      </w:tr>
      <w:tr w14:paraId="6E04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72" w:type="dxa"/>
            <w:vMerge w:val="continue"/>
            <w:noWrap w:val="0"/>
            <w:vAlign w:val="top"/>
          </w:tcPr>
          <w:p w14:paraId="096574D8">
            <w:pPr>
              <w:pStyle w:val="16"/>
              <w:jc w:val="center"/>
              <w:outlineLvl w:val="9"/>
              <w:rPr>
                <w:rFonts w:hint="eastAsia" w:ascii="宋体" w:hAnsi="宋体"/>
                <w:b/>
                <w:bCs/>
                <w:color w:val="auto"/>
                <w:spacing w:val="4"/>
                <w:sz w:val="21"/>
                <w:szCs w:val="21"/>
                <w:highlight w:val="none"/>
                <w:vertAlign w:val="baseline"/>
              </w:rPr>
            </w:pPr>
          </w:p>
        </w:tc>
        <w:tc>
          <w:tcPr>
            <w:tcW w:w="3224" w:type="dxa"/>
            <w:noWrap w:val="0"/>
            <w:vAlign w:val="center"/>
          </w:tcPr>
          <w:p w14:paraId="5BCF7947">
            <w:pPr>
              <w:spacing w:line="380" w:lineRule="exact"/>
              <w:outlineLvl w:val="9"/>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质量标准</w:t>
            </w:r>
          </w:p>
        </w:tc>
        <w:tc>
          <w:tcPr>
            <w:tcW w:w="4542" w:type="dxa"/>
            <w:noWrap w:val="0"/>
            <w:vAlign w:val="center"/>
          </w:tcPr>
          <w:p w14:paraId="00BEFB12">
            <w:pPr>
              <w:spacing w:line="380" w:lineRule="exact"/>
              <w:jc w:val="center"/>
              <w:outlineLvl w:val="9"/>
              <w:rPr>
                <w:rFonts w:hint="eastAsia" w:ascii="宋体" w:hAnsi="宋体"/>
                <w:color w:val="auto"/>
                <w:sz w:val="21"/>
                <w:szCs w:val="21"/>
                <w:highlight w:val="none"/>
              </w:rPr>
            </w:pPr>
            <w:r>
              <w:rPr>
                <w:rFonts w:hint="eastAsia" w:ascii="宋体" w:hAnsi="宋体"/>
                <w:color w:val="auto"/>
                <w:sz w:val="21"/>
                <w:szCs w:val="21"/>
                <w:highlight w:val="none"/>
              </w:rPr>
              <w:t>符合磋商文件要求</w:t>
            </w:r>
          </w:p>
        </w:tc>
      </w:tr>
      <w:tr w14:paraId="7945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2" w:type="dxa"/>
            <w:vMerge w:val="continue"/>
            <w:noWrap w:val="0"/>
            <w:vAlign w:val="top"/>
          </w:tcPr>
          <w:p w14:paraId="0056A66E">
            <w:pPr>
              <w:pStyle w:val="16"/>
              <w:jc w:val="center"/>
              <w:outlineLvl w:val="9"/>
              <w:rPr>
                <w:rFonts w:hint="eastAsia" w:ascii="宋体" w:hAnsi="宋体"/>
                <w:b/>
                <w:bCs/>
                <w:color w:val="auto"/>
                <w:spacing w:val="4"/>
                <w:sz w:val="21"/>
                <w:szCs w:val="21"/>
                <w:highlight w:val="none"/>
                <w:vertAlign w:val="baseline"/>
              </w:rPr>
            </w:pPr>
          </w:p>
        </w:tc>
        <w:tc>
          <w:tcPr>
            <w:tcW w:w="3224" w:type="dxa"/>
            <w:noWrap w:val="0"/>
            <w:vAlign w:val="center"/>
          </w:tcPr>
          <w:p w14:paraId="6C581E13">
            <w:pPr>
              <w:spacing w:line="380" w:lineRule="exact"/>
              <w:outlineLvl w:val="9"/>
              <w:rPr>
                <w:rFonts w:hint="eastAsia" w:ascii="宋体" w:hAnsi="宋体"/>
                <w:b/>
                <w:bCs/>
                <w:color w:val="auto"/>
                <w:spacing w:val="4"/>
                <w:sz w:val="21"/>
                <w:szCs w:val="21"/>
                <w:highlight w:val="none"/>
                <w:vertAlign w:val="baseline"/>
              </w:rPr>
            </w:pPr>
            <w:r>
              <w:rPr>
                <w:rFonts w:hint="eastAsia" w:ascii="宋体" w:hAnsi="宋体"/>
                <w:color w:val="auto"/>
                <w:sz w:val="21"/>
                <w:szCs w:val="21"/>
                <w:highlight w:val="none"/>
                <w:lang w:val="en-US" w:eastAsia="zh-CN"/>
              </w:rPr>
              <w:t>质量保修期（缺陷责任期）</w:t>
            </w:r>
          </w:p>
        </w:tc>
        <w:tc>
          <w:tcPr>
            <w:tcW w:w="4542" w:type="dxa"/>
            <w:noWrap w:val="0"/>
            <w:vAlign w:val="center"/>
          </w:tcPr>
          <w:p w14:paraId="77543A3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bCs/>
                <w:color w:val="auto"/>
                <w:spacing w:val="4"/>
                <w:sz w:val="21"/>
                <w:szCs w:val="21"/>
                <w:highlight w:val="none"/>
                <w:vertAlign w:val="baseline"/>
              </w:rPr>
            </w:pPr>
            <w:r>
              <w:rPr>
                <w:rFonts w:hint="eastAsia" w:ascii="宋体" w:hAnsi="宋体"/>
                <w:color w:val="auto"/>
                <w:sz w:val="21"/>
                <w:szCs w:val="21"/>
                <w:highlight w:val="none"/>
              </w:rPr>
              <w:t>符合</w:t>
            </w:r>
            <w:r>
              <w:rPr>
                <w:rFonts w:hint="eastAsia" w:ascii="宋体" w:hAnsi="宋体"/>
                <w:color w:val="auto"/>
                <w:sz w:val="21"/>
                <w:szCs w:val="21"/>
                <w:highlight w:val="none"/>
                <w:lang w:val="en-US" w:eastAsia="zh-CN"/>
              </w:rPr>
              <w:t>或优于</w:t>
            </w:r>
            <w:r>
              <w:rPr>
                <w:rFonts w:hint="eastAsia" w:ascii="宋体" w:hAnsi="宋体"/>
                <w:color w:val="auto"/>
                <w:sz w:val="21"/>
                <w:szCs w:val="21"/>
                <w:highlight w:val="none"/>
              </w:rPr>
              <w:t>磋商文件要求</w:t>
            </w:r>
          </w:p>
        </w:tc>
      </w:tr>
      <w:tr w14:paraId="2E71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272" w:type="dxa"/>
            <w:vMerge w:val="continue"/>
            <w:noWrap w:val="0"/>
            <w:vAlign w:val="top"/>
          </w:tcPr>
          <w:p w14:paraId="2339977E">
            <w:pPr>
              <w:pStyle w:val="16"/>
              <w:jc w:val="center"/>
              <w:outlineLvl w:val="9"/>
              <w:rPr>
                <w:rFonts w:hint="eastAsia" w:ascii="宋体" w:hAnsi="宋体"/>
                <w:b/>
                <w:bCs/>
                <w:color w:val="auto"/>
                <w:spacing w:val="4"/>
                <w:sz w:val="21"/>
                <w:szCs w:val="21"/>
                <w:highlight w:val="none"/>
                <w:vertAlign w:val="baseline"/>
              </w:rPr>
            </w:pPr>
          </w:p>
        </w:tc>
        <w:tc>
          <w:tcPr>
            <w:tcW w:w="3224" w:type="dxa"/>
            <w:noWrap w:val="0"/>
            <w:vAlign w:val="center"/>
          </w:tcPr>
          <w:p w14:paraId="749EC50A">
            <w:pPr>
              <w:spacing w:line="500" w:lineRule="exact"/>
              <w:outlineLvl w:val="9"/>
              <w:rPr>
                <w:rFonts w:hint="eastAsia" w:ascii="宋体" w:hAnsi="宋体"/>
                <w:b/>
                <w:bCs/>
                <w:color w:val="auto"/>
                <w:spacing w:val="4"/>
                <w:sz w:val="21"/>
                <w:szCs w:val="21"/>
                <w:highlight w:val="none"/>
                <w:vertAlign w:val="baseline"/>
              </w:rPr>
            </w:pPr>
            <w:r>
              <w:rPr>
                <w:rFonts w:hint="eastAsia" w:ascii="宋体" w:hAnsi="宋体"/>
                <w:color w:val="auto"/>
                <w:sz w:val="21"/>
                <w:szCs w:val="21"/>
                <w:highlight w:val="none"/>
              </w:rPr>
              <w:t>磋商有效期</w:t>
            </w:r>
          </w:p>
        </w:tc>
        <w:tc>
          <w:tcPr>
            <w:tcW w:w="4542" w:type="dxa"/>
            <w:noWrap w:val="0"/>
            <w:vAlign w:val="center"/>
          </w:tcPr>
          <w:p w14:paraId="2B475B30">
            <w:pPr>
              <w:spacing w:line="500" w:lineRule="exact"/>
              <w:jc w:val="center"/>
              <w:outlineLvl w:val="9"/>
              <w:rPr>
                <w:rFonts w:hint="eastAsia" w:ascii="宋体" w:hAnsi="宋体"/>
                <w:b/>
                <w:bCs/>
                <w:color w:val="auto"/>
                <w:spacing w:val="4"/>
                <w:sz w:val="21"/>
                <w:szCs w:val="21"/>
                <w:highlight w:val="none"/>
                <w:vertAlign w:val="baseline"/>
              </w:rPr>
            </w:pPr>
            <w:r>
              <w:rPr>
                <w:rFonts w:hint="eastAsia" w:ascii="宋体" w:hAnsi="宋体"/>
                <w:color w:val="auto"/>
                <w:sz w:val="21"/>
                <w:szCs w:val="21"/>
                <w:highlight w:val="none"/>
              </w:rPr>
              <w:t>符合</w:t>
            </w:r>
            <w:r>
              <w:rPr>
                <w:rFonts w:hint="eastAsia" w:ascii="宋体" w:hAnsi="宋体"/>
                <w:color w:val="auto"/>
                <w:sz w:val="21"/>
                <w:szCs w:val="21"/>
                <w:highlight w:val="none"/>
                <w:lang w:val="en-US" w:eastAsia="zh-CN"/>
              </w:rPr>
              <w:t>或优于</w:t>
            </w:r>
            <w:r>
              <w:rPr>
                <w:rFonts w:hint="eastAsia" w:ascii="宋体" w:hAnsi="宋体"/>
                <w:color w:val="auto"/>
                <w:sz w:val="21"/>
                <w:szCs w:val="21"/>
                <w:highlight w:val="none"/>
              </w:rPr>
              <w:t>磋商文件要求</w:t>
            </w:r>
          </w:p>
        </w:tc>
      </w:tr>
      <w:tr w14:paraId="3250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038" w:type="dxa"/>
            <w:gridSpan w:val="3"/>
            <w:noWrap w:val="0"/>
            <w:vAlign w:val="top"/>
          </w:tcPr>
          <w:p w14:paraId="31FEE844">
            <w:pPr>
              <w:spacing w:line="500" w:lineRule="exact"/>
              <w:jc w:val="both"/>
              <w:outlineLvl w:val="9"/>
              <w:rPr>
                <w:rFonts w:hint="eastAsia" w:ascii="宋体" w:hAnsi="宋体"/>
                <w:color w:val="auto"/>
                <w:sz w:val="21"/>
                <w:szCs w:val="21"/>
                <w:highlight w:val="none"/>
              </w:rPr>
            </w:pPr>
            <w:r>
              <w:rPr>
                <w:rFonts w:hint="eastAsia" w:ascii="宋体" w:hAnsi="宋体" w:eastAsia="宋体" w:cs="宋体"/>
                <w:b/>
                <w:bCs/>
                <w:color w:val="auto"/>
                <w:sz w:val="24"/>
                <w:szCs w:val="24"/>
                <w:lang w:val="en-US" w:eastAsia="zh-CN"/>
              </w:rPr>
              <w:t>备注：未通过符合性评审的供应商，将不再进行下一步评审。</w:t>
            </w:r>
          </w:p>
        </w:tc>
      </w:tr>
    </w:tbl>
    <w:p w14:paraId="24AD0E11">
      <w:pPr>
        <w:pStyle w:val="16"/>
        <w:jc w:val="center"/>
        <w:outlineLvl w:val="9"/>
        <w:rPr>
          <w:rFonts w:hint="eastAsia" w:ascii="宋体" w:hAnsi="宋体"/>
          <w:b/>
          <w:bCs/>
          <w:color w:val="auto"/>
          <w:spacing w:val="4"/>
          <w:sz w:val="28"/>
          <w:szCs w:val="28"/>
          <w:highlight w:val="none"/>
        </w:rPr>
      </w:pPr>
    </w:p>
    <w:p w14:paraId="5EC6A271">
      <w:pPr>
        <w:pStyle w:val="16"/>
        <w:jc w:val="center"/>
        <w:outlineLvl w:val="9"/>
        <w:rPr>
          <w:rFonts w:hint="eastAsia" w:ascii="宋体" w:hAnsi="宋体"/>
          <w:b/>
          <w:bCs/>
          <w:color w:val="auto"/>
          <w:spacing w:val="4"/>
          <w:sz w:val="28"/>
          <w:szCs w:val="28"/>
          <w:highlight w:val="none"/>
        </w:rPr>
      </w:pPr>
    </w:p>
    <w:p w14:paraId="3B6111E7">
      <w:pPr>
        <w:pStyle w:val="16"/>
        <w:jc w:val="center"/>
        <w:outlineLvl w:val="9"/>
        <w:rPr>
          <w:rFonts w:hint="eastAsia" w:ascii="宋体" w:hAnsi="宋体"/>
          <w:b/>
          <w:bCs/>
          <w:color w:val="auto"/>
          <w:sz w:val="28"/>
          <w:szCs w:val="28"/>
          <w:highlight w:val="none"/>
        </w:rPr>
      </w:pPr>
      <w:r>
        <w:rPr>
          <w:rFonts w:hint="eastAsia" w:ascii="宋体" w:hAnsi="宋体"/>
          <w:b/>
          <w:bCs/>
          <w:color w:val="auto"/>
          <w:spacing w:val="4"/>
          <w:sz w:val="28"/>
          <w:szCs w:val="28"/>
          <w:highlight w:val="none"/>
        </w:rPr>
        <w:t>评审因素及量化指标分解表</w:t>
      </w:r>
    </w:p>
    <w:p w14:paraId="35A0F090">
      <w:pPr>
        <w:pStyle w:val="16"/>
        <w:outlineLvl w:val="9"/>
        <w:rPr>
          <w:color w:val="auto"/>
          <w:highlight w:val="none"/>
        </w:rPr>
      </w:pPr>
    </w:p>
    <w:tbl>
      <w:tblPr>
        <w:tblStyle w:val="25"/>
        <w:tblpPr w:leftFromText="180" w:rightFromText="180" w:vertAnchor="text" w:horzAnchor="page" w:tblpX="1349" w:tblpY="1"/>
        <w:tblOverlap w:val="never"/>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10"/>
        <w:gridCol w:w="795"/>
        <w:gridCol w:w="5345"/>
        <w:gridCol w:w="2100"/>
      </w:tblGrid>
      <w:tr w14:paraId="1179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7" w:type="dxa"/>
            <w:noWrap w:val="0"/>
            <w:vAlign w:val="center"/>
          </w:tcPr>
          <w:p w14:paraId="0648D61D">
            <w:pPr>
              <w:spacing w:line="280" w:lineRule="exact"/>
              <w:jc w:val="center"/>
              <w:outlineLvl w:val="9"/>
              <w:rPr>
                <w:rFonts w:hint="eastAsia" w:ascii="宋体" w:hAnsi="宋体" w:eastAsia="宋体"/>
                <w:color w:val="auto"/>
                <w:szCs w:val="21"/>
                <w:highlight w:val="none"/>
                <w:lang w:eastAsia="zh-CN"/>
              </w:rPr>
            </w:pPr>
            <w:r>
              <w:rPr>
                <w:rFonts w:hint="eastAsia" w:ascii="宋体" w:hAnsi="宋体" w:cs="宋体"/>
                <w:b w:val="0"/>
                <w:bCs/>
                <w:color w:val="auto"/>
                <w:highlight w:val="none"/>
                <w:lang w:val="en-US" w:eastAsia="zh-CN"/>
              </w:rPr>
              <w:t>序号</w:t>
            </w:r>
          </w:p>
        </w:tc>
        <w:tc>
          <w:tcPr>
            <w:tcW w:w="1110" w:type="dxa"/>
            <w:noWrap w:val="0"/>
            <w:vAlign w:val="center"/>
          </w:tcPr>
          <w:p w14:paraId="3F53706B">
            <w:pPr>
              <w:spacing w:line="280" w:lineRule="exact"/>
              <w:jc w:val="center"/>
              <w:outlineLvl w:val="9"/>
              <w:rPr>
                <w:rFonts w:hint="eastAsia" w:ascii="宋体" w:hAnsi="宋体" w:eastAsia="宋体"/>
                <w:color w:val="auto"/>
                <w:szCs w:val="21"/>
                <w:highlight w:val="none"/>
                <w:lang w:eastAsia="zh-CN"/>
              </w:rPr>
            </w:pPr>
            <w:r>
              <w:rPr>
                <w:rFonts w:hint="eastAsia" w:ascii="宋体" w:hAnsi="宋体"/>
                <w:color w:val="auto"/>
                <w:szCs w:val="21"/>
                <w:highlight w:val="none"/>
              </w:rPr>
              <w:t>评审</w:t>
            </w:r>
            <w:r>
              <w:rPr>
                <w:rFonts w:hint="eastAsia" w:ascii="宋体" w:hAnsi="宋体"/>
                <w:color w:val="auto"/>
                <w:szCs w:val="21"/>
                <w:highlight w:val="none"/>
                <w:lang w:val="en-US" w:eastAsia="zh-CN"/>
              </w:rPr>
              <w:t>项目</w:t>
            </w:r>
          </w:p>
        </w:tc>
        <w:tc>
          <w:tcPr>
            <w:tcW w:w="795" w:type="dxa"/>
            <w:noWrap w:val="0"/>
            <w:vAlign w:val="center"/>
          </w:tcPr>
          <w:p w14:paraId="79916D68">
            <w:pPr>
              <w:spacing w:line="280" w:lineRule="exact"/>
              <w:jc w:val="center"/>
              <w:outlineLvl w:val="9"/>
              <w:rPr>
                <w:rFonts w:hint="eastAsia" w:ascii="宋体" w:hAnsi="宋体"/>
                <w:color w:val="auto"/>
                <w:szCs w:val="21"/>
                <w:highlight w:val="none"/>
              </w:rPr>
            </w:pPr>
            <w:r>
              <w:rPr>
                <w:rFonts w:hint="eastAsia" w:ascii="宋体" w:hAnsi="宋体"/>
                <w:color w:val="auto"/>
                <w:szCs w:val="21"/>
                <w:highlight w:val="none"/>
              </w:rPr>
              <w:t>分值</w:t>
            </w:r>
          </w:p>
        </w:tc>
        <w:tc>
          <w:tcPr>
            <w:tcW w:w="5345" w:type="dxa"/>
            <w:noWrap w:val="0"/>
            <w:vAlign w:val="center"/>
          </w:tcPr>
          <w:p w14:paraId="0D003774">
            <w:pPr>
              <w:spacing w:line="280" w:lineRule="exact"/>
              <w:jc w:val="center"/>
              <w:outlineLvl w:val="9"/>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评分标准</w:t>
            </w:r>
          </w:p>
        </w:tc>
        <w:tc>
          <w:tcPr>
            <w:tcW w:w="2100" w:type="dxa"/>
            <w:noWrap w:val="0"/>
            <w:vAlign w:val="center"/>
          </w:tcPr>
          <w:p w14:paraId="5A70AFCF">
            <w:pPr>
              <w:spacing w:line="280" w:lineRule="exact"/>
              <w:jc w:val="center"/>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w:t>
            </w:r>
          </w:p>
        </w:tc>
      </w:tr>
      <w:tr w14:paraId="2314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87" w:type="dxa"/>
            <w:noWrap w:val="0"/>
            <w:vAlign w:val="center"/>
          </w:tcPr>
          <w:p w14:paraId="5FCE68CE">
            <w:pPr>
              <w:spacing w:line="320" w:lineRule="exact"/>
              <w:jc w:val="center"/>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w:t>
            </w:r>
          </w:p>
        </w:tc>
        <w:tc>
          <w:tcPr>
            <w:tcW w:w="1110" w:type="dxa"/>
            <w:noWrap w:val="0"/>
            <w:vAlign w:val="center"/>
          </w:tcPr>
          <w:p w14:paraId="3C9055B7">
            <w:pPr>
              <w:spacing w:line="320" w:lineRule="exact"/>
              <w:jc w:val="center"/>
              <w:outlineLvl w:val="9"/>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技术</w:t>
            </w:r>
          </w:p>
          <w:p w14:paraId="0F151F7C">
            <w:pPr>
              <w:spacing w:line="32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部分</w:t>
            </w:r>
          </w:p>
        </w:tc>
        <w:tc>
          <w:tcPr>
            <w:tcW w:w="795" w:type="dxa"/>
            <w:noWrap w:val="0"/>
            <w:vAlign w:val="center"/>
          </w:tcPr>
          <w:p w14:paraId="538EC188">
            <w:pPr>
              <w:spacing w:line="320" w:lineRule="exact"/>
              <w:jc w:val="center"/>
              <w:outlineLvl w:val="9"/>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54分</w:t>
            </w:r>
          </w:p>
        </w:tc>
        <w:tc>
          <w:tcPr>
            <w:tcW w:w="5345" w:type="dxa"/>
            <w:noWrap w:val="0"/>
            <w:vAlign w:val="center"/>
          </w:tcPr>
          <w:p w14:paraId="365846D9">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提供针对</w:t>
            </w:r>
            <w:r>
              <w:rPr>
                <w:rFonts w:hint="eastAsia" w:ascii="宋体" w:hAnsi="宋体" w:eastAsia="宋体" w:cs="宋体"/>
                <w:b w:val="0"/>
                <w:bCs/>
                <w:color w:val="auto"/>
                <w:szCs w:val="21"/>
                <w:highlight w:val="none"/>
                <w:lang w:eastAsia="zh-CN"/>
              </w:rPr>
              <w:t>本</w:t>
            </w:r>
            <w:r>
              <w:rPr>
                <w:rFonts w:hint="eastAsia" w:ascii="宋体" w:hAnsi="宋体" w:eastAsia="宋体" w:cs="宋体"/>
                <w:b w:val="0"/>
                <w:bCs/>
                <w:color w:val="auto"/>
                <w:szCs w:val="21"/>
                <w:highlight w:val="none"/>
              </w:rPr>
              <w:t>项目的</w:t>
            </w:r>
            <w:r>
              <w:rPr>
                <w:rFonts w:hint="eastAsia" w:ascii="宋体" w:hAnsi="宋体" w:cs="宋体"/>
                <w:b w:val="0"/>
                <w:bCs/>
                <w:color w:val="auto"/>
                <w:szCs w:val="21"/>
                <w:highlight w:val="none"/>
                <w:lang w:val="en-US" w:eastAsia="zh-CN"/>
              </w:rPr>
              <w:t>施工组织设计</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包</w:t>
            </w:r>
            <w:r>
              <w:rPr>
                <w:rFonts w:hint="eastAsia" w:ascii="宋体" w:hAnsi="宋体" w:eastAsia="宋体" w:cs="宋体"/>
                <w:b w:val="0"/>
                <w:bCs/>
                <w:color w:val="auto"/>
                <w:szCs w:val="21"/>
                <w:highlight w:val="none"/>
              </w:rPr>
              <w:t>含但不限于：①施工方案与技术措施；②质量管理体系与措施；③安全管理体系与措施；④</w:t>
            </w:r>
            <w:r>
              <w:rPr>
                <w:rFonts w:hint="eastAsia" w:ascii="宋体" w:hAnsi="宋体" w:cs="宋体"/>
                <w:b w:val="0"/>
                <w:bCs/>
                <w:color w:val="auto"/>
                <w:szCs w:val="21"/>
                <w:highlight w:val="none"/>
                <w:lang w:val="en-US" w:eastAsia="zh-CN"/>
              </w:rPr>
              <w:t>文明施工、</w:t>
            </w:r>
            <w:r>
              <w:rPr>
                <w:rFonts w:hint="eastAsia" w:ascii="宋体" w:hAnsi="宋体" w:eastAsia="宋体" w:cs="宋体"/>
                <w:b w:val="0"/>
                <w:bCs/>
                <w:color w:val="auto"/>
                <w:szCs w:val="21"/>
                <w:highlight w:val="none"/>
              </w:rPr>
              <w:t>环境保护管理体系与措施；⑤施工进度计划及措施</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⑥</w:t>
            </w:r>
            <w:r>
              <w:rPr>
                <w:rFonts w:hint="eastAsia" w:ascii="宋体" w:hAnsi="宋体" w:eastAsia="宋体" w:cs="宋体"/>
                <w:b w:val="0"/>
                <w:bCs/>
                <w:color w:val="auto"/>
                <w:szCs w:val="21"/>
                <w:highlight w:val="none"/>
                <w:lang w:val="en-US" w:eastAsia="zh-CN"/>
              </w:rPr>
              <w:t>资源配备计划</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上述</w:t>
            </w:r>
            <w:r>
              <w:rPr>
                <w:rFonts w:hint="eastAsia" w:ascii="宋体" w:hAnsi="宋体" w:cs="宋体"/>
                <w:b w:val="0"/>
                <w:bCs/>
                <w:color w:val="auto"/>
                <w:szCs w:val="21"/>
                <w:highlight w:val="none"/>
                <w:lang w:val="en-US" w:eastAsia="zh-CN"/>
              </w:rPr>
              <w:t>方案</w:t>
            </w:r>
            <w:r>
              <w:rPr>
                <w:rFonts w:hint="eastAsia" w:ascii="宋体" w:hAnsi="宋体" w:eastAsia="宋体" w:cs="宋体"/>
                <w:b w:val="0"/>
                <w:bCs/>
                <w:color w:val="auto"/>
                <w:szCs w:val="21"/>
                <w:highlight w:val="none"/>
              </w:rPr>
              <w:t>内容详细，清晰有利于项目</w:t>
            </w:r>
            <w:r>
              <w:rPr>
                <w:rFonts w:hint="eastAsia" w:ascii="宋体" w:hAnsi="宋体" w:eastAsia="宋体" w:cs="宋体"/>
                <w:b w:val="0"/>
                <w:bCs/>
                <w:color w:val="auto"/>
                <w:szCs w:val="21"/>
                <w:highlight w:val="none"/>
                <w:lang w:eastAsia="zh-CN"/>
              </w:rPr>
              <w:t>实施</w:t>
            </w:r>
            <w:r>
              <w:rPr>
                <w:rFonts w:hint="eastAsia" w:ascii="宋体" w:hAnsi="宋体" w:eastAsia="宋体" w:cs="宋体"/>
                <w:b w:val="0"/>
                <w:bCs/>
                <w:color w:val="auto"/>
                <w:szCs w:val="21"/>
                <w:highlight w:val="none"/>
              </w:rPr>
              <w:t>的</w:t>
            </w:r>
            <w:r>
              <w:rPr>
                <w:rFonts w:hint="eastAsia" w:ascii="宋体" w:hAnsi="宋体" w:eastAsia="宋体" w:cs="宋体"/>
                <w:b w:val="0"/>
                <w:bCs/>
                <w:color w:val="auto"/>
                <w:szCs w:val="21"/>
                <w:highlight w:val="none"/>
                <w:lang w:eastAsia="zh-CN"/>
              </w:rPr>
              <w:t>每项</w:t>
            </w:r>
            <w:r>
              <w:rPr>
                <w:rFonts w:hint="eastAsia" w:ascii="宋体" w:hAnsi="宋体" w:eastAsia="宋体" w:cs="宋体"/>
                <w:b w:val="0"/>
                <w:bCs/>
                <w:color w:val="auto"/>
                <w:szCs w:val="21"/>
                <w:highlight w:val="none"/>
              </w:rPr>
              <w:t>得</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分（如有缺陷或不足在此分数基础上进行扣分），以上</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项中：</w:t>
            </w:r>
          </w:p>
          <w:p w14:paraId="757DB621">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每有1项缺失或</w:t>
            </w:r>
            <w:r>
              <w:rPr>
                <w:rFonts w:hint="eastAsia" w:ascii="宋体" w:hAnsi="宋体" w:eastAsia="宋体" w:cs="宋体"/>
                <w:b w:val="0"/>
                <w:bCs/>
                <w:color w:val="auto"/>
                <w:szCs w:val="21"/>
                <w:highlight w:val="none"/>
                <w:lang w:eastAsia="zh-CN"/>
              </w:rPr>
              <w:t>不切实符合</w:t>
            </w:r>
            <w:r>
              <w:rPr>
                <w:rFonts w:hint="eastAsia" w:ascii="宋体" w:hAnsi="宋体" w:eastAsia="宋体" w:cs="宋体"/>
                <w:b w:val="0"/>
                <w:bCs/>
                <w:color w:val="auto"/>
                <w:szCs w:val="21"/>
                <w:highlight w:val="none"/>
              </w:rPr>
              <w:t>项目需求的扣</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分；</w:t>
            </w:r>
          </w:p>
          <w:p w14:paraId="098E690D">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每有1项内容存在缺陷或不足扣</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分；</w:t>
            </w:r>
          </w:p>
          <w:p w14:paraId="0D70186F">
            <w:pPr>
              <w:spacing w:line="320" w:lineRule="exact"/>
              <w:jc w:val="left"/>
              <w:outlineLvl w:val="9"/>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每有1项总体内容完备但存在部分瑕疵扣</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分。</w:t>
            </w:r>
          </w:p>
        </w:tc>
        <w:tc>
          <w:tcPr>
            <w:tcW w:w="2100" w:type="dxa"/>
            <w:noWrap w:val="0"/>
            <w:vAlign w:val="center"/>
          </w:tcPr>
          <w:p w14:paraId="40F285BC">
            <w:pPr>
              <w:spacing w:line="280" w:lineRule="exact"/>
              <w:outlineLvl w:val="9"/>
              <w:rPr>
                <w:rFonts w:hint="eastAsia" w:ascii="宋体" w:hAnsi="宋体"/>
                <w:color w:val="auto"/>
                <w:szCs w:val="21"/>
                <w:highlight w:val="none"/>
              </w:rPr>
            </w:pPr>
          </w:p>
        </w:tc>
      </w:tr>
      <w:tr w14:paraId="173A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87" w:type="dxa"/>
            <w:noWrap w:val="0"/>
            <w:vAlign w:val="center"/>
          </w:tcPr>
          <w:p w14:paraId="5A3A399B">
            <w:pPr>
              <w:spacing w:line="320" w:lineRule="exact"/>
              <w:jc w:val="center"/>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w:t>
            </w:r>
          </w:p>
        </w:tc>
        <w:tc>
          <w:tcPr>
            <w:tcW w:w="1110" w:type="dxa"/>
            <w:noWrap w:val="0"/>
            <w:vAlign w:val="center"/>
          </w:tcPr>
          <w:p w14:paraId="03251855">
            <w:pPr>
              <w:spacing w:line="32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业绩</w:t>
            </w:r>
          </w:p>
        </w:tc>
        <w:tc>
          <w:tcPr>
            <w:tcW w:w="795" w:type="dxa"/>
            <w:noWrap w:val="0"/>
            <w:vAlign w:val="center"/>
          </w:tcPr>
          <w:p w14:paraId="5D962081">
            <w:pPr>
              <w:spacing w:line="320" w:lineRule="exact"/>
              <w:jc w:val="center"/>
              <w:outlineLvl w:val="9"/>
              <w:rPr>
                <w:rFonts w:hint="eastAsia" w:ascii="宋体" w:hAnsi="宋体" w:eastAsia="宋体" w:cs="宋体"/>
                <w:b w:val="0"/>
                <w:bCs/>
                <w:color w:val="auto"/>
                <w:szCs w:val="21"/>
                <w:highlight w:val="none"/>
              </w:rPr>
            </w:pP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lang w:val="en-US" w:eastAsia="zh-CN"/>
              </w:rPr>
              <w:t>分</w:t>
            </w:r>
          </w:p>
        </w:tc>
        <w:tc>
          <w:tcPr>
            <w:tcW w:w="5345" w:type="dxa"/>
            <w:noWrap w:val="0"/>
            <w:vAlign w:val="center"/>
          </w:tcPr>
          <w:p w14:paraId="724817DD">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提供20</w:t>
            </w:r>
            <w:r>
              <w:rPr>
                <w:rFonts w:hint="eastAsia" w:ascii="宋体" w:hAnsi="宋体" w:eastAsia="宋体" w:cs="宋体"/>
                <w:b w:val="0"/>
                <w:bCs/>
                <w:color w:val="auto"/>
                <w:szCs w:val="21"/>
                <w:highlight w:val="none"/>
                <w:lang w:val="en-US" w:eastAsia="zh-CN"/>
              </w:rPr>
              <w:t>2</w:t>
            </w: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rPr>
              <w:t>年</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rPr>
              <w:t>月1日至今完成的类似业绩</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以中标（成交）通知书或合同或竣工验收证明材料落款时间为准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一项得</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分，最多得</w:t>
            </w: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rPr>
              <w:t>分</w:t>
            </w:r>
            <w:r>
              <w:rPr>
                <w:rFonts w:hint="eastAsia" w:ascii="宋体" w:hAnsi="宋体" w:eastAsia="宋体" w:cs="宋体"/>
                <w:b w:val="0"/>
                <w:bCs/>
                <w:color w:val="auto"/>
                <w:szCs w:val="21"/>
                <w:highlight w:val="none"/>
                <w:lang w:val="en-US" w:eastAsia="zh-CN"/>
              </w:rPr>
              <w:t>；未提供不得分</w:t>
            </w:r>
            <w:r>
              <w:rPr>
                <w:rFonts w:hint="eastAsia" w:ascii="宋体" w:hAnsi="宋体" w:eastAsia="宋体" w:cs="宋体"/>
                <w:b w:val="0"/>
                <w:bCs/>
                <w:color w:val="auto"/>
                <w:szCs w:val="21"/>
                <w:highlight w:val="none"/>
              </w:rPr>
              <w:t>。</w:t>
            </w:r>
          </w:p>
        </w:tc>
        <w:tc>
          <w:tcPr>
            <w:tcW w:w="2100" w:type="dxa"/>
            <w:noWrap w:val="0"/>
            <w:vAlign w:val="center"/>
          </w:tcPr>
          <w:p w14:paraId="66109C6D">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cs="宋体"/>
                <w:color w:val="auto"/>
                <w:szCs w:val="21"/>
                <w:highlight w:val="none"/>
              </w:rPr>
            </w:pPr>
            <w:r>
              <w:rPr>
                <w:rFonts w:hint="eastAsia" w:ascii="宋体" w:hAnsi="宋体" w:eastAsia="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文件中附</w:t>
            </w:r>
            <w:r>
              <w:rPr>
                <w:rFonts w:hint="eastAsia" w:ascii="宋体" w:hAnsi="宋体" w:eastAsia="宋体" w:cs="宋体"/>
                <w:b w:val="0"/>
                <w:bCs/>
                <w:color w:val="auto"/>
                <w:szCs w:val="21"/>
                <w:highlight w:val="none"/>
              </w:rPr>
              <w:t>类似业绩</w:t>
            </w:r>
            <w:r>
              <w:rPr>
                <w:rFonts w:hint="eastAsia" w:ascii="宋体" w:hAnsi="宋体" w:cs="宋体"/>
                <w:b w:val="0"/>
                <w:bCs/>
                <w:color w:val="auto"/>
                <w:szCs w:val="21"/>
                <w:highlight w:val="none"/>
                <w:lang w:val="en-US" w:eastAsia="zh-CN"/>
              </w:rPr>
              <w:t>的</w:t>
            </w:r>
            <w:r>
              <w:rPr>
                <w:rFonts w:hint="eastAsia" w:ascii="宋体" w:hAnsi="宋体" w:eastAsia="宋体" w:cs="宋体"/>
                <w:b w:val="0"/>
                <w:bCs/>
                <w:color w:val="auto"/>
                <w:szCs w:val="21"/>
                <w:highlight w:val="none"/>
                <w:lang w:val="en-US" w:eastAsia="zh-CN"/>
              </w:rPr>
              <w:t>中标（</w:t>
            </w:r>
            <w:r>
              <w:rPr>
                <w:rFonts w:hint="eastAsia" w:ascii="宋体" w:hAnsi="宋体" w:eastAsia="宋体" w:cs="宋体"/>
                <w:b w:val="0"/>
                <w:bCs/>
                <w:color w:val="auto"/>
                <w:szCs w:val="21"/>
                <w:highlight w:val="none"/>
                <w:lang w:eastAsia="zh-CN"/>
              </w:rPr>
              <w:t>成交</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eastAsia="zh-CN"/>
              </w:rPr>
              <w:t>通知书</w:t>
            </w:r>
            <w:r>
              <w:rPr>
                <w:rFonts w:hint="eastAsia" w:ascii="宋体" w:hAnsi="宋体" w:eastAsia="宋体" w:cs="宋体"/>
                <w:b w:val="0"/>
                <w:bCs/>
                <w:color w:val="auto"/>
                <w:szCs w:val="21"/>
                <w:highlight w:val="none"/>
              </w:rPr>
              <w:t>或合同</w:t>
            </w:r>
            <w:r>
              <w:rPr>
                <w:rFonts w:hint="eastAsia" w:ascii="宋体" w:hAnsi="宋体" w:eastAsia="宋体" w:cs="宋体"/>
                <w:b w:val="0"/>
                <w:bCs/>
                <w:color w:val="auto"/>
                <w:szCs w:val="21"/>
                <w:highlight w:val="none"/>
                <w:lang w:val="en-US" w:eastAsia="zh-CN"/>
              </w:rPr>
              <w:t>或</w:t>
            </w:r>
            <w:r>
              <w:rPr>
                <w:rFonts w:hint="eastAsia" w:ascii="宋体" w:hAnsi="宋体" w:eastAsia="宋体" w:cs="宋体"/>
                <w:b w:val="0"/>
                <w:bCs/>
                <w:color w:val="auto"/>
                <w:szCs w:val="21"/>
                <w:highlight w:val="none"/>
              </w:rPr>
              <w:t>竣工验收证明材料</w:t>
            </w:r>
            <w:r>
              <w:rPr>
                <w:rFonts w:hint="eastAsia" w:ascii="宋体" w:hAnsi="宋体" w:eastAsia="宋体" w:cs="宋体"/>
                <w:color w:val="auto"/>
                <w:sz w:val="21"/>
                <w:szCs w:val="21"/>
                <w:highlight w:val="none"/>
              </w:rPr>
              <w:t>复印件或扫描件并加盖公章。</w:t>
            </w:r>
          </w:p>
        </w:tc>
      </w:tr>
      <w:tr w14:paraId="12B1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687" w:type="dxa"/>
            <w:noWrap w:val="0"/>
            <w:vAlign w:val="center"/>
          </w:tcPr>
          <w:p w14:paraId="333FBFCF">
            <w:pPr>
              <w:spacing w:line="320" w:lineRule="exact"/>
              <w:jc w:val="center"/>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w:t>
            </w:r>
          </w:p>
        </w:tc>
        <w:tc>
          <w:tcPr>
            <w:tcW w:w="1110" w:type="dxa"/>
            <w:noWrap w:val="0"/>
            <w:vAlign w:val="center"/>
          </w:tcPr>
          <w:p w14:paraId="1245C57A">
            <w:pPr>
              <w:spacing w:line="32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项目机</w:t>
            </w:r>
          </w:p>
          <w:p w14:paraId="63D86CA5">
            <w:pPr>
              <w:spacing w:line="32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构组成</w:t>
            </w:r>
          </w:p>
        </w:tc>
        <w:tc>
          <w:tcPr>
            <w:tcW w:w="795" w:type="dxa"/>
            <w:noWrap w:val="0"/>
            <w:vAlign w:val="center"/>
          </w:tcPr>
          <w:p w14:paraId="18C72AEE">
            <w:pPr>
              <w:spacing w:line="320" w:lineRule="exact"/>
              <w:jc w:val="center"/>
              <w:outlineLvl w:val="9"/>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10</w:t>
            </w:r>
            <w:r>
              <w:rPr>
                <w:rFonts w:hint="eastAsia" w:ascii="宋体" w:hAnsi="宋体" w:eastAsia="宋体" w:cs="宋体"/>
                <w:b w:val="0"/>
                <w:bCs/>
                <w:color w:val="auto"/>
                <w:szCs w:val="21"/>
                <w:highlight w:val="none"/>
                <w:lang w:val="en-US" w:eastAsia="zh-CN"/>
              </w:rPr>
              <w:t>分</w:t>
            </w:r>
          </w:p>
        </w:tc>
        <w:tc>
          <w:tcPr>
            <w:tcW w:w="5345" w:type="dxa"/>
            <w:noWrap w:val="0"/>
            <w:vAlign w:val="center"/>
          </w:tcPr>
          <w:p w14:paraId="74BB2C4B">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①</w:t>
            </w:r>
            <w:r>
              <w:rPr>
                <w:rFonts w:hint="default" w:ascii="宋体" w:hAnsi="宋体" w:eastAsia="宋体" w:cs="宋体"/>
                <w:b w:val="0"/>
                <w:bCs/>
                <w:color w:val="auto"/>
                <w:szCs w:val="21"/>
                <w:highlight w:val="none"/>
                <w:lang w:val="en-US"/>
              </w:rPr>
              <w:t>具有五大员（质量员、安全员、施工员、材料员、资料员）上岗证书</w:t>
            </w:r>
            <w:r>
              <w:rPr>
                <w:rFonts w:hint="eastAsia" w:ascii="宋体" w:hAnsi="宋体" w:eastAsia="宋体" w:cs="宋体"/>
                <w:b w:val="0"/>
                <w:bCs/>
                <w:color w:val="auto"/>
                <w:szCs w:val="21"/>
                <w:highlight w:val="none"/>
                <w:lang w:val="en-US" w:eastAsia="zh-CN"/>
              </w:rPr>
              <w:t>（安全员</w:t>
            </w:r>
            <w:r>
              <w:rPr>
                <w:rFonts w:hint="eastAsia" w:ascii="宋体" w:hAnsi="宋体" w:cs="宋体"/>
                <w:b w:val="0"/>
                <w:bCs/>
                <w:color w:val="auto"/>
                <w:szCs w:val="21"/>
                <w:highlight w:val="none"/>
                <w:lang w:val="en-US" w:eastAsia="zh-CN"/>
              </w:rPr>
              <w:t>附</w:t>
            </w:r>
            <w:r>
              <w:rPr>
                <w:rFonts w:hint="eastAsia" w:ascii="宋体" w:hAnsi="宋体" w:eastAsia="宋体" w:cs="宋体"/>
                <w:b w:val="0"/>
                <w:bCs/>
                <w:color w:val="auto"/>
                <w:szCs w:val="21"/>
                <w:highlight w:val="none"/>
                <w:lang w:val="en-US" w:eastAsia="zh-CN"/>
              </w:rPr>
              <w:t>安全生产考核合格证）的每证得1分；最多得5分；</w:t>
            </w:r>
          </w:p>
          <w:p w14:paraId="1275BEA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②有相应</w:t>
            </w:r>
            <w:r>
              <w:rPr>
                <w:rFonts w:hint="default" w:ascii="宋体" w:hAnsi="宋体" w:eastAsia="宋体" w:cs="宋体"/>
                <w:b w:val="0"/>
                <w:bCs/>
                <w:color w:val="auto"/>
                <w:szCs w:val="21"/>
                <w:highlight w:val="none"/>
                <w:lang w:val="en-US"/>
              </w:rPr>
              <w:t>职称证</w:t>
            </w:r>
            <w:r>
              <w:rPr>
                <w:rFonts w:hint="eastAsia" w:ascii="宋体" w:hAnsi="宋体" w:eastAsia="宋体" w:cs="宋体"/>
                <w:b w:val="0"/>
                <w:bCs/>
                <w:color w:val="auto"/>
                <w:szCs w:val="21"/>
                <w:highlight w:val="none"/>
                <w:lang w:val="en-US" w:eastAsia="zh-CN"/>
              </w:rPr>
              <w:t>（初级及以上均可）</w:t>
            </w:r>
            <w:r>
              <w:rPr>
                <w:rFonts w:hint="default" w:ascii="宋体" w:hAnsi="宋体" w:eastAsia="宋体" w:cs="宋体"/>
                <w:b w:val="0"/>
                <w:bCs/>
                <w:color w:val="auto"/>
                <w:szCs w:val="21"/>
                <w:highlight w:val="none"/>
                <w:lang w:val="en-US"/>
              </w:rPr>
              <w:t>的</w:t>
            </w:r>
            <w:r>
              <w:rPr>
                <w:rFonts w:hint="eastAsia" w:ascii="宋体" w:hAnsi="宋体" w:eastAsia="宋体" w:cs="宋体"/>
                <w:b w:val="0"/>
                <w:bCs/>
                <w:color w:val="auto"/>
                <w:szCs w:val="21"/>
                <w:highlight w:val="none"/>
                <w:lang w:val="en-US" w:eastAsia="zh-CN"/>
              </w:rPr>
              <w:t>每证加1分，最多得5分</w:t>
            </w:r>
            <w:r>
              <w:rPr>
                <w:rFonts w:hint="eastAsia" w:ascii="宋体" w:hAnsi="宋体" w:cs="宋体"/>
                <w:b w:val="0"/>
                <w:bCs/>
                <w:color w:val="auto"/>
                <w:szCs w:val="21"/>
                <w:highlight w:val="none"/>
                <w:lang w:val="en-US" w:eastAsia="zh-CN"/>
              </w:rPr>
              <w:t>；</w:t>
            </w:r>
          </w:p>
          <w:p w14:paraId="4E33F4CD">
            <w:pPr>
              <w:spacing w:line="320" w:lineRule="exact"/>
              <w:jc w:val="left"/>
              <w:outlineLvl w:val="9"/>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Cs w:val="21"/>
                <w:highlight w:val="none"/>
                <w:lang w:val="en-US" w:eastAsia="zh-CN"/>
              </w:rPr>
              <w:t>③</w:t>
            </w:r>
            <w:r>
              <w:rPr>
                <w:rFonts w:hint="eastAsia" w:ascii="宋体" w:hAnsi="宋体" w:cs="宋体"/>
                <w:b w:val="0"/>
                <w:bCs/>
                <w:color w:val="auto"/>
                <w:szCs w:val="21"/>
                <w:highlight w:val="none"/>
                <w:lang w:val="en-US" w:eastAsia="zh-CN"/>
              </w:rPr>
              <w:t>未提供不得分</w:t>
            </w:r>
            <w:r>
              <w:rPr>
                <w:rFonts w:hint="eastAsia" w:ascii="宋体" w:hAnsi="宋体" w:eastAsia="宋体" w:cs="宋体"/>
                <w:b w:val="0"/>
                <w:bCs/>
                <w:color w:val="auto"/>
                <w:szCs w:val="21"/>
                <w:highlight w:val="none"/>
                <w:lang w:val="en-US" w:eastAsia="zh-CN"/>
              </w:rPr>
              <w:t>。</w:t>
            </w:r>
          </w:p>
        </w:tc>
        <w:tc>
          <w:tcPr>
            <w:tcW w:w="2100" w:type="dxa"/>
            <w:noWrap w:val="0"/>
            <w:vAlign w:val="center"/>
          </w:tcPr>
          <w:p w14:paraId="5C97E922">
            <w:pPr>
              <w:spacing w:line="320" w:lineRule="exact"/>
              <w:jc w:val="left"/>
              <w:outlineLvl w:val="9"/>
              <w:rPr>
                <w:rFonts w:hint="eastAsia" w:ascii="宋体" w:hAnsi="宋体" w:eastAsia="宋体" w:cs="宋体"/>
                <w:b w:val="0"/>
                <w:bCs/>
                <w:color w:val="auto"/>
                <w:highlight w:val="none"/>
              </w:rPr>
            </w:pPr>
            <w:r>
              <w:rPr>
                <w:rFonts w:hint="eastAsia" w:ascii="宋体" w:hAnsi="宋体" w:eastAsia="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文件中附</w:t>
            </w:r>
            <w:r>
              <w:rPr>
                <w:rFonts w:hint="eastAsia" w:ascii="宋体" w:hAnsi="宋体" w:cs="宋体"/>
                <w:color w:val="auto"/>
                <w:sz w:val="21"/>
                <w:szCs w:val="21"/>
                <w:highlight w:val="none"/>
                <w:lang w:val="en-US" w:eastAsia="zh-CN"/>
              </w:rPr>
              <w:t>相关证书的</w:t>
            </w:r>
            <w:r>
              <w:rPr>
                <w:rFonts w:hint="eastAsia" w:ascii="宋体" w:hAnsi="宋体" w:eastAsia="宋体" w:cs="宋体"/>
                <w:color w:val="auto"/>
                <w:sz w:val="21"/>
                <w:szCs w:val="21"/>
                <w:highlight w:val="none"/>
              </w:rPr>
              <w:t>复印件或扫描件并加盖公章。</w:t>
            </w:r>
          </w:p>
        </w:tc>
      </w:tr>
      <w:tr w14:paraId="34A0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trPr>
        <w:tc>
          <w:tcPr>
            <w:tcW w:w="687" w:type="dxa"/>
            <w:noWrap w:val="0"/>
            <w:vAlign w:val="center"/>
          </w:tcPr>
          <w:p w14:paraId="7ECADB15">
            <w:pPr>
              <w:spacing w:line="320" w:lineRule="exact"/>
              <w:jc w:val="center"/>
              <w:outlineLvl w:val="9"/>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w:t>
            </w:r>
          </w:p>
        </w:tc>
        <w:tc>
          <w:tcPr>
            <w:tcW w:w="1110" w:type="dxa"/>
            <w:noWrap w:val="0"/>
            <w:vAlign w:val="center"/>
          </w:tcPr>
          <w:p w14:paraId="64E8FF09">
            <w:pPr>
              <w:spacing w:line="320" w:lineRule="exact"/>
              <w:jc w:val="center"/>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磋商</w:t>
            </w:r>
          </w:p>
          <w:p w14:paraId="75FA02D4">
            <w:pPr>
              <w:spacing w:line="32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报价</w:t>
            </w:r>
          </w:p>
        </w:tc>
        <w:tc>
          <w:tcPr>
            <w:tcW w:w="795" w:type="dxa"/>
            <w:noWrap w:val="0"/>
            <w:vAlign w:val="center"/>
          </w:tcPr>
          <w:p w14:paraId="3AC5A1AB">
            <w:pPr>
              <w:spacing w:line="320" w:lineRule="exact"/>
              <w:jc w:val="center"/>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30分</w:t>
            </w:r>
          </w:p>
        </w:tc>
        <w:tc>
          <w:tcPr>
            <w:tcW w:w="5345" w:type="dxa"/>
            <w:noWrap w:val="0"/>
            <w:vAlign w:val="center"/>
          </w:tcPr>
          <w:p w14:paraId="2086C9F2">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①经资格</w:t>
            </w:r>
            <w:r>
              <w:rPr>
                <w:rFonts w:hint="eastAsia" w:ascii="宋体" w:hAnsi="宋体" w:cs="宋体"/>
                <w:b w:val="0"/>
                <w:bCs/>
                <w:color w:val="auto"/>
                <w:szCs w:val="21"/>
                <w:highlight w:val="none"/>
                <w:lang w:val="en-US" w:eastAsia="zh-CN"/>
              </w:rPr>
              <w:t>评审</w:t>
            </w:r>
            <w:r>
              <w:rPr>
                <w:rFonts w:hint="default" w:ascii="宋体" w:hAnsi="宋体" w:eastAsia="宋体" w:cs="宋体"/>
                <w:b w:val="0"/>
                <w:bCs/>
                <w:color w:val="auto"/>
                <w:szCs w:val="21"/>
                <w:highlight w:val="none"/>
                <w:lang w:val="en-US"/>
              </w:rPr>
              <w:t>、</w:t>
            </w:r>
            <w:r>
              <w:rPr>
                <w:rFonts w:hint="eastAsia" w:ascii="宋体" w:hAnsi="宋体" w:cs="宋体"/>
                <w:b w:val="0"/>
                <w:bCs/>
                <w:color w:val="auto"/>
                <w:szCs w:val="21"/>
                <w:highlight w:val="none"/>
                <w:lang w:val="en-US" w:eastAsia="zh-CN"/>
              </w:rPr>
              <w:t>符合性评审</w:t>
            </w:r>
            <w:r>
              <w:rPr>
                <w:rFonts w:hint="eastAsia" w:ascii="宋体" w:hAnsi="宋体" w:eastAsia="宋体" w:cs="宋体"/>
                <w:b w:val="0"/>
                <w:bCs/>
                <w:color w:val="auto"/>
                <w:szCs w:val="21"/>
                <w:highlight w:val="none"/>
              </w:rPr>
              <w:t>合格的磋商响应文件，其磋商报价有效；</w:t>
            </w:r>
          </w:p>
          <w:p w14:paraId="30AECEA9">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②满足磋商文件要求且最后提交价格最低的磋商报价为</w:t>
            </w:r>
            <w:r>
              <w:rPr>
                <w:rFonts w:hint="eastAsia" w:ascii="宋体" w:hAnsi="宋体" w:eastAsia="宋体" w:cs="宋体"/>
                <w:b w:val="0"/>
                <w:bCs/>
                <w:color w:val="auto"/>
                <w:szCs w:val="21"/>
                <w:highlight w:val="none"/>
                <w:lang w:val="en-US" w:eastAsia="zh-CN"/>
              </w:rPr>
              <w:t>磋商</w:t>
            </w:r>
            <w:r>
              <w:rPr>
                <w:rFonts w:hint="eastAsia" w:ascii="宋体" w:hAnsi="宋体" w:eastAsia="宋体" w:cs="宋体"/>
                <w:b w:val="0"/>
                <w:bCs/>
                <w:color w:val="auto"/>
                <w:szCs w:val="21"/>
                <w:highlight w:val="none"/>
              </w:rPr>
              <w:t>基准价；</w:t>
            </w:r>
          </w:p>
          <w:p w14:paraId="7E0BA5AD">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③磋商报价得分=(磋商基准价／最后磋商报价)×30%×100 </w:t>
            </w:r>
          </w:p>
          <w:p w14:paraId="24FBABF3">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④政策性加分执行磋商文件中的标准；</w:t>
            </w:r>
          </w:p>
          <w:p w14:paraId="544936B3">
            <w:pPr>
              <w:spacing w:line="320" w:lineRule="exact"/>
              <w:jc w:val="left"/>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⑤磋商报价不完整的，本项得0分。</w:t>
            </w:r>
          </w:p>
        </w:tc>
        <w:tc>
          <w:tcPr>
            <w:tcW w:w="2100" w:type="dxa"/>
            <w:noWrap w:val="0"/>
            <w:vAlign w:val="center"/>
          </w:tcPr>
          <w:p w14:paraId="34C95BE5">
            <w:pPr>
              <w:spacing w:line="320" w:lineRule="exact"/>
              <w:jc w:val="left"/>
              <w:outlineLvl w:val="9"/>
              <w:rPr>
                <w:rFonts w:hint="eastAsia" w:ascii="宋体" w:hAnsi="宋体" w:eastAsia="宋体" w:cs="宋体"/>
                <w:color w:val="auto"/>
              </w:rPr>
            </w:pPr>
            <w:r>
              <w:rPr>
                <w:rFonts w:hint="eastAsia" w:ascii="宋体" w:hAnsi="宋体" w:eastAsia="宋体" w:cs="宋体"/>
                <w:b w:val="0"/>
                <w:bCs w:val="0"/>
                <w:color w:val="auto"/>
                <w:highlight w:val="none"/>
              </w:rPr>
              <w:t>磋商小组认为供应商的报价明显低于其他通过符合性评审供应商的报价，有可能影响产品质量或者不能诚信履约的，应当要求其在评标现场合理的时间内提供书面说明，必要时提交相关证明材料；供应商不能证明其报价合理性的，磋商小组应当将其作为无效响应处理。</w:t>
            </w:r>
          </w:p>
        </w:tc>
      </w:tr>
      <w:tr w14:paraId="2CF5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37" w:type="dxa"/>
            <w:gridSpan w:val="5"/>
            <w:noWrap w:val="0"/>
            <w:vAlign w:val="center"/>
          </w:tcPr>
          <w:p w14:paraId="4C04B124">
            <w:pPr>
              <w:spacing w:line="320" w:lineRule="exact"/>
              <w:jc w:val="center"/>
              <w:outlineLvl w:val="9"/>
              <w:rPr>
                <w:rFonts w:hint="eastAsia" w:ascii="宋体" w:hAnsi="宋体" w:eastAsia="宋体" w:cs="宋体"/>
                <w:b w:val="0"/>
                <w:bCs/>
                <w:color w:val="auto"/>
              </w:rPr>
            </w:pPr>
            <w:r>
              <w:rPr>
                <w:rFonts w:hint="eastAsia" w:ascii="宋体" w:hAnsi="宋体" w:eastAsia="宋体" w:cs="宋体"/>
                <w:b w:val="0"/>
                <w:bCs/>
                <w:color w:val="auto"/>
                <w:kern w:val="1"/>
                <w:szCs w:val="21"/>
                <w:lang w:eastAsia="zh-CN"/>
              </w:rPr>
              <w:t>磋商</w:t>
            </w:r>
            <w:r>
              <w:rPr>
                <w:rFonts w:hint="eastAsia" w:ascii="宋体" w:hAnsi="宋体" w:eastAsia="宋体" w:cs="宋体"/>
                <w:b w:val="0"/>
                <w:bCs/>
                <w:color w:val="auto"/>
                <w:kern w:val="1"/>
                <w:szCs w:val="21"/>
              </w:rPr>
              <w:t>小组根据</w:t>
            </w:r>
            <w:r>
              <w:rPr>
                <w:rFonts w:hint="eastAsia" w:ascii="宋体" w:hAnsi="宋体" w:eastAsia="宋体" w:cs="宋体"/>
                <w:b w:val="0"/>
                <w:bCs/>
                <w:color w:val="auto"/>
                <w:kern w:val="1"/>
                <w:szCs w:val="21"/>
                <w:lang w:eastAsia="zh-CN"/>
              </w:rPr>
              <w:t>供应商</w:t>
            </w:r>
            <w:r>
              <w:rPr>
                <w:rFonts w:hint="eastAsia" w:ascii="宋体" w:hAnsi="宋体" w:eastAsia="宋体" w:cs="宋体"/>
                <w:b w:val="0"/>
                <w:bCs/>
                <w:color w:val="auto"/>
                <w:kern w:val="1"/>
                <w:szCs w:val="21"/>
              </w:rPr>
              <w:t>响应文件横向对比，自主赋分，有重大错误、缺项或漏项时该子项不得分。</w:t>
            </w:r>
          </w:p>
        </w:tc>
      </w:tr>
    </w:tbl>
    <w:p w14:paraId="50151766">
      <w:pPr>
        <w:jc w:val="both"/>
        <w:outlineLvl w:val="9"/>
        <w:rPr>
          <w:rFonts w:hint="eastAsia" w:ascii="宋体" w:hAnsi="宋体"/>
          <w:b/>
          <w:color w:val="auto"/>
          <w:sz w:val="36"/>
        </w:rPr>
      </w:pPr>
      <w:bookmarkStart w:id="47" w:name="_Toc14947"/>
      <w:bookmarkStart w:id="48" w:name="_Toc319"/>
      <w:bookmarkStart w:id="49" w:name="_Toc517"/>
    </w:p>
    <w:p w14:paraId="58C3C6A3">
      <w:pPr>
        <w:jc w:val="center"/>
        <w:outlineLvl w:val="9"/>
        <w:rPr>
          <w:rFonts w:hint="eastAsia" w:ascii="宋体" w:hAnsi="宋体"/>
          <w:b/>
          <w:color w:val="auto"/>
          <w:sz w:val="36"/>
          <w:highlight w:val="none"/>
        </w:rPr>
      </w:pPr>
      <w:bookmarkStart w:id="50" w:name="_Toc27014"/>
      <w:bookmarkStart w:id="51" w:name="_Toc31860"/>
    </w:p>
    <w:p w14:paraId="47C6CD72">
      <w:pPr>
        <w:jc w:val="center"/>
        <w:outlineLvl w:val="0"/>
        <w:rPr>
          <w:rFonts w:hint="eastAsia" w:ascii="宋体" w:hAnsi="宋体" w:eastAsia="宋体" w:cs="宋体"/>
          <w:b w:val="0"/>
          <w:bCs/>
          <w:color w:val="auto"/>
          <w:sz w:val="36"/>
          <w:szCs w:val="36"/>
          <w:highlight w:val="yellow"/>
        </w:rPr>
      </w:pPr>
      <w:bookmarkStart w:id="52" w:name="_Toc21357"/>
      <w:r>
        <w:rPr>
          <w:rFonts w:hint="eastAsia" w:ascii="宋体" w:hAnsi="宋体"/>
          <w:b/>
          <w:color w:val="auto"/>
          <w:sz w:val="36"/>
          <w:highlight w:val="none"/>
        </w:rPr>
        <w:t>第</w:t>
      </w:r>
      <w:r>
        <w:rPr>
          <w:rFonts w:hint="eastAsia" w:ascii="宋体" w:hAnsi="宋体"/>
          <w:b/>
          <w:color w:val="auto"/>
          <w:sz w:val="36"/>
          <w:highlight w:val="none"/>
          <w:lang w:val="en-US" w:eastAsia="zh-CN"/>
        </w:rPr>
        <w:t>四</w:t>
      </w:r>
      <w:r>
        <w:rPr>
          <w:rFonts w:hint="eastAsia" w:ascii="宋体" w:hAnsi="宋体"/>
          <w:b/>
          <w:color w:val="auto"/>
          <w:sz w:val="36"/>
          <w:highlight w:val="none"/>
        </w:rPr>
        <w:t xml:space="preserve">部分  </w:t>
      </w:r>
      <w:bookmarkEnd w:id="47"/>
      <w:r>
        <w:rPr>
          <w:rFonts w:ascii="宋体" w:hAnsi="宋体" w:cs="宋体"/>
          <w:b/>
          <w:color w:val="auto"/>
          <w:kern w:val="1"/>
          <w:sz w:val="36"/>
          <w:szCs w:val="36"/>
          <w:highlight w:val="none"/>
        </w:rPr>
        <w:t>合同文</w:t>
      </w:r>
      <w:r>
        <w:rPr>
          <w:rFonts w:hint="eastAsia" w:ascii="宋体" w:hAnsi="宋体" w:cs="宋体"/>
          <w:b/>
          <w:color w:val="auto"/>
          <w:kern w:val="1"/>
          <w:sz w:val="36"/>
          <w:szCs w:val="36"/>
          <w:highlight w:val="none"/>
        </w:rPr>
        <w:t>本</w:t>
      </w:r>
      <w:r>
        <w:rPr>
          <w:rFonts w:ascii="宋体" w:hAnsi="宋体" w:cs="宋体"/>
          <w:b/>
          <w:color w:val="auto"/>
          <w:kern w:val="1"/>
          <w:sz w:val="36"/>
          <w:szCs w:val="36"/>
          <w:highlight w:val="none"/>
        </w:rPr>
        <w:t>及主要条款</w:t>
      </w:r>
      <w:bookmarkEnd w:id="48"/>
      <w:bookmarkEnd w:id="50"/>
      <w:bookmarkEnd w:id="51"/>
      <w:bookmarkEnd w:id="52"/>
    </w:p>
    <w:p w14:paraId="41C8E198">
      <w:pPr>
        <w:keepNext/>
        <w:keepLines/>
        <w:pageBreakBefore w:val="0"/>
        <w:widowControl/>
        <w:kinsoku/>
        <w:wordWrap/>
        <w:overflowPunct/>
        <w:topLinePunct w:val="0"/>
        <w:autoSpaceDE/>
        <w:autoSpaceDN/>
        <w:bidi w:val="0"/>
        <w:adjustRightInd/>
        <w:snapToGrid/>
        <w:spacing w:line="300" w:lineRule="exact"/>
        <w:jc w:val="center"/>
        <w:textAlignment w:val="auto"/>
        <w:outlineLvl w:val="9"/>
        <w:rPr>
          <w:rFonts w:hint="eastAsia"/>
          <w:b/>
          <w:bCs/>
          <w:color w:val="auto"/>
          <w:sz w:val="24"/>
          <w:szCs w:val="24"/>
        </w:rPr>
      </w:pPr>
      <w:bookmarkStart w:id="53" w:name="_Toc430097416"/>
      <w:bookmarkStart w:id="54" w:name="_Toc307416146"/>
      <w:bookmarkStart w:id="55" w:name="_Toc267472871"/>
      <w:bookmarkStart w:id="56" w:name="_Toc285028771"/>
      <w:bookmarkStart w:id="57" w:name="_Toc19885"/>
      <w:bookmarkStart w:id="58" w:name="_Toc307417443"/>
      <w:bookmarkStart w:id="59" w:name="_Toc307415540"/>
      <w:bookmarkStart w:id="60" w:name="_Toc263677306"/>
      <w:bookmarkStart w:id="61" w:name="_Toc307485210"/>
      <w:bookmarkStart w:id="62" w:name="_Toc263370619"/>
      <w:bookmarkStart w:id="63" w:name="_Toc265658091"/>
      <w:bookmarkStart w:id="64" w:name="_Toc184635122"/>
      <w:bookmarkStart w:id="65" w:name="_Toc265673897"/>
      <w:bookmarkStart w:id="66" w:name="_Toc265657484"/>
      <w:bookmarkStart w:id="67" w:name="_Toc637"/>
      <w:bookmarkStart w:id="68" w:name="_Toc190"/>
    </w:p>
    <w:p w14:paraId="50685F2B">
      <w:pPr>
        <w:keepNext/>
        <w:keepLines/>
        <w:pageBreakBefore w:val="0"/>
        <w:widowControl/>
        <w:kinsoku/>
        <w:wordWrap/>
        <w:overflowPunct/>
        <w:topLinePunct w:val="0"/>
        <w:autoSpaceDE/>
        <w:autoSpaceDN/>
        <w:bidi w:val="0"/>
        <w:adjustRightInd/>
        <w:snapToGrid/>
        <w:spacing w:line="300" w:lineRule="exact"/>
        <w:jc w:val="center"/>
        <w:textAlignment w:val="auto"/>
        <w:outlineLvl w:val="9"/>
        <w:rPr>
          <w:rFonts w:ascii="宋体" w:hAnsi="宋体"/>
          <w:b w:val="0"/>
          <w:color w:val="auto"/>
          <w:sz w:val="28"/>
          <w:szCs w:val="28"/>
        </w:rPr>
      </w:pPr>
      <w:r>
        <w:rPr>
          <w:rFonts w:hint="eastAsia"/>
          <w:b/>
          <w:bCs/>
          <w:color w:val="auto"/>
          <w:sz w:val="24"/>
          <w:szCs w:val="24"/>
        </w:rPr>
        <w:t xml:space="preserve">第1节 </w:t>
      </w:r>
      <w:r>
        <w:rPr>
          <w:rFonts w:hint="eastAsia"/>
          <w:b/>
          <w:bCs/>
          <w:color w:val="auto"/>
          <w:sz w:val="24"/>
          <w:szCs w:val="24"/>
          <w:lang w:val="en-US" w:eastAsia="zh-CN"/>
        </w:rPr>
        <w:t xml:space="preserve">  </w:t>
      </w:r>
      <w:r>
        <w:rPr>
          <w:rFonts w:hint="eastAsia"/>
          <w:b/>
          <w:bCs/>
          <w:color w:val="auto"/>
          <w:sz w:val="24"/>
          <w:szCs w:val="24"/>
        </w:rPr>
        <w:t>通用合同条款</w:t>
      </w:r>
      <w:bookmarkEnd w:id="53"/>
      <w:bookmarkEnd w:id="54"/>
      <w:bookmarkEnd w:id="55"/>
      <w:bookmarkEnd w:id="56"/>
      <w:bookmarkEnd w:id="57"/>
      <w:bookmarkEnd w:id="58"/>
      <w:bookmarkEnd w:id="59"/>
      <w:bookmarkEnd w:id="60"/>
      <w:bookmarkEnd w:id="61"/>
    </w:p>
    <w:p w14:paraId="421AE53A">
      <w:pPr>
        <w:numPr>
          <w:ilvl w:val="0"/>
          <w:numId w:val="0"/>
        </w:numPr>
        <w:ind w:leftChars="0"/>
        <w:jc w:val="both"/>
        <w:outlineLvl w:val="9"/>
        <w:rPr>
          <w:rFonts w:hint="eastAsia" w:ascii="宋体" w:hAnsi="宋体" w:eastAsia="宋体" w:cs="宋体"/>
          <w:color w:val="auto"/>
          <w:sz w:val="24"/>
          <w:szCs w:val="24"/>
        </w:rPr>
      </w:pPr>
      <w:bookmarkStart w:id="69" w:name="_Toc12356"/>
      <w:bookmarkStart w:id="70" w:name="_Toc307417444"/>
      <w:bookmarkStart w:id="71" w:name="_Toc267472872"/>
      <w:bookmarkStart w:id="72" w:name="_Toc307485211"/>
      <w:bookmarkStart w:id="73" w:name="_Toc430097417"/>
      <w:bookmarkStart w:id="74" w:name="_Toc263370592"/>
      <w:bookmarkStart w:id="75" w:name="_Toc184635098"/>
      <w:bookmarkStart w:id="76" w:name="_Toc263677307"/>
      <w:bookmarkStart w:id="77" w:name="_Toc285028772"/>
      <w:bookmarkStart w:id="78" w:name="_Toc307416147"/>
      <w:r>
        <w:rPr>
          <w:rFonts w:hint="eastAsia" w:ascii="宋体" w:hAnsi="宋体" w:eastAsia="宋体" w:cs="宋体"/>
          <w:color w:val="auto"/>
          <w:sz w:val="24"/>
          <w:szCs w:val="24"/>
        </w:rPr>
        <w:t>1．一般约定</w:t>
      </w:r>
      <w:bookmarkEnd w:id="69"/>
      <w:bookmarkEnd w:id="70"/>
      <w:bookmarkEnd w:id="71"/>
      <w:bookmarkEnd w:id="72"/>
      <w:bookmarkEnd w:id="73"/>
      <w:bookmarkEnd w:id="74"/>
      <w:bookmarkEnd w:id="75"/>
      <w:bookmarkEnd w:id="76"/>
      <w:bookmarkEnd w:id="77"/>
      <w:bookmarkEnd w:id="78"/>
    </w:p>
    <w:p w14:paraId="53FA4A01">
      <w:pPr>
        <w:jc w:val="both"/>
        <w:outlineLvl w:val="9"/>
        <w:rPr>
          <w:rFonts w:hint="eastAsia" w:ascii="宋体" w:hAnsi="宋体" w:eastAsia="宋体" w:cs="宋体"/>
          <w:color w:val="auto"/>
          <w:sz w:val="24"/>
          <w:szCs w:val="24"/>
        </w:rPr>
      </w:pPr>
      <w:bookmarkStart w:id="79" w:name="_Toc285028773"/>
      <w:bookmarkStart w:id="80" w:name="_Toc267472873"/>
      <w:bookmarkStart w:id="81" w:name="_Toc263677308"/>
      <w:r>
        <w:rPr>
          <w:rFonts w:hint="eastAsia" w:ascii="宋体" w:hAnsi="宋体" w:eastAsia="宋体" w:cs="宋体"/>
          <w:color w:val="auto"/>
          <w:sz w:val="24"/>
          <w:szCs w:val="24"/>
        </w:rPr>
        <w:t>1.1 词语定义</w:t>
      </w:r>
      <w:bookmarkEnd w:id="79"/>
      <w:bookmarkEnd w:id="80"/>
      <w:bookmarkEnd w:id="81"/>
    </w:p>
    <w:p w14:paraId="478C0AB2">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通用合同条款、专用合同条款中的下列词语应具有本款所赋予的含义。</w:t>
      </w:r>
    </w:p>
    <w:p w14:paraId="2CBA6446">
      <w:pPr>
        <w:spacing w:line="360" w:lineRule="auto"/>
        <w:ind w:firstLine="480" w:firstLineChars="200"/>
        <w:outlineLvl w:val="9"/>
        <w:rPr>
          <w:rFonts w:ascii="宋体" w:hAnsi="宋体"/>
          <w:color w:val="auto"/>
          <w:sz w:val="24"/>
          <w:szCs w:val="24"/>
        </w:rPr>
      </w:pPr>
      <w:bookmarkStart w:id="82" w:name="_Toc267472874"/>
      <w:bookmarkStart w:id="83" w:name="_Toc275528017"/>
      <w:bookmarkStart w:id="84" w:name="_Toc285028774"/>
      <w:bookmarkStart w:id="85" w:name="_Toc267470878"/>
      <w:r>
        <w:rPr>
          <w:rFonts w:hint="eastAsia" w:ascii="宋体" w:hAnsi="宋体"/>
          <w:color w:val="auto"/>
          <w:sz w:val="24"/>
          <w:szCs w:val="24"/>
        </w:rPr>
        <w:t>1.1.1 合同</w:t>
      </w:r>
      <w:bookmarkEnd w:id="82"/>
      <w:bookmarkEnd w:id="83"/>
      <w:bookmarkEnd w:id="84"/>
      <w:bookmarkEnd w:id="85"/>
    </w:p>
    <w:p w14:paraId="7B8FE616">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1.1.1.1 合同文件（或称合同）：指合同协议书、中标通知书、投标函及投标函附录、专用合同条款、通用合同条款、技术标准和要求、图纸、已标价工程量清单，以及其他合同文件。</w:t>
      </w:r>
    </w:p>
    <w:p w14:paraId="7E77D714">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1.1.1.2 合同协议书：指第1.5款所指的合同协议书。</w:t>
      </w:r>
    </w:p>
    <w:p w14:paraId="0BFD68E8">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1.1.1.3 中标通知书：指发包人通知承包人中标的函件。</w:t>
      </w:r>
    </w:p>
    <w:p w14:paraId="61AEAEED">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1.1.1.4 投标函：指构成合同文件组成部分的由承包人填写并签署的投标函。</w:t>
      </w:r>
    </w:p>
    <w:p w14:paraId="68B9CCF0">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1.1.1.5 投标函附录：指附在投标函后构成合同文件的投标函附录。</w:t>
      </w:r>
    </w:p>
    <w:p w14:paraId="43ECDD71">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1.1.1.6 技术标准和要求：指构成合同文件组成部分的名为技术标准和要求（合同技术条款）的文件，包括合同双方当事人约定对其所作的修改或补充。</w:t>
      </w:r>
    </w:p>
    <w:p w14:paraId="5F6A1447">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635F7A6B">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1.1.1.8 已标价工程量清单：指构成合同文件组成部分的由承包人按照规定的格式和要求填写并标明价格的工程量清单。</w:t>
      </w:r>
    </w:p>
    <w:p w14:paraId="15287AF3">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1.1.1.9 其他合同文件：指经合同双方当事人确认构成合同文件的其他文件。</w:t>
      </w:r>
    </w:p>
    <w:p w14:paraId="7DBCFD02">
      <w:pPr>
        <w:spacing w:line="360" w:lineRule="auto"/>
        <w:ind w:firstLine="480" w:firstLineChars="200"/>
        <w:outlineLvl w:val="9"/>
        <w:rPr>
          <w:rFonts w:ascii="宋体" w:hAnsi="宋体"/>
          <w:color w:val="auto"/>
          <w:sz w:val="24"/>
          <w:szCs w:val="24"/>
        </w:rPr>
      </w:pPr>
      <w:bookmarkStart w:id="86" w:name="_Toc267472875"/>
      <w:bookmarkStart w:id="87" w:name="_Toc275528018"/>
      <w:bookmarkStart w:id="88" w:name="_Toc267470879"/>
      <w:bookmarkStart w:id="89" w:name="_Toc285028775"/>
      <w:r>
        <w:rPr>
          <w:rFonts w:hint="eastAsia" w:ascii="宋体" w:hAnsi="宋体"/>
          <w:color w:val="auto"/>
          <w:sz w:val="24"/>
          <w:szCs w:val="24"/>
        </w:rPr>
        <w:t>1.1.2 合同当事人和人员</w:t>
      </w:r>
      <w:bookmarkEnd w:id="86"/>
      <w:bookmarkEnd w:id="87"/>
      <w:bookmarkEnd w:id="88"/>
      <w:bookmarkEnd w:id="89"/>
    </w:p>
    <w:p w14:paraId="3A916390">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1.1.2.1 合同当事人：指发包人和（或）承包人。</w:t>
      </w:r>
    </w:p>
    <w:p w14:paraId="5835A1D9">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1.1.2.2 发包人：指专用合同条款中指明并与承包人在合同协议书中签字的当事人。</w:t>
      </w:r>
    </w:p>
    <w:p w14:paraId="74246D85">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1.1.2.3 承包人：指专用合同条款中指明并与发包人在合同协议书中签字的当事人。</w:t>
      </w:r>
    </w:p>
    <w:p w14:paraId="509BBB4E">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1.1.2.4 承包人项目经理：指承包人派驻施工场地的全权负责人。</w:t>
      </w:r>
    </w:p>
    <w:p w14:paraId="2D436ED8">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1.1.2.5 分包人：指专用合同条款中指明的，从承包人处分包合同中某一部分工程，并与其签订分包合同的分包人。</w:t>
      </w:r>
    </w:p>
    <w:p w14:paraId="0AE4B888">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1.1.2.6 监理人：指在专用合同条款中指明的，受发包人委托对合同履行实施管理的法人或其他组织。</w:t>
      </w:r>
    </w:p>
    <w:p w14:paraId="02E19675">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1.1.2.7 总监理工程师（总监）：指由监理人委派常驻施工场地对合同履行实施管理的全权负责人。</w:t>
      </w:r>
    </w:p>
    <w:p w14:paraId="5092EFEC">
      <w:pPr>
        <w:spacing w:line="360" w:lineRule="auto"/>
        <w:ind w:firstLine="480" w:firstLineChars="200"/>
        <w:outlineLvl w:val="9"/>
        <w:rPr>
          <w:rFonts w:hint="eastAsia" w:ascii="宋体" w:hAnsi="宋体" w:eastAsia="宋体" w:cs="Times New Roman"/>
          <w:color w:val="auto"/>
          <w:sz w:val="24"/>
          <w:szCs w:val="24"/>
        </w:rPr>
      </w:pPr>
      <w:bookmarkStart w:id="90" w:name="_Toc285028776"/>
      <w:bookmarkStart w:id="91" w:name="_Toc267470880"/>
      <w:bookmarkStart w:id="92" w:name="_Toc275528019"/>
      <w:bookmarkStart w:id="93" w:name="_Toc267472876"/>
      <w:r>
        <w:rPr>
          <w:rFonts w:hint="eastAsia" w:ascii="宋体" w:hAnsi="宋体"/>
          <w:color w:val="auto"/>
          <w:sz w:val="24"/>
          <w:szCs w:val="24"/>
        </w:rPr>
        <w:t>1.1.3 工程和</w:t>
      </w:r>
      <w:r>
        <w:rPr>
          <w:rFonts w:hint="eastAsia" w:ascii="宋体" w:hAnsi="宋体" w:eastAsia="宋体" w:cs="Times New Roman"/>
          <w:color w:val="auto"/>
          <w:sz w:val="24"/>
          <w:szCs w:val="24"/>
        </w:rPr>
        <w:t>设备</w:t>
      </w:r>
      <w:bookmarkEnd w:id="90"/>
      <w:bookmarkEnd w:id="91"/>
      <w:bookmarkEnd w:id="92"/>
      <w:bookmarkEnd w:id="93"/>
    </w:p>
    <w:p w14:paraId="6048CFA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1.1.3.1 工程：指永久工程和（或）临时工程。</w:t>
      </w:r>
    </w:p>
    <w:p w14:paraId="670E6E3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1.1.3.2 永久工程：指按合同约定建造并移交给发包人的工程，包括仪器设备和全部相关软件等。</w:t>
      </w:r>
    </w:p>
    <w:p w14:paraId="15876AB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1.1.3.3 临时工程：指为完成合同约定的永久工程所修建的各类临时性工程，不包括施工设备。</w:t>
      </w:r>
    </w:p>
    <w:p w14:paraId="4402B74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1.1.3.4 单位工程：指专用合同条款中指明特定范围的永久工程。</w:t>
      </w:r>
    </w:p>
    <w:p w14:paraId="25FBAD5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1.1.3.5 工程设备：指构成或计划构成永久工程一部分的机电设备、金属结构设备、仪器装置及其他类似的设备和装置。</w:t>
      </w:r>
    </w:p>
    <w:p w14:paraId="0BB7FF0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1.1.3.6 施工设备：指为完成合同约定的各项工作所需的设备、器具和其他物品，不包括临时工程和材料。</w:t>
      </w:r>
    </w:p>
    <w:p w14:paraId="3E877E1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1.1.3.7 临时设施：指为完成合同约定的各项工作所服务的临时性生产和生活设施。</w:t>
      </w:r>
    </w:p>
    <w:p w14:paraId="0DDA83C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1.1.3.8 承包人设备：指承包人自带的施工设备和检测仪器。</w:t>
      </w:r>
    </w:p>
    <w:p w14:paraId="287B45C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1.1.3.9 施工场地（或称工地、现场）：指用于合同工程施工的场所，以及在合同中指定作为施工场地组成部分的其他场所，包括永久占地和临时占地。</w:t>
      </w:r>
    </w:p>
    <w:p w14:paraId="5240B2B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1.1.3.10 永久占地：指发包人为建设本合同工程永久征用的场地。</w:t>
      </w:r>
    </w:p>
    <w:p w14:paraId="78677D4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1.1.3.11 临时占地：指发包人为建设本合同工程临时征用，承包人在完工后须按合同要求退还的场地。</w:t>
      </w:r>
    </w:p>
    <w:p w14:paraId="07B4749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 日期</w:t>
      </w:r>
    </w:p>
    <w:p w14:paraId="073A686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1.1.4.1 开工通知：指监理人按第11.1款通知承包人开工的函件。</w:t>
      </w:r>
    </w:p>
    <w:p w14:paraId="4CE13E3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1.1.4.2 开工日期：指监理人按第11.1款发出的开工通知中写明的开工日期。</w:t>
      </w:r>
    </w:p>
    <w:p w14:paraId="6C7B760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1.1.4.3 工期：指承包人在投标函中承诺的完成合同工程所需的期限，包括按第11.3款、第11.4 款和第11.6 款约定所作的变更。</w:t>
      </w:r>
    </w:p>
    <w:p w14:paraId="4260502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1.1.4.4 竣工日期：即合同工程完工日期，指第1.1.4.3目约定工期届满时的日期。实际完工日期以合同工程完工证书中写明的日期为准。</w:t>
      </w:r>
    </w:p>
    <w:p w14:paraId="5929DE5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1.1.4.5 缺陷责任期：即工程质量保修期，指履行第19.2款约定的缺陷责任的期限，包括根据第19.3款约定所作的延长，具体期限由专用合同条款约定。</w:t>
      </w:r>
    </w:p>
    <w:p w14:paraId="0330B1E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1.1.4.6 基准日期：指投标截止时间前28天的日期。</w:t>
      </w:r>
    </w:p>
    <w:p w14:paraId="1EDA2A7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1.1.4.7 天：除特别指明外，指日历天。合同中按天计算时间的，开始当天不计入，从次日开始计算。期限最后一天的截止时间为当天24:00。</w:t>
      </w:r>
    </w:p>
    <w:p w14:paraId="58550794">
      <w:pPr>
        <w:spacing w:line="360" w:lineRule="auto"/>
        <w:ind w:firstLine="480" w:firstLineChars="200"/>
        <w:outlineLvl w:val="9"/>
        <w:rPr>
          <w:rFonts w:hint="eastAsia" w:ascii="宋体" w:hAnsi="宋体" w:eastAsia="宋体" w:cs="Times New Roman"/>
          <w:color w:val="auto"/>
          <w:sz w:val="24"/>
          <w:szCs w:val="24"/>
        </w:rPr>
      </w:pPr>
      <w:bookmarkStart w:id="94" w:name="_Toc275528020"/>
      <w:bookmarkStart w:id="95" w:name="_Toc285028777"/>
      <w:bookmarkStart w:id="96" w:name="_Toc267470881"/>
      <w:bookmarkStart w:id="97" w:name="_Toc267472877"/>
      <w:r>
        <w:rPr>
          <w:rFonts w:hint="eastAsia" w:ascii="宋体" w:hAnsi="宋体" w:eastAsia="宋体" w:cs="Times New Roman"/>
          <w:color w:val="auto"/>
          <w:sz w:val="24"/>
          <w:szCs w:val="24"/>
        </w:rPr>
        <w:t>1.1.5 合同价格和费用</w:t>
      </w:r>
      <w:bookmarkEnd w:id="94"/>
      <w:bookmarkEnd w:id="95"/>
      <w:bookmarkEnd w:id="96"/>
      <w:bookmarkEnd w:id="97"/>
    </w:p>
    <w:p w14:paraId="5C008C3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1.1.5.1 签约合同价：指签订合同时合同协议书中写明的，包括了暂列金额、暂估价的合同总金额。</w:t>
      </w:r>
    </w:p>
    <w:p w14:paraId="22AC92C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1.1.5.2 合同价格：指承包人按合同约定完成了包括缺陷责任期内的全部承包工作后，发包人应付给承包人的金额，包括在履行合同过程中按合同约定进行的变更和调整。</w:t>
      </w:r>
    </w:p>
    <w:p w14:paraId="2DCEE8C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1.1.5.3 费用：指为履行合同所发生的或将要发生的所有合理开支，包括管理费和应分摊的其他费用，但不包括利润。</w:t>
      </w:r>
    </w:p>
    <w:p w14:paraId="66B000F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1.1.5.4 暂列金额：指已标价工程量清单中所列的暂列金额，用于在签订协议书时尚未确定或不可预见变更的施工及其所需材料、工程设备、服务等的金额，包括以计日工方式支付的金额。</w:t>
      </w:r>
    </w:p>
    <w:p w14:paraId="7F95B8C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1.1.5.5 暂估价：指发包人在工程量清单中给定的用于支付必然发生但暂时不能确定价格的材料、设备以及专业工程的金额。</w:t>
      </w:r>
    </w:p>
    <w:p w14:paraId="14991AC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1.1.5.6 计日工：指对零星工作采取的一种计价方式，按合同中的计日工子目及其单价计价付款。</w:t>
      </w:r>
    </w:p>
    <w:p w14:paraId="234FD7E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1.1.5.7 质量保证金（或称保留金）：指按第17.4.1项约定用于保证在缺陷责任期内履行缺陷修复义务的金额。</w:t>
      </w:r>
    </w:p>
    <w:p w14:paraId="35F6152F">
      <w:pPr>
        <w:spacing w:line="360" w:lineRule="auto"/>
        <w:ind w:firstLine="480" w:firstLineChars="200"/>
        <w:outlineLvl w:val="9"/>
        <w:rPr>
          <w:rFonts w:hint="eastAsia" w:ascii="宋体" w:hAnsi="宋体" w:eastAsia="宋体" w:cs="Times New Roman"/>
          <w:color w:val="auto"/>
          <w:sz w:val="24"/>
          <w:szCs w:val="24"/>
        </w:rPr>
      </w:pPr>
      <w:bookmarkStart w:id="98" w:name="_Toc275528021"/>
      <w:bookmarkStart w:id="99" w:name="_Toc267470882"/>
      <w:bookmarkStart w:id="100" w:name="_Toc267472878"/>
      <w:bookmarkStart w:id="101" w:name="_Toc285028778"/>
      <w:r>
        <w:rPr>
          <w:rFonts w:hint="eastAsia" w:ascii="宋体" w:hAnsi="宋体" w:eastAsia="宋体" w:cs="Times New Roman"/>
          <w:color w:val="auto"/>
          <w:sz w:val="24"/>
          <w:szCs w:val="24"/>
        </w:rPr>
        <w:t>1.1.6 其他</w:t>
      </w:r>
      <w:bookmarkEnd w:id="98"/>
      <w:bookmarkEnd w:id="99"/>
      <w:bookmarkEnd w:id="100"/>
      <w:bookmarkEnd w:id="101"/>
    </w:p>
    <w:p w14:paraId="670CC07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1.1.6.1 书面形式：指合同文件、信函、电报、传真等可以有形地表现所载内容的形式。</w:t>
      </w:r>
    </w:p>
    <w:p w14:paraId="0631BE77">
      <w:pPr>
        <w:spacing w:line="360" w:lineRule="auto"/>
        <w:ind w:firstLine="480" w:firstLineChars="200"/>
        <w:outlineLvl w:val="9"/>
        <w:rPr>
          <w:rFonts w:hint="eastAsia" w:ascii="宋体" w:hAnsi="宋体" w:eastAsia="宋体" w:cs="Times New Roman"/>
          <w:color w:val="auto"/>
          <w:sz w:val="24"/>
          <w:szCs w:val="24"/>
        </w:rPr>
      </w:pPr>
      <w:bookmarkStart w:id="102" w:name="_Toc263677309"/>
      <w:bookmarkStart w:id="103" w:name="_Toc285028779"/>
      <w:bookmarkStart w:id="104" w:name="_Toc267472879"/>
      <w:r>
        <w:rPr>
          <w:rFonts w:hint="eastAsia" w:ascii="宋体" w:hAnsi="宋体" w:eastAsia="宋体" w:cs="Times New Roman"/>
          <w:color w:val="auto"/>
          <w:sz w:val="24"/>
          <w:szCs w:val="24"/>
        </w:rPr>
        <w:t>1.2 语言文字</w:t>
      </w:r>
      <w:bookmarkEnd w:id="102"/>
      <w:bookmarkEnd w:id="103"/>
      <w:bookmarkEnd w:id="104"/>
    </w:p>
    <w:p w14:paraId="5CE38B2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除专用术语外，合同使用的语言文字为中文。必要时专用术语应附有中文注释。</w:t>
      </w:r>
    </w:p>
    <w:p w14:paraId="44A3EAC3">
      <w:pPr>
        <w:spacing w:line="360" w:lineRule="auto"/>
        <w:ind w:firstLine="480" w:firstLineChars="200"/>
        <w:outlineLvl w:val="9"/>
        <w:rPr>
          <w:rFonts w:hint="eastAsia" w:ascii="宋体" w:hAnsi="宋体" w:eastAsia="宋体" w:cs="Times New Roman"/>
          <w:color w:val="auto"/>
          <w:sz w:val="24"/>
          <w:szCs w:val="24"/>
        </w:rPr>
      </w:pPr>
      <w:bookmarkStart w:id="105" w:name="_Toc263677310"/>
      <w:bookmarkStart w:id="106" w:name="_Toc285028780"/>
      <w:bookmarkStart w:id="107" w:name="_Toc267472880"/>
      <w:r>
        <w:rPr>
          <w:rFonts w:hint="eastAsia" w:ascii="宋体" w:hAnsi="宋体" w:eastAsia="宋体" w:cs="Times New Roman"/>
          <w:color w:val="auto"/>
          <w:sz w:val="24"/>
          <w:szCs w:val="24"/>
        </w:rPr>
        <w:t>1.3 法律</w:t>
      </w:r>
      <w:bookmarkEnd w:id="105"/>
      <w:bookmarkEnd w:id="106"/>
      <w:bookmarkEnd w:id="107"/>
    </w:p>
    <w:p w14:paraId="47521FB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适用于合同的法律包括中华人民共和国法律、行政法规、部门规章，以及工程所在地的地方法规、自治条例、单行条例和地方政府规章。</w:t>
      </w:r>
    </w:p>
    <w:p w14:paraId="493E1588">
      <w:pPr>
        <w:spacing w:line="360" w:lineRule="auto"/>
        <w:ind w:firstLine="480" w:firstLineChars="200"/>
        <w:outlineLvl w:val="9"/>
        <w:rPr>
          <w:rFonts w:hint="eastAsia" w:ascii="宋体" w:hAnsi="宋体" w:eastAsia="宋体" w:cs="Times New Roman"/>
          <w:color w:val="auto"/>
          <w:sz w:val="24"/>
          <w:szCs w:val="24"/>
        </w:rPr>
      </w:pPr>
      <w:bookmarkStart w:id="108" w:name="_Toc285028781"/>
      <w:bookmarkStart w:id="109" w:name="_Toc267472881"/>
      <w:bookmarkStart w:id="110" w:name="_Toc263677311"/>
      <w:r>
        <w:rPr>
          <w:rFonts w:hint="eastAsia" w:ascii="宋体" w:hAnsi="宋体" w:eastAsia="宋体" w:cs="Times New Roman"/>
          <w:color w:val="auto"/>
          <w:sz w:val="24"/>
          <w:szCs w:val="24"/>
        </w:rPr>
        <w:t>1.4 合同文件的优先顺序</w:t>
      </w:r>
      <w:bookmarkEnd w:id="108"/>
      <w:bookmarkEnd w:id="109"/>
      <w:bookmarkEnd w:id="110"/>
    </w:p>
    <w:p w14:paraId="33E98AE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组成合同的各项文件应互相解释，互为说明。除专用合同条款另有约定外，解释合同文件的优先顺序如下：</w:t>
      </w:r>
    </w:p>
    <w:p w14:paraId="4842CA8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(l）合同协议书；</w:t>
      </w:r>
    </w:p>
    <w:p w14:paraId="4FECA15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(2）中标通知书；</w:t>
      </w:r>
    </w:p>
    <w:p w14:paraId="4451425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(3）投标函及投标函附录；</w:t>
      </w:r>
    </w:p>
    <w:p w14:paraId="31A278A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(4）专用合同条款；</w:t>
      </w:r>
    </w:p>
    <w:p w14:paraId="0B3C6C6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(5）通用合同条款；</w:t>
      </w:r>
    </w:p>
    <w:p w14:paraId="6D51314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(6）技术标准和要求；</w:t>
      </w:r>
    </w:p>
    <w:p w14:paraId="2C0544D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(7）图纸；</w:t>
      </w:r>
    </w:p>
    <w:p w14:paraId="562035B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(8）已标价工程量清单；</w:t>
      </w:r>
    </w:p>
    <w:p w14:paraId="5CAA697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(9）其他合同文件。</w:t>
      </w:r>
    </w:p>
    <w:p w14:paraId="6F5809C7">
      <w:pPr>
        <w:spacing w:line="360" w:lineRule="auto"/>
        <w:ind w:firstLine="480" w:firstLineChars="200"/>
        <w:outlineLvl w:val="9"/>
        <w:rPr>
          <w:rFonts w:hint="eastAsia" w:ascii="宋体" w:hAnsi="宋体" w:eastAsia="宋体" w:cs="Times New Roman"/>
          <w:color w:val="auto"/>
          <w:sz w:val="24"/>
          <w:szCs w:val="24"/>
        </w:rPr>
      </w:pPr>
      <w:bookmarkStart w:id="111" w:name="_Toc263677312"/>
      <w:bookmarkStart w:id="112" w:name="_Toc267472882"/>
      <w:bookmarkStart w:id="113" w:name="_Toc285028782"/>
      <w:r>
        <w:rPr>
          <w:rFonts w:hint="eastAsia" w:ascii="宋体" w:hAnsi="宋体" w:eastAsia="宋体" w:cs="Times New Roman"/>
          <w:color w:val="auto"/>
          <w:sz w:val="24"/>
          <w:szCs w:val="24"/>
        </w:rPr>
        <w:t>1.5 合同协议书</w:t>
      </w:r>
      <w:bookmarkEnd w:id="111"/>
      <w:bookmarkEnd w:id="112"/>
      <w:bookmarkEnd w:id="113"/>
    </w:p>
    <w:p w14:paraId="013D34C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承包人按中标通知书规定的时间与发包人签订合同协议书。除法律另有规定或合同另有约定外，发包人和承包人的法定代表人或其委托代理人在合同协议书上签字并盖单位章后，合同生效。</w:t>
      </w:r>
    </w:p>
    <w:p w14:paraId="3DA76CCD">
      <w:pPr>
        <w:spacing w:line="360" w:lineRule="auto"/>
        <w:ind w:firstLine="480" w:firstLineChars="200"/>
        <w:outlineLvl w:val="9"/>
        <w:rPr>
          <w:rFonts w:hint="eastAsia" w:ascii="宋体" w:hAnsi="宋体" w:eastAsia="宋体" w:cs="Times New Roman"/>
          <w:color w:val="auto"/>
          <w:sz w:val="24"/>
          <w:szCs w:val="24"/>
        </w:rPr>
      </w:pPr>
      <w:bookmarkStart w:id="114" w:name="_Toc267472883"/>
      <w:bookmarkStart w:id="115" w:name="_Toc285028783"/>
      <w:bookmarkStart w:id="116" w:name="_Toc263677313"/>
      <w:r>
        <w:rPr>
          <w:rFonts w:hint="eastAsia" w:ascii="宋体" w:hAnsi="宋体" w:eastAsia="宋体" w:cs="Times New Roman"/>
          <w:color w:val="auto"/>
          <w:sz w:val="24"/>
          <w:szCs w:val="24"/>
        </w:rPr>
        <w:t>1.6 图纸和承包人文件</w:t>
      </w:r>
      <w:bookmarkEnd w:id="114"/>
      <w:bookmarkEnd w:id="115"/>
      <w:bookmarkEnd w:id="116"/>
    </w:p>
    <w:p w14:paraId="402A6B3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1.6.1 图纸的提供</w:t>
      </w:r>
    </w:p>
    <w:p w14:paraId="27569A3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发包人应按技术标准和要求（合同技术条款）约定的期限和数量将施工图纸以及其他图纸（包括配套说明和有关资料）提供给承包人。由于发包人未按时提供图纸造成工期延误的，按第11.3款的约定办理。</w:t>
      </w:r>
    </w:p>
    <w:p w14:paraId="1E1024F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1.6.2 承包人提供的文件</w:t>
      </w:r>
    </w:p>
    <w:p w14:paraId="2BAA09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承包人提供的文件应按技术标准和要求（合同技术条款），约定的期限和数量提供给监理人。监理人应按技术标准和要求（合同技术条款）约定的期限内批复承包人。</w:t>
      </w:r>
    </w:p>
    <w:p w14:paraId="193DF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1.6.3 图纸的修改</w:t>
      </w:r>
    </w:p>
    <w:p w14:paraId="7DDE4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74B8E08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1.6.4 图纸的错误</w:t>
      </w:r>
    </w:p>
    <w:p w14:paraId="515F781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承包人发现发包人提供的图纸存在明显错误或疏忽，应及时通知监理人。</w:t>
      </w:r>
    </w:p>
    <w:p w14:paraId="6D7EAAD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1.6.5 图纸和承包人文件的保管</w:t>
      </w:r>
    </w:p>
    <w:p w14:paraId="51931CC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监理人和承包人均应在施工场地各保存一套完整的包含第1.6.1项、第1.6.2项、第1.6.3项约定内容的图纸和承包人文件。</w:t>
      </w:r>
    </w:p>
    <w:p w14:paraId="022EF228">
      <w:pPr>
        <w:spacing w:line="360" w:lineRule="auto"/>
        <w:ind w:firstLine="480" w:firstLineChars="200"/>
        <w:outlineLvl w:val="9"/>
        <w:rPr>
          <w:rFonts w:hint="eastAsia" w:ascii="宋体" w:hAnsi="宋体" w:eastAsia="宋体" w:cs="Times New Roman"/>
          <w:color w:val="auto"/>
          <w:sz w:val="24"/>
          <w:szCs w:val="24"/>
        </w:rPr>
      </w:pPr>
      <w:bookmarkStart w:id="117" w:name="_Toc267472884"/>
      <w:bookmarkStart w:id="118" w:name="_Toc285028784"/>
      <w:bookmarkStart w:id="119" w:name="_Toc263677314"/>
      <w:r>
        <w:rPr>
          <w:rFonts w:hint="eastAsia" w:ascii="宋体" w:hAnsi="宋体" w:eastAsia="宋体" w:cs="Times New Roman"/>
          <w:color w:val="auto"/>
          <w:sz w:val="24"/>
          <w:szCs w:val="24"/>
        </w:rPr>
        <w:t>1.7 联络</w:t>
      </w:r>
      <w:bookmarkEnd w:id="117"/>
      <w:bookmarkEnd w:id="118"/>
      <w:bookmarkEnd w:id="119"/>
    </w:p>
    <w:p w14:paraId="027D425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1.7.1 与合同有关的通知、批准、证明、证书、指示、要求、请求、同意、意见、确定和决定等，均应采用书面形式。</w:t>
      </w:r>
    </w:p>
    <w:p w14:paraId="65CC71A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1.7.2 第1.7.1 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5544CEE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1.7.3来往函件均应按合同约定的期限及时发出和答复，不得无故扣压和拖延，亦不得拒收。否则，由此造成的后果由责任方负责。</w:t>
      </w:r>
    </w:p>
    <w:p w14:paraId="5B495757">
      <w:pPr>
        <w:spacing w:line="360" w:lineRule="auto"/>
        <w:ind w:firstLine="480" w:firstLineChars="200"/>
        <w:outlineLvl w:val="9"/>
        <w:rPr>
          <w:rFonts w:hint="eastAsia" w:ascii="宋体" w:hAnsi="宋体" w:eastAsia="宋体" w:cs="Times New Roman"/>
          <w:color w:val="auto"/>
          <w:sz w:val="24"/>
          <w:szCs w:val="24"/>
        </w:rPr>
      </w:pPr>
      <w:bookmarkStart w:id="120" w:name="_Toc285028785"/>
      <w:bookmarkStart w:id="121" w:name="_Toc263677315"/>
      <w:bookmarkStart w:id="122" w:name="_Toc267472885"/>
      <w:r>
        <w:rPr>
          <w:rFonts w:hint="eastAsia" w:ascii="宋体" w:hAnsi="宋体" w:eastAsia="宋体" w:cs="Times New Roman"/>
          <w:color w:val="auto"/>
          <w:sz w:val="24"/>
          <w:szCs w:val="24"/>
        </w:rPr>
        <w:t>1.8 转让</w:t>
      </w:r>
      <w:bookmarkEnd w:id="120"/>
      <w:bookmarkEnd w:id="121"/>
      <w:bookmarkEnd w:id="122"/>
    </w:p>
    <w:p w14:paraId="402426B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除合同另有约定外，未经对方当事人同意，一方当事人不得将合同权利全部或部分转让给第三人，也不得全部或部分转移合同义务。</w:t>
      </w:r>
    </w:p>
    <w:p w14:paraId="3C94D6A1">
      <w:pPr>
        <w:spacing w:line="360" w:lineRule="auto"/>
        <w:ind w:firstLine="480" w:firstLineChars="200"/>
        <w:outlineLvl w:val="9"/>
        <w:rPr>
          <w:rFonts w:hint="eastAsia" w:ascii="宋体" w:hAnsi="宋体" w:eastAsia="宋体" w:cs="Times New Roman"/>
          <w:color w:val="auto"/>
          <w:sz w:val="24"/>
          <w:szCs w:val="24"/>
        </w:rPr>
      </w:pPr>
      <w:bookmarkStart w:id="123" w:name="_Toc267472886"/>
      <w:bookmarkStart w:id="124" w:name="_Toc263677316"/>
      <w:bookmarkStart w:id="125" w:name="_Toc285028786"/>
      <w:r>
        <w:rPr>
          <w:rFonts w:hint="eastAsia" w:ascii="宋体" w:hAnsi="宋体" w:eastAsia="宋体" w:cs="Times New Roman"/>
          <w:color w:val="auto"/>
          <w:sz w:val="24"/>
          <w:szCs w:val="24"/>
        </w:rPr>
        <w:t>1.9 严禁贿赂</w:t>
      </w:r>
      <w:bookmarkEnd w:id="123"/>
      <w:bookmarkEnd w:id="124"/>
      <w:bookmarkEnd w:id="125"/>
    </w:p>
    <w:p w14:paraId="0534C32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合同双方当事人不得以贿赂或变相贿赂的方式，谋取不当利益或损害对方权益。因贿赂造成对方损失的，行为人应赔偿损失，并承担相应的法律责任。</w:t>
      </w:r>
    </w:p>
    <w:p w14:paraId="52898FA1">
      <w:pPr>
        <w:spacing w:line="360" w:lineRule="auto"/>
        <w:ind w:firstLine="480" w:firstLineChars="200"/>
        <w:outlineLvl w:val="9"/>
        <w:rPr>
          <w:rFonts w:hint="eastAsia" w:ascii="宋体" w:hAnsi="宋体" w:eastAsia="宋体" w:cs="Times New Roman"/>
          <w:color w:val="auto"/>
          <w:sz w:val="24"/>
          <w:szCs w:val="24"/>
        </w:rPr>
      </w:pPr>
      <w:bookmarkStart w:id="126" w:name="_Toc285028787"/>
      <w:bookmarkStart w:id="127" w:name="_Toc267472887"/>
      <w:bookmarkStart w:id="128" w:name="_Toc263677317"/>
      <w:r>
        <w:rPr>
          <w:rFonts w:hint="eastAsia" w:ascii="宋体" w:hAnsi="宋体" w:eastAsia="宋体" w:cs="Times New Roman"/>
          <w:color w:val="auto"/>
          <w:sz w:val="24"/>
          <w:szCs w:val="24"/>
        </w:rPr>
        <w:t>1.10 化石、文物</w:t>
      </w:r>
      <w:bookmarkEnd w:id="126"/>
      <w:bookmarkEnd w:id="127"/>
      <w:bookmarkEnd w:id="128"/>
    </w:p>
    <w:p w14:paraId="4F910A0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B298D3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1.10.2 承包人发现文物后不及时报告或隐瞒不报，致使文物丢失或损坏的，应赔偿损失，并承担相应的法律责任。</w:t>
      </w:r>
    </w:p>
    <w:p w14:paraId="409E1F5D">
      <w:pPr>
        <w:spacing w:line="360" w:lineRule="auto"/>
        <w:ind w:firstLine="480" w:firstLineChars="200"/>
        <w:outlineLvl w:val="9"/>
        <w:rPr>
          <w:rFonts w:hint="eastAsia" w:ascii="宋体" w:hAnsi="宋体" w:eastAsia="宋体" w:cs="Times New Roman"/>
          <w:color w:val="auto"/>
          <w:sz w:val="24"/>
          <w:szCs w:val="24"/>
        </w:rPr>
      </w:pPr>
      <w:bookmarkStart w:id="129" w:name="_Toc267472888"/>
      <w:bookmarkStart w:id="130" w:name="_Toc285028788"/>
      <w:bookmarkStart w:id="131" w:name="_Toc263677318"/>
      <w:r>
        <w:rPr>
          <w:rFonts w:hint="eastAsia" w:ascii="宋体" w:hAnsi="宋体" w:eastAsia="宋体" w:cs="Times New Roman"/>
          <w:color w:val="auto"/>
          <w:sz w:val="24"/>
          <w:szCs w:val="24"/>
        </w:rPr>
        <w:t>1.11 专利技术</w:t>
      </w:r>
      <w:bookmarkEnd w:id="129"/>
      <w:bookmarkEnd w:id="130"/>
      <w:bookmarkEnd w:id="131"/>
    </w:p>
    <w:p w14:paraId="4521B3D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1.11.1 承包人在使用任何材料、承包人设备、工程设备或采用施工工艺时，因侵犯专利权或其他知识产权所引起的责任，由承包人承担，但由于遵照发包人提供的设计或技术标准和要求引起的除外。</w:t>
      </w:r>
    </w:p>
    <w:p w14:paraId="4D831E6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1.11.2 承包人在投标文件中采用专利技术的，专利技术的使用费包含在投标报价内。</w:t>
      </w:r>
    </w:p>
    <w:p w14:paraId="44B9A73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1.11.3 承包人的技术秘密和声明需要保密的资料和信息，发包人和监理人不得为合同以外的目的泄露给他人。</w:t>
      </w:r>
    </w:p>
    <w:p w14:paraId="102F647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1.11.4 合同实施过程中，发包人要求承包人采用专利技术的，发包人应办理相应的使用手续，承包人应按发包人约定的条件使用，并承担使用专利技术的相关试验工作，所需费用由发包人承担。</w:t>
      </w:r>
    </w:p>
    <w:p w14:paraId="6218FEDF">
      <w:pPr>
        <w:spacing w:line="360" w:lineRule="auto"/>
        <w:ind w:firstLine="480" w:firstLineChars="200"/>
        <w:outlineLvl w:val="9"/>
        <w:rPr>
          <w:rFonts w:hint="eastAsia" w:ascii="宋体" w:hAnsi="宋体" w:eastAsia="宋体" w:cs="Times New Roman"/>
          <w:color w:val="auto"/>
          <w:sz w:val="24"/>
          <w:szCs w:val="24"/>
        </w:rPr>
      </w:pPr>
      <w:bookmarkStart w:id="132" w:name="_Toc285028789"/>
      <w:bookmarkStart w:id="133" w:name="_Toc263677319"/>
      <w:bookmarkStart w:id="134" w:name="_Toc267472889"/>
      <w:r>
        <w:rPr>
          <w:rFonts w:hint="eastAsia" w:ascii="宋体" w:hAnsi="宋体" w:eastAsia="宋体" w:cs="Times New Roman"/>
          <w:color w:val="auto"/>
          <w:sz w:val="24"/>
          <w:szCs w:val="24"/>
        </w:rPr>
        <w:t>1.12 图纸和文件的保密</w:t>
      </w:r>
      <w:bookmarkEnd w:id="132"/>
      <w:bookmarkEnd w:id="133"/>
      <w:bookmarkEnd w:id="134"/>
    </w:p>
    <w:p w14:paraId="6230F1D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1.12.1 发包人提供的图纸和文件，未经发包人同意，承包人不得为合同以外的目的泄露给他人或公开发表与引用。</w:t>
      </w:r>
    </w:p>
    <w:p w14:paraId="50A95FD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1.12.2 承包人提供的文件，未经承包人同意，发包人和监理人不得为合同以外的目的泄露给他人或公开发表与引用。</w:t>
      </w:r>
    </w:p>
    <w:p w14:paraId="0372F756">
      <w:pPr>
        <w:spacing w:line="360" w:lineRule="auto"/>
        <w:ind w:firstLine="480" w:firstLineChars="200"/>
        <w:outlineLvl w:val="9"/>
        <w:rPr>
          <w:rFonts w:hint="eastAsia" w:ascii="宋体" w:hAnsi="宋体" w:eastAsia="宋体" w:cs="Times New Roman"/>
          <w:color w:val="auto"/>
          <w:sz w:val="24"/>
          <w:szCs w:val="24"/>
        </w:rPr>
      </w:pPr>
      <w:bookmarkStart w:id="135" w:name="_Toc307415554"/>
      <w:bookmarkStart w:id="136" w:name="_Toc267472890"/>
      <w:bookmarkStart w:id="137" w:name="_Toc285028790"/>
      <w:bookmarkStart w:id="138" w:name="_Toc263677320"/>
      <w:bookmarkStart w:id="139" w:name="_Toc184635099"/>
      <w:bookmarkStart w:id="140" w:name="_Toc263370593"/>
      <w:bookmarkStart w:id="141" w:name="_Toc430097418"/>
      <w:bookmarkStart w:id="142" w:name="_Toc307485212"/>
      <w:bookmarkStart w:id="143" w:name="_Toc307416148"/>
      <w:bookmarkStart w:id="144" w:name="_Toc307417445"/>
      <w:bookmarkStart w:id="145" w:name="_Toc30518"/>
      <w:r>
        <w:rPr>
          <w:rFonts w:hint="eastAsia" w:ascii="宋体" w:hAnsi="宋体" w:eastAsia="宋体" w:cs="Times New Roman"/>
          <w:color w:val="auto"/>
          <w:sz w:val="24"/>
          <w:szCs w:val="24"/>
        </w:rPr>
        <w:t>2．发包人义务</w:t>
      </w:r>
      <w:bookmarkEnd w:id="135"/>
      <w:bookmarkEnd w:id="136"/>
      <w:bookmarkEnd w:id="137"/>
      <w:bookmarkEnd w:id="138"/>
      <w:bookmarkEnd w:id="139"/>
      <w:bookmarkEnd w:id="140"/>
      <w:bookmarkEnd w:id="141"/>
      <w:bookmarkEnd w:id="142"/>
      <w:bookmarkEnd w:id="143"/>
      <w:bookmarkEnd w:id="144"/>
      <w:bookmarkEnd w:id="145"/>
    </w:p>
    <w:p w14:paraId="67BD90E2">
      <w:pPr>
        <w:spacing w:line="360" w:lineRule="auto"/>
        <w:ind w:firstLine="480" w:firstLineChars="200"/>
        <w:outlineLvl w:val="9"/>
        <w:rPr>
          <w:rFonts w:hint="eastAsia" w:ascii="宋体" w:hAnsi="宋体" w:eastAsia="宋体" w:cs="Times New Roman"/>
          <w:color w:val="auto"/>
          <w:sz w:val="24"/>
          <w:szCs w:val="24"/>
        </w:rPr>
      </w:pPr>
      <w:bookmarkStart w:id="146" w:name="_Toc285028791"/>
      <w:bookmarkStart w:id="147" w:name="_Toc267472891"/>
      <w:bookmarkStart w:id="148" w:name="_Toc307415555"/>
      <w:bookmarkStart w:id="149" w:name="_Toc263677321"/>
      <w:r>
        <w:rPr>
          <w:rFonts w:hint="eastAsia" w:ascii="宋体" w:hAnsi="宋体" w:eastAsia="宋体" w:cs="Times New Roman"/>
          <w:color w:val="auto"/>
          <w:sz w:val="24"/>
          <w:szCs w:val="24"/>
        </w:rPr>
        <w:t>2.1 遵守法律</w:t>
      </w:r>
      <w:bookmarkEnd w:id="146"/>
      <w:bookmarkEnd w:id="147"/>
      <w:bookmarkEnd w:id="148"/>
      <w:bookmarkEnd w:id="149"/>
    </w:p>
    <w:p w14:paraId="4E09F4D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发包人在履行合同过程中应遵守法律，并保证承包人免于承担因发包人违反法律而引起的任何责任。</w:t>
      </w:r>
    </w:p>
    <w:p w14:paraId="2FCCCF49">
      <w:pPr>
        <w:spacing w:line="360" w:lineRule="auto"/>
        <w:ind w:firstLine="480" w:firstLineChars="200"/>
        <w:outlineLvl w:val="9"/>
        <w:rPr>
          <w:rFonts w:hint="eastAsia" w:ascii="宋体" w:hAnsi="宋体" w:eastAsia="宋体" w:cs="Times New Roman"/>
          <w:color w:val="auto"/>
          <w:sz w:val="24"/>
          <w:szCs w:val="24"/>
        </w:rPr>
      </w:pPr>
      <w:bookmarkStart w:id="150" w:name="_Toc307415556"/>
      <w:bookmarkStart w:id="151" w:name="_Toc263677322"/>
      <w:bookmarkStart w:id="152" w:name="_Toc267472892"/>
      <w:bookmarkStart w:id="153" w:name="_Toc285028792"/>
      <w:r>
        <w:rPr>
          <w:rFonts w:hint="eastAsia" w:ascii="宋体" w:hAnsi="宋体" w:eastAsia="宋体" w:cs="Times New Roman"/>
          <w:color w:val="auto"/>
          <w:sz w:val="24"/>
          <w:szCs w:val="24"/>
        </w:rPr>
        <w:t>2.2 发出开工通知</w:t>
      </w:r>
      <w:bookmarkEnd w:id="150"/>
      <w:bookmarkEnd w:id="151"/>
      <w:bookmarkEnd w:id="152"/>
      <w:bookmarkEnd w:id="153"/>
    </w:p>
    <w:p w14:paraId="374ED17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发包人应委托监理人按第11.1款的约定向承包人发出开工通知。</w:t>
      </w:r>
    </w:p>
    <w:p w14:paraId="6359364E">
      <w:pPr>
        <w:spacing w:line="360" w:lineRule="auto"/>
        <w:ind w:firstLine="480" w:firstLineChars="200"/>
        <w:outlineLvl w:val="9"/>
        <w:rPr>
          <w:rFonts w:hint="eastAsia" w:ascii="宋体" w:hAnsi="宋体" w:eastAsia="宋体" w:cs="Times New Roman"/>
          <w:color w:val="auto"/>
          <w:sz w:val="24"/>
          <w:szCs w:val="24"/>
        </w:rPr>
      </w:pPr>
      <w:bookmarkStart w:id="154" w:name="_Toc285028793"/>
      <w:bookmarkStart w:id="155" w:name="_Toc263677323"/>
      <w:bookmarkStart w:id="156" w:name="_Toc267472893"/>
      <w:bookmarkStart w:id="157" w:name="_Toc307415557"/>
      <w:r>
        <w:rPr>
          <w:rFonts w:hint="eastAsia" w:ascii="宋体" w:hAnsi="宋体" w:eastAsia="宋体" w:cs="Times New Roman"/>
          <w:color w:val="auto"/>
          <w:sz w:val="24"/>
          <w:szCs w:val="24"/>
        </w:rPr>
        <w:t>2.3 提供施工场地</w:t>
      </w:r>
      <w:bookmarkEnd w:id="154"/>
      <w:bookmarkEnd w:id="155"/>
      <w:bookmarkEnd w:id="156"/>
      <w:bookmarkEnd w:id="157"/>
    </w:p>
    <w:p w14:paraId="042FEBB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发包人应按专用合同条款约定向承包人提供施工场地，以及施工场地内地下管线和地下设施等有关资料，并保证资料的真实、准确、完整。</w:t>
      </w:r>
    </w:p>
    <w:p w14:paraId="7A41C6E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028D51E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2.3.2发包人提供的施工用地范围在专用合同条款中约定。</w:t>
      </w:r>
    </w:p>
    <w:p w14:paraId="531196B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2.3.3除专用合同条款另有约定外，发包人应按技术标准和要求(合同技术条款)的约定，向承包人提供施工场地内的工程地质图纸和报告，以及地下障碍物图纸等施工场地有关资料，并保证资料的真实、准确、完整。</w:t>
      </w:r>
    </w:p>
    <w:p w14:paraId="48A92E71">
      <w:pPr>
        <w:spacing w:line="360" w:lineRule="auto"/>
        <w:ind w:firstLine="480" w:firstLineChars="200"/>
        <w:outlineLvl w:val="9"/>
        <w:rPr>
          <w:rFonts w:hint="eastAsia" w:ascii="宋体" w:hAnsi="宋体" w:eastAsia="宋体" w:cs="Times New Roman"/>
          <w:color w:val="auto"/>
          <w:sz w:val="24"/>
          <w:szCs w:val="24"/>
        </w:rPr>
      </w:pPr>
      <w:bookmarkStart w:id="158" w:name="_Toc307415558"/>
      <w:bookmarkStart w:id="159" w:name="_Toc267472894"/>
      <w:bookmarkStart w:id="160" w:name="_Toc263677324"/>
      <w:bookmarkStart w:id="161" w:name="_Toc285028794"/>
      <w:r>
        <w:rPr>
          <w:rFonts w:hint="eastAsia" w:ascii="宋体" w:hAnsi="宋体" w:eastAsia="宋体" w:cs="Times New Roman"/>
          <w:color w:val="auto"/>
          <w:sz w:val="24"/>
          <w:szCs w:val="24"/>
        </w:rPr>
        <w:t>2.4 协助承包人办理证件和批件</w:t>
      </w:r>
      <w:bookmarkEnd w:id="158"/>
      <w:bookmarkEnd w:id="159"/>
      <w:bookmarkEnd w:id="160"/>
      <w:bookmarkEnd w:id="161"/>
    </w:p>
    <w:p w14:paraId="501ADCE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发包人应协助承包人办理法律规定的有关施工证件和批件。</w:t>
      </w:r>
    </w:p>
    <w:p w14:paraId="7B465C74">
      <w:pPr>
        <w:spacing w:line="360" w:lineRule="auto"/>
        <w:ind w:firstLine="480" w:firstLineChars="200"/>
        <w:outlineLvl w:val="9"/>
        <w:rPr>
          <w:rFonts w:hint="eastAsia" w:ascii="宋体" w:hAnsi="宋体" w:eastAsia="宋体" w:cs="Times New Roman"/>
          <w:color w:val="auto"/>
          <w:sz w:val="24"/>
          <w:szCs w:val="24"/>
        </w:rPr>
      </w:pPr>
      <w:bookmarkStart w:id="162" w:name="_Toc285028795"/>
      <w:bookmarkStart w:id="163" w:name="_Toc267472895"/>
      <w:bookmarkStart w:id="164" w:name="_Toc263677325"/>
      <w:bookmarkStart w:id="165" w:name="_Toc307415559"/>
      <w:r>
        <w:rPr>
          <w:rFonts w:hint="eastAsia" w:ascii="宋体" w:hAnsi="宋体" w:eastAsia="宋体" w:cs="Times New Roman"/>
          <w:color w:val="auto"/>
          <w:sz w:val="24"/>
          <w:szCs w:val="24"/>
        </w:rPr>
        <w:t>2.5 组织设计交底</w:t>
      </w:r>
      <w:bookmarkEnd w:id="162"/>
      <w:bookmarkEnd w:id="163"/>
      <w:bookmarkEnd w:id="164"/>
      <w:bookmarkEnd w:id="165"/>
    </w:p>
    <w:p w14:paraId="35BC83A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发包人应根据合同进度计划，组织设计单位向承包人进行设计交底。</w:t>
      </w:r>
    </w:p>
    <w:p w14:paraId="0A7FE55F">
      <w:pPr>
        <w:spacing w:line="360" w:lineRule="auto"/>
        <w:ind w:firstLine="480" w:firstLineChars="200"/>
        <w:outlineLvl w:val="9"/>
        <w:rPr>
          <w:rFonts w:hint="eastAsia" w:ascii="宋体" w:hAnsi="宋体" w:eastAsia="宋体" w:cs="Times New Roman"/>
          <w:color w:val="auto"/>
          <w:sz w:val="24"/>
          <w:szCs w:val="24"/>
        </w:rPr>
      </w:pPr>
      <w:bookmarkStart w:id="166" w:name="_Toc285028796"/>
      <w:bookmarkStart w:id="167" w:name="_Toc263677326"/>
      <w:bookmarkStart w:id="168" w:name="_Toc307415560"/>
      <w:bookmarkStart w:id="169" w:name="_Toc267472896"/>
      <w:r>
        <w:rPr>
          <w:rFonts w:hint="eastAsia" w:ascii="宋体" w:hAnsi="宋体" w:eastAsia="宋体" w:cs="Times New Roman"/>
          <w:color w:val="auto"/>
          <w:sz w:val="24"/>
          <w:szCs w:val="24"/>
        </w:rPr>
        <w:t>2.6 支付合同价款</w:t>
      </w:r>
      <w:bookmarkEnd w:id="166"/>
      <w:bookmarkEnd w:id="167"/>
      <w:bookmarkEnd w:id="168"/>
      <w:bookmarkEnd w:id="169"/>
    </w:p>
    <w:p w14:paraId="4C5CCCA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发包人应按合同约定向承包人及时支付合同价款。</w:t>
      </w:r>
    </w:p>
    <w:p w14:paraId="76003F34">
      <w:pPr>
        <w:spacing w:line="360" w:lineRule="auto"/>
        <w:ind w:firstLine="480" w:firstLineChars="200"/>
        <w:outlineLvl w:val="9"/>
        <w:rPr>
          <w:rFonts w:hint="eastAsia" w:ascii="宋体" w:hAnsi="宋体" w:eastAsia="宋体" w:cs="Times New Roman"/>
          <w:color w:val="auto"/>
          <w:sz w:val="24"/>
          <w:szCs w:val="24"/>
        </w:rPr>
      </w:pPr>
      <w:bookmarkStart w:id="170" w:name="_Toc285028797"/>
      <w:bookmarkStart w:id="171" w:name="_Toc263677327"/>
      <w:bookmarkStart w:id="172" w:name="_Toc307415561"/>
      <w:bookmarkStart w:id="173" w:name="_Toc267472897"/>
      <w:r>
        <w:rPr>
          <w:rFonts w:hint="eastAsia" w:ascii="宋体" w:hAnsi="宋体" w:eastAsia="宋体" w:cs="Times New Roman"/>
          <w:color w:val="auto"/>
          <w:sz w:val="24"/>
          <w:szCs w:val="24"/>
        </w:rPr>
        <w:t>2.7 组织竣工验收（组织法人验收）</w:t>
      </w:r>
      <w:bookmarkEnd w:id="170"/>
      <w:bookmarkEnd w:id="171"/>
      <w:bookmarkEnd w:id="172"/>
      <w:bookmarkEnd w:id="173"/>
    </w:p>
    <w:p w14:paraId="7EC8E3A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发包人应按合同约定及时组织法人验收。</w:t>
      </w:r>
    </w:p>
    <w:p w14:paraId="3FBEA9DF">
      <w:pPr>
        <w:spacing w:line="360" w:lineRule="auto"/>
        <w:ind w:firstLine="480" w:firstLineChars="200"/>
        <w:outlineLvl w:val="9"/>
        <w:rPr>
          <w:rFonts w:hint="eastAsia" w:ascii="宋体" w:hAnsi="宋体" w:eastAsia="宋体" w:cs="Times New Roman"/>
          <w:color w:val="auto"/>
          <w:sz w:val="24"/>
          <w:szCs w:val="24"/>
        </w:rPr>
      </w:pPr>
      <w:bookmarkStart w:id="174" w:name="_Toc285028798"/>
      <w:bookmarkStart w:id="175" w:name="_Toc267472898"/>
      <w:bookmarkStart w:id="176" w:name="_Toc307415562"/>
      <w:bookmarkStart w:id="177" w:name="_Toc263677328"/>
      <w:r>
        <w:rPr>
          <w:rFonts w:hint="eastAsia" w:ascii="宋体" w:hAnsi="宋体" w:eastAsia="宋体" w:cs="Times New Roman"/>
          <w:color w:val="auto"/>
          <w:sz w:val="24"/>
          <w:szCs w:val="24"/>
        </w:rPr>
        <w:t>2.8 其他义务</w:t>
      </w:r>
      <w:bookmarkEnd w:id="174"/>
      <w:bookmarkEnd w:id="175"/>
      <w:bookmarkEnd w:id="176"/>
      <w:bookmarkEnd w:id="177"/>
    </w:p>
    <w:p w14:paraId="2CE2DB1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其它义务在专用合同条款中补充约定。</w:t>
      </w:r>
    </w:p>
    <w:p w14:paraId="3A25F2BF">
      <w:pPr>
        <w:spacing w:line="360" w:lineRule="auto"/>
        <w:ind w:firstLine="480" w:firstLineChars="200"/>
        <w:outlineLvl w:val="9"/>
        <w:rPr>
          <w:rFonts w:hint="eastAsia" w:ascii="宋体" w:hAnsi="宋体" w:eastAsia="宋体" w:cs="Times New Roman"/>
          <w:color w:val="auto"/>
          <w:sz w:val="24"/>
          <w:szCs w:val="24"/>
        </w:rPr>
      </w:pPr>
      <w:bookmarkStart w:id="178" w:name="_Toc307417446"/>
      <w:bookmarkStart w:id="179" w:name="_Toc285028799"/>
      <w:bookmarkStart w:id="180" w:name="_Toc267472899"/>
      <w:bookmarkStart w:id="181" w:name="_Toc307485213"/>
      <w:bookmarkStart w:id="182" w:name="_Toc307415563"/>
      <w:bookmarkStart w:id="183" w:name="_Toc184635100"/>
      <w:bookmarkStart w:id="184" w:name="_Toc263370594"/>
      <w:bookmarkStart w:id="185" w:name="_Toc430097419"/>
      <w:bookmarkStart w:id="186" w:name="_Toc307416149"/>
      <w:bookmarkStart w:id="187" w:name="_Toc263677329"/>
      <w:bookmarkStart w:id="188" w:name="_Toc27885"/>
      <w:r>
        <w:rPr>
          <w:rFonts w:hint="eastAsia" w:ascii="宋体" w:hAnsi="宋体" w:eastAsia="宋体" w:cs="Times New Roman"/>
          <w:color w:val="auto"/>
          <w:sz w:val="24"/>
          <w:szCs w:val="24"/>
        </w:rPr>
        <w:t>3．监理人</w:t>
      </w:r>
      <w:bookmarkEnd w:id="178"/>
      <w:bookmarkEnd w:id="179"/>
      <w:bookmarkEnd w:id="180"/>
      <w:bookmarkEnd w:id="181"/>
      <w:bookmarkEnd w:id="182"/>
      <w:bookmarkEnd w:id="183"/>
      <w:bookmarkEnd w:id="184"/>
      <w:bookmarkEnd w:id="185"/>
      <w:bookmarkEnd w:id="186"/>
      <w:bookmarkEnd w:id="187"/>
      <w:bookmarkEnd w:id="188"/>
    </w:p>
    <w:p w14:paraId="7CEB2448">
      <w:pPr>
        <w:spacing w:line="360" w:lineRule="auto"/>
        <w:ind w:firstLine="480" w:firstLineChars="200"/>
        <w:outlineLvl w:val="9"/>
        <w:rPr>
          <w:rFonts w:hint="eastAsia" w:ascii="宋体" w:hAnsi="宋体" w:eastAsia="宋体" w:cs="Times New Roman"/>
          <w:color w:val="auto"/>
          <w:sz w:val="24"/>
          <w:szCs w:val="24"/>
        </w:rPr>
      </w:pPr>
      <w:bookmarkStart w:id="189" w:name="_Toc263677330"/>
      <w:bookmarkStart w:id="190" w:name="_Toc307415564"/>
      <w:bookmarkStart w:id="191" w:name="_Toc285028800"/>
      <w:bookmarkStart w:id="192" w:name="_Toc267472900"/>
      <w:r>
        <w:rPr>
          <w:rFonts w:hint="eastAsia" w:ascii="宋体" w:hAnsi="宋体" w:eastAsia="宋体" w:cs="Times New Roman"/>
          <w:color w:val="auto"/>
          <w:sz w:val="24"/>
          <w:szCs w:val="24"/>
        </w:rPr>
        <w:t>3.1 监理人的职责和权力</w:t>
      </w:r>
      <w:bookmarkEnd w:id="189"/>
      <w:bookmarkEnd w:id="190"/>
      <w:bookmarkEnd w:id="191"/>
      <w:bookmarkEnd w:id="192"/>
    </w:p>
    <w:p w14:paraId="027BFB8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185D738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3.1.2 监理人发出的任何指示应视为已得到发包人的批准，但监理人无权免除或变更合同约定的发包人和承包人的权利、义务和责任。</w:t>
      </w:r>
    </w:p>
    <w:p w14:paraId="13F4249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3.1.3 合同约定应由承包人承担的义务和责任，不因监理人对承包人提交文件的审查或批准，对工程、材料和设备的检查和检验，以及为实施监理做出的指示等职务行为而减轻或解除。</w:t>
      </w:r>
    </w:p>
    <w:p w14:paraId="302A3EA1">
      <w:pPr>
        <w:spacing w:line="360" w:lineRule="auto"/>
        <w:ind w:firstLine="480" w:firstLineChars="200"/>
        <w:outlineLvl w:val="9"/>
        <w:rPr>
          <w:rFonts w:hint="eastAsia" w:ascii="宋体" w:hAnsi="宋体" w:eastAsia="宋体" w:cs="Times New Roman"/>
          <w:color w:val="auto"/>
          <w:sz w:val="24"/>
          <w:szCs w:val="24"/>
        </w:rPr>
      </w:pPr>
      <w:bookmarkStart w:id="193" w:name="_Toc285028801"/>
      <w:bookmarkStart w:id="194" w:name="_Toc307415565"/>
      <w:bookmarkStart w:id="195" w:name="_Toc263677331"/>
      <w:bookmarkStart w:id="196" w:name="_Toc267472901"/>
      <w:r>
        <w:rPr>
          <w:rFonts w:hint="eastAsia" w:ascii="宋体" w:hAnsi="宋体" w:eastAsia="宋体" w:cs="Times New Roman"/>
          <w:color w:val="auto"/>
          <w:sz w:val="24"/>
          <w:szCs w:val="24"/>
        </w:rPr>
        <w:t>3.2 总监理工程师</w:t>
      </w:r>
      <w:bookmarkEnd w:id="193"/>
      <w:bookmarkEnd w:id="194"/>
      <w:bookmarkEnd w:id="195"/>
      <w:bookmarkEnd w:id="196"/>
    </w:p>
    <w:p w14:paraId="1823225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发包人应在发出开工通知前将总监理工程师的任命通知承包人。总监理工程师更换时，应在调离14 天前通知承包人。总监理工程师短期离开施工场地的，应委派代表代行其职责，并通知承包人。</w:t>
      </w:r>
    </w:p>
    <w:p w14:paraId="3C858C3D">
      <w:pPr>
        <w:spacing w:line="360" w:lineRule="auto"/>
        <w:ind w:firstLine="480" w:firstLineChars="200"/>
        <w:outlineLvl w:val="9"/>
        <w:rPr>
          <w:rFonts w:hint="eastAsia" w:ascii="宋体" w:hAnsi="宋体" w:eastAsia="宋体" w:cs="Times New Roman"/>
          <w:color w:val="auto"/>
          <w:sz w:val="24"/>
          <w:szCs w:val="24"/>
        </w:rPr>
      </w:pPr>
      <w:bookmarkStart w:id="197" w:name="_Toc267472902"/>
      <w:bookmarkStart w:id="198" w:name="_Toc307415566"/>
      <w:bookmarkStart w:id="199" w:name="_Toc263677332"/>
      <w:bookmarkStart w:id="200" w:name="_Toc285028802"/>
      <w:r>
        <w:rPr>
          <w:rFonts w:hint="eastAsia" w:ascii="宋体" w:hAnsi="宋体" w:eastAsia="宋体" w:cs="Times New Roman"/>
          <w:color w:val="auto"/>
          <w:sz w:val="24"/>
          <w:szCs w:val="24"/>
        </w:rPr>
        <w:t>3.3 监理人员</w:t>
      </w:r>
      <w:bookmarkEnd w:id="197"/>
      <w:bookmarkEnd w:id="198"/>
      <w:bookmarkEnd w:id="199"/>
      <w:bookmarkEnd w:id="200"/>
    </w:p>
    <w:p w14:paraId="7090799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AEFC18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3.3.2 监理人员对承包人的任何工作、工程或其采用的材料和工程设备未在约定的或合理的期限内提出否定意见的，视为已获批准，但不影响监理人在以后拒绝该项工作、工程、材料或工程设备的权利。</w:t>
      </w:r>
    </w:p>
    <w:p w14:paraId="6E7A135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3.3.3 承包人对总监理工程师授权的监理人员发出的指示有疑问的，可向总监理工程师提出书面异议，总监理工程师应在48小时内对该指示予以确认、更改或撤销。</w:t>
      </w:r>
    </w:p>
    <w:p w14:paraId="29A813D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3.3.4 除专用合同条款另有约定外，总监理工程师不应将第3.5款约定应由总监理工程师做出确定的权力授权或委托给其他监理人员。</w:t>
      </w:r>
    </w:p>
    <w:p w14:paraId="1B923B02">
      <w:pPr>
        <w:spacing w:line="360" w:lineRule="auto"/>
        <w:ind w:firstLine="480" w:firstLineChars="200"/>
        <w:outlineLvl w:val="9"/>
        <w:rPr>
          <w:rFonts w:hint="eastAsia" w:ascii="宋体" w:hAnsi="宋体" w:eastAsia="宋体" w:cs="Times New Roman"/>
          <w:color w:val="auto"/>
          <w:sz w:val="24"/>
          <w:szCs w:val="24"/>
        </w:rPr>
      </w:pPr>
      <w:bookmarkStart w:id="201" w:name="_Toc263677333"/>
      <w:bookmarkStart w:id="202" w:name="_Toc267472903"/>
      <w:bookmarkStart w:id="203" w:name="_Toc307415567"/>
      <w:bookmarkStart w:id="204" w:name="_Toc285028803"/>
      <w:r>
        <w:rPr>
          <w:rFonts w:hint="eastAsia" w:ascii="宋体" w:hAnsi="宋体" w:eastAsia="宋体" w:cs="Times New Roman"/>
          <w:color w:val="auto"/>
          <w:sz w:val="24"/>
          <w:szCs w:val="24"/>
        </w:rPr>
        <w:t>3.4 监理人的指示</w:t>
      </w:r>
      <w:bookmarkEnd w:id="201"/>
      <w:bookmarkEnd w:id="202"/>
      <w:bookmarkEnd w:id="203"/>
      <w:bookmarkEnd w:id="204"/>
    </w:p>
    <w:p w14:paraId="16A4915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3.4.1 监理人应按第3.1 款的约定向承包人发出指示，监理人的指示应盖有监理人授权的施工场地机构章，并由总监理工程师或总监理工程师按第3.3.1项约定授权的监理人员签字。</w:t>
      </w:r>
    </w:p>
    <w:p w14:paraId="37C75A9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3.4.2 承包人收到监理人按第3.4.1项做出的指示后应遵照执行。指示构成变更的，应按第15条处理。</w:t>
      </w:r>
    </w:p>
    <w:p w14:paraId="0565145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6C79B48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3.4.4 除合同另有约定外，承包人只从总监理工程师或按第3.3.1项被授权的监理人员处取得指示。</w:t>
      </w:r>
    </w:p>
    <w:p w14:paraId="26912CB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3.4.5 由于监理人未能按合同约定发出指示、指示延误或指示错误而导致承包人费用增加和（或）工期延误的，由发包人承担赔偿责任。</w:t>
      </w:r>
    </w:p>
    <w:p w14:paraId="44042BFC">
      <w:pPr>
        <w:spacing w:line="360" w:lineRule="auto"/>
        <w:ind w:firstLine="480" w:firstLineChars="200"/>
        <w:outlineLvl w:val="9"/>
        <w:rPr>
          <w:rFonts w:hint="eastAsia" w:ascii="宋体" w:hAnsi="宋体" w:eastAsia="宋体" w:cs="Times New Roman"/>
          <w:color w:val="auto"/>
          <w:sz w:val="24"/>
          <w:szCs w:val="24"/>
        </w:rPr>
      </w:pPr>
      <w:bookmarkStart w:id="205" w:name="_Toc285028804"/>
      <w:bookmarkStart w:id="206" w:name="_Toc263677334"/>
      <w:bookmarkStart w:id="207" w:name="_Toc307415568"/>
      <w:bookmarkStart w:id="208" w:name="_Toc267472904"/>
      <w:r>
        <w:rPr>
          <w:rFonts w:hint="eastAsia" w:ascii="宋体" w:hAnsi="宋体" w:eastAsia="宋体" w:cs="Times New Roman"/>
          <w:color w:val="auto"/>
          <w:sz w:val="24"/>
          <w:szCs w:val="24"/>
        </w:rPr>
        <w:t>3.5 商定或确定</w:t>
      </w:r>
      <w:bookmarkEnd w:id="205"/>
      <w:bookmarkEnd w:id="206"/>
      <w:bookmarkEnd w:id="207"/>
      <w:bookmarkEnd w:id="208"/>
    </w:p>
    <w:p w14:paraId="3D92D2D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3.5.1 合同约定总监理工程师应按照本款对任何事项进行商定或确定时，总监理工程师应与合同当事人协商，尽量达成一致。不能达成一致的，总监理工程师应认真研究后审慎确定。</w:t>
      </w:r>
    </w:p>
    <w:p w14:paraId="1BFA004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做出修改的，按修改后的结果执行。</w:t>
      </w:r>
    </w:p>
    <w:p w14:paraId="1EB9AF3E">
      <w:pPr>
        <w:spacing w:line="360" w:lineRule="auto"/>
        <w:ind w:firstLine="480" w:firstLineChars="200"/>
        <w:outlineLvl w:val="9"/>
        <w:rPr>
          <w:rFonts w:hint="eastAsia" w:ascii="宋体" w:hAnsi="宋体" w:eastAsia="宋体" w:cs="Times New Roman"/>
          <w:color w:val="auto"/>
          <w:sz w:val="24"/>
          <w:szCs w:val="24"/>
        </w:rPr>
      </w:pPr>
      <w:bookmarkStart w:id="209" w:name="_Toc263677335"/>
      <w:bookmarkStart w:id="210" w:name="_Toc10254"/>
      <w:bookmarkStart w:id="211" w:name="_Toc267472905"/>
      <w:bookmarkStart w:id="212" w:name="_Toc307417447"/>
      <w:bookmarkStart w:id="213" w:name="_Toc307485214"/>
      <w:bookmarkStart w:id="214" w:name="_Toc184635101"/>
      <w:bookmarkStart w:id="215" w:name="_Toc263370595"/>
      <w:bookmarkStart w:id="216" w:name="_Toc430097420"/>
      <w:bookmarkStart w:id="217" w:name="_Toc285028805"/>
      <w:bookmarkStart w:id="218" w:name="_Toc307416150"/>
      <w:r>
        <w:rPr>
          <w:rFonts w:hint="eastAsia" w:ascii="宋体" w:hAnsi="宋体" w:eastAsia="宋体" w:cs="Times New Roman"/>
          <w:color w:val="auto"/>
          <w:sz w:val="24"/>
          <w:szCs w:val="24"/>
        </w:rPr>
        <w:t>4．承包人</w:t>
      </w:r>
      <w:bookmarkEnd w:id="209"/>
      <w:bookmarkEnd w:id="210"/>
      <w:bookmarkEnd w:id="211"/>
      <w:bookmarkEnd w:id="212"/>
      <w:bookmarkEnd w:id="213"/>
      <w:bookmarkEnd w:id="214"/>
      <w:bookmarkEnd w:id="215"/>
      <w:bookmarkEnd w:id="216"/>
      <w:bookmarkEnd w:id="217"/>
      <w:bookmarkEnd w:id="218"/>
    </w:p>
    <w:p w14:paraId="28EFD7C3">
      <w:pPr>
        <w:spacing w:line="360" w:lineRule="auto"/>
        <w:ind w:firstLine="480" w:firstLineChars="200"/>
        <w:outlineLvl w:val="9"/>
        <w:rPr>
          <w:rFonts w:hint="eastAsia" w:ascii="宋体" w:hAnsi="宋体" w:eastAsia="宋体" w:cs="Times New Roman"/>
          <w:color w:val="auto"/>
          <w:sz w:val="24"/>
          <w:szCs w:val="24"/>
        </w:rPr>
      </w:pPr>
      <w:bookmarkStart w:id="219" w:name="_Toc263677336"/>
      <w:bookmarkStart w:id="220" w:name="_Toc267472906"/>
      <w:bookmarkStart w:id="221" w:name="_Toc307415570"/>
      <w:bookmarkStart w:id="222" w:name="_Toc285028806"/>
      <w:r>
        <w:rPr>
          <w:rFonts w:hint="eastAsia" w:ascii="宋体" w:hAnsi="宋体" w:eastAsia="宋体" w:cs="Times New Roman"/>
          <w:color w:val="auto"/>
          <w:sz w:val="24"/>
          <w:szCs w:val="24"/>
        </w:rPr>
        <w:t>4.1 承包人的一般义务</w:t>
      </w:r>
      <w:bookmarkEnd w:id="219"/>
      <w:bookmarkEnd w:id="220"/>
      <w:bookmarkEnd w:id="221"/>
      <w:bookmarkEnd w:id="222"/>
    </w:p>
    <w:p w14:paraId="514D6DE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4.1.1 遵守法律</w:t>
      </w:r>
    </w:p>
    <w:p w14:paraId="69FE4C3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承包人在履行合同过程中应遵守法律，并保证发包人免于承担因承包人违反法律而引起的任何责任。</w:t>
      </w:r>
    </w:p>
    <w:p w14:paraId="18C5C27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4.1.2 依法纳税</w:t>
      </w:r>
    </w:p>
    <w:p w14:paraId="53AECFB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承包人应按有关法律规定纳税，应缴纳的税金包括在合同价格内。</w:t>
      </w:r>
    </w:p>
    <w:p w14:paraId="373CCC7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4.1.3 完成各项承包工作</w:t>
      </w:r>
    </w:p>
    <w:p w14:paraId="051C1BB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373438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4.1.4 对施工作业和施工方法的完备性负责</w:t>
      </w:r>
    </w:p>
    <w:p w14:paraId="78580A9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承包人应按合同约定的工作内容和施工进度要求，编制施工组织设计和施工措施计划，并对所有施工作业和施工方法的完备性和安全可靠性负责。</w:t>
      </w:r>
    </w:p>
    <w:p w14:paraId="2A5D3FC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4.1.5 保证工程施工和人员的安全</w:t>
      </w:r>
    </w:p>
    <w:p w14:paraId="3567B42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承包人应按第9.2款约定采取施工安全措施，确保工程及其人员、材料、设备和设施的安全，防止因工程施工造成的人身伤害和财产损失。</w:t>
      </w:r>
    </w:p>
    <w:p w14:paraId="136C885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4.1.6 负责施工场地及其周边环境与生态的保护工作</w:t>
      </w:r>
    </w:p>
    <w:p w14:paraId="7EC6CBC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承包人应按照第9.4款约定负责施工场地及其周边环境与生态的保护工作。</w:t>
      </w:r>
    </w:p>
    <w:p w14:paraId="7085377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4.1.7 避免施工对公众与他人的利益造成损害</w:t>
      </w:r>
    </w:p>
    <w:p w14:paraId="2C4F9DB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A1B083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4.1.8 为他人提供方便</w:t>
      </w:r>
    </w:p>
    <w:p w14:paraId="50DF7C9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承包人应按监理人的指示为他人在施工场地或附近实施与工程有关的其他各项工作提供可能的条件。除合同另有约定外，提供有关条件的内容和可能发生的费用，由监理人按第3.5款商定或确定。</w:t>
      </w:r>
    </w:p>
    <w:p w14:paraId="563EC34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4.1.9 工程的维护和照管</w:t>
      </w:r>
    </w:p>
    <w:p w14:paraId="5F07EFE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384332E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4.1.10 其他义务</w:t>
      </w:r>
    </w:p>
    <w:p w14:paraId="44762BE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其它义务在专用合同条款中补充约定。</w:t>
      </w:r>
    </w:p>
    <w:p w14:paraId="043B8D01">
      <w:pPr>
        <w:spacing w:line="360" w:lineRule="auto"/>
        <w:ind w:firstLine="480" w:firstLineChars="200"/>
        <w:outlineLvl w:val="9"/>
        <w:rPr>
          <w:rFonts w:hint="eastAsia" w:ascii="宋体" w:hAnsi="宋体" w:eastAsia="宋体" w:cs="Times New Roman"/>
          <w:color w:val="auto"/>
          <w:sz w:val="24"/>
          <w:szCs w:val="24"/>
        </w:rPr>
      </w:pPr>
      <w:bookmarkStart w:id="223" w:name="_Toc263677337"/>
      <w:bookmarkStart w:id="224" w:name="_Toc267472907"/>
      <w:bookmarkStart w:id="225" w:name="_Toc307415571"/>
      <w:bookmarkStart w:id="226" w:name="_Toc285028807"/>
      <w:r>
        <w:rPr>
          <w:rFonts w:hint="eastAsia" w:ascii="宋体" w:hAnsi="宋体" w:eastAsia="宋体" w:cs="Times New Roman"/>
          <w:color w:val="auto"/>
          <w:sz w:val="24"/>
          <w:szCs w:val="24"/>
        </w:rPr>
        <w:t>4.2 履约担保</w:t>
      </w:r>
      <w:bookmarkEnd w:id="223"/>
      <w:bookmarkEnd w:id="224"/>
      <w:bookmarkEnd w:id="225"/>
      <w:bookmarkEnd w:id="226"/>
    </w:p>
    <w:p w14:paraId="153ED0D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承包人应保证其履约担保在发包人颁发合同工程完工证书前一直有效。发包人应在合同工程完工证书颁发后28天内将履约担保退还给承包人。</w:t>
      </w:r>
    </w:p>
    <w:p w14:paraId="73439DE3">
      <w:pPr>
        <w:spacing w:line="360" w:lineRule="auto"/>
        <w:ind w:firstLine="480" w:firstLineChars="200"/>
        <w:outlineLvl w:val="9"/>
        <w:rPr>
          <w:rFonts w:hint="eastAsia" w:ascii="宋体" w:hAnsi="宋体" w:eastAsia="宋体" w:cs="Times New Roman"/>
          <w:color w:val="auto"/>
          <w:sz w:val="24"/>
          <w:szCs w:val="24"/>
        </w:rPr>
      </w:pPr>
      <w:bookmarkStart w:id="227" w:name="_Toc285028808"/>
      <w:bookmarkStart w:id="228" w:name="_Toc307415572"/>
      <w:bookmarkStart w:id="229" w:name="_Toc263677338"/>
      <w:bookmarkStart w:id="230" w:name="_Toc267472908"/>
      <w:r>
        <w:rPr>
          <w:rFonts w:hint="eastAsia" w:ascii="宋体" w:hAnsi="宋体" w:eastAsia="宋体" w:cs="Times New Roman"/>
          <w:color w:val="auto"/>
          <w:sz w:val="24"/>
          <w:szCs w:val="24"/>
        </w:rPr>
        <w:t>4.3 分包</w:t>
      </w:r>
      <w:bookmarkEnd w:id="227"/>
      <w:bookmarkEnd w:id="228"/>
      <w:bookmarkEnd w:id="229"/>
      <w:bookmarkEnd w:id="230"/>
    </w:p>
    <w:p w14:paraId="23406B8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4.3.1 承包人不得将其承包的全部工程转包给第三人，或将其承包的全部工程肢解后以分包的名义转包给第三人。</w:t>
      </w:r>
    </w:p>
    <w:p w14:paraId="30F04FD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4.3.2 承包人不得将工程主体、关键性工作分包给第三人。除专用合同条款另有约定外，未经发包人同意，承包人不得将工程的其他部分或工作分包给第三人。</w:t>
      </w:r>
    </w:p>
    <w:p w14:paraId="79836D3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4.3.3 分包人的资格能力应与其分包工程的标准和规模相适应。</w:t>
      </w:r>
    </w:p>
    <w:p w14:paraId="5CA92E7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4.3.4 按投标函附录约定分包工程的，承包人应向发包人和监理人提交分包合同副本。</w:t>
      </w:r>
    </w:p>
    <w:p w14:paraId="2910FAE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4.3.5 承包人应与分包人就分包工程向发包人承担连带责任。</w:t>
      </w:r>
    </w:p>
    <w:p w14:paraId="2F5178F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799788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454ACCE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由指定分包人造成的与其分包工作有关的一切索赔、诉讼和损失赔偿由指定分包人直接对发包人负责，承包人不对此承担责任。</w:t>
      </w:r>
    </w:p>
    <w:p w14:paraId="05EAB98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67C7C49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4.3.9 除第4.3.7项规定的指定分包外，承包人对其分包项目的实施以及分包人的行为向发包人负全部责任。承包人应对分包项目的工程进度、质量、安全、计量和验收等实施监督和管理。</w:t>
      </w:r>
    </w:p>
    <w:p w14:paraId="58CD230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4.3.10 分包人应按专用合同条款的约定设立项目管理机构组织管理分包工程的施工活动。</w:t>
      </w:r>
    </w:p>
    <w:p w14:paraId="78C7EEDF">
      <w:pPr>
        <w:spacing w:line="360" w:lineRule="auto"/>
        <w:ind w:firstLine="480" w:firstLineChars="200"/>
        <w:outlineLvl w:val="9"/>
        <w:rPr>
          <w:rFonts w:hint="eastAsia" w:ascii="宋体" w:hAnsi="宋体" w:eastAsia="宋体" w:cs="Times New Roman"/>
          <w:color w:val="auto"/>
          <w:sz w:val="24"/>
          <w:szCs w:val="24"/>
        </w:rPr>
      </w:pPr>
      <w:bookmarkStart w:id="231" w:name="_Toc307415573"/>
      <w:bookmarkStart w:id="232" w:name="_Toc285028809"/>
      <w:bookmarkStart w:id="233" w:name="_Toc267472909"/>
      <w:bookmarkStart w:id="234" w:name="_Toc263677339"/>
      <w:r>
        <w:rPr>
          <w:rFonts w:hint="eastAsia" w:ascii="宋体" w:hAnsi="宋体" w:eastAsia="宋体" w:cs="Times New Roman"/>
          <w:color w:val="auto"/>
          <w:sz w:val="24"/>
          <w:szCs w:val="24"/>
        </w:rPr>
        <w:t>4.4 联合体</w:t>
      </w:r>
      <w:bookmarkEnd w:id="231"/>
      <w:bookmarkEnd w:id="232"/>
      <w:bookmarkEnd w:id="233"/>
      <w:bookmarkEnd w:id="234"/>
    </w:p>
    <w:p w14:paraId="310A18D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4.4.1 联合体各方应共同与发包人签订合同协议书。联合体各方应为履行合同承担连带责任。</w:t>
      </w:r>
    </w:p>
    <w:p w14:paraId="6EE1221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4.4.2 联合体协议经发包人确认后作为合同附件。在履行合同过程中，未经发包人同意，不得修改联合体协议。</w:t>
      </w:r>
    </w:p>
    <w:p w14:paraId="14BB28C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4.4.3 联合体牵头人负责与发包人和监理人联系，并接受指示，负责组织联合体各成员全面履行合同。</w:t>
      </w:r>
    </w:p>
    <w:p w14:paraId="56CABD4B">
      <w:pPr>
        <w:spacing w:line="360" w:lineRule="auto"/>
        <w:ind w:firstLine="480" w:firstLineChars="200"/>
        <w:outlineLvl w:val="9"/>
        <w:rPr>
          <w:rFonts w:hint="eastAsia" w:ascii="宋体" w:hAnsi="宋体" w:eastAsia="宋体" w:cs="Times New Roman"/>
          <w:color w:val="auto"/>
          <w:sz w:val="24"/>
          <w:szCs w:val="24"/>
        </w:rPr>
      </w:pPr>
      <w:bookmarkStart w:id="235" w:name="_Toc285028810"/>
      <w:bookmarkStart w:id="236" w:name="_Toc267472910"/>
      <w:bookmarkStart w:id="237" w:name="_Toc307415574"/>
      <w:bookmarkStart w:id="238" w:name="_Toc263677340"/>
      <w:r>
        <w:rPr>
          <w:rFonts w:hint="eastAsia" w:ascii="宋体" w:hAnsi="宋体" w:eastAsia="宋体" w:cs="Times New Roman"/>
          <w:color w:val="auto"/>
          <w:sz w:val="24"/>
          <w:szCs w:val="24"/>
        </w:rPr>
        <w:t>4.5 承包人项目经理</w:t>
      </w:r>
      <w:bookmarkEnd w:id="235"/>
      <w:bookmarkEnd w:id="236"/>
      <w:bookmarkEnd w:id="237"/>
      <w:bookmarkEnd w:id="238"/>
    </w:p>
    <w:p w14:paraId="428D369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41AF73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4.5.2 承包人项目经理应按合同约定以及监理人按第3.4款做出的指示，负责组织合同工程的实施。在情况紧急且无法与监理人取得联系时，可采取保证工程和人员生命财产安全的紧急措施，并在采取措施后24小时内向监理人提交书面报告。</w:t>
      </w:r>
    </w:p>
    <w:p w14:paraId="7EAFFA4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4.5.3 承包人为履行合同发出的一切函件均应盖有承包人授权的施工场地管理机构章，并由承包人项目经理或其授权代表签字。</w:t>
      </w:r>
    </w:p>
    <w:p w14:paraId="1C99EEB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4.5.4 承包人项目经理可以授权其下属人员履行其某项职责，但事先应将这些人员的姓名和授权范围通知监理人。</w:t>
      </w:r>
    </w:p>
    <w:p w14:paraId="22A757BE">
      <w:pPr>
        <w:spacing w:line="360" w:lineRule="auto"/>
        <w:ind w:firstLine="480" w:firstLineChars="200"/>
        <w:outlineLvl w:val="9"/>
        <w:rPr>
          <w:rFonts w:hint="eastAsia" w:ascii="宋体" w:hAnsi="宋体" w:eastAsia="宋体" w:cs="Times New Roman"/>
          <w:color w:val="auto"/>
          <w:sz w:val="24"/>
          <w:szCs w:val="24"/>
        </w:rPr>
      </w:pPr>
      <w:bookmarkStart w:id="239" w:name="_Toc267472911"/>
      <w:bookmarkStart w:id="240" w:name="_Toc285028811"/>
      <w:bookmarkStart w:id="241" w:name="_Toc307415575"/>
      <w:bookmarkStart w:id="242" w:name="_Toc263677341"/>
      <w:r>
        <w:rPr>
          <w:rFonts w:hint="eastAsia" w:ascii="宋体" w:hAnsi="宋体" w:eastAsia="宋体" w:cs="Times New Roman"/>
          <w:color w:val="auto"/>
          <w:sz w:val="24"/>
          <w:szCs w:val="24"/>
        </w:rPr>
        <w:t>4.6 承包人人员的管理</w:t>
      </w:r>
      <w:bookmarkEnd w:id="239"/>
      <w:bookmarkEnd w:id="240"/>
      <w:bookmarkEnd w:id="241"/>
      <w:bookmarkEnd w:id="242"/>
    </w:p>
    <w:p w14:paraId="250ABAF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0F38DA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4.6.2 为完成合同约定的各项工作，承包人应向施工场地派遣或雇佣足够数量的下列人员：</w:t>
      </w:r>
    </w:p>
    <w:p w14:paraId="18DF030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(1）具有相应资格的专业技工和合格的普工；</w:t>
      </w:r>
    </w:p>
    <w:p w14:paraId="5D1CF99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(2）具有相应施工经验的技术人员；</w:t>
      </w:r>
    </w:p>
    <w:p w14:paraId="5692D95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(3）具有相应岗位资格的各级管理人员。</w:t>
      </w:r>
    </w:p>
    <w:p w14:paraId="40B9290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4.6.3 承包人安排在施工场地的主要管理人员和技术骨干应相对稳定。承包人更换主要管理人员和技术骨干时，应取得监理人的同意。</w:t>
      </w:r>
    </w:p>
    <w:p w14:paraId="230AE35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4.6.4 特殊岗位的工作人员均应持有相应的资格证明，监理人有权随时检查。监理人认为有必要时，可进行现场考核。</w:t>
      </w:r>
    </w:p>
    <w:p w14:paraId="67B606B4">
      <w:pPr>
        <w:spacing w:line="360" w:lineRule="auto"/>
        <w:ind w:firstLine="480" w:firstLineChars="200"/>
        <w:outlineLvl w:val="9"/>
        <w:rPr>
          <w:rFonts w:hint="eastAsia" w:ascii="宋体" w:hAnsi="宋体" w:eastAsia="宋体" w:cs="Times New Roman"/>
          <w:color w:val="auto"/>
          <w:sz w:val="24"/>
          <w:szCs w:val="24"/>
        </w:rPr>
      </w:pPr>
      <w:bookmarkStart w:id="243" w:name="_Toc263677342"/>
      <w:bookmarkStart w:id="244" w:name="_Toc267472912"/>
      <w:bookmarkStart w:id="245" w:name="_Toc285028812"/>
      <w:bookmarkStart w:id="246" w:name="_Toc307415576"/>
      <w:r>
        <w:rPr>
          <w:rFonts w:hint="eastAsia" w:ascii="宋体" w:hAnsi="宋体" w:eastAsia="宋体" w:cs="Times New Roman"/>
          <w:color w:val="auto"/>
          <w:sz w:val="24"/>
          <w:szCs w:val="24"/>
        </w:rPr>
        <w:t>4.7 撤换承包人项目经理和其他人员</w:t>
      </w:r>
      <w:bookmarkEnd w:id="243"/>
      <w:bookmarkEnd w:id="244"/>
      <w:bookmarkEnd w:id="245"/>
      <w:bookmarkEnd w:id="246"/>
    </w:p>
    <w:p w14:paraId="7CAB01F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承包人应对其项目经理和其他人员进行有效管理。监理人要求撤换不能胜任本职工作、行为不端或玩忽职守的承包人项目经理和其他人员的，承包人应予以撤换。</w:t>
      </w:r>
    </w:p>
    <w:p w14:paraId="7313546C">
      <w:pPr>
        <w:spacing w:line="360" w:lineRule="auto"/>
        <w:ind w:firstLine="480" w:firstLineChars="200"/>
        <w:outlineLvl w:val="9"/>
        <w:rPr>
          <w:rFonts w:hint="eastAsia" w:ascii="宋体" w:hAnsi="宋体" w:eastAsia="宋体" w:cs="Times New Roman"/>
          <w:color w:val="auto"/>
          <w:sz w:val="24"/>
          <w:szCs w:val="24"/>
        </w:rPr>
      </w:pPr>
      <w:bookmarkStart w:id="247" w:name="_Toc267472913"/>
      <w:bookmarkStart w:id="248" w:name="_Toc285028813"/>
      <w:bookmarkStart w:id="249" w:name="_Toc307415577"/>
      <w:bookmarkStart w:id="250" w:name="_Toc263677343"/>
      <w:r>
        <w:rPr>
          <w:rFonts w:hint="eastAsia" w:ascii="宋体" w:hAnsi="宋体" w:eastAsia="宋体" w:cs="Times New Roman"/>
          <w:color w:val="auto"/>
          <w:sz w:val="24"/>
          <w:szCs w:val="24"/>
        </w:rPr>
        <w:t>4.8 保障承包人人员的合法权益</w:t>
      </w:r>
      <w:bookmarkEnd w:id="247"/>
      <w:bookmarkEnd w:id="248"/>
      <w:bookmarkEnd w:id="249"/>
      <w:bookmarkEnd w:id="250"/>
    </w:p>
    <w:p w14:paraId="4209DB3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4.8.1 承包人应与其雇佣的人员签订劳动合同，并按时发放工资。</w:t>
      </w:r>
    </w:p>
    <w:p w14:paraId="10877A2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4.8.2 承包人应按劳动法的规定安排工作时间，保证其雇佣人员享有休息和休假的权利。因工程施工的特殊需要占用休假日或延长工作时间的，应不超过法律规定的限度，并按法律规定给予补休或付酬。</w:t>
      </w:r>
    </w:p>
    <w:p w14:paraId="791C2ED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4.8.3 承包人应为其雇佣人员提供必要的食宿条件，以及符合环境保护和卫生要求的生活环境，在远离城镇的施工场地，还应配备必要的伤病防治和急救的医务人员与医疗设施。</w:t>
      </w:r>
    </w:p>
    <w:p w14:paraId="4937293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AEA8BA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4.8.5 承包人应按有关法律规定和合同约定，为其雇佣人员办理保险。</w:t>
      </w:r>
    </w:p>
    <w:p w14:paraId="54B05AA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4.8.6 承包人应负责处理其雇佣人员因工伤亡事故的善后事宜。</w:t>
      </w:r>
    </w:p>
    <w:p w14:paraId="2E8C6B28">
      <w:pPr>
        <w:spacing w:line="360" w:lineRule="auto"/>
        <w:ind w:firstLine="480" w:firstLineChars="200"/>
        <w:outlineLvl w:val="9"/>
        <w:rPr>
          <w:rFonts w:hint="eastAsia" w:ascii="宋体" w:hAnsi="宋体" w:eastAsia="宋体" w:cs="Times New Roman"/>
          <w:color w:val="auto"/>
          <w:sz w:val="24"/>
          <w:szCs w:val="24"/>
        </w:rPr>
      </w:pPr>
      <w:bookmarkStart w:id="251" w:name="_Toc285028814"/>
      <w:bookmarkStart w:id="252" w:name="_Toc267472914"/>
      <w:bookmarkStart w:id="253" w:name="_Toc263677344"/>
      <w:r>
        <w:rPr>
          <w:rFonts w:hint="eastAsia" w:ascii="宋体" w:hAnsi="宋体" w:eastAsia="宋体" w:cs="Times New Roman"/>
          <w:color w:val="auto"/>
          <w:sz w:val="24"/>
          <w:szCs w:val="24"/>
        </w:rPr>
        <w:t>4.9 工程价款应专款专用</w:t>
      </w:r>
      <w:bookmarkEnd w:id="251"/>
      <w:bookmarkEnd w:id="252"/>
      <w:bookmarkEnd w:id="253"/>
    </w:p>
    <w:p w14:paraId="7AE83AB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发包人按合同约定支付给承包人的各项价款应专用于合同工程。</w:t>
      </w:r>
    </w:p>
    <w:p w14:paraId="0F69AB76">
      <w:pPr>
        <w:spacing w:line="360" w:lineRule="auto"/>
        <w:ind w:firstLine="480" w:firstLineChars="200"/>
        <w:outlineLvl w:val="9"/>
        <w:rPr>
          <w:rFonts w:hint="eastAsia" w:ascii="宋体" w:hAnsi="宋体" w:eastAsia="宋体" w:cs="Times New Roman"/>
          <w:color w:val="auto"/>
          <w:sz w:val="24"/>
          <w:szCs w:val="24"/>
        </w:rPr>
      </w:pPr>
      <w:bookmarkStart w:id="254" w:name="_Toc307415579"/>
      <w:bookmarkStart w:id="255" w:name="_Toc285028815"/>
      <w:bookmarkStart w:id="256" w:name="_Toc267472915"/>
      <w:bookmarkStart w:id="257" w:name="_Toc263677345"/>
      <w:r>
        <w:rPr>
          <w:rFonts w:hint="eastAsia" w:ascii="宋体" w:hAnsi="宋体" w:eastAsia="宋体" w:cs="Times New Roman"/>
          <w:color w:val="auto"/>
          <w:sz w:val="24"/>
          <w:szCs w:val="24"/>
        </w:rPr>
        <w:t>4.10 承包人现场查勘</w:t>
      </w:r>
      <w:bookmarkEnd w:id="254"/>
      <w:bookmarkEnd w:id="255"/>
      <w:bookmarkEnd w:id="256"/>
      <w:bookmarkEnd w:id="257"/>
    </w:p>
    <w:p w14:paraId="48B2931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4.10.1 发包人应将其持有的现场地质勘探资料、水文气象资料提供给承包人，并对其准确胜负责。但承包人应对其阅读上述有关资料后所做出的解释和推断负责。</w:t>
      </w:r>
    </w:p>
    <w:p w14:paraId="5B4AFA5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9B02D8B">
      <w:pPr>
        <w:spacing w:line="360" w:lineRule="auto"/>
        <w:ind w:firstLine="480" w:firstLineChars="200"/>
        <w:outlineLvl w:val="9"/>
        <w:rPr>
          <w:rFonts w:hint="eastAsia" w:ascii="宋体" w:hAnsi="宋体" w:eastAsia="宋体" w:cs="Times New Roman"/>
          <w:color w:val="auto"/>
          <w:sz w:val="24"/>
          <w:szCs w:val="24"/>
        </w:rPr>
      </w:pPr>
      <w:bookmarkStart w:id="258" w:name="_Toc267472916"/>
      <w:bookmarkStart w:id="259" w:name="_Toc285028816"/>
      <w:bookmarkStart w:id="260" w:name="_Toc307415580"/>
      <w:bookmarkStart w:id="261" w:name="_Toc263677346"/>
      <w:r>
        <w:rPr>
          <w:rFonts w:hint="eastAsia" w:ascii="宋体" w:hAnsi="宋体" w:eastAsia="宋体" w:cs="Times New Roman"/>
          <w:color w:val="auto"/>
          <w:sz w:val="24"/>
          <w:szCs w:val="24"/>
        </w:rPr>
        <w:t>4.11 不利物质条件</w:t>
      </w:r>
      <w:bookmarkEnd w:id="258"/>
      <w:bookmarkEnd w:id="259"/>
      <w:bookmarkEnd w:id="260"/>
      <w:bookmarkEnd w:id="261"/>
    </w:p>
    <w:p w14:paraId="24A3C68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4.11.1 除专用合同条款另有约定外，不利物质条件是指在施工中遭遇不可预见的外界障碍或自然条件造成施工受阻。</w:t>
      </w:r>
    </w:p>
    <w:p w14:paraId="76ED1C7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28129704">
      <w:pPr>
        <w:spacing w:line="360" w:lineRule="auto"/>
        <w:ind w:firstLine="480" w:firstLineChars="200"/>
        <w:outlineLvl w:val="9"/>
        <w:rPr>
          <w:rFonts w:hint="eastAsia" w:ascii="宋体" w:hAnsi="宋体" w:eastAsia="宋体" w:cs="Times New Roman"/>
          <w:color w:val="auto"/>
          <w:sz w:val="24"/>
          <w:szCs w:val="24"/>
        </w:rPr>
      </w:pPr>
      <w:bookmarkStart w:id="262" w:name="_Toc307415581"/>
      <w:bookmarkStart w:id="263" w:name="_Toc263677347"/>
      <w:bookmarkStart w:id="264" w:name="_Toc28172"/>
      <w:bookmarkStart w:id="265" w:name="_Toc184635102"/>
      <w:bookmarkStart w:id="266" w:name="_Toc263370596"/>
      <w:bookmarkStart w:id="267" w:name="_Toc285028817"/>
      <w:bookmarkStart w:id="268" w:name="_Toc430097421"/>
      <w:bookmarkStart w:id="269" w:name="_Toc307417448"/>
      <w:bookmarkStart w:id="270" w:name="_Toc307416151"/>
      <w:bookmarkStart w:id="271" w:name="_Toc267472917"/>
      <w:bookmarkStart w:id="272" w:name="_Toc307485215"/>
      <w:r>
        <w:rPr>
          <w:rFonts w:hint="eastAsia" w:ascii="宋体" w:hAnsi="宋体" w:eastAsia="宋体" w:cs="Times New Roman"/>
          <w:color w:val="auto"/>
          <w:sz w:val="24"/>
          <w:szCs w:val="24"/>
        </w:rPr>
        <w:t>5．材料和工程设备</w:t>
      </w:r>
      <w:bookmarkEnd w:id="262"/>
      <w:bookmarkEnd w:id="263"/>
      <w:bookmarkEnd w:id="264"/>
      <w:bookmarkEnd w:id="265"/>
      <w:bookmarkEnd w:id="266"/>
      <w:bookmarkEnd w:id="267"/>
      <w:bookmarkEnd w:id="268"/>
      <w:bookmarkEnd w:id="269"/>
      <w:bookmarkEnd w:id="270"/>
      <w:bookmarkEnd w:id="271"/>
      <w:bookmarkEnd w:id="272"/>
    </w:p>
    <w:p w14:paraId="4B37F6A8">
      <w:pPr>
        <w:spacing w:line="360" w:lineRule="auto"/>
        <w:ind w:firstLine="480" w:firstLineChars="200"/>
        <w:outlineLvl w:val="9"/>
        <w:rPr>
          <w:rFonts w:hint="eastAsia" w:ascii="宋体" w:hAnsi="宋体" w:eastAsia="宋体" w:cs="Times New Roman"/>
          <w:color w:val="auto"/>
          <w:sz w:val="24"/>
          <w:szCs w:val="24"/>
        </w:rPr>
      </w:pPr>
      <w:bookmarkStart w:id="273" w:name="_Toc263677348"/>
      <w:bookmarkStart w:id="274" w:name="_Toc307415582"/>
      <w:bookmarkStart w:id="275" w:name="_Toc267472918"/>
      <w:bookmarkStart w:id="276" w:name="_Toc285028818"/>
      <w:r>
        <w:rPr>
          <w:rFonts w:hint="eastAsia" w:ascii="宋体" w:hAnsi="宋体" w:eastAsia="宋体" w:cs="Times New Roman"/>
          <w:color w:val="auto"/>
          <w:sz w:val="24"/>
          <w:szCs w:val="24"/>
        </w:rPr>
        <w:t>5.1 承包人提供的材料和工程设备</w:t>
      </w:r>
      <w:bookmarkEnd w:id="273"/>
      <w:bookmarkEnd w:id="274"/>
      <w:bookmarkEnd w:id="275"/>
      <w:bookmarkEnd w:id="276"/>
    </w:p>
    <w:p w14:paraId="335F60D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5.1.1 除第5.2款约定由发包人提供的材料和工程设备外，承包人负责采购、运输和保管完成本合同工作所需的材料和工程设备。承包人应对其采购的材料和工程设备负责。</w:t>
      </w:r>
    </w:p>
    <w:p w14:paraId="03CB969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57ED027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47704C44">
      <w:pPr>
        <w:spacing w:line="360" w:lineRule="auto"/>
        <w:ind w:firstLine="480" w:firstLineChars="200"/>
        <w:outlineLvl w:val="9"/>
        <w:rPr>
          <w:rFonts w:hint="eastAsia" w:ascii="宋体" w:hAnsi="宋体" w:eastAsia="宋体" w:cs="Times New Roman"/>
          <w:color w:val="auto"/>
          <w:sz w:val="24"/>
          <w:szCs w:val="24"/>
        </w:rPr>
      </w:pPr>
      <w:bookmarkStart w:id="277" w:name="_Toc285028819"/>
      <w:bookmarkStart w:id="278" w:name="_Toc267472919"/>
      <w:bookmarkStart w:id="279" w:name="_Toc307415583"/>
      <w:bookmarkStart w:id="280" w:name="_Toc263677349"/>
      <w:r>
        <w:rPr>
          <w:rFonts w:hint="eastAsia" w:ascii="宋体" w:hAnsi="宋体" w:eastAsia="宋体" w:cs="Times New Roman"/>
          <w:color w:val="auto"/>
          <w:sz w:val="24"/>
          <w:szCs w:val="24"/>
        </w:rPr>
        <w:t>5.2 发包人提供的材料和工程设备</w:t>
      </w:r>
      <w:bookmarkEnd w:id="277"/>
      <w:bookmarkEnd w:id="278"/>
      <w:bookmarkEnd w:id="279"/>
      <w:bookmarkEnd w:id="280"/>
    </w:p>
    <w:p w14:paraId="0EF8547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5.2.1 发包人提供的材料和工程设备，应在专用合同条款中写明材料和工程设备的名称、规格、数量、价格、交货方式、交货地点和计划交货日期等。</w:t>
      </w:r>
    </w:p>
    <w:p w14:paraId="480D75D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5.2.2 承包人应根据合同进度计划的安排，向监理人报送要求发包人交货的日期计划。发包人应按照监理人与合同双方当事人商定的交货日期，向承包人提交材料和工程设备。</w:t>
      </w:r>
    </w:p>
    <w:p w14:paraId="6C04872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5.2.3发包人应在材料和工程设备到货7天前通知承包人，承包人应会同监理人在约定的时间内，赴交货地点共同进行验收。发包人提供的材料和工程设备运至交货地点验收后，由承包人负责接收、卸货、运输和保管。</w:t>
      </w:r>
    </w:p>
    <w:p w14:paraId="3371C06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5.2.4 发包人要求向承包人提前交货的，承包人不得拒绝，但发包人应承担承包人由此增加的费用。</w:t>
      </w:r>
    </w:p>
    <w:p w14:paraId="104245C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5.2.5 承包人要求更改交货日期或地点的，应事先报请监理人批准。由于承包人要求更改交货时间或地点所增加的费用和（或）工期延误由承包人承担。</w:t>
      </w:r>
    </w:p>
    <w:p w14:paraId="41C677C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540D9E6E">
      <w:pPr>
        <w:spacing w:line="360" w:lineRule="auto"/>
        <w:ind w:firstLine="480" w:firstLineChars="200"/>
        <w:outlineLvl w:val="9"/>
        <w:rPr>
          <w:rFonts w:hint="eastAsia" w:ascii="宋体" w:hAnsi="宋体" w:eastAsia="宋体" w:cs="Times New Roman"/>
          <w:color w:val="auto"/>
          <w:sz w:val="24"/>
          <w:szCs w:val="24"/>
        </w:rPr>
      </w:pPr>
      <w:bookmarkStart w:id="281" w:name="_Toc285028820"/>
      <w:bookmarkStart w:id="282" w:name="_Toc267472920"/>
      <w:bookmarkStart w:id="283" w:name="_Toc307415584"/>
      <w:bookmarkStart w:id="284" w:name="_Toc263677350"/>
      <w:r>
        <w:rPr>
          <w:rFonts w:hint="eastAsia" w:ascii="宋体" w:hAnsi="宋体" w:eastAsia="宋体" w:cs="Times New Roman"/>
          <w:color w:val="auto"/>
          <w:sz w:val="24"/>
          <w:szCs w:val="24"/>
        </w:rPr>
        <w:t>5.3 材料和工程设备专用于合同工程</w:t>
      </w:r>
      <w:bookmarkEnd w:id="281"/>
      <w:bookmarkEnd w:id="282"/>
      <w:bookmarkEnd w:id="283"/>
      <w:bookmarkEnd w:id="284"/>
    </w:p>
    <w:p w14:paraId="7C35DA3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5.3.1 运入施工场地的材料、工程设备，包括备品备件、安装专用工器具与随机资料，必须专用于合同工程，未经监理人同意，承包人不得运出施工场地或挪作他用。</w:t>
      </w:r>
    </w:p>
    <w:p w14:paraId="4D8D262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26986000">
      <w:pPr>
        <w:spacing w:line="360" w:lineRule="auto"/>
        <w:ind w:firstLine="480" w:firstLineChars="200"/>
        <w:outlineLvl w:val="9"/>
        <w:rPr>
          <w:rFonts w:hint="eastAsia" w:ascii="宋体" w:hAnsi="宋体" w:eastAsia="宋体" w:cs="Times New Roman"/>
          <w:color w:val="auto"/>
          <w:sz w:val="24"/>
          <w:szCs w:val="24"/>
        </w:rPr>
      </w:pPr>
      <w:bookmarkStart w:id="285" w:name="_Toc267472921"/>
      <w:bookmarkStart w:id="286" w:name="_Toc285028821"/>
      <w:bookmarkStart w:id="287" w:name="_Toc263677351"/>
      <w:r>
        <w:rPr>
          <w:rFonts w:hint="eastAsia" w:ascii="宋体" w:hAnsi="宋体" w:eastAsia="宋体" w:cs="Times New Roman"/>
          <w:color w:val="auto"/>
          <w:sz w:val="24"/>
          <w:szCs w:val="24"/>
        </w:rPr>
        <w:t>5.4 禁止使用不合格的材料和工程设备</w:t>
      </w:r>
      <w:bookmarkEnd w:id="285"/>
      <w:bookmarkEnd w:id="286"/>
      <w:bookmarkEnd w:id="287"/>
    </w:p>
    <w:p w14:paraId="3455D8D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5.4.1 监理人有权拒绝承包人提供的不合格材料或工程设备，并要求承包人立即进行更换。监理人应在更换后再次进行检查和检验，由此增加的费用和（或）工期延误由承包人承担。</w:t>
      </w:r>
    </w:p>
    <w:p w14:paraId="009BCEC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5.4.2 监理人发现承包人使用了不合格的材料和工程设备，应即时发出指示要求承包人立即改正，并禁止在工程中继续使用不合格的材料和工程设备。</w:t>
      </w:r>
    </w:p>
    <w:p w14:paraId="20CC501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5.4.3 发包人提供的材料或工程设备不符合合同要求的，承包人有权拒绝，并可要求发包人更换，由此增加的费用和（或）工期延误由发包人承担。</w:t>
      </w:r>
    </w:p>
    <w:p w14:paraId="756E2FC8">
      <w:pPr>
        <w:spacing w:line="360" w:lineRule="auto"/>
        <w:ind w:firstLine="480" w:firstLineChars="200"/>
        <w:outlineLvl w:val="9"/>
        <w:rPr>
          <w:rFonts w:hint="eastAsia" w:ascii="宋体" w:hAnsi="宋体" w:eastAsia="宋体" w:cs="Times New Roman"/>
          <w:color w:val="auto"/>
          <w:sz w:val="24"/>
          <w:szCs w:val="24"/>
        </w:rPr>
      </w:pPr>
      <w:bookmarkStart w:id="288" w:name="_Toc430097422"/>
      <w:bookmarkStart w:id="289" w:name="_Toc267472922"/>
      <w:bookmarkStart w:id="290" w:name="_Toc263677352"/>
      <w:bookmarkStart w:id="291" w:name="_Toc4450"/>
      <w:bookmarkStart w:id="292" w:name="_Toc307417449"/>
      <w:bookmarkStart w:id="293" w:name="_Toc184635103"/>
      <w:bookmarkStart w:id="294" w:name="_Toc285028822"/>
      <w:bookmarkStart w:id="295" w:name="_Toc263370597"/>
      <w:bookmarkStart w:id="296" w:name="_Toc307485216"/>
      <w:bookmarkStart w:id="297" w:name="_Toc307416152"/>
      <w:r>
        <w:rPr>
          <w:rFonts w:hint="eastAsia" w:ascii="宋体" w:hAnsi="宋体" w:eastAsia="宋体" w:cs="Times New Roman"/>
          <w:color w:val="auto"/>
          <w:sz w:val="24"/>
          <w:szCs w:val="24"/>
        </w:rPr>
        <w:t>6．施工设备和临时设施</w:t>
      </w:r>
      <w:bookmarkEnd w:id="288"/>
      <w:bookmarkEnd w:id="289"/>
      <w:bookmarkEnd w:id="290"/>
      <w:bookmarkEnd w:id="291"/>
      <w:bookmarkEnd w:id="292"/>
      <w:bookmarkEnd w:id="293"/>
      <w:bookmarkEnd w:id="294"/>
      <w:bookmarkEnd w:id="295"/>
      <w:bookmarkEnd w:id="296"/>
      <w:bookmarkEnd w:id="297"/>
    </w:p>
    <w:p w14:paraId="58BEA34D">
      <w:pPr>
        <w:spacing w:line="360" w:lineRule="auto"/>
        <w:ind w:firstLine="480" w:firstLineChars="200"/>
        <w:outlineLvl w:val="9"/>
        <w:rPr>
          <w:rFonts w:hint="eastAsia" w:ascii="宋体" w:hAnsi="宋体" w:eastAsia="宋体" w:cs="Times New Roman"/>
          <w:color w:val="auto"/>
          <w:sz w:val="24"/>
          <w:szCs w:val="24"/>
        </w:rPr>
      </w:pPr>
      <w:bookmarkStart w:id="298" w:name="_Toc285028823"/>
      <w:bookmarkStart w:id="299" w:name="_Toc263677353"/>
      <w:bookmarkStart w:id="300" w:name="_Toc267472923"/>
      <w:r>
        <w:rPr>
          <w:rFonts w:hint="eastAsia" w:ascii="宋体" w:hAnsi="宋体" w:eastAsia="宋体" w:cs="Times New Roman"/>
          <w:color w:val="auto"/>
          <w:sz w:val="24"/>
          <w:szCs w:val="24"/>
        </w:rPr>
        <w:t>6.1 承包人提供的施工设备和临时设施</w:t>
      </w:r>
      <w:bookmarkEnd w:id="298"/>
      <w:bookmarkEnd w:id="299"/>
      <w:bookmarkEnd w:id="300"/>
    </w:p>
    <w:p w14:paraId="1770AFF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6.1.1 承包人应按合同进度计划的要求，及时配置施工设备和修建临时设施。进入施工场地的承包人设备需经监理人核查后才能投入使用。承包人更换合同约定的承包人设备的，应报监理人批准。</w:t>
      </w:r>
    </w:p>
    <w:p w14:paraId="1FE3F07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6.1.2 除专用合同条款另有约定外，承包人应自行承担修建临时设施的费用，需要临时占地的，应由发包人办理申请手续并承担相应费用。</w:t>
      </w:r>
    </w:p>
    <w:p w14:paraId="252FBBBD">
      <w:pPr>
        <w:spacing w:line="360" w:lineRule="auto"/>
        <w:ind w:firstLine="480" w:firstLineChars="200"/>
        <w:outlineLvl w:val="9"/>
        <w:rPr>
          <w:rFonts w:hint="eastAsia" w:ascii="宋体" w:hAnsi="宋体" w:eastAsia="宋体" w:cs="Times New Roman"/>
          <w:color w:val="auto"/>
          <w:sz w:val="24"/>
          <w:szCs w:val="24"/>
        </w:rPr>
      </w:pPr>
      <w:bookmarkStart w:id="301" w:name="_Toc285028824"/>
      <w:bookmarkStart w:id="302" w:name="_Toc263677354"/>
      <w:bookmarkStart w:id="303" w:name="_Toc267472924"/>
      <w:r>
        <w:rPr>
          <w:rFonts w:hint="eastAsia" w:ascii="宋体" w:hAnsi="宋体" w:eastAsia="宋体" w:cs="Times New Roman"/>
          <w:color w:val="auto"/>
          <w:sz w:val="24"/>
          <w:szCs w:val="24"/>
        </w:rPr>
        <w:t>6.2 发包人提供的施工设备和临时设施</w:t>
      </w:r>
      <w:bookmarkEnd w:id="301"/>
      <w:bookmarkEnd w:id="302"/>
      <w:bookmarkEnd w:id="303"/>
    </w:p>
    <w:p w14:paraId="3061736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发包人提供的施工设备或临时设施在专用合同条款中约定。</w:t>
      </w:r>
    </w:p>
    <w:p w14:paraId="54BAFDC4">
      <w:pPr>
        <w:spacing w:line="360" w:lineRule="auto"/>
        <w:ind w:firstLine="480" w:firstLineChars="200"/>
        <w:outlineLvl w:val="9"/>
        <w:rPr>
          <w:rFonts w:hint="eastAsia" w:ascii="宋体" w:hAnsi="宋体" w:eastAsia="宋体" w:cs="Times New Roman"/>
          <w:color w:val="auto"/>
          <w:sz w:val="24"/>
          <w:szCs w:val="24"/>
        </w:rPr>
      </w:pPr>
      <w:bookmarkStart w:id="304" w:name="_Toc267472925"/>
      <w:bookmarkStart w:id="305" w:name="_Toc285028825"/>
      <w:bookmarkStart w:id="306" w:name="_Toc263677355"/>
      <w:r>
        <w:rPr>
          <w:rFonts w:hint="eastAsia" w:ascii="宋体" w:hAnsi="宋体" w:eastAsia="宋体" w:cs="Times New Roman"/>
          <w:color w:val="auto"/>
          <w:sz w:val="24"/>
          <w:szCs w:val="24"/>
        </w:rPr>
        <w:t>6.3 要求承包人增加或更换施工设备</w:t>
      </w:r>
      <w:bookmarkEnd w:id="304"/>
      <w:bookmarkEnd w:id="305"/>
      <w:bookmarkEnd w:id="306"/>
    </w:p>
    <w:p w14:paraId="772C139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承包人使用的施工设备不能满足合同进度计划和（或）质量要求时，监理人有权要求承包人增加或更换施工设备，承包人应及时增加或更换，由此增加的费用和（或）工期延误由承包人承担。</w:t>
      </w:r>
    </w:p>
    <w:p w14:paraId="1119FDFB">
      <w:pPr>
        <w:spacing w:line="360" w:lineRule="auto"/>
        <w:ind w:firstLine="480" w:firstLineChars="200"/>
        <w:outlineLvl w:val="9"/>
        <w:rPr>
          <w:rFonts w:hint="eastAsia" w:ascii="宋体" w:hAnsi="宋体" w:eastAsia="宋体" w:cs="Times New Roman"/>
          <w:color w:val="auto"/>
          <w:sz w:val="24"/>
          <w:szCs w:val="24"/>
        </w:rPr>
      </w:pPr>
      <w:bookmarkStart w:id="307" w:name="_Toc285028826"/>
      <w:bookmarkStart w:id="308" w:name="_Toc263677356"/>
      <w:bookmarkStart w:id="309" w:name="_Toc267472926"/>
      <w:r>
        <w:rPr>
          <w:rFonts w:hint="eastAsia" w:ascii="宋体" w:hAnsi="宋体" w:eastAsia="宋体" w:cs="Times New Roman"/>
          <w:color w:val="auto"/>
          <w:sz w:val="24"/>
          <w:szCs w:val="24"/>
        </w:rPr>
        <w:t>6.4 施工设备和临时设施专用于合同工程</w:t>
      </w:r>
      <w:bookmarkEnd w:id="307"/>
      <w:bookmarkEnd w:id="308"/>
      <w:bookmarkEnd w:id="309"/>
    </w:p>
    <w:p w14:paraId="26B1FC2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6.4.1 除合同另有约定外，运入施工场地的所有施工设备以及在施工场地建设的临时设施应专用于合同工程。未经监理人同意，不得将上述施工设备和临时设施中的任何部分运出施工场地或挪作他用。</w:t>
      </w:r>
    </w:p>
    <w:p w14:paraId="2A2AA53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6.4.2 经监理人同意，承包人可根据合同进度计划撤走闲置的施工设备。</w:t>
      </w:r>
    </w:p>
    <w:p w14:paraId="35E09C9F">
      <w:pPr>
        <w:spacing w:line="360" w:lineRule="auto"/>
        <w:ind w:firstLine="480" w:firstLineChars="200"/>
        <w:outlineLvl w:val="9"/>
        <w:rPr>
          <w:rFonts w:hint="eastAsia" w:ascii="宋体" w:hAnsi="宋体" w:eastAsia="宋体" w:cs="Times New Roman"/>
          <w:color w:val="auto"/>
          <w:sz w:val="24"/>
          <w:szCs w:val="24"/>
        </w:rPr>
      </w:pPr>
      <w:bookmarkStart w:id="310" w:name="_Toc285028827"/>
      <w:bookmarkStart w:id="311" w:name="_Toc307417450"/>
      <w:bookmarkStart w:id="312" w:name="_Toc307416153"/>
      <w:bookmarkStart w:id="313" w:name="_Toc430097423"/>
      <w:bookmarkStart w:id="314" w:name="_Toc267472927"/>
      <w:bookmarkStart w:id="315" w:name="_Toc29985"/>
      <w:bookmarkStart w:id="316" w:name="_Toc263370598"/>
      <w:bookmarkStart w:id="317" w:name="_Toc307485217"/>
      <w:bookmarkStart w:id="318" w:name="_Toc184635104"/>
      <w:bookmarkStart w:id="319" w:name="_Toc263677357"/>
      <w:r>
        <w:rPr>
          <w:rFonts w:hint="eastAsia" w:ascii="宋体" w:hAnsi="宋体" w:eastAsia="宋体" w:cs="Times New Roman"/>
          <w:color w:val="auto"/>
          <w:sz w:val="24"/>
          <w:szCs w:val="24"/>
        </w:rPr>
        <w:t>7．交通运输</w:t>
      </w:r>
      <w:bookmarkEnd w:id="310"/>
      <w:bookmarkEnd w:id="311"/>
      <w:bookmarkEnd w:id="312"/>
      <w:bookmarkEnd w:id="313"/>
      <w:bookmarkEnd w:id="314"/>
      <w:bookmarkEnd w:id="315"/>
      <w:bookmarkEnd w:id="316"/>
      <w:bookmarkEnd w:id="317"/>
      <w:bookmarkEnd w:id="318"/>
      <w:bookmarkEnd w:id="319"/>
    </w:p>
    <w:p w14:paraId="20073692">
      <w:pPr>
        <w:spacing w:line="360" w:lineRule="auto"/>
        <w:ind w:firstLine="480" w:firstLineChars="200"/>
        <w:outlineLvl w:val="9"/>
        <w:rPr>
          <w:rFonts w:hint="eastAsia" w:ascii="宋体" w:hAnsi="宋体" w:eastAsia="宋体" w:cs="Times New Roman"/>
          <w:color w:val="auto"/>
          <w:sz w:val="24"/>
          <w:szCs w:val="24"/>
        </w:rPr>
      </w:pPr>
      <w:bookmarkStart w:id="320" w:name="_Toc267472928"/>
      <w:bookmarkStart w:id="321" w:name="_Toc263677358"/>
      <w:bookmarkStart w:id="322" w:name="_Toc285028828"/>
      <w:r>
        <w:rPr>
          <w:rFonts w:hint="eastAsia" w:ascii="宋体" w:hAnsi="宋体" w:eastAsia="宋体" w:cs="Times New Roman"/>
          <w:color w:val="auto"/>
          <w:sz w:val="24"/>
          <w:szCs w:val="24"/>
        </w:rPr>
        <w:t>7.1 道路通行权和场外设施</w:t>
      </w:r>
      <w:bookmarkEnd w:id="320"/>
      <w:bookmarkEnd w:id="321"/>
      <w:bookmarkEnd w:id="322"/>
    </w:p>
    <w:p w14:paraId="516A156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0CA5C626">
      <w:pPr>
        <w:spacing w:line="360" w:lineRule="auto"/>
        <w:ind w:firstLine="480" w:firstLineChars="200"/>
        <w:outlineLvl w:val="9"/>
        <w:rPr>
          <w:rFonts w:hint="eastAsia" w:ascii="宋体" w:hAnsi="宋体" w:eastAsia="宋体" w:cs="Times New Roman"/>
          <w:color w:val="auto"/>
          <w:sz w:val="24"/>
          <w:szCs w:val="24"/>
        </w:rPr>
      </w:pPr>
      <w:bookmarkStart w:id="323" w:name="_Toc285028829"/>
      <w:bookmarkStart w:id="324" w:name="_Toc263677359"/>
      <w:bookmarkStart w:id="325" w:name="_Toc267472929"/>
      <w:r>
        <w:rPr>
          <w:rFonts w:hint="eastAsia" w:ascii="宋体" w:hAnsi="宋体" w:eastAsia="宋体" w:cs="Times New Roman"/>
          <w:color w:val="auto"/>
          <w:sz w:val="24"/>
          <w:szCs w:val="24"/>
        </w:rPr>
        <w:t>7.2 场内施工道路</w:t>
      </w:r>
      <w:bookmarkEnd w:id="323"/>
      <w:bookmarkEnd w:id="324"/>
      <w:bookmarkEnd w:id="325"/>
    </w:p>
    <w:p w14:paraId="7DAAAE1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54518FC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7.2.2 承包人修建的临时道路和交通设施，应免费提供发包人、监理人以及与本合同有关的其他承包人使用。</w:t>
      </w:r>
    </w:p>
    <w:p w14:paraId="46412736">
      <w:pPr>
        <w:spacing w:line="360" w:lineRule="auto"/>
        <w:ind w:firstLine="480" w:firstLineChars="200"/>
        <w:outlineLvl w:val="9"/>
        <w:rPr>
          <w:rFonts w:hint="eastAsia" w:ascii="宋体" w:hAnsi="宋体" w:eastAsia="宋体" w:cs="Times New Roman"/>
          <w:color w:val="auto"/>
          <w:sz w:val="24"/>
          <w:szCs w:val="24"/>
        </w:rPr>
      </w:pPr>
      <w:bookmarkStart w:id="326" w:name="_Toc285028830"/>
      <w:bookmarkStart w:id="327" w:name="_Toc267472930"/>
      <w:bookmarkStart w:id="328" w:name="_Toc263677360"/>
      <w:r>
        <w:rPr>
          <w:rFonts w:hint="eastAsia" w:ascii="宋体" w:hAnsi="宋体" w:eastAsia="宋体" w:cs="Times New Roman"/>
          <w:color w:val="auto"/>
          <w:sz w:val="24"/>
          <w:szCs w:val="24"/>
        </w:rPr>
        <w:t>7.3 场外交通</w:t>
      </w:r>
      <w:bookmarkEnd w:id="326"/>
      <w:bookmarkEnd w:id="327"/>
      <w:bookmarkEnd w:id="328"/>
    </w:p>
    <w:p w14:paraId="33D2C21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7.3.1 承包人车辆外出行驶所需的场外公共道路的通行费、养路费和税款等由承包人承担。</w:t>
      </w:r>
    </w:p>
    <w:p w14:paraId="413B24F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7.3.2 承包人应遵守有关交通法规，严格按照道路和桥梁的限制荷重安全行驶，并服从交通管理部门的检查和监督。</w:t>
      </w:r>
    </w:p>
    <w:p w14:paraId="00BAC467">
      <w:pPr>
        <w:spacing w:line="360" w:lineRule="auto"/>
        <w:ind w:firstLine="480" w:firstLineChars="200"/>
        <w:outlineLvl w:val="9"/>
        <w:rPr>
          <w:rFonts w:hint="eastAsia" w:ascii="宋体" w:hAnsi="宋体" w:eastAsia="宋体" w:cs="Times New Roman"/>
          <w:color w:val="auto"/>
          <w:sz w:val="24"/>
          <w:szCs w:val="24"/>
        </w:rPr>
      </w:pPr>
      <w:bookmarkStart w:id="329" w:name="_Toc267472931"/>
      <w:bookmarkStart w:id="330" w:name="_Toc263677361"/>
      <w:bookmarkStart w:id="331" w:name="_Toc285028831"/>
      <w:r>
        <w:rPr>
          <w:rFonts w:hint="eastAsia" w:ascii="宋体" w:hAnsi="宋体" w:eastAsia="宋体" w:cs="Times New Roman"/>
          <w:color w:val="auto"/>
          <w:sz w:val="24"/>
          <w:szCs w:val="24"/>
        </w:rPr>
        <w:t>7.4 超大件和超重件的运输</w:t>
      </w:r>
      <w:bookmarkEnd w:id="329"/>
      <w:bookmarkEnd w:id="330"/>
      <w:bookmarkEnd w:id="331"/>
    </w:p>
    <w:p w14:paraId="1B5128D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BFF3E77">
      <w:pPr>
        <w:spacing w:line="360" w:lineRule="auto"/>
        <w:ind w:firstLine="480" w:firstLineChars="200"/>
        <w:outlineLvl w:val="9"/>
        <w:rPr>
          <w:rFonts w:hint="eastAsia" w:ascii="宋体" w:hAnsi="宋体" w:eastAsia="宋体" w:cs="Times New Roman"/>
          <w:color w:val="auto"/>
          <w:sz w:val="24"/>
          <w:szCs w:val="24"/>
        </w:rPr>
      </w:pPr>
      <w:bookmarkStart w:id="332" w:name="_Toc285028832"/>
      <w:bookmarkStart w:id="333" w:name="_Toc267472932"/>
      <w:bookmarkStart w:id="334" w:name="_Toc263677362"/>
      <w:r>
        <w:rPr>
          <w:rFonts w:hint="eastAsia" w:ascii="宋体" w:hAnsi="宋体" w:eastAsia="宋体" w:cs="Times New Roman"/>
          <w:color w:val="auto"/>
          <w:sz w:val="24"/>
          <w:szCs w:val="24"/>
        </w:rPr>
        <w:t>7.5 道路和桥梁的损坏责任</w:t>
      </w:r>
      <w:bookmarkEnd w:id="332"/>
      <w:bookmarkEnd w:id="333"/>
      <w:bookmarkEnd w:id="334"/>
    </w:p>
    <w:p w14:paraId="1017FDF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因承包人运输造成施工场地内外公共道路和桥梁损坏的，由承包人承担修复损坏的全部费用和可能引起的赔偿。</w:t>
      </w:r>
    </w:p>
    <w:p w14:paraId="236C5473">
      <w:pPr>
        <w:spacing w:line="360" w:lineRule="auto"/>
        <w:ind w:firstLine="480" w:firstLineChars="200"/>
        <w:outlineLvl w:val="9"/>
        <w:rPr>
          <w:rFonts w:hint="eastAsia" w:ascii="宋体" w:hAnsi="宋体" w:eastAsia="宋体" w:cs="Times New Roman"/>
          <w:color w:val="auto"/>
          <w:sz w:val="24"/>
          <w:szCs w:val="24"/>
        </w:rPr>
      </w:pPr>
      <w:bookmarkStart w:id="335" w:name="_Toc285028833"/>
      <w:bookmarkStart w:id="336" w:name="_Toc267472933"/>
      <w:bookmarkStart w:id="337" w:name="_Toc263677363"/>
      <w:r>
        <w:rPr>
          <w:rFonts w:hint="eastAsia" w:ascii="宋体" w:hAnsi="宋体" w:eastAsia="宋体" w:cs="Times New Roman"/>
          <w:color w:val="auto"/>
          <w:sz w:val="24"/>
          <w:szCs w:val="24"/>
        </w:rPr>
        <w:t>7.6 水路和航空运输</w:t>
      </w:r>
      <w:bookmarkEnd w:id="335"/>
      <w:bookmarkEnd w:id="336"/>
      <w:bookmarkEnd w:id="337"/>
    </w:p>
    <w:p w14:paraId="3E176A1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本条上述各款的内容适用于水路运输和航空运输，其中“道路”一词的涵义包括河道、航线、船闸、机场、码头、堤防以及水路或航空运输中其他相似结构物；“车辆”一词的涵义包括船舶和飞机等。</w:t>
      </w:r>
    </w:p>
    <w:p w14:paraId="7C7F405A">
      <w:pPr>
        <w:spacing w:line="360" w:lineRule="auto"/>
        <w:ind w:firstLine="480" w:firstLineChars="200"/>
        <w:outlineLvl w:val="9"/>
        <w:rPr>
          <w:rFonts w:hint="eastAsia" w:ascii="宋体" w:hAnsi="宋体" w:eastAsia="宋体" w:cs="Times New Roman"/>
          <w:color w:val="auto"/>
          <w:sz w:val="24"/>
          <w:szCs w:val="24"/>
        </w:rPr>
      </w:pPr>
      <w:bookmarkStart w:id="338" w:name="_Toc184635105"/>
      <w:bookmarkStart w:id="339" w:name="_Toc285028834"/>
      <w:bookmarkStart w:id="340" w:name="_Toc307416154"/>
      <w:bookmarkStart w:id="341" w:name="_Toc307417451"/>
      <w:bookmarkStart w:id="342" w:name="_Toc430097424"/>
      <w:bookmarkStart w:id="343" w:name="_Toc263677364"/>
      <w:bookmarkStart w:id="344" w:name="_Toc6034"/>
      <w:bookmarkStart w:id="345" w:name="_Toc263370599"/>
      <w:bookmarkStart w:id="346" w:name="_Toc307485218"/>
      <w:bookmarkStart w:id="347" w:name="_Toc267472934"/>
      <w:r>
        <w:rPr>
          <w:rFonts w:hint="eastAsia" w:ascii="宋体" w:hAnsi="宋体" w:eastAsia="宋体" w:cs="Times New Roman"/>
          <w:color w:val="auto"/>
          <w:sz w:val="24"/>
          <w:szCs w:val="24"/>
        </w:rPr>
        <w:t>8．测量放线</w:t>
      </w:r>
      <w:bookmarkEnd w:id="338"/>
      <w:bookmarkEnd w:id="339"/>
      <w:bookmarkEnd w:id="340"/>
      <w:bookmarkEnd w:id="341"/>
      <w:bookmarkEnd w:id="342"/>
      <w:bookmarkEnd w:id="343"/>
      <w:bookmarkEnd w:id="344"/>
      <w:bookmarkEnd w:id="345"/>
      <w:bookmarkEnd w:id="346"/>
      <w:bookmarkEnd w:id="347"/>
    </w:p>
    <w:p w14:paraId="155FCD9D">
      <w:pPr>
        <w:spacing w:line="360" w:lineRule="auto"/>
        <w:ind w:firstLine="480" w:firstLineChars="200"/>
        <w:outlineLvl w:val="9"/>
        <w:rPr>
          <w:rFonts w:hint="eastAsia" w:ascii="宋体" w:hAnsi="宋体" w:eastAsia="宋体" w:cs="Times New Roman"/>
          <w:color w:val="auto"/>
          <w:sz w:val="24"/>
          <w:szCs w:val="24"/>
        </w:rPr>
      </w:pPr>
      <w:bookmarkStart w:id="348" w:name="_Toc285028835"/>
      <w:bookmarkStart w:id="349" w:name="_Toc263677365"/>
      <w:bookmarkStart w:id="350" w:name="_Toc267472935"/>
      <w:r>
        <w:rPr>
          <w:rFonts w:hint="eastAsia" w:ascii="宋体" w:hAnsi="宋体" w:eastAsia="宋体" w:cs="Times New Roman"/>
          <w:color w:val="auto"/>
          <w:sz w:val="24"/>
          <w:szCs w:val="24"/>
        </w:rPr>
        <w:t>8.1 施工控制网</w:t>
      </w:r>
      <w:bookmarkEnd w:id="348"/>
      <w:bookmarkEnd w:id="349"/>
      <w:bookmarkEnd w:id="350"/>
    </w:p>
    <w:p w14:paraId="02607E6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3C6CB08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8.1.2 承包人应负责管理施工控制网点。施工控制网点丢失或损坏的，承包人应及时修复。承包人应承担施工控制网点的管理与修复费用，并在工程竣工后将施工控制网点移交发包人。</w:t>
      </w:r>
    </w:p>
    <w:p w14:paraId="2C49A7BE">
      <w:pPr>
        <w:spacing w:line="360" w:lineRule="auto"/>
        <w:ind w:firstLine="480" w:firstLineChars="200"/>
        <w:outlineLvl w:val="9"/>
        <w:rPr>
          <w:rFonts w:hint="eastAsia" w:ascii="宋体" w:hAnsi="宋体" w:eastAsia="宋体" w:cs="Times New Roman"/>
          <w:color w:val="auto"/>
          <w:sz w:val="24"/>
          <w:szCs w:val="24"/>
        </w:rPr>
      </w:pPr>
      <w:bookmarkStart w:id="351" w:name="_Toc263677366"/>
      <w:bookmarkStart w:id="352" w:name="_Toc267472936"/>
      <w:bookmarkStart w:id="353" w:name="_Toc285028836"/>
      <w:r>
        <w:rPr>
          <w:rFonts w:hint="eastAsia" w:ascii="宋体" w:hAnsi="宋体" w:eastAsia="宋体" w:cs="Times New Roman"/>
          <w:color w:val="auto"/>
          <w:sz w:val="24"/>
          <w:szCs w:val="24"/>
        </w:rPr>
        <w:t>8.2 施工测量</w:t>
      </w:r>
      <w:bookmarkEnd w:id="351"/>
      <w:bookmarkEnd w:id="352"/>
      <w:bookmarkEnd w:id="353"/>
    </w:p>
    <w:p w14:paraId="0DAB52F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8.2.1 承包人应负责施工过程中的全部施工测量放线工作，并配置合格的人员、仪器、设备和其他物品。</w:t>
      </w:r>
    </w:p>
    <w:p w14:paraId="3C4F2A8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8.2.2 监理人可以指示承包人进行抽样复测，当复测中发现错误或出现超过合同约定的误差时，承包人应按监理人指示进行修正或补测，并承担相应的复测费用。</w:t>
      </w:r>
    </w:p>
    <w:p w14:paraId="55A672CC">
      <w:pPr>
        <w:spacing w:line="360" w:lineRule="auto"/>
        <w:ind w:firstLine="480" w:firstLineChars="200"/>
        <w:outlineLvl w:val="9"/>
        <w:rPr>
          <w:rFonts w:hint="eastAsia" w:ascii="宋体" w:hAnsi="宋体" w:eastAsia="宋体" w:cs="Times New Roman"/>
          <w:color w:val="auto"/>
          <w:sz w:val="24"/>
          <w:szCs w:val="24"/>
        </w:rPr>
      </w:pPr>
      <w:bookmarkStart w:id="354" w:name="_Toc263677367"/>
      <w:bookmarkStart w:id="355" w:name="_Toc285028837"/>
      <w:bookmarkStart w:id="356" w:name="_Toc267472937"/>
      <w:r>
        <w:rPr>
          <w:rFonts w:hint="eastAsia" w:ascii="宋体" w:hAnsi="宋体" w:eastAsia="宋体" w:cs="Times New Roman"/>
          <w:color w:val="auto"/>
          <w:sz w:val="24"/>
          <w:szCs w:val="24"/>
        </w:rPr>
        <w:t>8.3 基准资料错误的责任</w:t>
      </w:r>
      <w:bookmarkEnd w:id="354"/>
      <w:bookmarkEnd w:id="355"/>
      <w:bookmarkEnd w:id="356"/>
    </w:p>
    <w:p w14:paraId="17CB763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EB60C57">
      <w:pPr>
        <w:spacing w:line="360" w:lineRule="auto"/>
        <w:ind w:firstLine="480" w:firstLineChars="200"/>
        <w:outlineLvl w:val="9"/>
        <w:rPr>
          <w:rFonts w:hint="eastAsia" w:ascii="宋体" w:hAnsi="宋体" w:eastAsia="宋体" w:cs="Times New Roman"/>
          <w:color w:val="auto"/>
          <w:sz w:val="24"/>
          <w:szCs w:val="24"/>
        </w:rPr>
      </w:pPr>
      <w:bookmarkStart w:id="357" w:name="_Toc263677368"/>
      <w:bookmarkStart w:id="358" w:name="_Toc285028838"/>
      <w:bookmarkStart w:id="359" w:name="_Toc267472938"/>
      <w:r>
        <w:rPr>
          <w:rFonts w:hint="eastAsia" w:ascii="宋体" w:hAnsi="宋体" w:eastAsia="宋体" w:cs="Times New Roman"/>
          <w:color w:val="auto"/>
          <w:sz w:val="24"/>
          <w:szCs w:val="24"/>
        </w:rPr>
        <w:t>8.4 监理人使用施工控制网</w:t>
      </w:r>
      <w:bookmarkEnd w:id="357"/>
      <w:bookmarkEnd w:id="358"/>
      <w:bookmarkEnd w:id="359"/>
    </w:p>
    <w:p w14:paraId="4BC41A5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监理人需要使用施工控制网的，承包人应提供必要的协助，发包人不再为此支付费用。</w:t>
      </w:r>
    </w:p>
    <w:p w14:paraId="675DCC77">
      <w:pPr>
        <w:spacing w:line="360" w:lineRule="auto"/>
        <w:ind w:firstLine="480" w:firstLineChars="200"/>
        <w:outlineLvl w:val="9"/>
        <w:rPr>
          <w:rFonts w:hint="eastAsia" w:ascii="宋体" w:hAnsi="宋体" w:eastAsia="宋体" w:cs="Times New Roman"/>
          <w:color w:val="auto"/>
          <w:sz w:val="24"/>
          <w:szCs w:val="24"/>
        </w:rPr>
      </w:pPr>
      <w:bookmarkStart w:id="360" w:name="_Toc267472939"/>
      <w:bookmarkStart w:id="361" w:name="_Toc285028839"/>
      <w:bookmarkStart w:id="362" w:name="_Toc263677369"/>
      <w:r>
        <w:rPr>
          <w:rFonts w:hint="eastAsia" w:ascii="宋体" w:hAnsi="宋体" w:eastAsia="宋体" w:cs="Times New Roman"/>
          <w:color w:val="auto"/>
          <w:sz w:val="24"/>
          <w:szCs w:val="24"/>
        </w:rPr>
        <w:t>8.5 补充地质勘探</w:t>
      </w:r>
      <w:bookmarkEnd w:id="360"/>
      <w:bookmarkEnd w:id="361"/>
      <w:bookmarkEnd w:id="362"/>
    </w:p>
    <w:p w14:paraId="6846D44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7FA723A2">
      <w:pPr>
        <w:spacing w:line="360" w:lineRule="auto"/>
        <w:ind w:firstLine="480" w:firstLineChars="200"/>
        <w:outlineLvl w:val="9"/>
        <w:rPr>
          <w:rFonts w:hint="eastAsia" w:ascii="宋体" w:hAnsi="宋体" w:eastAsia="宋体" w:cs="Times New Roman"/>
          <w:color w:val="auto"/>
          <w:sz w:val="24"/>
          <w:szCs w:val="24"/>
        </w:rPr>
      </w:pPr>
      <w:bookmarkStart w:id="363" w:name="_Toc285028840"/>
      <w:bookmarkStart w:id="364" w:name="_Toc263370600"/>
      <w:bookmarkStart w:id="365" w:name="_Toc184635106"/>
      <w:bookmarkStart w:id="366" w:name="_Toc307416155"/>
      <w:bookmarkStart w:id="367" w:name="_Toc267472940"/>
      <w:bookmarkStart w:id="368" w:name="_Toc263677370"/>
      <w:bookmarkStart w:id="369" w:name="_Toc307485219"/>
      <w:bookmarkStart w:id="370" w:name="_Toc430097425"/>
      <w:bookmarkStart w:id="371" w:name="_Toc25191"/>
      <w:bookmarkStart w:id="372" w:name="_Toc307417452"/>
      <w:r>
        <w:rPr>
          <w:rFonts w:hint="eastAsia" w:ascii="宋体" w:hAnsi="宋体" w:eastAsia="宋体" w:cs="Times New Roman"/>
          <w:color w:val="auto"/>
          <w:sz w:val="24"/>
          <w:szCs w:val="24"/>
        </w:rPr>
        <w:t>9．施工安全、治安保卫和环境保护</w:t>
      </w:r>
      <w:bookmarkEnd w:id="363"/>
      <w:bookmarkEnd w:id="364"/>
      <w:bookmarkEnd w:id="365"/>
      <w:bookmarkEnd w:id="366"/>
      <w:bookmarkEnd w:id="367"/>
      <w:bookmarkEnd w:id="368"/>
      <w:bookmarkEnd w:id="369"/>
      <w:bookmarkEnd w:id="370"/>
      <w:bookmarkEnd w:id="371"/>
      <w:bookmarkEnd w:id="372"/>
    </w:p>
    <w:p w14:paraId="523564ED">
      <w:pPr>
        <w:spacing w:line="360" w:lineRule="auto"/>
        <w:ind w:firstLine="480" w:firstLineChars="200"/>
        <w:outlineLvl w:val="9"/>
        <w:rPr>
          <w:rFonts w:hint="eastAsia" w:ascii="宋体" w:hAnsi="宋体" w:eastAsia="宋体" w:cs="Times New Roman"/>
          <w:color w:val="auto"/>
          <w:sz w:val="24"/>
          <w:szCs w:val="24"/>
        </w:rPr>
      </w:pPr>
      <w:bookmarkStart w:id="373" w:name="_Toc263677371"/>
      <w:bookmarkStart w:id="374" w:name="_Toc285028841"/>
      <w:bookmarkStart w:id="375" w:name="_Toc267472941"/>
      <w:r>
        <w:rPr>
          <w:rFonts w:hint="eastAsia" w:ascii="宋体" w:hAnsi="宋体" w:eastAsia="宋体" w:cs="Times New Roman"/>
          <w:color w:val="auto"/>
          <w:sz w:val="24"/>
          <w:szCs w:val="24"/>
        </w:rPr>
        <w:t>9.1 发包人的施工安全责任</w:t>
      </w:r>
      <w:bookmarkEnd w:id="373"/>
      <w:bookmarkEnd w:id="374"/>
      <w:bookmarkEnd w:id="375"/>
    </w:p>
    <w:p w14:paraId="1AC4A81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3711332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9.1.2 发包人应对其现场机构雇佣的全部人员的工伤事故承担责任，但由于承包人原因造成发包人人员工伤的，应由承包人承担责任。</w:t>
      </w:r>
    </w:p>
    <w:p w14:paraId="60F7008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9.1.3 发包人应负责赔偿以下各种情况造成的第三者人身伤亡和财产损失：</w:t>
      </w:r>
    </w:p>
    <w:p w14:paraId="09C53F4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(l）工程或工程的任何部分对土地的占用所造成的第三者财产损失；</w:t>
      </w:r>
    </w:p>
    <w:p w14:paraId="10A8217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(2）由于发包人原因在施工场地及其毗邻地带造成的第三者人身伤亡和财产损失。</w:t>
      </w:r>
    </w:p>
    <w:p w14:paraId="1654C3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00330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9.1.5 发包人按照已标价工程量清单所列金额和合同约定的计量支付规定，支付安全作业环境及安全施工措施所需费用。</w:t>
      </w:r>
    </w:p>
    <w:p w14:paraId="2B735F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9.1.6 发包人负责组织工程参建单位编制保证安全生产的措施方案。工程开工前，就落实保证安全生产的措施进行全面系统的布置，进一步明确承包人的安全生产责任。</w:t>
      </w:r>
    </w:p>
    <w:p w14:paraId="5E2B94C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9.1.7 发包人负责在拆除工程和爆破工程施工14天前向有关部门或机构报送相关备案资料。</w:t>
      </w:r>
    </w:p>
    <w:p w14:paraId="4632949D">
      <w:pPr>
        <w:spacing w:line="360" w:lineRule="auto"/>
        <w:ind w:firstLine="480" w:firstLineChars="200"/>
        <w:outlineLvl w:val="9"/>
        <w:rPr>
          <w:rFonts w:hint="eastAsia" w:ascii="宋体" w:hAnsi="宋体" w:eastAsia="宋体" w:cs="Times New Roman"/>
          <w:color w:val="auto"/>
          <w:sz w:val="24"/>
          <w:szCs w:val="24"/>
        </w:rPr>
      </w:pPr>
      <w:bookmarkStart w:id="376" w:name="_Toc263677372"/>
      <w:bookmarkStart w:id="377" w:name="_Toc285028842"/>
      <w:bookmarkStart w:id="378" w:name="_Toc267472942"/>
      <w:r>
        <w:rPr>
          <w:rFonts w:hint="eastAsia" w:ascii="宋体" w:hAnsi="宋体" w:eastAsia="宋体" w:cs="Times New Roman"/>
          <w:color w:val="auto"/>
          <w:sz w:val="24"/>
          <w:szCs w:val="24"/>
        </w:rPr>
        <w:t>9.2 承包人的施工安全责任</w:t>
      </w:r>
      <w:bookmarkEnd w:id="376"/>
      <w:bookmarkEnd w:id="377"/>
      <w:bookmarkEnd w:id="378"/>
    </w:p>
    <w:p w14:paraId="7F20C43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7156037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9.2.2 承包人应加强施工作业安全管理，特别应加强易燃、易爆材料、火工器材、有毒与腐蚀性材料和其他危险品的管理，以及对爆破作业和地下工程施工等危险作业的管理。</w:t>
      </w:r>
    </w:p>
    <w:p w14:paraId="028871F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9.2.3 承包人应严格按照国家安全标准制定施工安全操作规程，配备必要的安全生产和劳动保护设施，加强对承包人人员的安全教育，并发放安全工作手册和劳动保护用具。</w:t>
      </w:r>
    </w:p>
    <w:p w14:paraId="59A511C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9.2.4 承包人应按监理人的指示制定应对灾害的紧急预案，报送监理人审批。承包人还应按预案做好安全检查，配置必要的救助物资和器材，切实保护好有关人员的人身和财产安全。</w:t>
      </w:r>
    </w:p>
    <w:p w14:paraId="380A2F4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3EA311E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9.2.6 承包人应对其履行合同所雇佣的全部人员，包括分包人人员的工伤事故承担责任，但由于发包人原因造成承包人人员工伤事故的，应由发包人承担责任。</w:t>
      </w:r>
    </w:p>
    <w:p w14:paraId="36C25B6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9.2.7 由于承包人原因在施工场地内及其毗邻地带造成的第三者人员伤亡和财产损失，由承包人负责赔偿。</w:t>
      </w:r>
    </w:p>
    <w:p w14:paraId="22D6829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9.2.8  承包人已标价工程量清单应包含工程安全作业环境及安全施工措施所需费用。</w:t>
      </w:r>
    </w:p>
    <w:p w14:paraId="01A2C6D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9.2.9  承包人应建立健全安全生产责任制度和安全生产教育培训制度，制定安全生产规章制度和操作规程，保证本单位建立和完善安全生产条件所需资金的投人，对本工程进行定期和专项安全检查，并做好安全检查记录。</w:t>
      </w:r>
    </w:p>
    <w:p w14:paraId="134F5A8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9.2.10 承包人应设立安全生产管理机构，施工现场应有专职安全生产管理人员。</w:t>
      </w:r>
    </w:p>
    <w:p w14:paraId="497B77A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9.2.11 承包人应负责对特种作业人员进行专门的安全作业培训，并保证特种作业人员持证上岗。</w:t>
      </w:r>
    </w:p>
    <w:p w14:paraId="4B08A60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0877C57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9.2.13 承包人在使用施工起重机械和整体提升脚手架、模板等自升式架设设施前，应组织有关单位进行验收。</w:t>
      </w:r>
    </w:p>
    <w:p w14:paraId="526A6CC8">
      <w:pPr>
        <w:spacing w:line="360" w:lineRule="auto"/>
        <w:ind w:firstLine="480" w:firstLineChars="200"/>
        <w:outlineLvl w:val="9"/>
        <w:rPr>
          <w:rFonts w:hint="eastAsia" w:ascii="宋体" w:hAnsi="宋体" w:eastAsia="宋体" w:cs="Times New Roman"/>
          <w:color w:val="auto"/>
          <w:sz w:val="24"/>
          <w:szCs w:val="24"/>
        </w:rPr>
      </w:pPr>
      <w:bookmarkStart w:id="379" w:name="_Toc267472943"/>
      <w:bookmarkStart w:id="380" w:name="_Toc285028843"/>
      <w:bookmarkStart w:id="381" w:name="_Toc263677373"/>
      <w:r>
        <w:rPr>
          <w:rFonts w:hint="eastAsia" w:ascii="宋体" w:hAnsi="宋体" w:eastAsia="宋体" w:cs="Times New Roman"/>
          <w:color w:val="auto"/>
          <w:sz w:val="24"/>
          <w:szCs w:val="24"/>
        </w:rPr>
        <w:t>9.3 治安保卫</w:t>
      </w:r>
      <w:bookmarkEnd w:id="379"/>
      <w:bookmarkEnd w:id="380"/>
      <w:bookmarkEnd w:id="381"/>
    </w:p>
    <w:p w14:paraId="3F20030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9.3.1 除合同另有约定外，发包人应与当地公安部门协商，在现场建立治安管理机构或联防组织，统一管理施工场地的治安保卫事项，履行合同工程的治安保卫职责。</w:t>
      </w:r>
    </w:p>
    <w:p w14:paraId="4643376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9.3.2 发包人和承包人除应协助现场治安管理机构或联防组织维护施工场地的社会治安外，还应做好包括生活区在内的各自管辖区的治安保卫工作。</w:t>
      </w:r>
    </w:p>
    <w:p w14:paraId="77BD532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B2BA2E7">
      <w:pPr>
        <w:spacing w:line="360" w:lineRule="auto"/>
        <w:ind w:firstLine="480" w:firstLineChars="200"/>
        <w:outlineLvl w:val="9"/>
        <w:rPr>
          <w:rFonts w:hint="eastAsia" w:ascii="宋体" w:hAnsi="宋体" w:eastAsia="宋体" w:cs="Times New Roman"/>
          <w:color w:val="auto"/>
          <w:sz w:val="24"/>
          <w:szCs w:val="24"/>
        </w:rPr>
      </w:pPr>
      <w:bookmarkStart w:id="382" w:name="_Toc263677374"/>
      <w:bookmarkStart w:id="383" w:name="_Toc285028844"/>
      <w:bookmarkStart w:id="384" w:name="_Toc267472944"/>
      <w:r>
        <w:rPr>
          <w:rFonts w:hint="eastAsia" w:ascii="宋体" w:hAnsi="宋体" w:eastAsia="宋体" w:cs="Times New Roman"/>
          <w:color w:val="auto"/>
          <w:sz w:val="24"/>
          <w:szCs w:val="24"/>
        </w:rPr>
        <w:t>9.4 环境保护</w:t>
      </w:r>
      <w:bookmarkEnd w:id="382"/>
      <w:bookmarkEnd w:id="383"/>
      <w:bookmarkEnd w:id="384"/>
    </w:p>
    <w:p w14:paraId="3FA0FA1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9.4.1 承包人在施工过程中，应遵守有关环境保护的法律，履行合同约定的环境保护义务，并对违反法律和合同约定义务所造成的环境破坏、人身伤害和财产损失负责。</w:t>
      </w:r>
    </w:p>
    <w:p w14:paraId="5383738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9.4.2 承包人应按合同约定的环保工作内容，编制施工环保措施计划，报送监理人审批。</w:t>
      </w:r>
    </w:p>
    <w:p w14:paraId="1524B87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7978CA9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9.4.4 承包人应按合同约定采取有效措施，对施工开挖的边坡及时进行支护，维护排水设施，并进行水土保护，避免因施工造成的地质灾害。</w:t>
      </w:r>
    </w:p>
    <w:p w14:paraId="38E4BF5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9.4.5 承包人应按国家饮用水管理标准定期对饮用水源进行监测，防止施工活动污染饮用水源。</w:t>
      </w:r>
    </w:p>
    <w:p w14:paraId="1E5383F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9.4.6 承包人应按合同约定，加强对噪声、粉尘、废气、废水和废油的控制，努力降低噪声，控制粉尘和废气浓度，做好废水和废油的治理和排放。</w:t>
      </w:r>
    </w:p>
    <w:p w14:paraId="650753B7">
      <w:pPr>
        <w:spacing w:line="360" w:lineRule="auto"/>
        <w:ind w:firstLine="480" w:firstLineChars="200"/>
        <w:outlineLvl w:val="9"/>
        <w:rPr>
          <w:rFonts w:hint="eastAsia" w:ascii="宋体" w:hAnsi="宋体" w:eastAsia="宋体" w:cs="Times New Roman"/>
          <w:color w:val="auto"/>
          <w:sz w:val="24"/>
          <w:szCs w:val="24"/>
        </w:rPr>
      </w:pPr>
      <w:bookmarkStart w:id="385" w:name="_Toc285028845"/>
      <w:bookmarkStart w:id="386" w:name="_Toc267472945"/>
      <w:bookmarkStart w:id="387" w:name="_Toc263677375"/>
      <w:r>
        <w:rPr>
          <w:rFonts w:hint="eastAsia" w:ascii="宋体" w:hAnsi="宋体" w:eastAsia="宋体" w:cs="Times New Roman"/>
          <w:color w:val="auto"/>
          <w:sz w:val="24"/>
          <w:szCs w:val="24"/>
        </w:rPr>
        <w:t>9.5 事故处理</w:t>
      </w:r>
      <w:bookmarkEnd w:id="385"/>
      <w:bookmarkEnd w:id="386"/>
      <w:bookmarkEnd w:id="387"/>
    </w:p>
    <w:p w14:paraId="09D455D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F630A2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9.5.1 发包人负责组织参建单位制定本工程的质量与安全事故应急预案，建立质量与安全事故应急处置指挥部。</w:t>
      </w:r>
    </w:p>
    <w:p w14:paraId="6CA2784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9.5.2 承包人应对施工现场易发生重大事故的部位、环节进行监控，配备救援器材、设备，并定期组织演练。</w:t>
      </w:r>
    </w:p>
    <w:p w14:paraId="420F29D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9.5.3 工程开工前，承包人应根据本工程的特点制定施工现场施工质量与安全事故应急预案，并报发包人备案。</w:t>
      </w:r>
    </w:p>
    <w:p w14:paraId="04F02B1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9.5.4 施工过程中发生事故时，发包人、承包人应立即启动应急预案。</w:t>
      </w:r>
    </w:p>
    <w:p w14:paraId="1572FFF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9.5.5 事故调查处理由发包人按相关规定履行手续，承包人应配合。</w:t>
      </w:r>
    </w:p>
    <w:p w14:paraId="60840124">
      <w:pPr>
        <w:spacing w:line="360" w:lineRule="auto"/>
        <w:ind w:firstLine="480" w:firstLineChars="200"/>
        <w:outlineLvl w:val="9"/>
        <w:rPr>
          <w:rFonts w:hint="eastAsia" w:ascii="宋体" w:hAnsi="宋体" w:eastAsia="宋体" w:cs="Times New Roman"/>
          <w:color w:val="auto"/>
          <w:sz w:val="24"/>
          <w:szCs w:val="24"/>
        </w:rPr>
      </w:pPr>
      <w:bookmarkStart w:id="388" w:name="_Toc263677376"/>
      <w:bookmarkStart w:id="389" w:name="_Toc285028846"/>
      <w:bookmarkStart w:id="390" w:name="_Toc263370601"/>
      <w:bookmarkStart w:id="391" w:name="_Toc267472946"/>
      <w:r>
        <w:rPr>
          <w:rFonts w:hint="eastAsia" w:ascii="宋体" w:hAnsi="宋体" w:eastAsia="宋体" w:cs="Times New Roman"/>
          <w:color w:val="auto"/>
          <w:sz w:val="24"/>
          <w:szCs w:val="24"/>
        </w:rPr>
        <w:t>9.6 水土保持</w:t>
      </w:r>
      <w:bookmarkEnd w:id="388"/>
      <w:bookmarkEnd w:id="389"/>
      <w:bookmarkEnd w:id="390"/>
      <w:bookmarkEnd w:id="391"/>
    </w:p>
    <w:p w14:paraId="03D93B3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9.6.1 发包人应及时向承包人提供水土保持方案。</w:t>
      </w:r>
    </w:p>
    <w:p w14:paraId="20DC1F5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9.6.2 承包人在施工过程中，应遵守有关水土保持的法律法规和规章，履行合同约定的水土保持义务，并对其违反法律和合同约定义务所造成的水土流失灾害、人身伤害和财产损失负责。</w:t>
      </w:r>
    </w:p>
    <w:p w14:paraId="567466C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9.6.3 承包人的水土保持措施计划，应满足技术标准和要求(合同技术条款)约定的要求。</w:t>
      </w:r>
    </w:p>
    <w:p w14:paraId="71690033">
      <w:pPr>
        <w:spacing w:line="360" w:lineRule="auto"/>
        <w:ind w:firstLine="480" w:firstLineChars="200"/>
        <w:outlineLvl w:val="9"/>
        <w:rPr>
          <w:rFonts w:hint="eastAsia" w:ascii="宋体" w:hAnsi="宋体" w:eastAsia="宋体" w:cs="Times New Roman"/>
          <w:color w:val="auto"/>
          <w:sz w:val="24"/>
          <w:szCs w:val="24"/>
        </w:rPr>
      </w:pPr>
      <w:bookmarkStart w:id="392" w:name="_Toc267472947"/>
      <w:bookmarkStart w:id="393" w:name="_Toc263370602"/>
      <w:bookmarkStart w:id="394" w:name="_Toc285028847"/>
      <w:bookmarkStart w:id="395" w:name="_Toc263677377"/>
      <w:r>
        <w:rPr>
          <w:rFonts w:hint="eastAsia" w:ascii="宋体" w:hAnsi="宋体" w:eastAsia="宋体" w:cs="Times New Roman"/>
          <w:color w:val="auto"/>
          <w:sz w:val="24"/>
          <w:szCs w:val="24"/>
        </w:rPr>
        <w:t>9.7 文明工地</w:t>
      </w:r>
      <w:bookmarkEnd w:id="392"/>
      <w:bookmarkEnd w:id="393"/>
      <w:bookmarkEnd w:id="394"/>
      <w:bookmarkEnd w:id="395"/>
    </w:p>
    <w:p w14:paraId="276E0C1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9.7.1 发包人应按专用合同条款的约定，负责建立创建文明建设工地的组织机构，制定创建文明建设工地的规划和办法。</w:t>
      </w:r>
    </w:p>
    <w:p w14:paraId="6571168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9.7.2 承包人应按创建文明建设工地的规划和办法，履行职责，承担相应责任。所需费用应含在已标价工程量清单中。</w:t>
      </w:r>
    </w:p>
    <w:p w14:paraId="2CB3A537">
      <w:pPr>
        <w:spacing w:line="360" w:lineRule="auto"/>
        <w:ind w:firstLine="480" w:firstLineChars="200"/>
        <w:outlineLvl w:val="9"/>
        <w:rPr>
          <w:rFonts w:hint="eastAsia" w:ascii="宋体" w:hAnsi="宋体" w:eastAsia="宋体" w:cs="Times New Roman"/>
          <w:color w:val="auto"/>
          <w:sz w:val="24"/>
          <w:szCs w:val="24"/>
        </w:rPr>
      </w:pPr>
      <w:bookmarkStart w:id="396" w:name="_Toc263677378"/>
      <w:bookmarkStart w:id="397" w:name="_Toc263370603"/>
      <w:bookmarkStart w:id="398" w:name="_Toc267472948"/>
      <w:bookmarkStart w:id="399" w:name="_Toc285028848"/>
      <w:r>
        <w:rPr>
          <w:rFonts w:hint="eastAsia" w:ascii="宋体" w:hAnsi="宋体" w:eastAsia="宋体" w:cs="Times New Roman"/>
          <w:color w:val="auto"/>
          <w:sz w:val="24"/>
          <w:szCs w:val="24"/>
        </w:rPr>
        <w:t>9.8 防汛度汛</w:t>
      </w:r>
      <w:bookmarkEnd w:id="396"/>
      <w:bookmarkEnd w:id="397"/>
      <w:bookmarkEnd w:id="398"/>
      <w:bookmarkEnd w:id="399"/>
    </w:p>
    <w:p w14:paraId="7D2C6FC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9.8.1 发包人负责组织工程参建单位编制本工程的度汛方案和措施。</w:t>
      </w:r>
    </w:p>
    <w:p w14:paraId="38976D5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9.8.2 承包人应根据发包人编制的本工程度汛方案和措施，制定相应的度汛方案，报发包人批准后实施。</w:t>
      </w:r>
    </w:p>
    <w:p w14:paraId="1A682F46">
      <w:pPr>
        <w:spacing w:line="360" w:lineRule="auto"/>
        <w:ind w:firstLine="480" w:firstLineChars="200"/>
        <w:outlineLvl w:val="9"/>
        <w:rPr>
          <w:rFonts w:hint="eastAsia" w:ascii="宋体" w:hAnsi="宋体" w:eastAsia="宋体" w:cs="Times New Roman"/>
          <w:color w:val="auto"/>
          <w:sz w:val="24"/>
          <w:szCs w:val="24"/>
        </w:rPr>
      </w:pPr>
      <w:bookmarkStart w:id="400" w:name="_Toc307417453"/>
      <w:bookmarkStart w:id="401" w:name="_Toc263677379"/>
      <w:bookmarkStart w:id="402" w:name="_Toc430097426"/>
      <w:bookmarkStart w:id="403" w:name="_Toc307416156"/>
      <w:bookmarkStart w:id="404" w:name="_Toc285028849"/>
      <w:bookmarkStart w:id="405" w:name="_Toc263370604"/>
      <w:bookmarkStart w:id="406" w:name="_Toc184635107"/>
      <w:bookmarkStart w:id="407" w:name="_Toc23006"/>
      <w:bookmarkStart w:id="408" w:name="_Toc267472949"/>
      <w:bookmarkStart w:id="409" w:name="_Toc307485220"/>
      <w:r>
        <w:rPr>
          <w:rFonts w:hint="eastAsia" w:ascii="宋体" w:hAnsi="宋体" w:eastAsia="宋体" w:cs="Times New Roman"/>
          <w:color w:val="auto"/>
          <w:sz w:val="24"/>
          <w:szCs w:val="24"/>
        </w:rPr>
        <w:t>10．进度计划</w:t>
      </w:r>
      <w:bookmarkEnd w:id="400"/>
      <w:bookmarkEnd w:id="401"/>
      <w:bookmarkEnd w:id="402"/>
      <w:bookmarkEnd w:id="403"/>
      <w:bookmarkEnd w:id="404"/>
      <w:bookmarkEnd w:id="405"/>
      <w:bookmarkEnd w:id="406"/>
      <w:bookmarkEnd w:id="407"/>
      <w:bookmarkEnd w:id="408"/>
      <w:bookmarkEnd w:id="409"/>
    </w:p>
    <w:p w14:paraId="35A19374">
      <w:pPr>
        <w:spacing w:line="360" w:lineRule="auto"/>
        <w:ind w:firstLine="480" w:firstLineChars="200"/>
        <w:outlineLvl w:val="9"/>
        <w:rPr>
          <w:rFonts w:hint="eastAsia" w:ascii="宋体" w:hAnsi="宋体" w:eastAsia="宋体" w:cs="Times New Roman"/>
          <w:color w:val="auto"/>
          <w:sz w:val="24"/>
          <w:szCs w:val="24"/>
        </w:rPr>
      </w:pPr>
      <w:bookmarkStart w:id="410" w:name="_Toc263677380"/>
      <w:bookmarkStart w:id="411" w:name="_Toc267472950"/>
      <w:bookmarkStart w:id="412" w:name="_Toc285028850"/>
      <w:r>
        <w:rPr>
          <w:rFonts w:hint="eastAsia" w:ascii="宋体" w:hAnsi="宋体" w:eastAsia="宋体" w:cs="Times New Roman"/>
          <w:color w:val="auto"/>
          <w:sz w:val="24"/>
          <w:szCs w:val="24"/>
        </w:rPr>
        <w:t>10.1 合同进度计划</w:t>
      </w:r>
      <w:bookmarkEnd w:id="410"/>
      <w:bookmarkEnd w:id="411"/>
      <w:bookmarkEnd w:id="412"/>
    </w:p>
    <w:p w14:paraId="34E8560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5862C309">
      <w:pPr>
        <w:spacing w:line="360" w:lineRule="auto"/>
        <w:ind w:firstLine="480" w:firstLineChars="200"/>
        <w:outlineLvl w:val="9"/>
        <w:rPr>
          <w:rFonts w:hint="eastAsia" w:ascii="宋体" w:hAnsi="宋体" w:eastAsia="宋体" w:cs="Times New Roman"/>
          <w:color w:val="auto"/>
          <w:sz w:val="24"/>
          <w:szCs w:val="24"/>
        </w:rPr>
      </w:pPr>
      <w:bookmarkStart w:id="413" w:name="_Toc285028851"/>
      <w:bookmarkStart w:id="414" w:name="_Toc263677381"/>
      <w:bookmarkStart w:id="415" w:name="_Toc267472951"/>
      <w:r>
        <w:rPr>
          <w:rFonts w:hint="eastAsia" w:ascii="宋体" w:hAnsi="宋体" w:eastAsia="宋体" w:cs="Times New Roman"/>
          <w:color w:val="auto"/>
          <w:sz w:val="24"/>
          <w:szCs w:val="24"/>
        </w:rPr>
        <w:t>10.2 合同进度计划的修订</w:t>
      </w:r>
      <w:bookmarkEnd w:id="413"/>
      <w:bookmarkEnd w:id="414"/>
      <w:bookmarkEnd w:id="415"/>
    </w:p>
    <w:p w14:paraId="47AC121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5FDEFF0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78C78A98">
      <w:pPr>
        <w:spacing w:line="360" w:lineRule="auto"/>
        <w:ind w:firstLine="480" w:firstLineChars="200"/>
        <w:outlineLvl w:val="9"/>
        <w:rPr>
          <w:rFonts w:hint="eastAsia" w:ascii="宋体" w:hAnsi="宋体" w:eastAsia="宋体" w:cs="Times New Roman"/>
          <w:color w:val="auto"/>
          <w:sz w:val="24"/>
          <w:szCs w:val="24"/>
        </w:rPr>
      </w:pPr>
      <w:bookmarkStart w:id="416" w:name="_Toc267472952"/>
      <w:bookmarkStart w:id="417" w:name="_Toc263677382"/>
      <w:bookmarkStart w:id="418" w:name="_Toc285028852"/>
      <w:r>
        <w:rPr>
          <w:rFonts w:hint="eastAsia" w:ascii="宋体" w:hAnsi="宋体" w:eastAsia="宋体" w:cs="Times New Roman"/>
          <w:color w:val="auto"/>
          <w:sz w:val="24"/>
          <w:szCs w:val="24"/>
        </w:rPr>
        <w:t>10.3 单位工程进度计划</w:t>
      </w:r>
      <w:bookmarkEnd w:id="416"/>
      <w:bookmarkEnd w:id="417"/>
      <w:bookmarkEnd w:id="418"/>
    </w:p>
    <w:p w14:paraId="5B15CD8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监理人认为有必要时，承包人应按监理人指示的内容和期限，并根据合同进度计划的进度控制要求，编制单位工程进度计划，提交监理人审批。</w:t>
      </w:r>
    </w:p>
    <w:p w14:paraId="233DC4A4">
      <w:pPr>
        <w:spacing w:line="360" w:lineRule="auto"/>
        <w:ind w:firstLine="480" w:firstLineChars="200"/>
        <w:outlineLvl w:val="9"/>
        <w:rPr>
          <w:rFonts w:hint="eastAsia" w:ascii="宋体" w:hAnsi="宋体" w:eastAsia="宋体" w:cs="Times New Roman"/>
          <w:color w:val="auto"/>
          <w:sz w:val="24"/>
          <w:szCs w:val="24"/>
        </w:rPr>
      </w:pPr>
      <w:bookmarkStart w:id="419" w:name="_Toc267472953"/>
      <w:bookmarkStart w:id="420" w:name="_Toc285028853"/>
      <w:bookmarkStart w:id="421" w:name="_Toc263677383"/>
      <w:r>
        <w:rPr>
          <w:rFonts w:hint="eastAsia" w:ascii="宋体" w:hAnsi="宋体" w:eastAsia="宋体" w:cs="Times New Roman"/>
          <w:color w:val="auto"/>
          <w:sz w:val="24"/>
          <w:szCs w:val="24"/>
        </w:rPr>
        <w:t>10.4 提交资金流估算表</w:t>
      </w:r>
      <w:bookmarkEnd w:id="419"/>
      <w:bookmarkEnd w:id="420"/>
      <w:bookmarkEnd w:id="421"/>
    </w:p>
    <w:p w14:paraId="41DD49C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CC025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资金流估算表                      金额单位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479"/>
        <w:gridCol w:w="953"/>
        <w:gridCol w:w="1424"/>
        <w:gridCol w:w="1424"/>
        <w:gridCol w:w="953"/>
        <w:gridCol w:w="953"/>
        <w:gridCol w:w="715"/>
        <w:gridCol w:w="953"/>
        <w:gridCol w:w="953"/>
      </w:tblGrid>
      <w:tr w14:paraId="6823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9" w:type="dxa"/>
            <w:noWrap w:val="0"/>
            <w:vAlign w:val="center"/>
          </w:tcPr>
          <w:p w14:paraId="67888D74">
            <w:pPr>
              <w:adjustRightInd w:val="0"/>
              <w:snapToGrid w:val="0"/>
              <w:jc w:val="center"/>
              <w:outlineLvl w:val="9"/>
              <w:rPr>
                <w:rFonts w:ascii="宋体" w:hAnsi="宋体"/>
                <w:color w:val="auto"/>
                <w:sz w:val="21"/>
                <w:szCs w:val="21"/>
              </w:rPr>
            </w:pPr>
            <w:r>
              <w:rPr>
                <w:rFonts w:hint="eastAsia" w:ascii="宋体" w:hAnsi="宋体"/>
                <w:color w:val="auto"/>
                <w:sz w:val="21"/>
                <w:szCs w:val="21"/>
              </w:rPr>
              <w:t>年</w:t>
            </w:r>
          </w:p>
        </w:tc>
        <w:tc>
          <w:tcPr>
            <w:tcW w:w="479" w:type="dxa"/>
            <w:noWrap w:val="0"/>
            <w:vAlign w:val="center"/>
          </w:tcPr>
          <w:p w14:paraId="74058BCD">
            <w:pPr>
              <w:adjustRightInd w:val="0"/>
              <w:snapToGrid w:val="0"/>
              <w:jc w:val="center"/>
              <w:outlineLvl w:val="9"/>
              <w:rPr>
                <w:rFonts w:ascii="宋体" w:hAnsi="宋体"/>
                <w:color w:val="auto"/>
                <w:sz w:val="21"/>
                <w:szCs w:val="21"/>
              </w:rPr>
            </w:pPr>
            <w:r>
              <w:rPr>
                <w:rFonts w:hint="eastAsia" w:ascii="宋体" w:hAnsi="宋体"/>
                <w:color w:val="auto"/>
                <w:sz w:val="21"/>
                <w:szCs w:val="21"/>
              </w:rPr>
              <w:t>月</w:t>
            </w:r>
          </w:p>
        </w:tc>
        <w:tc>
          <w:tcPr>
            <w:tcW w:w="953" w:type="dxa"/>
            <w:noWrap w:val="0"/>
            <w:vAlign w:val="center"/>
          </w:tcPr>
          <w:p w14:paraId="27D2E19F">
            <w:pPr>
              <w:adjustRightInd w:val="0"/>
              <w:snapToGrid w:val="0"/>
              <w:jc w:val="center"/>
              <w:outlineLvl w:val="9"/>
              <w:rPr>
                <w:rFonts w:ascii="宋体" w:hAnsi="宋体"/>
                <w:color w:val="auto"/>
                <w:sz w:val="21"/>
                <w:szCs w:val="21"/>
              </w:rPr>
            </w:pPr>
            <w:r>
              <w:rPr>
                <w:rFonts w:hint="eastAsia" w:ascii="宋体" w:hAnsi="宋体"/>
                <w:color w:val="auto"/>
                <w:sz w:val="21"/>
                <w:szCs w:val="21"/>
              </w:rPr>
              <w:t>工程</w:t>
            </w:r>
          </w:p>
          <w:p w14:paraId="66DFA039">
            <w:pPr>
              <w:adjustRightInd w:val="0"/>
              <w:snapToGrid w:val="0"/>
              <w:jc w:val="center"/>
              <w:outlineLvl w:val="9"/>
              <w:rPr>
                <w:rFonts w:ascii="宋体" w:hAnsi="宋体"/>
                <w:color w:val="auto"/>
                <w:sz w:val="21"/>
                <w:szCs w:val="21"/>
              </w:rPr>
            </w:pPr>
            <w:r>
              <w:rPr>
                <w:rFonts w:hint="eastAsia" w:ascii="宋体" w:hAnsi="宋体"/>
                <w:color w:val="auto"/>
                <w:sz w:val="21"/>
                <w:szCs w:val="21"/>
              </w:rPr>
              <w:t>预付款</w:t>
            </w:r>
          </w:p>
        </w:tc>
        <w:tc>
          <w:tcPr>
            <w:tcW w:w="1424" w:type="dxa"/>
            <w:noWrap w:val="0"/>
            <w:vAlign w:val="center"/>
          </w:tcPr>
          <w:p w14:paraId="378C9989">
            <w:pPr>
              <w:adjustRightInd w:val="0"/>
              <w:snapToGrid w:val="0"/>
              <w:jc w:val="center"/>
              <w:outlineLvl w:val="9"/>
              <w:rPr>
                <w:rFonts w:ascii="宋体" w:hAnsi="宋体"/>
                <w:color w:val="auto"/>
                <w:sz w:val="21"/>
                <w:szCs w:val="21"/>
              </w:rPr>
            </w:pPr>
            <w:r>
              <w:rPr>
                <w:rFonts w:hint="eastAsia" w:ascii="宋体" w:hAnsi="宋体"/>
                <w:color w:val="auto"/>
                <w:sz w:val="21"/>
                <w:szCs w:val="21"/>
              </w:rPr>
              <w:t>完成工作量</w:t>
            </w:r>
          </w:p>
          <w:p w14:paraId="35F4A7E3">
            <w:pPr>
              <w:adjustRightInd w:val="0"/>
              <w:snapToGrid w:val="0"/>
              <w:jc w:val="center"/>
              <w:outlineLvl w:val="9"/>
              <w:rPr>
                <w:rFonts w:ascii="宋体" w:hAnsi="宋体"/>
                <w:color w:val="auto"/>
                <w:sz w:val="21"/>
                <w:szCs w:val="21"/>
              </w:rPr>
            </w:pPr>
            <w:r>
              <w:rPr>
                <w:rFonts w:hint="eastAsia" w:ascii="宋体" w:hAnsi="宋体"/>
                <w:color w:val="auto"/>
                <w:sz w:val="21"/>
                <w:szCs w:val="21"/>
              </w:rPr>
              <w:t>付      款</w:t>
            </w:r>
          </w:p>
        </w:tc>
        <w:tc>
          <w:tcPr>
            <w:tcW w:w="1424" w:type="dxa"/>
            <w:noWrap w:val="0"/>
            <w:vAlign w:val="center"/>
          </w:tcPr>
          <w:p w14:paraId="48AB3BE1">
            <w:pPr>
              <w:adjustRightInd w:val="0"/>
              <w:snapToGrid w:val="0"/>
              <w:jc w:val="center"/>
              <w:outlineLvl w:val="9"/>
              <w:rPr>
                <w:rFonts w:ascii="宋体" w:hAnsi="宋体"/>
                <w:color w:val="auto"/>
                <w:sz w:val="21"/>
                <w:szCs w:val="21"/>
              </w:rPr>
            </w:pPr>
            <w:r>
              <w:rPr>
                <w:rFonts w:hint="eastAsia" w:ascii="宋体" w:hAnsi="宋体"/>
                <w:color w:val="auto"/>
                <w:sz w:val="21"/>
                <w:szCs w:val="21"/>
              </w:rPr>
              <w:t>质量保证金</w:t>
            </w:r>
          </w:p>
          <w:p w14:paraId="3EDE7590">
            <w:pPr>
              <w:adjustRightInd w:val="0"/>
              <w:snapToGrid w:val="0"/>
              <w:jc w:val="center"/>
              <w:outlineLvl w:val="9"/>
              <w:rPr>
                <w:rFonts w:ascii="宋体" w:hAnsi="宋体"/>
                <w:color w:val="auto"/>
                <w:sz w:val="21"/>
                <w:szCs w:val="21"/>
              </w:rPr>
            </w:pPr>
            <w:r>
              <w:rPr>
                <w:rFonts w:hint="eastAsia" w:ascii="宋体" w:hAnsi="宋体"/>
                <w:color w:val="auto"/>
                <w:sz w:val="21"/>
                <w:szCs w:val="21"/>
              </w:rPr>
              <w:t>扣      留</w:t>
            </w:r>
          </w:p>
        </w:tc>
        <w:tc>
          <w:tcPr>
            <w:tcW w:w="953" w:type="dxa"/>
            <w:noWrap w:val="0"/>
            <w:vAlign w:val="center"/>
          </w:tcPr>
          <w:p w14:paraId="2AF860BB">
            <w:pPr>
              <w:adjustRightInd w:val="0"/>
              <w:snapToGrid w:val="0"/>
              <w:jc w:val="center"/>
              <w:outlineLvl w:val="9"/>
              <w:rPr>
                <w:rFonts w:ascii="宋体" w:hAnsi="宋体"/>
                <w:color w:val="auto"/>
                <w:sz w:val="21"/>
                <w:szCs w:val="21"/>
              </w:rPr>
            </w:pPr>
            <w:r>
              <w:rPr>
                <w:rFonts w:hint="eastAsia" w:ascii="宋体" w:hAnsi="宋体"/>
                <w:color w:val="auto"/>
                <w:sz w:val="21"/>
                <w:szCs w:val="21"/>
              </w:rPr>
              <w:t>材料款</w:t>
            </w:r>
          </w:p>
          <w:p w14:paraId="1B6718EE">
            <w:pPr>
              <w:adjustRightInd w:val="0"/>
              <w:snapToGrid w:val="0"/>
              <w:jc w:val="center"/>
              <w:outlineLvl w:val="9"/>
              <w:rPr>
                <w:rFonts w:ascii="宋体" w:hAnsi="宋体"/>
                <w:color w:val="auto"/>
                <w:sz w:val="21"/>
                <w:szCs w:val="21"/>
              </w:rPr>
            </w:pPr>
            <w:r>
              <w:rPr>
                <w:rFonts w:hint="eastAsia" w:ascii="宋体" w:hAnsi="宋体"/>
                <w:color w:val="auto"/>
                <w:sz w:val="21"/>
                <w:szCs w:val="21"/>
              </w:rPr>
              <w:t>扣  除</w:t>
            </w:r>
          </w:p>
        </w:tc>
        <w:tc>
          <w:tcPr>
            <w:tcW w:w="953" w:type="dxa"/>
            <w:noWrap w:val="0"/>
            <w:vAlign w:val="center"/>
          </w:tcPr>
          <w:p w14:paraId="781887BF">
            <w:pPr>
              <w:adjustRightInd w:val="0"/>
              <w:snapToGrid w:val="0"/>
              <w:jc w:val="center"/>
              <w:outlineLvl w:val="9"/>
              <w:rPr>
                <w:rFonts w:ascii="宋体" w:hAnsi="宋体"/>
                <w:color w:val="auto"/>
                <w:sz w:val="21"/>
                <w:szCs w:val="21"/>
              </w:rPr>
            </w:pPr>
            <w:r>
              <w:rPr>
                <w:rFonts w:hint="eastAsia" w:ascii="宋体" w:hAnsi="宋体"/>
                <w:color w:val="auto"/>
                <w:sz w:val="21"/>
                <w:szCs w:val="21"/>
              </w:rPr>
              <w:t>预付款</w:t>
            </w:r>
          </w:p>
          <w:p w14:paraId="694DF74E">
            <w:pPr>
              <w:adjustRightInd w:val="0"/>
              <w:snapToGrid w:val="0"/>
              <w:jc w:val="center"/>
              <w:outlineLvl w:val="9"/>
              <w:rPr>
                <w:rFonts w:ascii="宋体" w:hAnsi="宋体"/>
                <w:color w:val="auto"/>
                <w:sz w:val="21"/>
                <w:szCs w:val="21"/>
              </w:rPr>
            </w:pPr>
            <w:r>
              <w:rPr>
                <w:rFonts w:hint="eastAsia" w:ascii="宋体" w:hAnsi="宋体"/>
                <w:color w:val="auto"/>
                <w:sz w:val="21"/>
                <w:szCs w:val="21"/>
              </w:rPr>
              <w:t>扣  还</w:t>
            </w:r>
          </w:p>
        </w:tc>
        <w:tc>
          <w:tcPr>
            <w:tcW w:w="715" w:type="dxa"/>
            <w:noWrap w:val="0"/>
            <w:vAlign w:val="center"/>
          </w:tcPr>
          <w:p w14:paraId="10D2A114">
            <w:pPr>
              <w:adjustRightInd w:val="0"/>
              <w:snapToGrid w:val="0"/>
              <w:jc w:val="center"/>
              <w:outlineLvl w:val="9"/>
              <w:rPr>
                <w:rFonts w:ascii="宋体" w:hAnsi="宋体"/>
                <w:color w:val="auto"/>
                <w:sz w:val="21"/>
                <w:szCs w:val="21"/>
              </w:rPr>
            </w:pPr>
            <w:r>
              <w:rPr>
                <w:rFonts w:hint="eastAsia" w:ascii="宋体" w:hAnsi="宋体"/>
                <w:color w:val="auto"/>
                <w:sz w:val="21"/>
                <w:szCs w:val="21"/>
              </w:rPr>
              <w:t>其他</w:t>
            </w:r>
          </w:p>
        </w:tc>
        <w:tc>
          <w:tcPr>
            <w:tcW w:w="953" w:type="dxa"/>
            <w:noWrap w:val="0"/>
            <w:vAlign w:val="center"/>
          </w:tcPr>
          <w:p w14:paraId="0FB14505">
            <w:pPr>
              <w:adjustRightInd w:val="0"/>
              <w:snapToGrid w:val="0"/>
              <w:jc w:val="center"/>
              <w:outlineLvl w:val="9"/>
              <w:rPr>
                <w:rFonts w:ascii="宋体" w:hAnsi="宋体"/>
                <w:color w:val="auto"/>
                <w:sz w:val="21"/>
                <w:szCs w:val="21"/>
              </w:rPr>
            </w:pPr>
            <w:r>
              <w:rPr>
                <w:rFonts w:hint="eastAsia" w:ascii="宋体" w:hAnsi="宋体"/>
                <w:color w:val="auto"/>
                <w:sz w:val="21"/>
                <w:szCs w:val="21"/>
              </w:rPr>
              <w:t>应收款</w:t>
            </w:r>
          </w:p>
        </w:tc>
        <w:tc>
          <w:tcPr>
            <w:tcW w:w="953" w:type="dxa"/>
            <w:noWrap w:val="0"/>
            <w:vAlign w:val="center"/>
          </w:tcPr>
          <w:p w14:paraId="788262C0">
            <w:pPr>
              <w:adjustRightInd w:val="0"/>
              <w:snapToGrid w:val="0"/>
              <w:jc w:val="center"/>
              <w:outlineLvl w:val="9"/>
              <w:rPr>
                <w:rFonts w:ascii="宋体" w:hAnsi="宋体"/>
                <w:color w:val="auto"/>
                <w:sz w:val="21"/>
                <w:szCs w:val="21"/>
              </w:rPr>
            </w:pPr>
            <w:r>
              <w:rPr>
                <w:rFonts w:hint="eastAsia" w:ascii="宋体" w:hAnsi="宋体"/>
                <w:color w:val="auto"/>
                <w:sz w:val="21"/>
                <w:szCs w:val="21"/>
              </w:rPr>
              <w:t>累  计</w:t>
            </w:r>
          </w:p>
          <w:p w14:paraId="7B16AEFE">
            <w:pPr>
              <w:adjustRightInd w:val="0"/>
              <w:snapToGrid w:val="0"/>
              <w:jc w:val="center"/>
              <w:outlineLvl w:val="9"/>
              <w:rPr>
                <w:rFonts w:ascii="宋体" w:hAnsi="宋体"/>
                <w:color w:val="auto"/>
                <w:sz w:val="21"/>
                <w:szCs w:val="21"/>
              </w:rPr>
            </w:pPr>
            <w:r>
              <w:rPr>
                <w:rFonts w:hint="eastAsia" w:ascii="宋体" w:hAnsi="宋体"/>
                <w:color w:val="auto"/>
                <w:sz w:val="21"/>
                <w:szCs w:val="21"/>
              </w:rPr>
              <w:t>应收款</w:t>
            </w:r>
          </w:p>
        </w:tc>
      </w:tr>
      <w:tr w14:paraId="41A9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9" w:type="dxa"/>
            <w:noWrap w:val="0"/>
            <w:vAlign w:val="center"/>
          </w:tcPr>
          <w:p w14:paraId="2299AF8F">
            <w:pPr>
              <w:adjustRightInd w:val="0"/>
              <w:snapToGrid w:val="0"/>
              <w:jc w:val="center"/>
              <w:outlineLvl w:val="9"/>
              <w:rPr>
                <w:rFonts w:ascii="宋体" w:hAnsi="宋体"/>
                <w:color w:val="auto"/>
                <w:sz w:val="21"/>
                <w:szCs w:val="21"/>
              </w:rPr>
            </w:pPr>
          </w:p>
        </w:tc>
        <w:tc>
          <w:tcPr>
            <w:tcW w:w="479" w:type="dxa"/>
            <w:noWrap w:val="0"/>
            <w:vAlign w:val="center"/>
          </w:tcPr>
          <w:p w14:paraId="33CB3666">
            <w:pPr>
              <w:adjustRightInd w:val="0"/>
              <w:snapToGrid w:val="0"/>
              <w:jc w:val="center"/>
              <w:outlineLvl w:val="9"/>
              <w:rPr>
                <w:rFonts w:ascii="宋体" w:hAnsi="宋体"/>
                <w:color w:val="auto"/>
                <w:sz w:val="21"/>
                <w:szCs w:val="21"/>
              </w:rPr>
            </w:pPr>
          </w:p>
        </w:tc>
        <w:tc>
          <w:tcPr>
            <w:tcW w:w="953" w:type="dxa"/>
            <w:noWrap w:val="0"/>
            <w:vAlign w:val="center"/>
          </w:tcPr>
          <w:p w14:paraId="16D8CD73">
            <w:pPr>
              <w:adjustRightInd w:val="0"/>
              <w:snapToGrid w:val="0"/>
              <w:jc w:val="center"/>
              <w:outlineLvl w:val="9"/>
              <w:rPr>
                <w:rFonts w:ascii="宋体" w:hAnsi="宋体"/>
                <w:color w:val="auto"/>
                <w:sz w:val="21"/>
                <w:szCs w:val="21"/>
              </w:rPr>
            </w:pPr>
          </w:p>
        </w:tc>
        <w:tc>
          <w:tcPr>
            <w:tcW w:w="1424" w:type="dxa"/>
            <w:noWrap w:val="0"/>
            <w:vAlign w:val="center"/>
          </w:tcPr>
          <w:p w14:paraId="47D5D300">
            <w:pPr>
              <w:adjustRightInd w:val="0"/>
              <w:snapToGrid w:val="0"/>
              <w:jc w:val="center"/>
              <w:outlineLvl w:val="9"/>
              <w:rPr>
                <w:rFonts w:ascii="宋体" w:hAnsi="宋体"/>
                <w:color w:val="auto"/>
                <w:sz w:val="21"/>
                <w:szCs w:val="21"/>
              </w:rPr>
            </w:pPr>
          </w:p>
        </w:tc>
        <w:tc>
          <w:tcPr>
            <w:tcW w:w="1424" w:type="dxa"/>
            <w:noWrap w:val="0"/>
            <w:vAlign w:val="center"/>
          </w:tcPr>
          <w:p w14:paraId="59F029D7">
            <w:pPr>
              <w:adjustRightInd w:val="0"/>
              <w:snapToGrid w:val="0"/>
              <w:jc w:val="center"/>
              <w:outlineLvl w:val="9"/>
              <w:rPr>
                <w:rFonts w:ascii="宋体" w:hAnsi="宋体"/>
                <w:color w:val="auto"/>
                <w:sz w:val="21"/>
                <w:szCs w:val="21"/>
              </w:rPr>
            </w:pPr>
          </w:p>
        </w:tc>
        <w:tc>
          <w:tcPr>
            <w:tcW w:w="953" w:type="dxa"/>
            <w:noWrap w:val="0"/>
            <w:vAlign w:val="center"/>
          </w:tcPr>
          <w:p w14:paraId="4CEB5305">
            <w:pPr>
              <w:adjustRightInd w:val="0"/>
              <w:snapToGrid w:val="0"/>
              <w:jc w:val="center"/>
              <w:outlineLvl w:val="9"/>
              <w:rPr>
                <w:rFonts w:ascii="宋体" w:hAnsi="宋体"/>
                <w:color w:val="auto"/>
                <w:sz w:val="21"/>
                <w:szCs w:val="21"/>
              </w:rPr>
            </w:pPr>
          </w:p>
        </w:tc>
        <w:tc>
          <w:tcPr>
            <w:tcW w:w="953" w:type="dxa"/>
            <w:noWrap w:val="0"/>
            <w:vAlign w:val="center"/>
          </w:tcPr>
          <w:p w14:paraId="6D8054AC">
            <w:pPr>
              <w:adjustRightInd w:val="0"/>
              <w:snapToGrid w:val="0"/>
              <w:jc w:val="center"/>
              <w:outlineLvl w:val="9"/>
              <w:rPr>
                <w:rFonts w:ascii="宋体" w:hAnsi="宋体"/>
                <w:color w:val="auto"/>
                <w:sz w:val="21"/>
                <w:szCs w:val="21"/>
              </w:rPr>
            </w:pPr>
          </w:p>
        </w:tc>
        <w:tc>
          <w:tcPr>
            <w:tcW w:w="715" w:type="dxa"/>
            <w:noWrap w:val="0"/>
            <w:vAlign w:val="center"/>
          </w:tcPr>
          <w:p w14:paraId="75BD675F">
            <w:pPr>
              <w:adjustRightInd w:val="0"/>
              <w:snapToGrid w:val="0"/>
              <w:jc w:val="center"/>
              <w:outlineLvl w:val="9"/>
              <w:rPr>
                <w:rFonts w:ascii="宋体" w:hAnsi="宋体"/>
                <w:color w:val="auto"/>
                <w:sz w:val="21"/>
                <w:szCs w:val="21"/>
              </w:rPr>
            </w:pPr>
          </w:p>
        </w:tc>
        <w:tc>
          <w:tcPr>
            <w:tcW w:w="953" w:type="dxa"/>
            <w:noWrap w:val="0"/>
            <w:vAlign w:val="center"/>
          </w:tcPr>
          <w:p w14:paraId="73948FEE">
            <w:pPr>
              <w:adjustRightInd w:val="0"/>
              <w:snapToGrid w:val="0"/>
              <w:jc w:val="center"/>
              <w:outlineLvl w:val="9"/>
              <w:rPr>
                <w:rFonts w:ascii="宋体" w:hAnsi="宋体"/>
                <w:color w:val="auto"/>
                <w:sz w:val="21"/>
                <w:szCs w:val="21"/>
              </w:rPr>
            </w:pPr>
          </w:p>
        </w:tc>
        <w:tc>
          <w:tcPr>
            <w:tcW w:w="953" w:type="dxa"/>
            <w:noWrap w:val="0"/>
            <w:vAlign w:val="center"/>
          </w:tcPr>
          <w:p w14:paraId="1238C030">
            <w:pPr>
              <w:adjustRightInd w:val="0"/>
              <w:snapToGrid w:val="0"/>
              <w:jc w:val="center"/>
              <w:outlineLvl w:val="9"/>
              <w:rPr>
                <w:rFonts w:ascii="宋体" w:hAnsi="宋体"/>
                <w:color w:val="auto"/>
                <w:sz w:val="21"/>
                <w:szCs w:val="21"/>
              </w:rPr>
            </w:pPr>
          </w:p>
        </w:tc>
      </w:tr>
      <w:tr w14:paraId="013B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9" w:type="dxa"/>
            <w:noWrap w:val="0"/>
            <w:vAlign w:val="center"/>
          </w:tcPr>
          <w:p w14:paraId="49BBA858">
            <w:pPr>
              <w:adjustRightInd w:val="0"/>
              <w:snapToGrid w:val="0"/>
              <w:jc w:val="center"/>
              <w:outlineLvl w:val="9"/>
              <w:rPr>
                <w:rFonts w:ascii="宋体" w:hAnsi="宋体"/>
                <w:color w:val="auto"/>
                <w:sz w:val="21"/>
                <w:szCs w:val="21"/>
              </w:rPr>
            </w:pPr>
          </w:p>
        </w:tc>
        <w:tc>
          <w:tcPr>
            <w:tcW w:w="479" w:type="dxa"/>
            <w:noWrap w:val="0"/>
            <w:vAlign w:val="center"/>
          </w:tcPr>
          <w:p w14:paraId="66B44DFC">
            <w:pPr>
              <w:adjustRightInd w:val="0"/>
              <w:snapToGrid w:val="0"/>
              <w:jc w:val="center"/>
              <w:outlineLvl w:val="9"/>
              <w:rPr>
                <w:rFonts w:ascii="宋体" w:hAnsi="宋体"/>
                <w:color w:val="auto"/>
                <w:sz w:val="21"/>
                <w:szCs w:val="21"/>
              </w:rPr>
            </w:pPr>
          </w:p>
        </w:tc>
        <w:tc>
          <w:tcPr>
            <w:tcW w:w="953" w:type="dxa"/>
            <w:noWrap w:val="0"/>
            <w:vAlign w:val="center"/>
          </w:tcPr>
          <w:p w14:paraId="5B465E14">
            <w:pPr>
              <w:adjustRightInd w:val="0"/>
              <w:snapToGrid w:val="0"/>
              <w:jc w:val="center"/>
              <w:outlineLvl w:val="9"/>
              <w:rPr>
                <w:rFonts w:ascii="宋体" w:hAnsi="宋体"/>
                <w:color w:val="auto"/>
                <w:sz w:val="21"/>
                <w:szCs w:val="21"/>
              </w:rPr>
            </w:pPr>
          </w:p>
        </w:tc>
        <w:tc>
          <w:tcPr>
            <w:tcW w:w="1424" w:type="dxa"/>
            <w:noWrap w:val="0"/>
            <w:vAlign w:val="center"/>
          </w:tcPr>
          <w:p w14:paraId="5D5A9124">
            <w:pPr>
              <w:adjustRightInd w:val="0"/>
              <w:snapToGrid w:val="0"/>
              <w:jc w:val="center"/>
              <w:outlineLvl w:val="9"/>
              <w:rPr>
                <w:rFonts w:ascii="宋体" w:hAnsi="宋体"/>
                <w:color w:val="auto"/>
                <w:sz w:val="21"/>
                <w:szCs w:val="21"/>
              </w:rPr>
            </w:pPr>
          </w:p>
        </w:tc>
        <w:tc>
          <w:tcPr>
            <w:tcW w:w="1424" w:type="dxa"/>
            <w:noWrap w:val="0"/>
            <w:vAlign w:val="center"/>
          </w:tcPr>
          <w:p w14:paraId="33372C12">
            <w:pPr>
              <w:adjustRightInd w:val="0"/>
              <w:snapToGrid w:val="0"/>
              <w:jc w:val="center"/>
              <w:outlineLvl w:val="9"/>
              <w:rPr>
                <w:rFonts w:ascii="宋体" w:hAnsi="宋体"/>
                <w:color w:val="auto"/>
                <w:sz w:val="21"/>
                <w:szCs w:val="21"/>
              </w:rPr>
            </w:pPr>
          </w:p>
        </w:tc>
        <w:tc>
          <w:tcPr>
            <w:tcW w:w="953" w:type="dxa"/>
            <w:noWrap w:val="0"/>
            <w:vAlign w:val="center"/>
          </w:tcPr>
          <w:p w14:paraId="6ACC4870">
            <w:pPr>
              <w:adjustRightInd w:val="0"/>
              <w:snapToGrid w:val="0"/>
              <w:jc w:val="center"/>
              <w:outlineLvl w:val="9"/>
              <w:rPr>
                <w:rFonts w:ascii="宋体" w:hAnsi="宋体"/>
                <w:color w:val="auto"/>
                <w:sz w:val="21"/>
                <w:szCs w:val="21"/>
              </w:rPr>
            </w:pPr>
          </w:p>
        </w:tc>
        <w:tc>
          <w:tcPr>
            <w:tcW w:w="953" w:type="dxa"/>
            <w:noWrap w:val="0"/>
            <w:vAlign w:val="center"/>
          </w:tcPr>
          <w:p w14:paraId="33AE83F9">
            <w:pPr>
              <w:adjustRightInd w:val="0"/>
              <w:snapToGrid w:val="0"/>
              <w:jc w:val="center"/>
              <w:outlineLvl w:val="9"/>
              <w:rPr>
                <w:rFonts w:ascii="宋体" w:hAnsi="宋体"/>
                <w:color w:val="auto"/>
                <w:sz w:val="21"/>
                <w:szCs w:val="21"/>
              </w:rPr>
            </w:pPr>
          </w:p>
        </w:tc>
        <w:tc>
          <w:tcPr>
            <w:tcW w:w="715" w:type="dxa"/>
            <w:noWrap w:val="0"/>
            <w:vAlign w:val="center"/>
          </w:tcPr>
          <w:p w14:paraId="032CB3A8">
            <w:pPr>
              <w:adjustRightInd w:val="0"/>
              <w:snapToGrid w:val="0"/>
              <w:jc w:val="center"/>
              <w:outlineLvl w:val="9"/>
              <w:rPr>
                <w:rFonts w:ascii="宋体" w:hAnsi="宋体"/>
                <w:color w:val="auto"/>
                <w:sz w:val="21"/>
                <w:szCs w:val="21"/>
              </w:rPr>
            </w:pPr>
          </w:p>
        </w:tc>
        <w:tc>
          <w:tcPr>
            <w:tcW w:w="953" w:type="dxa"/>
            <w:noWrap w:val="0"/>
            <w:vAlign w:val="center"/>
          </w:tcPr>
          <w:p w14:paraId="07602CBE">
            <w:pPr>
              <w:adjustRightInd w:val="0"/>
              <w:snapToGrid w:val="0"/>
              <w:jc w:val="center"/>
              <w:outlineLvl w:val="9"/>
              <w:rPr>
                <w:rFonts w:ascii="宋体" w:hAnsi="宋体"/>
                <w:color w:val="auto"/>
                <w:sz w:val="21"/>
                <w:szCs w:val="21"/>
              </w:rPr>
            </w:pPr>
          </w:p>
        </w:tc>
        <w:tc>
          <w:tcPr>
            <w:tcW w:w="953" w:type="dxa"/>
            <w:noWrap w:val="0"/>
            <w:vAlign w:val="center"/>
          </w:tcPr>
          <w:p w14:paraId="3DF986D7">
            <w:pPr>
              <w:adjustRightInd w:val="0"/>
              <w:snapToGrid w:val="0"/>
              <w:jc w:val="center"/>
              <w:outlineLvl w:val="9"/>
              <w:rPr>
                <w:rFonts w:ascii="宋体" w:hAnsi="宋体"/>
                <w:color w:val="auto"/>
                <w:sz w:val="21"/>
                <w:szCs w:val="21"/>
              </w:rPr>
            </w:pPr>
          </w:p>
        </w:tc>
      </w:tr>
      <w:tr w14:paraId="29E8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79" w:type="dxa"/>
            <w:noWrap w:val="0"/>
            <w:vAlign w:val="center"/>
          </w:tcPr>
          <w:p w14:paraId="07B7F318">
            <w:pPr>
              <w:adjustRightInd w:val="0"/>
              <w:snapToGrid w:val="0"/>
              <w:jc w:val="center"/>
              <w:outlineLvl w:val="9"/>
              <w:rPr>
                <w:rFonts w:ascii="宋体" w:hAnsi="宋体"/>
                <w:color w:val="auto"/>
                <w:sz w:val="21"/>
                <w:szCs w:val="21"/>
              </w:rPr>
            </w:pPr>
          </w:p>
        </w:tc>
        <w:tc>
          <w:tcPr>
            <w:tcW w:w="479" w:type="dxa"/>
            <w:noWrap w:val="0"/>
            <w:vAlign w:val="center"/>
          </w:tcPr>
          <w:p w14:paraId="2F5C7FC9">
            <w:pPr>
              <w:adjustRightInd w:val="0"/>
              <w:snapToGrid w:val="0"/>
              <w:jc w:val="center"/>
              <w:outlineLvl w:val="9"/>
              <w:rPr>
                <w:rFonts w:ascii="宋体" w:hAnsi="宋体"/>
                <w:color w:val="auto"/>
                <w:sz w:val="21"/>
                <w:szCs w:val="21"/>
              </w:rPr>
            </w:pPr>
          </w:p>
        </w:tc>
        <w:tc>
          <w:tcPr>
            <w:tcW w:w="953" w:type="dxa"/>
            <w:noWrap w:val="0"/>
            <w:vAlign w:val="center"/>
          </w:tcPr>
          <w:p w14:paraId="603A4B87">
            <w:pPr>
              <w:adjustRightInd w:val="0"/>
              <w:snapToGrid w:val="0"/>
              <w:jc w:val="center"/>
              <w:outlineLvl w:val="9"/>
              <w:rPr>
                <w:rFonts w:ascii="宋体" w:hAnsi="宋体"/>
                <w:color w:val="auto"/>
                <w:sz w:val="21"/>
                <w:szCs w:val="21"/>
              </w:rPr>
            </w:pPr>
          </w:p>
        </w:tc>
        <w:tc>
          <w:tcPr>
            <w:tcW w:w="1424" w:type="dxa"/>
            <w:noWrap w:val="0"/>
            <w:vAlign w:val="center"/>
          </w:tcPr>
          <w:p w14:paraId="7B089E64">
            <w:pPr>
              <w:adjustRightInd w:val="0"/>
              <w:snapToGrid w:val="0"/>
              <w:jc w:val="center"/>
              <w:outlineLvl w:val="9"/>
              <w:rPr>
                <w:rFonts w:ascii="宋体" w:hAnsi="宋体"/>
                <w:color w:val="auto"/>
                <w:sz w:val="21"/>
                <w:szCs w:val="21"/>
              </w:rPr>
            </w:pPr>
          </w:p>
        </w:tc>
        <w:tc>
          <w:tcPr>
            <w:tcW w:w="1424" w:type="dxa"/>
            <w:noWrap w:val="0"/>
            <w:vAlign w:val="center"/>
          </w:tcPr>
          <w:p w14:paraId="791452D8">
            <w:pPr>
              <w:adjustRightInd w:val="0"/>
              <w:snapToGrid w:val="0"/>
              <w:jc w:val="center"/>
              <w:outlineLvl w:val="9"/>
              <w:rPr>
                <w:rFonts w:ascii="宋体" w:hAnsi="宋体"/>
                <w:color w:val="auto"/>
                <w:sz w:val="21"/>
                <w:szCs w:val="21"/>
              </w:rPr>
            </w:pPr>
          </w:p>
        </w:tc>
        <w:tc>
          <w:tcPr>
            <w:tcW w:w="953" w:type="dxa"/>
            <w:noWrap w:val="0"/>
            <w:vAlign w:val="center"/>
          </w:tcPr>
          <w:p w14:paraId="29CB20E7">
            <w:pPr>
              <w:adjustRightInd w:val="0"/>
              <w:snapToGrid w:val="0"/>
              <w:jc w:val="center"/>
              <w:outlineLvl w:val="9"/>
              <w:rPr>
                <w:rFonts w:ascii="宋体" w:hAnsi="宋体"/>
                <w:color w:val="auto"/>
                <w:sz w:val="21"/>
                <w:szCs w:val="21"/>
              </w:rPr>
            </w:pPr>
          </w:p>
        </w:tc>
        <w:tc>
          <w:tcPr>
            <w:tcW w:w="953" w:type="dxa"/>
            <w:noWrap w:val="0"/>
            <w:vAlign w:val="center"/>
          </w:tcPr>
          <w:p w14:paraId="2CBFB4CB">
            <w:pPr>
              <w:adjustRightInd w:val="0"/>
              <w:snapToGrid w:val="0"/>
              <w:jc w:val="center"/>
              <w:outlineLvl w:val="9"/>
              <w:rPr>
                <w:rFonts w:ascii="宋体" w:hAnsi="宋体"/>
                <w:color w:val="auto"/>
                <w:sz w:val="21"/>
                <w:szCs w:val="21"/>
              </w:rPr>
            </w:pPr>
          </w:p>
        </w:tc>
        <w:tc>
          <w:tcPr>
            <w:tcW w:w="715" w:type="dxa"/>
            <w:noWrap w:val="0"/>
            <w:vAlign w:val="center"/>
          </w:tcPr>
          <w:p w14:paraId="730EA22B">
            <w:pPr>
              <w:adjustRightInd w:val="0"/>
              <w:snapToGrid w:val="0"/>
              <w:jc w:val="center"/>
              <w:outlineLvl w:val="9"/>
              <w:rPr>
                <w:rFonts w:ascii="宋体" w:hAnsi="宋体"/>
                <w:color w:val="auto"/>
                <w:sz w:val="21"/>
                <w:szCs w:val="21"/>
              </w:rPr>
            </w:pPr>
          </w:p>
        </w:tc>
        <w:tc>
          <w:tcPr>
            <w:tcW w:w="953" w:type="dxa"/>
            <w:noWrap w:val="0"/>
            <w:vAlign w:val="center"/>
          </w:tcPr>
          <w:p w14:paraId="0A0D9D07">
            <w:pPr>
              <w:adjustRightInd w:val="0"/>
              <w:snapToGrid w:val="0"/>
              <w:jc w:val="center"/>
              <w:outlineLvl w:val="9"/>
              <w:rPr>
                <w:rFonts w:ascii="宋体" w:hAnsi="宋体"/>
                <w:color w:val="auto"/>
                <w:sz w:val="21"/>
                <w:szCs w:val="21"/>
              </w:rPr>
            </w:pPr>
          </w:p>
        </w:tc>
        <w:tc>
          <w:tcPr>
            <w:tcW w:w="953" w:type="dxa"/>
            <w:noWrap w:val="0"/>
            <w:vAlign w:val="center"/>
          </w:tcPr>
          <w:p w14:paraId="7ADB92C1">
            <w:pPr>
              <w:adjustRightInd w:val="0"/>
              <w:snapToGrid w:val="0"/>
              <w:jc w:val="center"/>
              <w:outlineLvl w:val="9"/>
              <w:rPr>
                <w:rFonts w:ascii="宋体" w:hAnsi="宋体"/>
                <w:color w:val="auto"/>
                <w:sz w:val="21"/>
                <w:szCs w:val="21"/>
              </w:rPr>
            </w:pPr>
          </w:p>
        </w:tc>
      </w:tr>
    </w:tbl>
    <w:p w14:paraId="4CCFD020">
      <w:pPr>
        <w:spacing w:line="360" w:lineRule="auto"/>
        <w:ind w:firstLine="480" w:firstLineChars="200"/>
        <w:outlineLvl w:val="9"/>
        <w:rPr>
          <w:rFonts w:hint="eastAsia" w:ascii="宋体" w:hAnsi="宋体" w:eastAsia="宋体" w:cs="Times New Roman"/>
          <w:color w:val="auto"/>
          <w:sz w:val="24"/>
          <w:szCs w:val="24"/>
        </w:rPr>
      </w:pPr>
      <w:bookmarkStart w:id="422" w:name="_Toc184635108"/>
      <w:bookmarkStart w:id="423" w:name="_Toc307416157"/>
      <w:bookmarkStart w:id="424" w:name="_Toc430097427"/>
      <w:bookmarkStart w:id="425" w:name="_Toc307417454"/>
      <w:bookmarkStart w:id="426" w:name="_Toc307485221"/>
      <w:bookmarkStart w:id="427" w:name="_Toc24648"/>
      <w:bookmarkStart w:id="428" w:name="_Toc263677384"/>
      <w:bookmarkStart w:id="429" w:name="_Toc285028854"/>
      <w:bookmarkStart w:id="430" w:name="_Toc267472954"/>
      <w:bookmarkStart w:id="431" w:name="_Toc263370605"/>
      <w:r>
        <w:rPr>
          <w:rFonts w:hint="eastAsia" w:ascii="宋体" w:hAnsi="宋体" w:eastAsia="宋体" w:cs="Times New Roman"/>
          <w:color w:val="auto"/>
          <w:sz w:val="24"/>
          <w:szCs w:val="24"/>
        </w:rPr>
        <w:t>11．开工和竣工</w:t>
      </w:r>
      <w:bookmarkEnd w:id="422"/>
      <w:r>
        <w:rPr>
          <w:rFonts w:hint="eastAsia" w:ascii="宋体" w:hAnsi="宋体" w:eastAsia="宋体" w:cs="Times New Roman"/>
          <w:color w:val="auto"/>
          <w:sz w:val="24"/>
          <w:szCs w:val="24"/>
        </w:rPr>
        <w:t>（完工）</w:t>
      </w:r>
      <w:bookmarkEnd w:id="423"/>
      <w:bookmarkEnd w:id="424"/>
      <w:bookmarkEnd w:id="425"/>
      <w:bookmarkEnd w:id="426"/>
      <w:bookmarkEnd w:id="427"/>
      <w:bookmarkEnd w:id="428"/>
      <w:bookmarkEnd w:id="429"/>
      <w:bookmarkEnd w:id="430"/>
      <w:bookmarkEnd w:id="431"/>
    </w:p>
    <w:p w14:paraId="06727A6D">
      <w:pPr>
        <w:spacing w:line="360" w:lineRule="auto"/>
        <w:ind w:firstLine="480" w:firstLineChars="200"/>
        <w:outlineLvl w:val="9"/>
        <w:rPr>
          <w:rFonts w:hint="eastAsia" w:ascii="宋体" w:hAnsi="宋体" w:eastAsia="宋体" w:cs="Times New Roman"/>
          <w:color w:val="auto"/>
          <w:sz w:val="24"/>
          <w:szCs w:val="24"/>
        </w:rPr>
      </w:pPr>
      <w:bookmarkStart w:id="432" w:name="_Toc267472955"/>
      <w:bookmarkStart w:id="433" w:name="_Toc263677385"/>
      <w:bookmarkStart w:id="434" w:name="_Toc285028855"/>
      <w:r>
        <w:rPr>
          <w:rFonts w:hint="eastAsia" w:ascii="宋体" w:hAnsi="宋体" w:eastAsia="宋体" w:cs="Times New Roman"/>
          <w:color w:val="auto"/>
          <w:sz w:val="24"/>
          <w:szCs w:val="24"/>
        </w:rPr>
        <w:t>11.1 开工</w:t>
      </w:r>
      <w:bookmarkEnd w:id="432"/>
      <w:bookmarkEnd w:id="433"/>
      <w:bookmarkEnd w:id="434"/>
    </w:p>
    <w:p w14:paraId="1053EA8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11.1.1 监理人应在开工日期7 天前向承包人发出开工通知。监理人在发出开工通知前应获得发包人同意。工期自监理人发出的开工通知中载明的开工日期起计算。承包人应在开工日期后尽快施工。</w:t>
      </w:r>
    </w:p>
    <w:p w14:paraId="1B577C94">
      <w:pPr>
        <w:spacing w:line="360" w:lineRule="auto"/>
        <w:ind w:firstLine="480" w:firstLineChars="200"/>
        <w:outlineLvl w:val="9"/>
        <w:rPr>
          <w:rFonts w:ascii="宋体" w:hAnsi="宋体"/>
          <w:color w:val="auto"/>
          <w:szCs w:val="21"/>
        </w:rPr>
      </w:pPr>
      <w:r>
        <w:rPr>
          <w:rFonts w:hint="eastAsia" w:ascii="宋体" w:hAnsi="宋体" w:eastAsia="宋体" w:cs="Times New Roman"/>
          <w:color w:val="auto"/>
          <w:sz w:val="24"/>
          <w:szCs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B037A7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11.1.3 若发包人未能按合同约定向承包人提供开工的必要条件，承包人有权要求延长工期。监理人应在收到承包人的书面要求后，按第3.5款的约定，与合同双方商定或确定增加的费用和延长的工期。</w:t>
      </w:r>
    </w:p>
    <w:p w14:paraId="372C4A0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6CC6B873">
      <w:pPr>
        <w:spacing w:line="360" w:lineRule="auto"/>
        <w:ind w:firstLine="480" w:firstLineChars="200"/>
        <w:outlineLvl w:val="9"/>
        <w:rPr>
          <w:rFonts w:hint="eastAsia" w:ascii="宋体" w:hAnsi="宋体" w:eastAsia="宋体" w:cs="Times New Roman"/>
          <w:color w:val="auto"/>
          <w:sz w:val="24"/>
          <w:szCs w:val="24"/>
        </w:rPr>
      </w:pPr>
      <w:bookmarkStart w:id="435" w:name="_Toc267472956"/>
      <w:bookmarkStart w:id="436" w:name="_Toc263677386"/>
      <w:bookmarkStart w:id="437" w:name="_Toc285028856"/>
      <w:r>
        <w:rPr>
          <w:rFonts w:hint="eastAsia" w:ascii="宋体" w:hAnsi="宋体" w:eastAsia="宋体" w:cs="Times New Roman"/>
          <w:color w:val="auto"/>
          <w:sz w:val="24"/>
          <w:szCs w:val="24"/>
        </w:rPr>
        <w:t>11.2 竣工（完工）</w:t>
      </w:r>
      <w:bookmarkEnd w:id="435"/>
      <w:bookmarkEnd w:id="436"/>
      <w:bookmarkEnd w:id="437"/>
    </w:p>
    <w:p w14:paraId="2E26363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承包人应在第1.1.4.3目约定的期限内完成合同工程。合同工程实际完工日期在合同工程完工证书中明确。</w:t>
      </w:r>
    </w:p>
    <w:p w14:paraId="3987DF28">
      <w:pPr>
        <w:spacing w:line="360" w:lineRule="auto"/>
        <w:ind w:firstLine="480" w:firstLineChars="200"/>
        <w:outlineLvl w:val="9"/>
        <w:rPr>
          <w:rFonts w:hint="eastAsia" w:ascii="宋体" w:hAnsi="宋体" w:eastAsia="宋体" w:cs="Times New Roman"/>
          <w:color w:val="auto"/>
          <w:sz w:val="24"/>
          <w:szCs w:val="24"/>
        </w:rPr>
      </w:pPr>
      <w:bookmarkStart w:id="438" w:name="_Toc285028857"/>
      <w:bookmarkStart w:id="439" w:name="_Toc263677387"/>
      <w:bookmarkStart w:id="440" w:name="_Toc267472957"/>
      <w:r>
        <w:rPr>
          <w:rFonts w:hint="eastAsia" w:ascii="宋体" w:hAnsi="宋体" w:eastAsia="宋体" w:cs="Times New Roman"/>
          <w:color w:val="auto"/>
          <w:sz w:val="24"/>
          <w:szCs w:val="24"/>
        </w:rPr>
        <w:t>11.3 发包人的工期延误</w:t>
      </w:r>
      <w:bookmarkEnd w:id="438"/>
      <w:bookmarkEnd w:id="439"/>
      <w:bookmarkEnd w:id="440"/>
    </w:p>
    <w:p w14:paraId="3E245F1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在履行合同过程中，由于发包人的下列原因造成工期延误的，承包人有权要求发包人延长工期和（或）增加费用，并支付合理利润。需要修订合同进度计划的，按照第10.2款的约定办理。</w:t>
      </w:r>
    </w:p>
    <w:p w14:paraId="509151D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(l）增加合同工作内容；</w:t>
      </w:r>
    </w:p>
    <w:p w14:paraId="49319DC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(2）改变合同中任何一项工作的质量要求或其他特性；</w:t>
      </w:r>
    </w:p>
    <w:p w14:paraId="028D33C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(3）发包人迟延提供材料、工程设备或变更交货地点的；</w:t>
      </w:r>
    </w:p>
    <w:p w14:paraId="2DDFE0D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(4）因发包人原因导致的暂停施工；</w:t>
      </w:r>
    </w:p>
    <w:p w14:paraId="5A7285F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(5）提供图纸延误；</w:t>
      </w:r>
    </w:p>
    <w:p w14:paraId="405590E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(6）未按合同约定及时支付预付款、进度款；</w:t>
      </w:r>
    </w:p>
    <w:p w14:paraId="1022EEF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(7）发包人造成工期延误的其他原因。</w:t>
      </w:r>
    </w:p>
    <w:p w14:paraId="2675C343">
      <w:pPr>
        <w:spacing w:line="360" w:lineRule="auto"/>
        <w:ind w:firstLine="480" w:firstLineChars="200"/>
        <w:outlineLvl w:val="9"/>
        <w:rPr>
          <w:rFonts w:hint="eastAsia" w:ascii="宋体" w:hAnsi="宋体" w:eastAsia="宋体" w:cs="Times New Roman"/>
          <w:color w:val="auto"/>
          <w:sz w:val="24"/>
          <w:szCs w:val="24"/>
        </w:rPr>
      </w:pPr>
      <w:bookmarkStart w:id="441" w:name="_Toc263677388"/>
      <w:bookmarkStart w:id="442" w:name="_Toc267472958"/>
      <w:bookmarkStart w:id="443" w:name="_Toc285028858"/>
      <w:r>
        <w:rPr>
          <w:rFonts w:hint="eastAsia" w:ascii="宋体" w:hAnsi="宋体" w:eastAsia="宋体" w:cs="Times New Roman"/>
          <w:color w:val="auto"/>
          <w:sz w:val="24"/>
          <w:szCs w:val="24"/>
        </w:rPr>
        <w:t>11.4 异常恶劣的气候条件</w:t>
      </w:r>
      <w:bookmarkEnd w:id="441"/>
      <w:bookmarkEnd w:id="442"/>
      <w:bookmarkEnd w:id="443"/>
    </w:p>
    <w:p w14:paraId="5D1F0EB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由于出现专用合同条款规定的异常恶劣气候的条件导致工期延误的，承包人有权要求发包人延长工期。</w:t>
      </w:r>
    </w:p>
    <w:p w14:paraId="7FE5E11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11.4.1 当工程所在地发生危及施工安全的异常恶劣气候时，发包人和承包人应按本合同通用合同条款第12条的约定，及时采取暂停施工或部分暂停施工措施。异常恶劣气候条件解除后，承包人应及时安排复工。</w:t>
      </w:r>
    </w:p>
    <w:p w14:paraId="250F6AD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11.4.2 异常恶劣气候条件造成的工期延误和工程损坏，应由发包人与承包人参照本合同通用合同条款第21.3款的约定协商处理。</w:t>
      </w:r>
    </w:p>
    <w:p w14:paraId="4D87E6A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11.4.3 本合同工程界定异常恶劣气候条件的范围在专用合同条款中约定。</w:t>
      </w:r>
    </w:p>
    <w:p w14:paraId="0E2BE779">
      <w:pPr>
        <w:spacing w:line="360" w:lineRule="auto"/>
        <w:ind w:firstLine="480" w:firstLineChars="200"/>
        <w:outlineLvl w:val="9"/>
        <w:rPr>
          <w:rFonts w:hint="eastAsia" w:ascii="宋体" w:hAnsi="宋体" w:eastAsia="宋体" w:cs="Times New Roman"/>
          <w:color w:val="auto"/>
          <w:sz w:val="24"/>
          <w:szCs w:val="24"/>
        </w:rPr>
      </w:pPr>
      <w:bookmarkStart w:id="444" w:name="_Toc263677389"/>
      <w:bookmarkStart w:id="445" w:name="_Toc285028859"/>
      <w:bookmarkStart w:id="446" w:name="_Toc267472959"/>
      <w:r>
        <w:rPr>
          <w:rFonts w:hint="eastAsia" w:ascii="宋体" w:hAnsi="宋体" w:eastAsia="宋体" w:cs="Times New Roman"/>
          <w:color w:val="auto"/>
          <w:sz w:val="24"/>
          <w:szCs w:val="24"/>
        </w:rPr>
        <w:t>11.5 承包人的工期延误</w:t>
      </w:r>
      <w:bookmarkEnd w:id="444"/>
      <w:bookmarkEnd w:id="445"/>
      <w:bookmarkEnd w:id="446"/>
    </w:p>
    <w:p w14:paraId="5F86C77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87C535D">
      <w:pPr>
        <w:spacing w:line="360" w:lineRule="auto"/>
        <w:ind w:firstLine="480" w:firstLineChars="200"/>
        <w:outlineLvl w:val="9"/>
        <w:rPr>
          <w:rFonts w:hint="eastAsia" w:ascii="宋体" w:hAnsi="宋体" w:eastAsia="宋体" w:cs="Times New Roman"/>
          <w:color w:val="auto"/>
          <w:sz w:val="24"/>
          <w:szCs w:val="24"/>
        </w:rPr>
      </w:pPr>
      <w:bookmarkStart w:id="447" w:name="_Toc267472960"/>
      <w:bookmarkStart w:id="448" w:name="_Toc263677390"/>
      <w:bookmarkStart w:id="449" w:name="_Toc285028860"/>
      <w:r>
        <w:rPr>
          <w:rFonts w:hint="eastAsia" w:ascii="宋体" w:hAnsi="宋体" w:eastAsia="宋体" w:cs="Times New Roman"/>
          <w:color w:val="auto"/>
          <w:sz w:val="24"/>
          <w:szCs w:val="24"/>
        </w:rPr>
        <w:t>11.6 工期提前</w:t>
      </w:r>
      <w:bookmarkEnd w:id="447"/>
      <w:bookmarkEnd w:id="448"/>
      <w:bookmarkEnd w:id="449"/>
    </w:p>
    <w:p w14:paraId="7C3F941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0B4B746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发包人要求提前完工的，双方协商一致后应签订提前完工协议，协议内容包括：</w:t>
      </w:r>
    </w:p>
    <w:p w14:paraId="43EA0FF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（1）提前的时间和修订后的进度计划；</w:t>
      </w:r>
    </w:p>
    <w:p w14:paraId="7F3EC27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（2）承包人的赶工措施；</w:t>
      </w:r>
    </w:p>
    <w:p w14:paraId="496249E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（3）发包人为赶工提供的条件；</w:t>
      </w:r>
    </w:p>
    <w:p w14:paraId="76A9BB8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（4）赶工费用(包括利润和奖金)。</w:t>
      </w:r>
    </w:p>
    <w:p w14:paraId="5D15C293">
      <w:pPr>
        <w:spacing w:line="360" w:lineRule="auto"/>
        <w:ind w:firstLine="480" w:firstLineChars="200"/>
        <w:outlineLvl w:val="9"/>
        <w:rPr>
          <w:rFonts w:hint="eastAsia" w:ascii="宋体" w:hAnsi="宋体" w:eastAsia="宋体" w:cs="Times New Roman"/>
          <w:color w:val="auto"/>
          <w:sz w:val="24"/>
          <w:szCs w:val="24"/>
        </w:rPr>
      </w:pPr>
      <w:bookmarkStart w:id="450" w:name="_Toc184635109"/>
      <w:bookmarkStart w:id="451" w:name="_Toc26762"/>
      <w:bookmarkStart w:id="452" w:name="_Toc307416158"/>
      <w:bookmarkStart w:id="453" w:name="_Toc285028861"/>
      <w:bookmarkStart w:id="454" w:name="_Toc263677391"/>
      <w:bookmarkStart w:id="455" w:name="_Toc307417455"/>
      <w:bookmarkStart w:id="456" w:name="_Toc263370606"/>
      <w:bookmarkStart w:id="457" w:name="_Toc267472961"/>
      <w:bookmarkStart w:id="458" w:name="_Toc307485222"/>
      <w:bookmarkStart w:id="459" w:name="_Toc430097428"/>
      <w:r>
        <w:rPr>
          <w:rFonts w:hint="eastAsia" w:ascii="宋体" w:hAnsi="宋体" w:eastAsia="宋体" w:cs="Times New Roman"/>
          <w:color w:val="auto"/>
          <w:sz w:val="24"/>
          <w:szCs w:val="24"/>
        </w:rPr>
        <w:t>12．暂停施工</w:t>
      </w:r>
      <w:bookmarkEnd w:id="450"/>
      <w:bookmarkEnd w:id="451"/>
      <w:bookmarkEnd w:id="452"/>
      <w:bookmarkEnd w:id="453"/>
      <w:bookmarkEnd w:id="454"/>
      <w:bookmarkEnd w:id="455"/>
      <w:bookmarkEnd w:id="456"/>
      <w:bookmarkEnd w:id="457"/>
      <w:bookmarkEnd w:id="458"/>
      <w:bookmarkEnd w:id="459"/>
    </w:p>
    <w:p w14:paraId="25F3CF89">
      <w:pPr>
        <w:spacing w:line="360" w:lineRule="auto"/>
        <w:ind w:firstLine="480" w:firstLineChars="200"/>
        <w:outlineLvl w:val="9"/>
        <w:rPr>
          <w:rFonts w:hint="eastAsia" w:ascii="宋体" w:hAnsi="宋体" w:eastAsia="宋体" w:cs="Times New Roman"/>
          <w:color w:val="auto"/>
          <w:sz w:val="24"/>
          <w:szCs w:val="24"/>
        </w:rPr>
      </w:pPr>
      <w:bookmarkStart w:id="460" w:name="_Toc267472962"/>
      <w:bookmarkStart w:id="461" w:name="_Toc285028862"/>
      <w:bookmarkStart w:id="462" w:name="_Toc263677392"/>
      <w:r>
        <w:rPr>
          <w:rFonts w:hint="eastAsia" w:ascii="宋体" w:hAnsi="宋体" w:eastAsia="宋体" w:cs="Times New Roman"/>
          <w:color w:val="auto"/>
          <w:sz w:val="24"/>
          <w:szCs w:val="24"/>
        </w:rPr>
        <w:t>12.1 承包人暂停施工的责任</w:t>
      </w:r>
      <w:bookmarkEnd w:id="460"/>
      <w:bookmarkEnd w:id="461"/>
      <w:bookmarkEnd w:id="462"/>
    </w:p>
    <w:p w14:paraId="76B39CB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因下列暂停施工增加的费用和（或）工期延误由承包人承担：</w:t>
      </w:r>
    </w:p>
    <w:p w14:paraId="136EF5E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(1）承包人违约引起的暂停施工；</w:t>
      </w:r>
    </w:p>
    <w:p w14:paraId="160A170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(2）由于承包人原因为工程合理施工和安全保障所必需的暂停施工；</w:t>
      </w:r>
    </w:p>
    <w:p w14:paraId="4D4CB99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(3）承包人擅自暂停施工；</w:t>
      </w:r>
    </w:p>
    <w:p w14:paraId="6F46606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(4）承包人其他原因引起的暂停施工；</w:t>
      </w:r>
    </w:p>
    <w:p w14:paraId="34A0333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(5）专用合同条款约定由承包人承担的其他暂停施工。</w:t>
      </w:r>
    </w:p>
    <w:p w14:paraId="74C50B0F">
      <w:pPr>
        <w:spacing w:line="360" w:lineRule="auto"/>
        <w:ind w:firstLine="480" w:firstLineChars="200"/>
        <w:outlineLvl w:val="9"/>
        <w:rPr>
          <w:rFonts w:hint="eastAsia" w:ascii="宋体" w:hAnsi="宋体" w:eastAsia="宋体" w:cs="Times New Roman"/>
          <w:color w:val="auto"/>
          <w:sz w:val="24"/>
          <w:szCs w:val="24"/>
        </w:rPr>
      </w:pPr>
      <w:bookmarkStart w:id="463" w:name="_Toc285028863"/>
      <w:bookmarkStart w:id="464" w:name="_Toc267472963"/>
      <w:bookmarkStart w:id="465" w:name="_Toc263677393"/>
      <w:r>
        <w:rPr>
          <w:rFonts w:hint="eastAsia" w:ascii="宋体" w:hAnsi="宋体" w:eastAsia="宋体" w:cs="Times New Roman"/>
          <w:color w:val="auto"/>
          <w:sz w:val="24"/>
          <w:szCs w:val="24"/>
        </w:rPr>
        <w:t>12.2 发包人暂停施工的责任</w:t>
      </w:r>
      <w:bookmarkEnd w:id="463"/>
      <w:bookmarkEnd w:id="464"/>
      <w:bookmarkEnd w:id="465"/>
    </w:p>
    <w:p w14:paraId="03B940B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由于发包人原因引起的暂停施工造成工期延误的，承包人有权要求发包人延长工期和(或)增加费用，并支付合理利润。</w:t>
      </w:r>
    </w:p>
    <w:p w14:paraId="73C8BEC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属于下列任何一种情况引起的暂停施工，均为发包人的责任：</w:t>
      </w:r>
    </w:p>
    <w:p w14:paraId="0E1CF27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(1)由于发包人违约引起的暂停施工；</w:t>
      </w:r>
    </w:p>
    <w:p w14:paraId="4078EC2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(2)由于不可抗力的自然或社会因素引起的暂停施工；</w:t>
      </w:r>
    </w:p>
    <w:p w14:paraId="33C45D5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(3)专用合同条款中约定的其它由于发包人原因引起的暂停施工。</w:t>
      </w:r>
    </w:p>
    <w:p w14:paraId="1AE26F4B">
      <w:pPr>
        <w:spacing w:line="360" w:lineRule="auto"/>
        <w:ind w:firstLine="480" w:firstLineChars="200"/>
        <w:outlineLvl w:val="9"/>
        <w:rPr>
          <w:rFonts w:hint="eastAsia" w:ascii="宋体" w:hAnsi="宋体" w:eastAsia="宋体" w:cs="Times New Roman"/>
          <w:color w:val="auto"/>
          <w:sz w:val="24"/>
          <w:szCs w:val="24"/>
        </w:rPr>
      </w:pPr>
      <w:bookmarkStart w:id="466" w:name="_Toc267472964"/>
      <w:bookmarkStart w:id="467" w:name="_Toc285028864"/>
      <w:bookmarkStart w:id="468" w:name="_Toc263677394"/>
      <w:r>
        <w:rPr>
          <w:rFonts w:hint="eastAsia" w:ascii="宋体" w:hAnsi="宋体" w:eastAsia="宋体" w:cs="Times New Roman"/>
          <w:color w:val="auto"/>
          <w:sz w:val="24"/>
          <w:szCs w:val="24"/>
        </w:rPr>
        <w:t>12.3 监理人暂停施工指示</w:t>
      </w:r>
      <w:bookmarkEnd w:id="466"/>
      <w:bookmarkEnd w:id="467"/>
      <w:bookmarkEnd w:id="468"/>
    </w:p>
    <w:p w14:paraId="57FD440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12.3.1 监理人认为有必要时，可向承包人做出暂停施工的指示，承包人应按监理人指示暂停施工。不论由于何种原因引起的暂停施工，暂停施工期间承包人应负责妥善保护工程并提供安全保障。</w:t>
      </w:r>
    </w:p>
    <w:p w14:paraId="72AB26B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A75E4BC">
      <w:pPr>
        <w:spacing w:line="360" w:lineRule="auto"/>
        <w:ind w:firstLine="480" w:firstLineChars="200"/>
        <w:outlineLvl w:val="9"/>
        <w:rPr>
          <w:rFonts w:hint="eastAsia" w:ascii="宋体" w:hAnsi="宋体" w:eastAsia="宋体" w:cs="Times New Roman"/>
          <w:color w:val="auto"/>
          <w:sz w:val="24"/>
          <w:szCs w:val="24"/>
        </w:rPr>
      </w:pPr>
      <w:bookmarkStart w:id="469" w:name="_Toc267472965"/>
      <w:bookmarkStart w:id="470" w:name="_Toc263677395"/>
      <w:bookmarkStart w:id="471" w:name="_Toc285028865"/>
      <w:r>
        <w:rPr>
          <w:rFonts w:hint="eastAsia" w:ascii="宋体" w:hAnsi="宋体" w:eastAsia="宋体" w:cs="Times New Roman"/>
          <w:color w:val="auto"/>
          <w:sz w:val="24"/>
          <w:szCs w:val="24"/>
        </w:rPr>
        <w:t>12.4 暂停施工后的复工</w:t>
      </w:r>
      <w:bookmarkEnd w:id="469"/>
      <w:bookmarkEnd w:id="470"/>
      <w:bookmarkEnd w:id="471"/>
    </w:p>
    <w:p w14:paraId="788D5D5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362BA08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12.4.2 承包人无故拖延和拒绝复工的，由此增加的费用和工期延误由承包人承担；因发包人原因无法按时复工的，承包人有权要求发包人延长工期和（或）增加费用，并支付合理利润。</w:t>
      </w:r>
    </w:p>
    <w:p w14:paraId="50A2DFCD">
      <w:pPr>
        <w:spacing w:line="360" w:lineRule="auto"/>
        <w:ind w:firstLine="480" w:firstLineChars="200"/>
        <w:outlineLvl w:val="9"/>
        <w:rPr>
          <w:rFonts w:hint="eastAsia" w:ascii="宋体" w:hAnsi="宋体" w:eastAsia="宋体" w:cs="Times New Roman"/>
          <w:color w:val="auto"/>
          <w:sz w:val="24"/>
          <w:szCs w:val="24"/>
        </w:rPr>
      </w:pPr>
      <w:bookmarkStart w:id="472" w:name="_Toc263677396"/>
      <w:bookmarkStart w:id="473" w:name="_Toc267472966"/>
      <w:bookmarkStart w:id="474" w:name="_Toc285028866"/>
      <w:r>
        <w:rPr>
          <w:rFonts w:hint="eastAsia" w:ascii="宋体" w:hAnsi="宋体" w:eastAsia="宋体" w:cs="Times New Roman"/>
          <w:color w:val="auto"/>
          <w:sz w:val="24"/>
          <w:szCs w:val="24"/>
        </w:rPr>
        <w:t>12.5 暂停施工持续56 天以上</w:t>
      </w:r>
      <w:bookmarkEnd w:id="472"/>
      <w:bookmarkEnd w:id="473"/>
      <w:bookmarkEnd w:id="474"/>
    </w:p>
    <w:p w14:paraId="3C90A17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款的规定办理。</w:t>
      </w:r>
    </w:p>
    <w:p w14:paraId="18764D2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12.5.2 由于承包人责任引起的暂停施工，如承包人在收到监理人暂停施工指示后56天内不认真采取有效的复工措施，造成工期延误，可视为承包人违约，应按第22.1款的规定办理。</w:t>
      </w:r>
    </w:p>
    <w:p w14:paraId="1C0D2FB4">
      <w:pPr>
        <w:spacing w:line="360" w:lineRule="auto"/>
        <w:ind w:firstLine="480" w:firstLineChars="200"/>
        <w:outlineLvl w:val="9"/>
        <w:rPr>
          <w:rFonts w:hint="eastAsia" w:ascii="宋体" w:hAnsi="宋体" w:eastAsia="宋体" w:cs="Times New Roman"/>
          <w:color w:val="auto"/>
          <w:sz w:val="24"/>
          <w:szCs w:val="24"/>
        </w:rPr>
      </w:pPr>
      <w:bookmarkStart w:id="475" w:name="_Toc307485223"/>
      <w:bookmarkStart w:id="476" w:name="_Toc307417456"/>
      <w:bookmarkStart w:id="477" w:name="_Toc285028867"/>
      <w:bookmarkStart w:id="478" w:name="_Toc263370607"/>
      <w:bookmarkStart w:id="479" w:name="_Toc184635110"/>
      <w:bookmarkStart w:id="480" w:name="_Toc430097429"/>
      <w:bookmarkStart w:id="481" w:name="_Toc307416159"/>
      <w:bookmarkStart w:id="482" w:name="_Toc267472967"/>
      <w:bookmarkStart w:id="483" w:name="_Toc6003"/>
      <w:bookmarkStart w:id="484" w:name="_Toc263677397"/>
      <w:r>
        <w:rPr>
          <w:rFonts w:hint="eastAsia" w:ascii="宋体" w:hAnsi="宋体" w:eastAsia="宋体" w:cs="Times New Roman"/>
          <w:color w:val="auto"/>
          <w:sz w:val="24"/>
          <w:szCs w:val="24"/>
        </w:rPr>
        <w:t>13．工程质量</w:t>
      </w:r>
      <w:bookmarkEnd w:id="475"/>
      <w:bookmarkEnd w:id="476"/>
      <w:bookmarkEnd w:id="477"/>
      <w:bookmarkEnd w:id="478"/>
      <w:bookmarkEnd w:id="479"/>
      <w:bookmarkEnd w:id="480"/>
      <w:bookmarkEnd w:id="481"/>
      <w:bookmarkEnd w:id="482"/>
      <w:bookmarkEnd w:id="483"/>
      <w:bookmarkEnd w:id="484"/>
    </w:p>
    <w:p w14:paraId="1AAF7625">
      <w:pPr>
        <w:spacing w:line="360" w:lineRule="auto"/>
        <w:ind w:firstLine="480" w:firstLineChars="200"/>
        <w:outlineLvl w:val="9"/>
        <w:rPr>
          <w:rFonts w:hint="eastAsia" w:ascii="宋体" w:hAnsi="宋体" w:eastAsia="宋体" w:cs="Times New Roman"/>
          <w:color w:val="auto"/>
          <w:sz w:val="24"/>
          <w:szCs w:val="24"/>
        </w:rPr>
      </w:pPr>
      <w:bookmarkStart w:id="485" w:name="_Toc267472968"/>
      <w:bookmarkStart w:id="486" w:name="_Toc285028868"/>
      <w:bookmarkStart w:id="487" w:name="_Toc263677398"/>
      <w:r>
        <w:rPr>
          <w:rFonts w:hint="eastAsia" w:ascii="宋体" w:hAnsi="宋体" w:eastAsia="宋体" w:cs="Times New Roman"/>
          <w:color w:val="auto"/>
          <w:sz w:val="24"/>
          <w:szCs w:val="24"/>
        </w:rPr>
        <w:t>13.1 工程质量要求</w:t>
      </w:r>
      <w:bookmarkEnd w:id="485"/>
      <w:bookmarkEnd w:id="486"/>
      <w:bookmarkEnd w:id="487"/>
    </w:p>
    <w:p w14:paraId="3EBA8EB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13.1.1 工程质量验收按合同约定验收标准执行。</w:t>
      </w:r>
    </w:p>
    <w:p w14:paraId="5A08600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13.1.2 因承包人原因造成工程质量达不到合同约定验收标准的，监理人有权要求承包人返工直至符合合同要求为止，由此造成的费用增加和（或）工期延误由承包人承担。</w:t>
      </w:r>
    </w:p>
    <w:p w14:paraId="67D2579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13.1.3 因发包人原因造成工程质量达不到合同约定验收标准的，发包人应承担由于承包人返工造成的费用增加和（或）工期延误，并支付承包人合理利润。</w:t>
      </w:r>
    </w:p>
    <w:p w14:paraId="5F1A8F47">
      <w:pPr>
        <w:spacing w:line="360" w:lineRule="auto"/>
        <w:ind w:firstLine="480" w:firstLineChars="200"/>
        <w:outlineLvl w:val="9"/>
        <w:rPr>
          <w:rFonts w:hint="eastAsia" w:ascii="宋体" w:hAnsi="宋体" w:eastAsia="宋体" w:cs="Times New Roman"/>
          <w:color w:val="auto"/>
          <w:sz w:val="24"/>
          <w:szCs w:val="24"/>
        </w:rPr>
      </w:pPr>
      <w:bookmarkStart w:id="488" w:name="_Toc263677399"/>
      <w:bookmarkStart w:id="489" w:name="_Toc285028869"/>
      <w:bookmarkStart w:id="490" w:name="_Toc267472969"/>
      <w:r>
        <w:rPr>
          <w:rFonts w:hint="eastAsia" w:ascii="宋体" w:hAnsi="宋体" w:eastAsia="宋体" w:cs="Times New Roman"/>
          <w:color w:val="auto"/>
          <w:sz w:val="24"/>
          <w:szCs w:val="24"/>
        </w:rPr>
        <w:t>13.2 承包人的质量管理</w:t>
      </w:r>
      <w:bookmarkEnd w:id="488"/>
      <w:bookmarkEnd w:id="489"/>
      <w:bookmarkEnd w:id="490"/>
    </w:p>
    <w:p w14:paraId="716B720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729FCC8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13.2.2 承包人应加强对施工人员的质量教育和技术培训，定期考核施工人员的劳动技能，严格执行规范和操作规程。</w:t>
      </w:r>
    </w:p>
    <w:p w14:paraId="473ED16C">
      <w:pPr>
        <w:spacing w:line="360" w:lineRule="auto"/>
        <w:ind w:firstLine="480" w:firstLineChars="200"/>
        <w:outlineLvl w:val="9"/>
        <w:rPr>
          <w:rFonts w:hint="eastAsia" w:ascii="宋体" w:hAnsi="宋体" w:eastAsia="宋体" w:cs="Times New Roman"/>
          <w:color w:val="auto"/>
          <w:sz w:val="24"/>
          <w:szCs w:val="24"/>
        </w:rPr>
      </w:pPr>
      <w:bookmarkStart w:id="491" w:name="_Toc263677400"/>
      <w:bookmarkStart w:id="492" w:name="_Toc267472970"/>
      <w:bookmarkStart w:id="493" w:name="_Toc285028870"/>
      <w:r>
        <w:rPr>
          <w:rFonts w:hint="eastAsia" w:ascii="宋体" w:hAnsi="宋体" w:eastAsia="宋体" w:cs="Times New Roman"/>
          <w:color w:val="auto"/>
          <w:sz w:val="24"/>
          <w:szCs w:val="24"/>
        </w:rPr>
        <w:t>13.3 承包人的质量检查</w:t>
      </w:r>
      <w:bookmarkEnd w:id="491"/>
      <w:bookmarkEnd w:id="492"/>
      <w:bookmarkEnd w:id="493"/>
    </w:p>
    <w:p w14:paraId="4AEC212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承包人应按合同约定对材料、工程设备以及工程的所有部位及其施工工艺进行全过程的质量检查和检验，并作详细记录，编制工程质量报表，报送监理人审查。</w:t>
      </w:r>
    </w:p>
    <w:p w14:paraId="4846A17C">
      <w:pPr>
        <w:spacing w:line="360" w:lineRule="auto"/>
        <w:ind w:firstLine="480" w:firstLineChars="200"/>
        <w:outlineLvl w:val="9"/>
        <w:rPr>
          <w:rFonts w:hint="eastAsia" w:ascii="宋体" w:hAnsi="宋体" w:eastAsia="宋体" w:cs="Times New Roman"/>
          <w:color w:val="auto"/>
          <w:sz w:val="24"/>
          <w:szCs w:val="24"/>
        </w:rPr>
      </w:pPr>
      <w:bookmarkStart w:id="494" w:name="_Toc285028871"/>
      <w:bookmarkStart w:id="495" w:name="_Toc263677401"/>
      <w:bookmarkStart w:id="496" w:name="_Toc267472971"/>
      <w:r>
        <w:rPr>
          <w:rFonts w:hint="eastAsia" w:ascii="宋体" w:hAnsi="宋体" w:eastAsia="宋体" w:cs="Times New Roman"/>
          <w:color w:val="auto"/>
          <w:sz w:val="24"/>
          <w:szCs w:val="24"/>
        </w:rPr>
        <w:t>13.4 监理人的质量检查</w:t>
      </w:r>
      <w:bookmarkEnd w:id="494"/>
      <w:bookmarkEnd w:id="495"/>
      <w:bookmarkEnd w:id="496"/>
    </w:p>
    <w:p w14:paraId="44BA61B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BA56572">
      <w:pPr>
        <w:spacing w:line="360" w:lineRule="auto"/>
        <w:ind w:firstLine="480" w:firstLineChars="200"/>
        <w:outlineLvl w:val="9"/>
        <w:rPr>
          <w:rFonts w:hint="eastAsia" w:ascii="宋体" w:hAnsi="宋体" w:eastAsia="宋体" w:cs="Times New Roman"/>
          <w:color w:val="auto"/>
          <w:sz w:val="24"/>
          <w:szCs w:val="24"/>
        </w:rPr>
      </w:pPr>
      <w:bookmarkStart w:id="497" w:name="_Toc263677402"/>
      <w:bookmarkStart w:id="498" w:name="_Toc285028872"/>
      <w:bookmarkStart w:id="499" w:name="_Toc267472972"/>
      <w:r>
        <w:rPr>
          <w:rFonts w:hint="eastAsia" w:ascii="宋体" w:hAnsi="宋体" w:eastAsia="宋体" w:cs="Times New Roman"/>
          <w:color w:val="auto"/>
          <w:sz w:val="24"/>
          <w:szCs w:val="24"/>
        </w:rPr>
        <w:t>13.5 工程隐蔽部位覆盖前的检查</w:t>
      </w:r>
      <w:bookmarkEnd w:id="497"/>
      <w:bookmarkEnd w:id="498"/>
      <w:bookmarkEnd w:id="499"/>
    </w:p>
    <w:p w14:paraId="27AA7DA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13.5.1 通知监理人检查</w:t>
      </w:r>
    </w:p>
    <w:p w14:paraId="0A51B03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D43FE8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13.5.2 监理人未到场检查</w:t>
      </w:r>
    </w:p>
    <w:p w14:paraId="4557D29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监理人未按第13.5.l 项约定的时间进行检查的，除监理人另有指示外，承包人可自行完成覆盖工作，并作相应记录报送监理人，监理人应签字确认。监理人事后对检查记录有疑问的，可按第13.5.3项的约定重新检查。</w:t>
      </w:r>
    </w:p>
    <w:p w14:paraId="53589EB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13.5.3 监理人重新检查</w:t>
      </w:r>
    </w:p>
    <w:p w14:paraId="1E4291F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C32319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13.5.4 承包人私自覆盖</w:t>
      </w:r>
    </w:p>
    <w:p w14:paraId="4E1EC63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承包人未通知监理人到场检查，私自将工程隐蔽部位覆盖的，监理人有权指示承包人钻孔探测或揭开检查，由此增加的费用和（或）工期延误由承包人承担。</w:t>
      </w:r>
    </w:p>
    <w:p w14:paraId="1FEC2F02">
      <w:pPr>
        <w:spacing w:line="360" w:lineRule="auto"/>
        <w:ind w:firstLine="480" w:firstLineChars="200"/>
        <w:outlineLvl w:val="9"/>
        <w:rPr>
          <w:rFonts w:hint="eastAsia" w:ascii="宋体" w:hAnsi="宋体" w:eastAsia="宋体" w:cs="Times New Roman"/>
          <w:color w:val="auto"/>
          <w:sz w:val="24"/>
          <w:szCs w:val="24"/>
        </w:rPr>
      </w:pPr>
      <w:bookmarkStart w:id="500" w:name="_Toc285028873"/>
      <w:bookmarkStart w:id="501" w:name="_Toc267472973"/>
      <w:bookmarkStart w:id="502" w:name="_Toc263677403"/>
      <w:r>
        <w:rPr>
          <w:rFonts w:hint="eastAsia" w:ascii="宋体" w:hAnsi="宋体" w:eastAsia="宋体" w:cs="Times New Roman"/>
          <w:color w:val="auto"/>
          <w:sz w:val="24"/>
          <w:szCs w:val="24"/>
        </w:rPr>
        <w:t>13.6 清除不合格工程</w:t>
      </w:r>
      <w:bookmarkEnd w:id="500"/>
      <w:bookmarkEnd w:id="501"/>
      <w:bookmarkEnd w:id="502"/>
    </w:p>
    <w:p w14:paraId="43D2E05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55B148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13.6.2 由于发包人提供的材料或工程设备不合格造成的工程不合格，需要承包人采取措施补救的，发包人应承担由此增加的费用和（或）工期延误，并支付承包人合理利润。</w:t>
      </w:r>
    </w:p>
    <w:p w14:paraId="13CB486A">
      <w:pPr>
        <w:spacing w:line="360" w:lineRule="auto"/>
        <w:ind w:firstLine="480" w:firstLineChars="200"/>
        <w:outlineLvl w:val="9"/>
        <w:rPr>
          <w:rFonts w:hint="eastAsia" w:ascii="宋体" w:hAnsi="宋体" w:eastAsia="宋体" w:cs="Times New Roman"/>
          <w:color w:val="auto"/>
          <w:sz w:val="24"/>
          <w:szCs w:val="24"/>
        </w:rPr>
      </w:pPr>
      <w:bookmarkStart w:id="503" w:name="_Toc285028874"/>
      <w:bookmarkStart w:id="504" w:name="_Toc263677404"/>
      <w:bookmarkStart w:id="505" w:name="_Toc267472974"/>
      <w:r>
        <w:rPr>
          <w:rFonts w:hint="eastAsia" w:ascii="宋体" w:hAnsi="宋体" w:eastAsia="宋体" w:cs="Times New Roman"/>
          <w:color w:val="auto"/>
          <w:sz w:val="24"/>
          <w:szCs w:val="24"/>
        </w:rPr>
        <w:t>13.7 质量评定</w:t>
      </w:r>
      <w:bookmarkEnd w:id="503"/>
      <w:bookmarkEnd w:id="504"/>
      <w:bookmarkEnd w:id="505"/>
    </w:p>
    <w:p w14:paraId="0A32BB7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13.7.1 发包人应组织承包人进行工程项目划分，并确定单位工程、主要分部工程、重要隐蔽单元工程和关键部位单元工程。</w:t>
      </w:r>
    </w:p>
    <w:p w14:paraId="5BA510A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13.7.2 工程实施过程中，单位工程、主要分部工程、重要隐蔽单元工程和关键部位单元工程的项目划分需要调整时，承包人应报发包人确认。</w:t>
      </w:r>
    </w:p>
    <w:p w14:paraId="24CBC2E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13.7.3 承包人应在单元(工序)工程质量自评合格后，报监理人核定质量等级并签证认可。</w:t>
      </w:r>
    </w:p>
    <w:p w14:paraId="124B491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7444625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13.7.5 承包人应在分部工程质量自评合格后，报监理人复核和发包人认定。发包人负责按有关规定完成分部工程质量结论报工程质量监督机构核备(核定)手续。</w:t>
      </w:r>
    </w:p>
    <w:p w14:paraId="04F142F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13.7.6 承包人应在单位工程质量自评合格后，报监理人复核和发包人认定。发包人负责按有关规定完成单位工程质量结论报工程质量监督机构核定手续。</w:t>
      </w:r>
    </w:p>
    <w:p w14:paraId="64BFA5E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13.7.7  除专用合同条款另有约定外，工程质量等级分为合格和优良，应分别达到约定的标准。</w:t>
      </w:r>
    </w:p>
    <w:p w14:paraId="498DD2B1">
      <w:pPr>
        <w:spacing w:line="360" w:lineRule="auto"/>
        <w:ind w:firstLine="480" w:firstLineChars="200"/>
        <w:outlineLvl w:val="9"/>
        <w:rPr>
          <w:rFonts w:hint="eastAsia" w:ascii="宋体" w:hAnsi="宋体" w:eastAsia="宋体" w:cs="Times New Roman"/>
          <w:color w:val="auto"/>
          <w:sz w:val="24"/>
          <w:szCs w:val="24"/>
        </w:rPr>
      </w:pPr>
      <w:bookmarkStart w:id="506" w:name="_Toc285028875"/>
      <w:bookmarkStart w:id="507" w:name="_Toc267472975"/>
      <w:bookmarkStart w:id="508" w:name="_Toc263677405"/>
      <w:r>
        <w:rPr>
          <w:rFonts w:hint="eastAsia" w:ascii="宋体" w:hAnsi="宋体" w:eastAsia="宋体" w:cs="Times New Roman"/>
          <w:color w:val="auto"/>
          <w:sz w:val="24"/>
          <w:szCs w:val="24"/>
        </w:rPr>
        <w:t>13.8 质量事故处理</w:t>
      </w:r>
      <w:bookmarkEnd w:id="506"/>
      <w:bookmarkEnd w:id="507"/>
      <w:bookmarkEnd w:id="508"/>
    </w:p>
    <w:p w14:paraId="5E9A01A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13.8.1 发生质量事故时，承包人应及时向发包人和监理人报告。</w:t>
      </w:r>
    </w:p>
    <w:p w14:paraId="576270B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13.8.2 质量事故调查处理由发包人按相关规定履行手续，承包人应配合。</w:t>
      </w:r>
    </w:p>
    <w:p w14:paraId="35A495D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13.8.3 承包人应对质量缺陷进行备案。发包人委托监理人对质量缺陷备案情况进行监督检查并履行相关手续。</w:t>
      </w:r>
    </w:p>
    <w:p w14:paraId="7EC27B5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13.8.4 除专用合同条款另有约定外，工程竣工验收时，发包人负责向竣工验收委员会汇报并提交历次质量缺陷处理的备案资料。</w:t>
      </w:r>
    </w:p>
    <w:p w14:paraId="6DC247CA">
      <w:pPr>
        <w:spacing w:line="360" w:lineRule="auto"/>
        <w:ind w:firstLine="480" w:firstLineChars="200"/>
        <w:outlineLvl w:val="9"/>
        <w:rPr>
          <w:rFonts w:hint="eastAsia" w:ascii="宋体" w:hAnsi="宋体" w:eastAsia="宋体" w:cs="Times New Roman"/>
          <w:color w:val="auto"/>
          <w:sz w:val="24"/>
          <w:szCs w:val="24"/>
        </w:rPr>
      </w:pPr>
      <w:bookmarkStart w:id="509" w:name="_Toc430097430"/>
      <w:bookmarkStart w:id="510" w:name="_Toc263677406"/>
      <w:bookmarkStart w:id="511" w:name="_Toc184635111"/>
      <w:bookmarkStart w:id="512" w:name="_Toc307416160"/>
      <w:bookmarkStart w:id="513" w:name="_Toc9502"/>
      <w:bookmarkStart w:id="514" w:name="_Toc263370608"/>
      <w:bookmarkStart w:id="515" w:name="_Toc307417457"/>
      <w:bookmarkStart w:id="516" w:name="_Toc285028876"/>
      <w:bookmarkStart w:id="517" w:name="_Toc267472976"/>
      <w:bookmarkStart w:id="518" w:name="_Toc307485224"/>
      <w:r>
        <w:rPr>
          <w:rFonts w:hint="eastAsia" w:ascii="宋体" w:hAnsi="宋体" w:eastAsia="宋体" w:cs="Times New Roman"/>
          <w:color w:val="auto"/>
          <w:sz w:val="24"/>
          <w:szCs w:val="24"/>
        </w:rPr>
        <w:t>14．试验和检验</w:t>
      </w:r>
      <w:bookmarkEnd w:id="509"/>
      <w:bookmarkEnd w:id="510"/>
      <w:bookmarkEnd w:id="511"/>
      <w:bookmarkEnd w:id="512"/>
      <w:bookmarkEnd w:id="513"/>
      <w:bookmarkEnd w:id="514"/>
      <w:bookmarkEnd w:id="515"/>
      <w:bookmarkEnd w:id="516"/>
      <w:bookmarkEnd w:id="517"/>
      <w:bookmarkEnd w:id="518"/>
    </w:p>
    <w:p w14:paraId="3F8833C8">
      <w:pPr>
        <w:spacing w:line="360" w:lineRule="auto"/>
        <w:ind w:firstLine="480" w:firstLineChars="200"/>
        <w:outlineLvl w:val="9"/>
        <w:rPr>
          <w:rFonts w:hint="eastAsia" w:ascii="宋体" w:hAnsi="宋体" w:eastAsia="宋体" w:cs="Times New Roman"/>
          <w:color w:val="auto"/>
          <w:sz w:val="24"/>
          <w:szCs w:val="24"/>
        </w:rPr>
      </w:pPr>
      <w:bookmarkStart w:id="519" w:name="_Toc285028877"/>
      <w:bookmarkStart w:id="520" w:name="_Toc263677407"/>
      <w:bookmarkStart w:id="521" w:name="_Toc267472977"/>
      <w:r>
        <w:rPr>
          <w:rFonts w:hint="eastAsia" w:ascii="宋体" w:hAnsi="宋体" w:eastAsia="宋体" w:cs="Times New Roman"/>
          <w:color w:val="auto"/>
          <w:sz w:val="24"/>
          <w:szCs w:val="24"/>
        </w:rPr>
        <w:t>14.1 材料、工程设备和工程的试验和检验</w:t>
      </w:r>
      <w:bookmarkEnd w:id="519"/>
      <w:bookmarkEnd w:id="520"/>
      <w:bookmarkEnd w:id="521"/>
    </w:p>
    <w:p w14:paraId="24ABB8C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F16C80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14.1.2 监理人未按合同约定派员参加试验和检验的，除监理人另有指示外，承包人可自行试验和检验，并应立即将试验和检验结果报送监理人，监理人应签字确认。</w:t>
      </w:r>
    </w:p>
    <w:p w14:paraId="2BE1B49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97872C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14.1.4 承包人应按相关规定和标准对水泥、钢材等原材料与中间产品质量进行检验，并报监理人复核。</w:t>
      </w:r>
    </w:p>
    <w:p w14:paraId="3AC363E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480B13A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14.1.6 对专用合同条款约定的试块、试件及有关材料，监理人实行见证取样。见证取样资料由承包人制备，记录应真实齐全，监理人、承包人等参与见证取样人员均应在相关文件上签字。</w:t>
      </w:r>
    </w:p>
    <w:p w14:paraId="1E054A9A">
      <w:pPr>
        <w:spacing w:line="360" w:lineRule="auto"/>
        <w:ind w:firstLine="480" w:firstLineChars="200"/>
        <w:outlineLvl w:val="9"/>
        <w:rPr>
          <w:rFonts w:hint="eastAsia" w:ascii="宋体" w:hAnsi="宋体" w:eastAsia="宋体" w:cs="Times New Roman"/>
          <w:color w:val="auto"/>
          <w:sz w:val="24"/>
          <w:szCs w:val="24"/>
        </w:rPr>
      </w:pPr>
      <w:bookmarkStart w:id="522" w:name="_Toc267472978"/>
      <w:bookmarkStart w:id="523" w:name="_Toc285028878"/>
      <w:bookmarkStart w:id="524" w:name="_Toc263677408"/>
      <w:r>
        <w:rPr>
          <w:rFonts w:hint="eastAsia" w:ascii="宋体" w:hAnsi="宋体" w:eastAsia="宋体" w:cs="Times New Roman"/>
          <w:color w:val="auto"/>
          <w:sz w:val="24"/>
          <w:szCs w:val="24"/>
        </w:rPr>
        <w:t>14.2 现场材料试验</w:t>
      </w:r>
      <w:bookmarkEnd w:id="522"/>
      <w:bookmarkEnd w:id="523"/>
      <w:bookmarkEnd w:id="524"/>
    </w:p>
    <w:p w14:paraId="66175E2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14.2.1 承包人根据合同约定或监理人指示进行的现场材料试验，应由承包人提供试验场所、试验人员、试验设备器材以及其他必要的试验条件。</w:t>
      </w:r>
    </w:p>
    <w:p w14:paraId="0A65EF0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14.2.2 监理人在必要时可以使用承包人的试验场所、试验设备器材以及其他试验条件，进行以工程质量检查为目的的复核性材料试验，承包人应予以协助。</w:t>
      </w:r>
    </w:p>
    <w:p w14:paraId="5B2CEA8E">
      <w:pPr>
        <w:spacing w:line="360" w:lineRule="auto"/>
        <w:ind w:firstLine="480" w:firstLineChars="200"/>
        <w:outlineLvl w:val="9"/>
        <w:rPr>
          <w:rFonts w:hint="eastAsia" w:ascii="宋体" w:hAnsi="宋体" w:eastAsia="宋体" w:cs="Times New Roman"/>
          <w:color w:val="auto"/>
          <w:sz w:val="24"/>
          <w:szCs w:val="24"/>
        </w:rPr>
      </w:pPr>
      <w:bookmarkStart w:id="525" w:name="_Toc285028879"/>
      <w:bookmarkStart w:id="526" w:name="_Toc267472979"/>
      <w:bookmarkStart w:id="527" w:name="_Toc263677409"/>
      <w:r>
        <w:rPr>
          <w:rFonts w:hint="eastAsia" w:ascii="宋体" w:hAnsi="宋体" w:eastAsia="宋体" w:cs="Times New Roman"/>
          <w:color w:val="auto"/>
          <w:sz w:val="24"/>
          <w:szCs w:val="24"/>
        </w:rPr>
        <w:t>14.3 现场工艺试验</w:t>
      </w:r>
      <w:bookmarkEnd w:id="525"/>
      <w:bookmarkEnd w:id="526"/>
      <w:bookmarkEnd w:id="527"/>
    </w:p>
    <w:p w14:paraId="7DD65C4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承包人应按合同约定或监理人指示进行现场工艺试验。对大型的现场工艺试验，监理人认为必要时，应由承包人根据监理人提出的工艺试验要求，编制工艺试验措施计划，报送监理人审批。</w:t>
      </w:r>
    </w:p>
    <w:p w14:paraId="4CDB7116">
      <w:pPr>
        <w:spacing w:line="360" w:lineRule="auto"/>
        <w:ind w:firstLine="480" w:firstLineChars="200"/>
        <w:outlineLvl w:val="9"/>
        <w:rPr>
          <w:rFonts w:hint="eastAsia" w:ascii="宋体" w:hAnsi="宋体" w:eastAsia="宋体" w:cs="Times New Roman"/>
          <w:color w:val="auto"/>
          <w:sz w:val="24"/>
          <w:szCs w:val="24"/>
        </w:rPr>
      </w:pPr>
      <w:bookmarkStart w:id="528" w:name="_Toc307416161"/>
      <w:bookmarkStart w:id="529" w:name="_Toc263370609"/>
      <w:bookmarkStart w:id="530" w:name="_Toc184635112"/>
      <w:bookmarkStart w:id="531" w:name="_Toc307417458"/>
      <w:bookmarkStart w:id="532" w:name="_Toc285028880"/>
      <w:bookmarkStart w:id="533" w:name="_Toc430097431"/>
      <w:bookmarkStart w:id="534" w:name="_Toc263677410"/>
      <w:bookmarkStart w:id="535" w:name="_Toc267472980"/>
      <w:bookmarkStart w:id="536" w:name="_Toc6294"/>
      <w:bookmarkStart w:id="537" w:name="_Toc307485225"/>
      <w:r>
        <w:rPr>
          <w:rFonts w:hint="eastAsia" w:ascii="宋体" w:hAnsi="宋体" w:eastAsia="宋体" w:cs="Times New Roman"/>
          <w:color w:val="auto"/>
          <w:sz w:val="24"/>
          <w:szCs w:val="24"/>
        </w:rPr>
        <w:t>15．变更</w:t>
      </w:r>
      <w:bookmarkEnd w:id="528"/>
      <w:bookmarkEnd w:id="529"/>
      <w:bookmarkEnd w:id="530"/>
      <w:bookmarkEnd w:id="531"/>
      <w:bookmarkEnd w:id="532"/>
      <w:bookmarkEnd w:id="533"/>
      <w:bookmarkEnd w:id="534"/>
      <w:bookmarkEnd w:id="535"/>
      <w:bookmarkEnd w:id="536"/>
      <w:bookmarkEnd w:id="537"/>
    </w:p>
    <w:p w14:paraId="7A690CF3">
      <w:pPr>
        <w:spacing w:line="360" w:lineRule="auto"/>
        <w:ind w:firstLine="480" w:firstLineChars="200"/>
        <w:outlineLvl w:val="9"/>
        <w:rPr>
          <w:rFonts w:hint="eastAsia" w:ascii="宋体" w:hAnsi="宋体" w:eastAsia="宋体" w:cs="Times New Roman"/>
          <w:color w:val="auto"/>
          <w:sz w:val="24"/>
          <w:szCs w:val="24"/>
        </w:rPr>
      </w:pPr>
      <w:bookmarkStart w:id="538" w:name="_Toc285028881"/>
      <w:bookmarkStart w:id="539" w:name="_Toc263677411"/>
      <w:bookmarkStart w:id="540" w:name="_Toc267472981"/>
      <w:r>
        <w:rPr>
          <w:rFonts w:hint="eastAsia" w:ascii="宋体" w:hAnsi="宋体" w:eastAsia="宋体" w:cs="Times New Roman"/>
          <w:color w:val="auto"/>
          <w:sz w:val="24"/>
          <w:szCs w:val="24"/>
        </w:rPr>
        <w:t>15.1 变更的范围和内容</w:t>
      </w:r>
      <w:bookmarkEnd w:id="538"/>
      <w:bookmarkEnd w:id="539"/>
      <w:bookmarkEnd w:id="540"/>
    </w:p>
    <w:p w14:paraId="48ABC10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在履行合同中发生以下情形之一，应按照本款规定进行变更。</w:t>
      </w:r>
    </w:p>
    <w:p w14:paraId="62FD74C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(1)取消合同中任何一项工作，但被取消的工作不能转由发包人或其它人实施；</w:t>
      </w:r>
    </w:p>
    <w:p w14:paraId="5866D50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(2)改变合同中任何一项工作的质量或其它特性；</w:t>
      </w:r>
    </w:p>
    <w:p w14:paraId="45F39BA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(3)改变合同工程的基线、标高、位置或尺寸；</w:t>
      </w:r>
    </w:p>
    <w:p w14:paraId="391551A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(4)改变合同中任何一项工作的施工时间或改变已批准的施工工艺或顺序；</w:t>
      </w:r>
    </w:p>
    <w:p w14:paraId="374232F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(5)为完成工程需要追加的额外工作；</w:t>
      </w:r>
    </w:p>
    <w:p w14:paraId="0B9F042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(6)增加或减少专用合同条款中约定的关键项目工程量超过其工程总量的一定数量百分比。</w:t>
      </w:r>
    </w:p>
    <w:p w14:paraId="6561127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上述第(1)～(6)目的变更内容引起工程施工组织和进度计划发生实质性变动和影响其原定的价格时，才予调整该项目的单价。第(6)目情形下单价调整方式在专用合同条款中约定。</w:t>
      </w:r>
    </w:p>
    <w:p w14:paraId="09FC998A">
      <w:pPr>
        <w:spacing w:line="360" w:lineRule="auto"/>
        <w:ind w:firstLine="480" w:firstLineChars="200"/>
        <w:outlineLvl w:val="9"/>
        <w:rPr>
          <w:rFonts w:hint="eastAsia" w:ascii="宋体" w:hAnsi="宋体" w:eastAsia="宋体" w:cs="Times New Roman"/>
          <w:color w:val="auto"/>
          <w:sz w:val="24"/>
          <w:szCs w:val="24"/>
        </w:rPr>
      </w:pPr>
      <w:bookmarkStart w:id="541" w:name="_Toc267472982"/>
      <w:bookmarkStart w:id="542" w:name="_Toc263677412"/>
      <w:bookmarkStart w:id="543" w:name="_Toc285028882"/>
      <w:r>
        <w:rPr>
          <w:rFonts w:hint="eastAsia" w:ascii="宋体" w:hAnsi="宋体" w:eastAsia="宋体" w:cs="Times New Roman"/>
          <w:color w:val="auto"/>
          <w:sz w:val="24"/>
          <w:szCs w:val="24"/>
        </w:rPr>
        <w:t>15.2 变更权</w:t>
      </w:r>
      <w:bookmarkEnd w:id="541"/>
      <w:bookmarkEnd w:id="542"/>
      <w:bookmarkEnd w:id="543"/>
    </w:p>
    <w:p w14:paraId="3C2D3CB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在履行合同过程中，经发包人同意，监理人可按第15.3款约定的变更程序向承包人做出变更指示，承包人应遵照执行。没有监理人的变更指示，承包人不得擅自变更。</w:t>
      </w:r>
    </w:p>
    <w:p w14:paraId="0718541D">
      <w:pPr>
        <w:spacing w:line="360" w:lineRule="auto"/>
        <w:ind w:firstLine="480" w:firstLineChars="200"/>
        <w:outlineLvl w:val="9"/>
        <w:rPr>
          <w:rFonts w:hint="eastAsia" w:ascii="宋体" w:hAnsi="宋体" w:eastAsia="宋体" w:cs="Times New Roman"/>
          <w:color w:val="auto"/>
          <w:sz w:val="24"/>
          <w:szCs w:val="24"/>
        </w:rPr>
      </w:pPr>
      <w:bookmarkStart w:id="544" w:name="_Toc263677413"/>
      <w:bookmarkStart w:id="545" w:name="_Toc267472983"/>
      <w:bookmarkStart w:id="546" w:name="_Toc285028883"/>
      <w:r>
        <w:rPr>
          <w:rFonts w:hint="eastAsia" w:ascii="宋体" w:hAnsi="宋体" w:eastAsia="宋体" w:cs="Times New Roman"/>
          <w:color w:val="auto"/>
          <w:sz w:val="24"/>
          <w:szCs w:val="24"/>
        </w:rPr>
        <w:t>15.3 变更程序</w:t>
      </w:r>
      <w:bookmarkEnd w:id="544"/>
      <w:bookmarkEnd w:id="545"/>
      <w:bookmarkEnd w:id="546"/>
    </w:p>
    <w:p w14:paraId="21DFC86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15.3.1变更的提出</w:t>
      </w:r>
    </w:p>
    <w:p w14:paraId="5DFF039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37E4E0C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(2）在合同履行过程中，发生第15.1 款约定情形的，监理人应按照第15.3.3项约定向承包人发出变更指示。</w:t>
      </w:r>
    </w:p>
    <w:p w14:paraId="0A84D2A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做出变更指示。经研究后不同意作为变更的，应由监理人书面答复承包人。</w:t>
      </w:r>
    </w:p>
    <w:p w14:paraId="448F165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(4）若承包人收到监理人的变更意向书后认为难以实施此项变更，应立即通知监理人，说明原因并附详细依据。监理人与承包人和发包人协商后确定撤销、改变或不改变原变更意向书。</w:t>
      </w:r>
    </w:p>
    <w:p w14:paraId="4AF5899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15.3.2 变更估价</w:t>
      </w:r>
    </w:p>
    <w:p w14:paraId="161FE0E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3926B8D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(2）变更工作影响工期的，承包人应提出调整工期的具体细节。监理人认为有必要时，可要求承包人提交要求提前或延长工期的施工进度计划及相应施工措施等详细资料。</w:t>
      </w:r>
    </w:p>
    <w:p w14:paraId="226BE43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(3）除专用合同条款对期限另有约定外，监理人收到承包人变更报价书后的14天内，根据第15.4款约定的估价原则，按照第3.5款商定或确定变更价格。</w:t>
      </w:r>
    </w:p>
    <w:p w14:paraId="7A91303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15.3.3 变更指示</w:t>
      </w:r>
    </w:p>
    <w:p w14:paraId="54CACF9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(l）变更指示只能由监理人发出。</w:t>
      </w:r>
    </w:p>
    <w:p w14:paraId="453A255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(2）变更指示应说明变更的目的、范围、变更内容以及变更的工程量及其进度和技术要求，并附有关图纸和文件。承包人收到变更指示后，应按变更指示进行变更工作。</w:t>
      </w:r>
    </w:p>
    <w:p w14:paraId="569690AF">
      <w:pPr>
        <w:spacing w:line="360" w:lineRule="auto"/>
        <w:ind w:firstLine="480" w:firstLineChars="200"/>
        <w:outlineLvl w:val="9"/>
        <w:rPr>
          <w:rFonts w:hint="eastAsia" w:ascii="宋体" w:hAnsi="宋体" w:eastAsia="宋体" w:cs="Times New Roman"/>
          <w:color w:val="auto"/>
          <w:sz w:val="24"/>
          <w:szCs w:val="24"/>
        </w:rPr>
      </w:pPr>
      <w:bookmarkStart w:id="547" w:name="_Toc285028884"/>
      <w:bookmarkStart w:id="548" w:name="_Toc267472984"/>
      <w:bookmarkStart w:id="549" w:name="_Toc263677414"/>
      <w:r>
        <w:rPr>
          <w:rFonts w:hint="eastAsia" w:ascii="宋体" w:hAnsi="宋体" w:eastAsia="宋体" w:cs="Times New Roman"/>
          <w:color w:val="auto"/>
          <w:sz w:val="24"/>
          <w:szCs w:val="24"/>
        </w:rPr>
        <w:t>15.4 变更的估价原则</w:t>
      </w:r>
      <w:bookmarkEnd w:id="547"/>
      <w:bookmarkEnd w:id="548"/>
      <w:bookmarkEnd w:id="549"/>
    </w:p>
    <w:p w14:paraId="4E33DA8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除专用合同条款另有约定外，因变更引起的价格调整按照本款约定处理。</w:t>
      </w:r>
    </w:p>
    <w:p w14:paraId="0622133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15.4.1已标价工程量清单中有适用于变更工作的子目的，采用该子目的单价。</w:t>
      </w:r>
    </w:p>
    <w:p w14:paraId="782234F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15.4.2 已标价工程量清单中无适用于变更工作的子目，但有类似子目的，可在合理范围内参照类似子目的单价，由监理人按第3.5款商定或确定变更工作的单价。</w:t>
      </w:r>
    </w:p>
    <w:p w14:paraId="66710D3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15.4.3 已标价工程量清单中无适用或类似子目的单价，可按照成本加利润的原则，由监理人按第3.5款商定或确定变更工作的单价。</w:t>
      </w:r>
    </w:p>
    <w:p w14:paraId="167EAC11">
      <w:pPr>
        <w:spacing w:line="360" w:lineRule="auto"/>
        <w:ind w:firstLine="480" w:firstLineChars="200"/>
        <w:outlineLvl w:val="9"/>
        <w:rPr>
          <w:rFonts w:hint="eastAsia" w:ascii="宋体" w:hAnsi="宋体" w:eastAsia="宋体" w:cs="Times New Roman"/>
          <w:color w:val="auto"/>
          <w:sz w:val="24"/>
          <w:szCs w:val="24"/>
        </w:rPr>
      </w:pPr>
      <w:bookmarkStart w:id="550" w:name="_Toc267472985"/>
      <w:bookmarkStart w:id="551" w:name="_Toc285028885"/>
      <w:bookmarkStart w:id="552" w:name="_Toc263677415"/>
      <w:r>
        <w:rPr>
          <w:rFonts w:hint="eastAsia" w:ascii="宋体" w:hAnsi="宋体" w:eastAsia="宋体" w:cs="Times New Roman"/>
          <w:color w:val="auto"/>
          <w:sz w:val="24"/>
          <w:szCs w:val="24"/>
        </w:rPr>
        <w:t>15.5 承包人的合理化建议</w:t>
      </w:r>
      <w:bookmarkEnd w:id="550"/>
      <w:bookmarkEnd w:id="551"/>
      <w:bookmarkEnd w:id="552"/>
    </w:p>
    <w:p w14:paraId="385C767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1200B26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15.5.2 承包人提出的合理化建议降低了合同价格、缩短了工期或者提高了工程经济效益的，发包人可按国家有关规定在专用合同条款中约定给予奖励。</w:t>
      </w:r>
    </w:p>
    <w:p w14:paraId="3FF1B79B">
      <w:pPr>
        <w:spacing w:line="360" w:lineRule="auto"/>
        <w:ind w:firstLine="480" w:firstLineChars="200"/>
        <w:outlineLvl w:val="9"/>
        <w:rPr>
          <w:rFonts w:hint="eastAsia" w:ascii="宋体" w:hAnsi="宋体" w:eastAsia="宋体" w:cs="Times New Roman"/>
          <w:color w:val="auto"/>
          <w:sz w:val="24"/>
          <w:szCs w:val="24"/>
        </w:rPr>
      </w:pPr>
      <w:bookmarkStart w:id="553" w:name="_Toc263677416"/>
      <w:bookmarkStart w:id="554" w:name="_Toc267472986"/>
      <w:bookmarkStart w:id="555" w:name="_Toc285028886"/>
      <w:r>
        <w:rPr>
          <w:rFonts w:hint="eastAsia" w:ascii="宋体" w:hAnsi="宋体" w:eastAsia="宋体" w:cs="Times New Roman"/>
          <w:color w:val="auto"/>
          <w:sz w:val="24"/>
          <w:szCs w:val="24"/>
        </w:rPr>
        <w:t>15.6 暂列金额</w:t>
      </w:r>
      <w:bookmarkEnd w:id="553"/>
      <w:bookmarkEnd w:id="554"/>
      <w:bookmarkEnd w:id="555"/>
    </w:p>
    <w:p w14:paraId="7C2E1D6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暂列金额只能按照监理人的指示使用，并对合同价格进行相应调整。</w:t>
      </w:r>
    </w:p>
    <w:p w14:paraId="259FAB6C">
      <w:pPr>
        <w:spacing w:line="360" w:lineRule="auto"/>
        <w:ind w:firstLine="480" w:firstLineChars="200"/>
        <w:outlineLvl w:val="9"/>
        <w:rPr>
          <w:rFonts w:hint="eastAsia" w:ascii="宋体" w:hAnsi="宋体" w:eastAsia="宋体" w:cs="Times New Roman"/>
          <w:color w:val="auto"/>
          <w:sz w:val="24"/>
          <w:szCs w:val="24"/>
        </w:rPr>
      </w:pPr>
      <w:bookmarkStart w:id="556" w:name="_Toc267472987"/>
      <w:bookmarkStart w:id="557" w:name="_Toc285028887"/>
      <w:bookmarkStart w:id="558" w:name="_Toc263677417"/>
      <w:r>
        <w:rPr>
          <w:rFonts w:hint="eastAsia" w:ascii="宋体" w:hAnsi="宋体" w:eastAsia="宋体" w:cs="Times New Roman"/>
          <w:color w:val="auto"/>
          <w:sz w:val="24"/>
          <w:szCs w:val="24"/>
        </w:rPr>
        <w:t>15.7 计日工</w:t>
      </w:r>
      <w:bookmarkEnd w:id="556"/>
      <w:bookmarkEnd w:id="557"/>
      <w:bookmarkEnd w:id="558"/>
    </w:p>
    <w:p w14:paraId="3727E33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15.7.1 发包人认为有必要时，由监理人通知承包人以计日工方式实施变更的零星工作。其价款按列入已标价工程量清单中的计日工计价子目及其单价进行计算。</w:t>
      </w:r>
    </w:p>
    <w:p w14:paraId="374DB7B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15.7.2 采用计日工计价的任何一项变更工作，应从暂列金额中支付，承包人应在该项变更的实施过程中，每天提交以下报表和有关凭证报送监理人审批：</w:t>
      </w:r>
    </w:p>
    <w:p w14:paraId="626712D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(l）工作名称、内容和数量；</w:t>
      </w:r>
    </w:p>
    <w:p w14:paraId="4202C94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(2）投入该工作所有人员的姓名、工种、级别和耗用工时；</w:t>
      </w:r>
    </w:p>
    <w:p w14:paraId="4BC2344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(3）投入该工作的材料类别和数量；</w:t>
      </w:r>
    </w:p>
    <w:p w14:paraId="07C0931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(4）投入该工作的施工设备型号、台数和耗用台时；</w:t>
      </w:r>
    </w:p>
    <w:p w14:paraId="5E0610C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(5）监理人要求提交的其他资料和凭证。</w:t>
      </w:r>
    </w:p>
    <w:p w14:paraId="5604622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15.7.3 计日工由承包人汇总后，按第17.3 .2项的约定列入进度付款申请单，由监理人复核并经发包人同意后列入进度付款。</w:t>
      </w:r>
    </w:p>
    <w:p w14:paraId="5CC4492C">
      <w:pPr>
        <w:spacing w:line="360" w:lineRule="auto"/>
        <w:ind w:firstLine="480" w:firstLineChars="200"/>
        <w:outlineLvl w:val="9"/>
        <w:rPr>
          <w:rFonts w:hint="eastAsia" w:ascii="宋体" w:hAnsi="宋体" w:eastAsia="宋体" w:cs="Times New Roman"/>
          <w:color w:val="auto"/>
          <w:sz w:val="24"/>
          <w:szCs w:val="24"/>
        </w:rPr>
      </w:pPr>
      <w:bookmarkStart w:id="559" w:name="_Toc285028888"/>
      <w:bookmarkStart w:id="560" w:name="_Toc263677418"/>
      <w:bookmarkStart w:id="561" w:name="_Toc267472988"/>
      <w:r>
        <w:rPr>
          <w:rFonts w:hint="eastAsia" w:ascii="宋体" w:hAnsi="宋体" w:eastAsia="宋体" w:cs="Times New Roman"/>
          <w:color w:val="auto"/>
          <w:sz w:val="24"/>
          <w:szCs w:val="24"/>
        </w:rPr>
        <w:t>15.8 暂估价</w:t>
      </w:r>
      <w:bookmarkEnd w:id="559"/>
      <w:bookmarkEnd w:id="560"/>
      <w:bookmarkEnd w:id="561"/>
    </w:p>
    <w:p w14:paraId="59B3B19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2DD4047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6C75C16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73795858">
      <w:pPr>
        <w:spacing w:line="360" w:lineRule="auto"/>
        <w:ind w:firstLine="480" w:firstLineChars="200"/>
        <w:outlineLvl w:val="9"/>
        <w:rPr>
          <w:rFonts w:hint="eastAsia" w:ascii="宋体" w:hAnsi="宋体" w:eastAsia="宋体" w:cs="Times New Roman"/>
          <w:color w:val="auto"/>
          <w:sz w:val="24"/>
          <w:szCs w:val="24"/>
        </w:rPr>
      </w:pPr>
      <w:bookmarkStart w:id="562" w:name="_Toc285028889"/>
      <w:bookmarkStart w:id="563" w:name="_Toc184635113"/>
      <w:bookmarkStart w:id="564" w:name="_Toc267472989"/>
      <w:bookmarkStart w:id="565" w:name="_Toc307416162"/>
      <w:bookmarkStart w:id="566" w:name="_Toc307485226"/>
      <w:bookmarkStart w:id="567" w:name="_Toc263370610"/>
      <w:bookmarkStart w:id="568" w:name="_Toc430097432"/>
      <w:bookmarkStart w:id="569" w:name="_Toc26031"/>
      <w:bookmarkStart w:id="570" w:name="_Toc307417459"/>
      <w:bookmarkStart w:id="571" w:name="_Toc263677419"/>
      <w:r>
        <w:rPr>
          <w:rFonts w:hint="eastAsia" w:ascii="宋体" w:hAnsi="宋体" w:eastAsia="宋体" w:cs="Times New Roman"/>
          <w:color w:val="auto"/>
          <w:sz w:val="24"/>
          <w:szCs w:val="24"/>
        </w:rPr>
        <w:t>16．价格调整</w:t>
      </w:r>
      <w:bookmarkEnd w:id="562"/>
      <w:bookmarkEnd w:id="563"/>
      <w:bookmarkEnd w:id="564"/>
      <w:bookmarkEnd w:id="565"/>
      <w:bookmarkEnd w:id="566"/>
      <w:bookmarkEnd w:id="567"/>
      <w:bookmarkEnd w:id="568"/>
      <w:bookmarkEnd w:id="569"/>
      <w:bookmarkEnd w:id="570"/>
      <w:bookmarkEnd w:id="571"/>
    </w:p>
    <w:p w14:paraId="1756E83B">
      <w:pPr>
        <w:spacing w:line="360" w:lineRule="auto"/>
        <w:ind w:firstLine="480" w:firstLineChars="200"/>
        <w:outlineLvl w:val="9"/>
        <w:rPr>
          <w:rFonts w:hint="eastAsia" w:ascii="宋体" w:hAnsi="宋体" w:eastAsia="宋体" w:cs="Times New Roman"/>
          <w:color w:val="auto"/>
          <w:sz w:val="24"/>
          <w:szCs w:val="24"/>
        </w:rPr>
      </w:pPr>
      <w:bookmarkStart w:id="572" w:name="_Toc263677420"/>
      <w:bookmarkStart w:id="573" w:name="_Toc267472990"/>
      <w:bookmarkStart w:id="574" w:name="_Toc285028890"/>
      <w:r>
        <w:rPr>
          <w:rFonts w:hint="eastAsia" w:ascii="宋体" w:hAnsi="宋体" w:eastAsia="宋体" w:cs="Times New Roman"/>
          <w:color w:val="auto"/>
          <w:sz w:val="24"/>
          <w:szCs w:val="24"/>
        </w:rPr>
        <w:t>16.1 物价波动引起的价格调整</w:t>
      </w:r>
      <w:bookmarkEnd w:id="572"/>
      <w:bookmarkEnd w:id="573"/>
      <w:bookmarkEnd w:id="574"/>
    </w:p>
    <w:p w14:paraId="12D12C5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由于物价波动原因引起合同价格需要调整的，其价格调整方式在专用合同条款中约定。</w:t>
      </w:r>
    </w:p>
    <w:p w14:paraId="52C7833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16.1.1 采用价格指数调整价格差额</w:t>
      </w:r>
    </w:p>
    <w:p w14:paraId="6CF4FA3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16.1.1.1 价格调整公式</w:t>
      </w:r>
    </w:p>
    <w:p w14:paraId="2D72355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因人工、材料和设备等价格波动影响合同价格时，根据投标函附录中的价格指数和权重表约定的数据，按以下公式计算差额并调整合同价格。</w:t>
      </w:r>
    </w:p>
    <w:p w14:paraId="3AE53EF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object>
          <v:shape id="_x0000_i1025" o:spt="75" type="#_x0000_t75" style="height:39.35pt;width:309.6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14:paraId="66438AC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式中：△P —需调整的价格差额；</w:t>
      </w:r>
    </w:p>
    <w:p w14:paraId="724DE09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P</w:t>
      </w:r>
      <w:r>
        <w:rPr>
          <w:rFonts w:hint="eastAsia" w:ascii="宋体" w:hAnsi="宋体" w:eastAsia="宋体" w:cs="Times New Roman"/>
          <w:color w:val="auto"/>
          <w:sz w:val="24"/>
          <w:szCs w:val="24"/>
          <w:vertAlign w:val="subscript"/>
        </w:rPr>
        <w:t>O</w:t>
      </w:r>
      <w:r>
        <w:rPr>
          <w:rFonts w:hint="eastAsia" w:ascii="宋体" w:hAnsi="宋体" w:eastAsia="宋体" w:cs="Times New Roman"/>
          <w:color w:val="auto"/>
          <w:sz w:val="24"/>
          <w:szCs w:val="24"/>
        </w:rPr>
        <w:t xml:space="preserve">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113739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A —定值权重（即不调部分的权重）； </w:t>
      </w:r>
    </w:p>
    <w:p w14:paraId="7A09BF3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B</w:t>
      </w:r>
      <w:r>
        <w:rPr>
          <w:rFonts w:hint="eastAsia" w:ascii="宋体" w:hAnsi="宋体" w:eastAsia="宋体" w:cs="Times New Roman"/>
          <w:color w:val="auto"/>
          <w:sz w:val="24"/>
          <w:szCs w:val="24"/>
          <w:vertAlign w:val="subscript"/>
        </w:rPr>
        <w:t>1</w:t>
      </w:r>
      <w:r>
        <w:rPr>
          <w:rFonts w:hint="eastAsia" w:ascii="宋体" w:hAnsi="宋体" w:eastAsia="宋体" w:cs="Times New Roman"/>
          <w:color w:val="auto"/>
          <w:sz w:val="24"/>
          <w:szCs w:val="24"/>
        </w:rPr>
        <w:t>；B</w:t>
      </w:r>
      <w:r>
        <w:rPr>
          <w:rFonts w:hint="eastAsia" w:ascii="宋体" w:hAnsi="宋体" w:eastAsia="宋体" w:cs="Times New Roman"/>
          <w:color w:val="auto"/>
          <w:sz w:val="24"/>
          <w:szCs w:val="24"/>
          <w:vertAlign w:val="subscript"/>
        </w:rPr>
        <w:t>2</w:t>
      </w:r>
      <w:r>
        <w:rPr>
          <w:rFonts w:hint="eastAsia" w:ascii="宋体" w:hAnsi="宋体" w:eastAsia="宋体" w:cs="Times New Roman"/>
          <w:color w:val="auto"/>
          <w:sz w:val="24"/>
          <w:szCs w:val="24"/>
        </w:rPr>
        <w:t>；B</w:t>
      </w:r>
      <w:r>
        <w:rPr>
          <w:rFonts w:hint="eastAsia" w:ascii="宋体" w:hAnsi="宋体" w:eastAsia="宋体" w:cs="Times New Roman"/>
          <w:color w:val="auto"/>
          <w:sz w:val="24"/>
          <w:szCs w:val="24"/>
          <w:vertAlign w:val="subscript"/>
        </w:rPr>
        <w:t>3</w:t>
      </w:r>
      <w:r>
        <w:rPr>
          <w:rFonts w:hint="eastAsia" w:ascii="宋体" w:hAnsi="宋体" w:eastAsia="宋体" w:cs="Times New Roman"/>
          <w:color w:val="auto"/>
          <w:sz w:val="24"/>
          <w:szCs w:val="24"/>
        </w:rPr>
        <w:t>；……B</w:t>
      </w:r>
      <w:r>
        <w:rPr>
          <w:rFonts w:hint="eastAsia" w:ascii="宋体" w:hAnsi="宋体" w:eastAsia="宋体" w:cs="Times New Roman"/>
          <w:color w:val="auto"/>
          <w:sz w:val="24"/>
          <w:szCs w:val="24"/>
          <w:vertAlign w:val="subscript"/>
        </w:rPr>
        <w:t>n</w:t>
      </w:r>
      <w:r>
        <w:rPr>
          <w:rFonts w:hint="eastAsia" w:ascii="宋体" w:hAnsi="宋体" w:eastAsia="宋体" w:cs="Times New Roman"/>
          <w:color w:val="auto"/>
          <w:sz w:val="24"/>
          <w:szCs w:val="24"/>
        </w:rPr>
        <w:t>—各可调因子的变值权重（即可调部分的权重）为各可调因子在投标函投标总报价中所占的比例；</w:t>
      </w:r>
    </w:p>
    <w:p w14:paraId="69CDDA6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F</w:t>
      </w:r>
      <w:r>
        <w:rPr>
          <w:rFonts w:hint="eastAsia" w:ascii="宋体" w:hAnsi="宋体" w:eastAsia="宋体" w:cs="Times New Roman"/>
          <w:color w:val="auto"/>
          <w:sz w:val="24"/>
          <w:szCs w:val="24"/>
          <w:vertAlign w:val="subscript"/>
        </w:rPr>
        <w:t>t1</w:t>
      </w:r>
      <w:r>
        <w:rPr>
          <w:rFonts w:hint="eastAsia" w:ascii="宋体" w:hAnsi="宋体" w:eastAsia="宋体" w:cs="Times New Roman"/>
          <w:color w:val="auto"/>
          <w:sz w:val="24"/>
          <w:szCs w:val="24"/>
        </w:rPr>
        <w:t>；F</w:t>
      </w:r>
      <w:r>
        <w:rPr>
          <w:rFonts w:hint="eastAsia" w:ascii="宋体" w:hAnsi="宋体" w:eastAsia="宋体" w:cs="Times New Roman"/>
          <w:color w:val="auto"/>
          <w:sz w:val="24"/>
          <w:szCs w:val="24"/>
          <w:vertAlign w:val="subscript"/>
        </w:rPr>
        <w:t>t2</w:t>
      </w:r>
      <w:r>
        <w:rPr>
          <w:rFonts w:hint="eastAsia" w:ascii="宋体" w:hAnsi="宋体" w:eastAsia="宋体" w:cs="Times New Roman"/>
          <w:color w:val="auto"/>
          <w:sz w:val="24"/>
          <w:szCs w:val="24"/>
        </w:rPr>
        <w:t>；F</w:t>
      </w:r>
      <w:r>
        <w:rPr>
          <w:rFonts w:hint="eastAsia" w:ascii="宋体" w:hAnsi="宋体" w:eastAsia="宋体" w:cs="Times New Roman"/>
          <w:color w:val="auto"/>
          <w:sz w:val="24"/>
          <w:szCs w:val="24"/>
          <w:vertAlign w:val="subscript"/>
        </w:rPr>
        <w:t>t3</w:t>
      </w:r>
      <w:r>
        <w:rPr>
          <w:rFonts w:hint="eastAsia" w:ascii="宋体" w:hAnsi="宋体" w:eastAsia="宋体" w:cs="Times New Roman"/>
          <w:color w:val="auto"/>
          <w:sz w:val="24"/>
          <w:szCs w:val="24"/>
        </w:rPr>
        <w:t>；……F</w:t>
      </w:r>
      <w:r>
        <w:rPr>
          <w:rFonts w:hint="eastAsia" w:ascii="宋体" w:hAnsi="宋体" w:eastAsia="宋体" w:cs="Times New Roman"/>
          <w:color w:val="auto"/>
          <w:sz w:val="24"/>
          <w:szCs w:val="24"/>
          <w:vertAlign w:val="subscript"/>
        </w:rPr>
        <w:t>tn</w:t>
      </w:r>
      <w:r>
        <w:rPr>
          <w:rFonts w:hint="eastAsia" w:ascii="宋体" w:hAnsi="宋体" w:eastAsia="宋体" w:cs="Times New Roman"/>
          <w:color w:val="auto"/>
          <w:sz w:val="24"/>
          <w:szCs w:val="24"/>
        </w:rPr>
        <w:t>—各可调因子的现行价格指数，指第17.3.3项、第17.5.2项和第17.6.2项约定的付款证书相关周期最后一天的前42天的各可调因子的价格指数；</w:t>
      </w:r>
    </w:p>
    <w:p w14:paraId="5303CA2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F</w:t>
      </w:r>
      <w:r>
        <w:rPr>
          <w:rFonts w:hint="eastAsia" w:ascii="宋体" w:hAnsi="宋体" w:eastAsia="宋体" w:cs="Times New Roman"/>
          <w:color w:val="auto"/>
          <w:sz w:val="24"/>
          <w:szCs w:val="24"/>
          <w:vertAlign w:val="subscript"/>
        </w:rPr>
        <w:t>01</w:t>
      </w:r>
      <w:r>
        <w:rPr>
          <w:rFonts w:hint="eastAsia" w:ascii="宋体" w:hAnsi="宋体" w:eastAsia="宋体" w:cs="Times New Roman"/>
          <w:color w:val="auto"/>
          <w:sz w:val="24"/>
          <w:szCs w:val="24"/>
        </w:rPr>
        <w:t>；F</w:t>
      </w:r>
      <w:r>
        <w:rPr>
          <w:rFonts w:hint="eastAsia" w:ascii="宋体" w:hAnsi="宋体" w:eastAsia="宋体" w:cs="Times New Roman"/>
          <w:color w:val="auto"/>
          <w:sz w:val="24"/>
          <w:szCs w:val="24"/>
          <w:vertAlign w:val="subscript"/>
        </w:rPr>
        <w:t>02</w:t>
      </w:r>
      <w:r>
        <w:rPr>
          <w:rFonts w:hint="eastAsia" w:ascii="宋体" w:hAnsi="宋体" w:eastAsia="宋体" w:cs="Times New Roman"/>
          <w:color w:val="auto"/>
          <w:sz w:val="24"/>
          <w:szCs w:val="24"/>
        </w:rPr>
        <w:t>；F</w:t>
      </w:r>
      <w:r>
        <w:rPr>
          <w:rFonts w:hint="eastAsia" w:ascii="宋体" w:hAnsi="宋体" w:eastAsia="宋体" w:cs="Times New Roman"/>
          <w:color w:val="auto"/>
          <w:sz w:val="24"/>
          <w:szCs w:val="24"/>
          <w:vertAlign w:val="subscript"/>
        </w:rPr>
        <w:t>03</w:t>
      </w:r>
      <w:r>
        <w:rPr>
          <w:rFonts w:hint="eastAsia" w:ascii="宋体" w:hAnsi="宋体" w:eastAsia="宋体" w:cs="Times New Roman"/>
          <w:color w:val="auto"/>
          <w:sz w:val="24"/>
          <w:szCs w:val="24"/>
        </w:rPr>
        <w:t>；……F</w:t>
      </w:r>
      <w:r>
        <w:rPr>
          <w:rFonts w:hint="eastAsia" w:ascii="宋体" w:hAnsi="宋体" w:eastAsia="宋体" w:cs="Times New Roman"/>
          <w:color w:val="auto"/>
          <w:sz w:val="24"/>
          <w:szCs w:val="24"/>
          <w:vertAlign w:val="subscript"/>
        </w:rPr>
        <w:t>0n</w:t>
      </w:r>
      <w:r>
        <w:rPr>
          <w:rFonts w:hint="eastAsia" w:ascii="宋体" w:hAnsi="宋体" w:eastAsia="宋体" w:cs="Times New Roman"/>
          <w:color w:val="auto"/>
          <w:sz w:val="24"/>
          <w:szCs w:val="24"/>
        </w:rPr>
        <w:t>—各可调因子的基本价格指数，指基准日期的各可调因子的价格指数。</w:t>
      </w:r>
    </w:p>
    <w:p w14:paraId="3297DDA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04CBB9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16.1.1.2 暂时确定调整差额</w:t>
      </w:r>
    </w:p>
    <w:p w14:paraId="0188356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在计算调整差额时得不到现行价格指数的，可暂用上一次价格指数计算，并在以后的付款中再按实际价格指数进行调整。</w:t>
      </w:r>
    </w:p>
    <w:p w14:paraId="78FCCE2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16.1.1.3 权重的调整</w:t>
      </w:r>
    </w:p>
    <w:p w14:paraId="2F0936D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按第15.1 款约定的变更导致原定合同中的权重不合理时，由监理人与承包人和发包人协商后进行调整。</w:t>
      </w:r>
    </w:p>
    <w:p w14:paraId="6846B35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16.1.1.4 承包人工期延误后的价格调整</w:t>
      </w:r>
    </w:p>
    <w:p w14:paraId="7F2AEC5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E98DA0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16.1.2 采用造价信息调整价格差额</w:t>
      </w:r>
    </w:p>
    <w:p w14:paraId="531B8DD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0DB8521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工程造价信息的来源以及价格调整的项目和系数在专用合同条款中约定。</w:t>
      </w:r>
    </w:p>
    <w:p w14:paraId="47005C09">
      <w:pPr>
        <w:spacing w:line="360" w:lineRule="auto"/>
        <w:ind w:firstLine="480" w:firstLineChars="200"/>
        <w:outlineLvl w:val="9"/>
        <w:rPr>
          <w:rFonts w:hint="eastAsia" w:ascii="宋体" w:hAnsi="宋体" w:eastAsia="宋体" w:cs="Times New Roman"/>
          <w:color w:val="auto"/>
          <w:sz w:val="24"/>
          <w:szCs w:val="24"/>
        </w:rPr>
      </w:pPr>
      <w:bookmarkStart w:id="575" w:name="_Toc285028891"/>
      <w:bookmarkStart w:id="576" w:name="_Toc267472991"/>
      <w:bookmarkStart w:id="577" w:name="_Toc263677421"/>
      <w:r>
        <w:rPr>
          <w:rFonts w:hint="eastAsia" w:ascii="宋体" w:hAnsi="宋体" w:eastAsia="宋体" w:cs="Times New Roman"/>
          <w:color w:val="auto"/>
          <w:sz w:val="24"/>
          <w:szCs w:val="24"/>
        </w:rPr>
        <w:t>16.2 法律变化引起的价格调整</w:t>
      </w:r>
      <w:bookmarkEnd w:id="575"/>
      <w:bookmarkEnd w:id="576"/>
      <w:bookmarkEnd w:id="577"/>
    </w:p>
    <w:p w14:paraId="1E53492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795A067B">
      <w:pPr>
        <w:spacing w:line="360" w:lineRule="auto"/>
        <w:ind w:firstLine="480" w:firstLineChars="200"/>
        <w:outlineLvl w:val="9"/>
        <w:rPr>
          <w:rFonts w:hint="eastAsia" w:ascii="宋体" w:hAnsi="宋体" w:eastAsia="宋体" w:cs="Times New Roman"/>
          <w:color w:val="auto"/>
          <w:sz w:val="24"/>
          <w:szCs w:val="24"/>
        </w:rPr>
      </w:pPr>
      <w:bookmarkStart w:id="578" w:name="_Toc285028892"/>
      <w:bookmarkStart w:id="579" w:name="_Toc307417460"/>
      <w:bookmarkStart w:id="580" w:name="_Toc263370611"/>
      <w:bookmarkStart w:id="581" w:name="_Toc20755"/>
      <w:bookmarkStart w:id="582" w:name="_Toc263677422"/>
      <w:bookmarkStart w:id="583" w:name="_Toc430097433"/>
      <w:bookmarkStart w:id="584" w:name="_Toc307416163"/>
      <w:bookmarkStart w:id="585" w:name="_Toc184635114"/>
      <w:bookmarkStart w:id="586" w:name="_Toc307485227"/>
      <w:bookmarkStart w:id="587" w:name="_Toc267472992"/>
      <w:r>
        <w:rPr>
          <w:rFonts w:hint="eastAsia" w:ascii="宋体" w:hAnsi="宋体" w:eastAsia="宋体" w:cs="Times New Roman"/>
          <w:color w:val="auto"/>
          <w:sz w:val="24"/>
          <w:szCs w:val="24"/>
        </w:rPr>
        <w:t>17．计量与支付</w:t>
      </w:r>
      <w:bookmarkEnd w:id="578"/>
      <w:bookmarkEnd w:id="579"/>
      <w:bookmarkEnd w:id="580"/>
      <w:bookmarkEnd w:id="581"/>
      <w:bookmarkEnd w:id="582"/>
      <w:bookmarkEnd w:id="583"/>
      <w:bookmarkEnd w:id="584"/>
      <w:bookmarkEnd w:id="585"/>
      <w:bookmarkEnd w:id="586"/>
      <w:bookmarkEnd w:id="587"/>
    </w:p>
    <w:p w14:paraId="513D93F4">
      <w:pPr>
        <w:spacing w:line="360" w:lineRule="auto"/>
        <w:ind w:firstLine="480" w:firstLineChars="200"/>
        <w:outlineLvl w:val="9"/>
        <w:rPr>
          <w:rFonts w:hint="eastAsia" w:ascii="宋体" w:hAnsi="宋体" w:eastAsia="宋体" w:cs="Times New Roman"/>
          <w:color w:val="auto"/>
          <w:sz w:val="24"/>
          <w:szCs w:val="24"/>
        </w:rPr>
      </w:pPr>
      <w:bookmarkStart w:id="588" w:name="_Toc263677423"/>
      <w:bookmarkStart w:id="589" w:name="_Toc267472993"/>
      <w:bookmarkStart w:id="590" w:name="_Toc285028893"/>
      <w:r>
        <w:rPr>
          <w:rFonts w:hint="eastAsia" w:ascii="宋体" w:hAnsi="宋体" w:eastAsia="宋体" w:cs="Times New Roman"/>
          <w:color w:val="auto"/>
          <w:sz w:val="24"/>
          <w:szCs w:val="24"/>
        </w:rPr>
        <w:t>17.1 计量</w:t>
      </w:r>
      <w:bookmarkEnd w:id="588"/>
      <w:bookmarkEnd w:id="589"/>
      <w:bookmarkEnd w:id="590"/>
    </w:p>
    <w:p w14:paraId="69F940AF">
      <w:pPr>
        <w:spacing w:line="360" w:lineRule="auto"/>
        <w:ind w:firstLine="480" w:firstLineChars="200"/>
        <w:outlineLvl w:val="9"/>
        <w:rPr>
          <w:rFonts w:hint="eastAsia" w:ascii="宋体" w:hAnsi="宋体" w:eastAsia="宋体" w:cs="Times New Roman"/>
          <w:color w:val="auto"/>
          <w:sz w:val="24"/>
          <w:szCs w:val="24"/>
        </w:rPr>
      </w:pPr>
      <w:bookmarkStart w:id="591" w:name="_Toc267470998"/>
      <w:bookmarkStart w:id="592" w:name="_Toc275528137"/>
      <w:bookmarkStart w:id="593" w:name="_Toc267472994"/>
      <w:r>
        <w:rPr>
          <w:rFonts w:hint="eastAsia" w:ascii="宋体" w:hAnsi="宋体" w:eastAsia="宋体" w:cs="Times New Roman"/>
          <w:color w:val="auto"/>
          <w:sz w:val="24"/>
          <w:szCs w:val="24"/>
        </w:rPr>
        <w:t>17.1.1 计量单位</w:t>
      </w:r>
      <w:bookmarkEnd w:id="591"/>
      <w:bookmarkEnd w:id="592"/>
      <w:bookmarkEnd w:id="593"/>
    </w:p>
    <w:p w14:paraId="547B5A7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计量采用国家法定的计量单位。</w:t>
      </w:r>
    </w:p>
    <w:p w14:paraId="0D1448E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17.1.2 计量方法</w:t>
      </w:r>
    </w:p>
    <w:p w14:paraId="6ED0592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结算工程量应按工程量清单中约定的方法计量。</w:t>
      </w:r>
    </w:p>
    <w:p w14:paraId="6C0CFA5F">
      <w:pPr>
        <w:spacing w:line="360" w:lineRule="auto"/>
        <w:ind w:firstLine="480" w:firstLineChars="200"/>
        <w:outlineLvl w:val="9"/>
        <w:rPr>
          <w:rFonts w:hint="eastAsia" w:ascii="宋体" w:hAnsi="宋体" w:eastAsia="宋体" w:cs="Times New Roman"/>
          <w:color w:val="auto"/>
          <w:sz w:val="24"/>
          <w:szCs w:val="24"/>
        </w:rPr>
      </w:pPr>
      <w:bookmarkStart w:id="594" w:name="_Toc267470999"/>
      <w:bookmarkStart w:id="595" w:name="_Toc267472995"/>
      <w:bookmarkStart w:id="596" w:name="_Toc275528138"/>
      <w:r>
        <w:rPr>
          <w:rFonts w:hint="eastAsia" w:ascii="宋体" w:hAnsi="宋体" w:eastAsia="宋体" w:cs="Times New Roman"/>
          <w:color w:val="auto"/>
          <w:sz w:val="24"/>
          <w:szCs w:val="24"/>
        </w:rPr>
        <w:t>17.1.3 计量周期</w:t>
      </w:r>
      <w:bookmarkEnd w:id="594"/>
      <w:bookmarkEnd w:id="595"/>
      <w:bookmarkEnd w:id="596"/>
    </w:p>
    <w:p w14:paraId="56F4397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除专用合同条款另有约定外，单价子目已完成工程量按月计量，总价子目的计量周期按批准的支付分解报告确定。</w:t>
      </w:r>
    </w:p>
    <w:p w14:paraId="5DFF636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17.1.4 单价子目的计量</w:t>
      </w:r>
    </w:p>
    <w:p w14:paraId="2083F10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(l）已标价工程量清单中的单价子目工程量为估算工程量。结算工程量是承包人实际完成的，并按合同约定的计量方法进行计量的工程量。</w:t>
      </w:r>
    </w:p>
    <w:p w14:paraId="2574FD6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(2）承包人对已完成的工程进行计量，向监理人提交进度付款申请单、已完成工程量报表和有关计量资料。</w:t>
      </w:r>
    </w:p>
    <w:p w14:paraId="067731E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2F5DBD1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(4）监理人认为有必要时，可通知承包人共同进行联合测量、计量，承包人应遵照执行。</w:t>
      </w:r>
    </w:p>
    <w:p w14:paraId="1DC60A1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14:paraId="24B10E2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(6）监理人应在收到承包人提交的工程量报表后的7天内进行复核，监理人未在约定时间内复核的，承包人提交的工程量报表中的工程量视为承包人实际完成的工程量，据此计算工程价款。</w:t>
      </w:r>
    </w:p>
    <w:p w14:paraId="65A585C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17.1.5 总价子目的计量</w:t>
      </w:r>
    </w:p>
    <w:p w14:paraId="17A55F2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除专用合同条款另有约定外，总价子目的分解和计量按照下述约定进行。</w:t>
      </w:r>
    </w:p>
    <w:p w14:paraId="5D0FDCB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(1)总价子目的计量和支付应以总价为基础，不因第16.1款中的因素而进行调整。承包人实际完成的工程量，是进行工程目标管理和控制进度支付的依据。</w:t>
      </w:r>
    </w:p>
    <w:p w14:paraId="79CD50A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人进度付款申请单中。</w:t>
      </w:r>
    </w:p>
    <w:p w14:paraId="2C8FA0F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(3)监理人对承包人提交的上述资料进行复核，以确定分阶段实际完成的工程量和工程形象目标。对其有异议的，可要求承包人按第8.2款约定进行共同复核和抽样复测。</w:t>
      </w:r>
    </w:p>
    <w:p w14:paraId="050816D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(4)除按照第15条约定的变更外，总价子目的工程量是承包人用于结算的最终工程量。</w:t>
      </w:r>
    </w:p>
    <w:p w14:paraId="2AFD4040">
      <w:pPr>
        <w:spacing w:line="360" w:lineRule="auto"/>
        <w:ind w:firstLine="480" w:firstLineChars="200"/>
        <w:outlineLvl w:val="9"/>
        <w:rPr>
          <w:rFonts w:hint="eastAsia" w:ascii="宋体" w:hAnsi="宋体" w:eastAsia="宋体" w:cs="Times New Roman"/>
          <w:color w:val="auto"/>
          <w:sz w:val="24"/>
          <w:szCs w:val="24"/>
        </w:rPr>
      </w:pPr>
      <w:bookmarkStart w:id="597" w:name="_Toc285028894"/>
      <w:bookmarkStart w:id="598" w:name="_Toc263677424"/>
      <w:bookmarkStart w:id="599" w:name="_Toc267472996"/>
      <w:r>
        <w:rPr>
          <w:rFonts w:hint="eastAsia" w:ascii="宋体" w:hAnsi="宋体" w:eastAsia="宋体" w:cs="Times New Roman"/>
          <w:color w:val="auto"/>
          <w:sz w:val="24"/>
          <w:szCs w:val="24"/>
        </w:rPr>
        <w:t>17.2 预付款</w:t>
      </w:r>
      <w:bookmarkEnd w:id="597"/>
      <w:bookmarkEnd w:id="598"/>
      <w:bookmarkEnd w:id="599"/>
    </w:p>
    <w:p w14:paraId="4FAFDD0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17.2.1 预付款</w:t>
      </w:r>
    </w:p>
    <w:p w14:paraId="655D229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F0CD620">
      <w:pPr>
        <w:spacing w:line="360" w:lineRule="auto"/>
        <w:ind w:firstLine="480" w:firstLineChars="200"/>
        <w:outlineLvl w:val="9"/>
        <w:rPr>
          <w:rFonts w:hint="eastAsia" w:ascii="宋体" w:hAnsi="宋体" w:eastAsia="宋体" w:cs="Times New Roman"/>
          <w:color w:val="auto"/>
          <w:sz w:val="24"/>
          <w:szCs w:val="24"/>
        </w:rPr>
      </w:pPr>
      <w:bookmarkStart w:id="600" w:name="_Toc275528140"/>
      <w:bookmarkStart w:id="601" w:name="_Toc267472997"/>
      <w:bookmarkStart w:id="602" w:name="_Toc267471001"/>
      <w:r>
        <w:rPr>
          <w:rFonts w:hint="eastAsia" w:ascii="宋体" w:hAnsi="宋体" w:eastAsia="宋体" w:cs="Times New Roman"/>
          <w:color w:val="auto"/>
          <w:sz w:val="24"/>
          <w:szCs w:val="24"/>
        </w:rPr>
        <w:t>17.2.2 预付款保函</w:t>
      </w:r>
      <w:bookmarkEnd w:id="600"/>
      <w:bookmarkEnd w:id="601"/>
      <w:bookmarkEnd w:id="602"/>
    </w:p>
    <w:p w14:paraId="74B0253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(1)承包人应在收到第一次工程预付款的同时向发包人提交工程预付款担保，担保金额应与第一次工程预付款金额相同，工程预付款担保在第一次工程预付款被发包人扣回前一直有效。</w:t>
      </w:r>
    </w:p>
    <w:p w14:paraId="1611A48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(2)工程材料预付款的担保在专用合同条款中约定。</w:t>
      </w:r>
    </w:p>
    <w:p w14:paraId="42E292A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(3)预付款担保的担保金额可根据预付款扣回的金额相应递减。</w:t>
      </w:r>
    </w:p>
    <w:p w14:paraId="779FE6C3">
      <w:pPr>
        <w:spacing w:line="360" w:lineRule="auto"/>
        <w:ind w:firstLine="480" w:firstLineChars="200"/>
        <w:outlineLvl w:val="9"/>
        <w:rPr>
          <w:rFonts w:hint="eastAsia" w:ascii="宋体" w:hAnsi="宋体" w:eastAsia="宋体" w:cs="Times New Roman"/>
          <w:color w:val="auto"/>
          <w:sz w:val="24"/>
          <w:szCs w:val="24"/>
        </w:rPr>
      </w:pPr>
      <w:bookmarkStart w:id="603" w:name="_Toc267471002"/>
      <w:bookmarkStart w:id="604" w:name="_Toc267472998"/>
      <w:bookmarkStart w:id="605" w:name="_Toc275528141"/>
      <w:r>
        <w:rPr>
          <w:rFonts w:hint="eastAsia" w:ascii="宋体" w:hAnsi="宋体" w:eastAsia="宋体" w:cs="Times New Roman"/>
          <w:color w:val="auto"/>
          <w:sz w:val="24"/>
          <w:szCs w:val="24"/>
        </w:rPr>
        <w:t>17.2.3 预付款的扣回与还清</w:t>
      </w:r>
      <w:bookmarkEnd w:id="603"/>
      <w:bookmarkEnd w:id="604"/>
      <w:bookmarkEnd w:id="605"/>
    </w:p>
    <w:p w14:paraId="533A2BD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765955CA">
      <w:pPr>
        <w:spacing w:line="360" w:lineRule="auto"/>
        <w:ind w:firstLine="480" w:firstLineChars="200"/>
        <w:outlineLvl w:val="9"/>
        <w:rPr>
          <w:rFonts w:hint="eastAsia" w:ascii="宋体" w:hAnsi="宋体" w:eastAsia="宋体" w:cs="Times New Roman"/>
          <w:color w:val="auto"/>
          <w:sz w:val="24"/>
          <w:szCs w:val="24"/>
          <w:highlight w:val="none"/>
        </w:rPr>
      </w:pPr>
      <w:bookmarkStart w:id="606" w:name="_Toc263677425"/>
      <w:bookmarkStart w:id="607" w:name="_Toc285028895"/>
      <w:bookmarkStart w:id="608" w:name="_Toc267472999"/>
      <w:r>
        <w:rPr>
          <w:rFonts w:hint="eastAsia" w:ascii="宋体" w:hAnsi="宋体" w:eastAsia="宋体" w:cs="Times New Roman"/>
          <w:color w:val="auto"/>
          <w:sz w:val="24"/>
          <w:szCs w:val="24"/>
          <w:highlight w:val="none"/>
        </w:rPr>
        <w:t>17.3 工程进度付款</w:t>
      </w:r>
      <w:bookmarkEnd w:id="606"/>
      <w:bookmarkEnd w:id="607"/>
      <w:bookmarkEnd w:id="608"/>
    </w:p>
    <w:p w14:paraId="7F55E2A4">
      <w:pPr>
        <w:spacing w:line="360" w:lineRule="auto"/>
        <w:ind w:firstLine="480" w:firstLineChars="200"/>
        <w:outlineLvl w:val="9"/>
        <w:rPr>
          <w:rFonts w:hint="eastAsia" w:ascii="宋体" w:hAnsi="宋体" w:eastAsia="宋体" w:cs="Times New Roman"/>
          <w:color w:val="auto"/>
          <w:sz w:val="24"/>
          <w:szCs w:val="24"/>
          <w:highlight w:val="none"/>
        </w:rPr>
      </w:pPr>
      <w:bookmarkStart w:id="609" w:name="_Toc267471004"/>
      <w:bookmarkStart w:id="610" w:name="_Toc267473000"/>
      <w:bookmarkStart w:id="611" w:name="_Toc275528143"/>
      <w:r>
        <w:rPr>
          <w:rFonts w:hint="eastAsia" w:ascii="宋体" w:hAnsi="宋体" w:eastAsia="宋体" w:cs="Times New Roman"/>
          <w:color w:val="auto"/>
          <w:sz w:val="24"/>
          <w:szCs w:val="24"/>
          <w:highlight w:val="none"/>
        </w:rPr>
        <w:t>17.3.1 付款周期</w:t>
      </w:r>
      <w:bookmarkEnd w:id="609"/>
      <w:bookmarkEnd w:id="610"/>
      <w:bookmarkEnd w:id="611"/>
    </w:p>
    <w:p w14:paraId="301B3C20">
      <w:pPr>
        <w:spacing w:line="360" w:lineRule="auto"/>
        <w:ind w:firstLine="480" w:firstLineChars="200"/>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按月计量支付（完工并经初验合格付至合同价款的97%，剩余在终验合格后一次性付清）</w:t>
      </w:r>
      <w:r>
        <w:rPr>
          <w:rFonts w:hint="eastAsia" w:ascii="宋体" w:hAnsi="宋体" w:eastAsia="宋体" w:cs="Times New Roman"/>
          <w:color w:val="auto"/>
          <w:sz w:val="24"/>
          <w:szCs w:val="24"/>
          <w:highlight w:val="none"/>
        </w:rPr>
        <w:t>。</w:t>
      </w:r>
    </w:p>
    <w:p w14:paraId="472D3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17.3.2 进度付款申请单</w:t>
      </w:r>
    </w:p>
    <w:p w14:paraId="0F5C4AC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C0D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(l）截至本次付款周期末已实施工程的价款；</w:t>
      </w:r>
    </w:p>
    <w:p w14:paraId="5FEA6E3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(2）根据第15条应增加和扣减的变更金额；</w:t>
      </w:r>
    </w:p>
    <w:p w14:paraId="02C4663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(3）根据第23条应增加和扣减的索赔金额；</w:t>
      </w:r>
    </w:p>
    <w:p w14:paraId="6A5E799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(4）根据第17.2款约定应支付的预付款和扣减的返还预付款；</w:t>
      </w:r>
    </w:p>
    <w:p w14:paraId="3CF06B8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(5）根据第17.4.1项约定应扣减的质量保证金；</w:t>
      </w:r>
    </w:p>
    <w:p w14:paraId="03976FC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(6）根据合同应增加和扣减的其他金额。</w:t>
      </w:r>
    </w:p>
    <w:p w14:paraId="2B6997FE">
      <w:pPr>
        <w:spacing w:line="360" w:lineRule="auto"/>
        <w:ind w:firstLine="480" w:firstLineChars="200"/>
        <w:outlineLvl w:val="9"/>
        <w:rPr>
          <w:rFonts w:hint="eastAsia" w:ascii="宋体" w:hAnsi="宋体" w:eastAsia="宋体" w:cs="Times New Roman"/>
          <w:color w:val="auto"/>
          <w:sz w:val="24"/>
          <w:szCs w:val="24"/>
        </w:rPr>
      </w:pPr>
      <w:bookmarkStart w:id="612" w:name="_Toc267471005"/>
      <w:bookmarkStart w:id="613" w:name="_Toc275528144"/>
      <w:bookmarkStart w:id="614" w:name="_Toc267473001"/>
      <w:r>
        <w:rPr>
          <w:rFonts w:hint="eastAsia" w:ascii="宋体" w:hAnsi="宋体" w:eastAsia="宋体" w:cs="Times New Roman"/>
          <w:color w:val="auto"/>
          <w:sz w:val="24"/>
          <w:szCs w:val="24"/>
        </w:rPr>
        <w:t>17.3.3 进度付款证书和支付时间</w:t>
      </w:r>
      <w:bookmarkEnd w:id="612"/>
      <w:bookmarkEnd w:id="613"/>
      <w:bookmarkEnd w:id="614"/>
    </w:p>
    <w:p w14:paraId="63A8132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305DC8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(2）发包人应在监理人收到进度付款中请单后的28天内，将进度应付款支付给承包人。发包人不按期支付的，按专用合同条款的约定支付逾期付款违约金。</w:t>
      </w:r>
    </w:p>
    <w:p w14:paraId="3189699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(3）监理人出具进度付款证书，不应视为监理人已同意、批准或接受了承包人完成的该部分工作。</w:t>
      </w:r>
    </w:p>
    <w:p w14:paraId="4710904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(4）进度付款涉及政府投资资金的，按照国库集中支付等国家相关规定和专用合同条款的约定办理。</w:t>
      </w:r>
    </w:p>
    <w:p w14:paraId="30F1D9C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17.3.4 工程进度付款的修正</w:t>
      </w:r>
    </w:p>
    <w:p w14:paraId="049D355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在对以往历次已签发的进度付款证书进行汇总和复核中发现错、漏或重复的，监理人有权予以修正，承包人也有权提出修正申请。经双方复核同意的修正，应在本次进度付款中支付或扣除。</w:t>
      </w:r>
    </w:p>
    <w:p w14:paraId="058FED18">
      <w:pPr>
        <w:spacing w:line="360" w:lineRule="auto"/>
        <w:ind w:firstLine="480" w:firstLineChars="200"/>
        <w:outlineLvl w:val="9"/>
        <w:rPr>
          <w:rFonts w:hint="eastAsia" w:ascii="宋体" w:hAnsi="宋体" w:eastAsia="宋体" w:cs="Times New Roman"/>
          <w:color w:val="auto"/>
          <w:sz w:val="24"/>
          <w:szCs w:val="24"/>
        </w:rPr>
      </w:pPr>
      <w:bookmarkStart w:id="615" w:name="_Toc267473002"/>
      <w:bookmarkStart w:id="616" w:name="_Toc263677426"/>
      <w:bookmarkStart w:id="617" w:name="_Toc285028896"/>
      <w:r>
        <w:rPr>
          <w:rFonts w:hint="eastAsia" w:ascii="宋体" w:hAnsi="宋体" w:eastAsia="宋体" w:cs="Times New Roman"/>
          <w:color w:val="auto"/>
          <w:sz w:val="24"/>
          <w:szCs w:val="24"/>
        </w:rPr>
        <w:t>17.4 质量保证金</w:t>
      </w:r>
      <w:bookmarkEnd w:id="615"/>
      <w:bookmarkEnd w:id="616"/>
      <w:bookmarkEnd w:id="617"/>
    </w:p>
    <w:p w14:paraId="102CB90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79DFBF5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7236FF3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17DF6166">
      <w:pPr>
        <w:spacing w:line="360" w:lineRule="auto"/>
        <w:ind w:firstLine="480" w:firstLineChars="200"/>
        <w:outlineLvl w:val="9"/>
        <w:rPr>
          <w:rFonts w:hint="eastAsia" w:ascii="宋体" w:hAnsi="宋体" w:eastAsia="宋体" w:cs="Times New Roman"/>
          <w:color w:val="auto"/>
          <w:sz w:val="24"/>
          <w:szCs w:val="24"/>
        </w:rPr>
      </w:pPr>
      <w:bookmarkStart w:id="618" w:name="_Toc263677427"/>
      <w:bookmarkStart w:id="619" w:name="_Toc285028897"/>
      <w:bookmarkStart w:id="620" w:name="_Toc267473003"/>
      <w:r>
        <w:rPr>
          <w:rFonts w:hint="eastAsia" w:ascii="宋体" w:hAnsi="宋体" w:eastAsia="宋体" w:cs="Times New Roman"/>
          <w:color w:val="auto"/>
          <w:sz w:val="24"/>
          <w:szCs w:val="24"/>
        </w:rPr>
        <w:t>17.5 竣工结算（完工结算）</w:t>
      </w:r>
      <w:bookmarkEnd w:id="618"/>
      <w:bookmarkEnd w:id="619"/>
      <w:bookmarkEnd w:id="620"/>
    </w:p>
    <w:p w14:paraId="5E0770C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17.5.1 竣工（完成）付款申请单</w:t>
      </w:r>
    </w:p>
    <w:p w14:paraId="5E78838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5133DF6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(2)监理人对完工付款申请单有异议的，有权要求承包人进行修正和提供补充资料。经监理人和承包人协商后，由承包人向监理人提交修正后的完工付款申请单。</w:t>
      </w:r>
    </w:p>
    <w:p w14:paraId="565890B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17.5.2 竣工（完工）付款证书及支付时间</w:t>
      </w:r>
    </w:p>
    <w:p w14:paraId="03D9F37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E36D66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(2)发包人应在监理人出具完工付款证书后的14天内，将应支付款支付给承包人。发包人不按期支付的，按第17．3．3(2)目的约定，将逾期付款违约金支付给承包人。</w:t>
      </w:r>
    </w:p>
    <w:p w14:paraId="78C91F2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(3)承包人对发包人签认的完工付款证书有异议的，发包人可出具完工付款申请单中承包人已同意部分的临时付款证书。存在争议的部分，按第24条的约定办理。</w:t>
      </w:r>
    </w:p>
    <w:p w14:paraId="5629757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(4)完工付款涉及政府投资资金的，按第17．3．3(4)目的约定办理。</w:t>
      </w:r>
    </w:p>
    <w:p w14:paraId="141201E7">
      <w:pPr>
        <w:spacing w:line="360" w:lineRule="auto"/>
        <w:ind w:firstLine="480" w:firstLineChars="200"/>
        <w:outlineLvl w:val="9"/>
        <w:rPr>
          <w:rFonts w:hint="eastAsia" w:ascii="宋体" w:hAnsi="宋体" w:eastAsia="宋体" w:cs="Times New Roman"/>
          <w:color w:val="auto"/>
          <w:sz w:val="24"/>
          <w:szCs w:val="24"/>
        </w:rPr>
      </w:pPr>
      <w:bookmarkStart w:id="621" w:name="_Toc267473004"/>
      <w:bookmarkStart w:id="622" w:name="_Toc263677428"/>
      <w:bookmarkStart w:id="623" w:name="_Toc285028898"/>
      <w:r>
        <w:rPr>
          <w:rFonts w:hint="eastAsia" w:ascii="宋体" w:hAnsi="宋体" w:eastAsia="宋体" w:cs="Times New Roman"/>
          <w:color w:val="auto"/>
          <w:sz w:val="24"/>
          <w:szCs w:val="24"/>
        </w:rPr>
        <w:t>17.6 最终结清</w:t>
      </w:r>
      <w:bookmarkEnd w:id="621"/>
      <w:bookmarkEnd w:id="622"/>
      <w:bookmarkEnd w:id="623"/>
    </w:p>
    <w:p w14:paraId="1BA5A8D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17.6.1 最终结清申请单</w:t>
      </w:r>
    </w:p>
    <w:p w14:paraId="652F476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(1)工程质量保修责任终止证书签发后，承包人应按监理人批准的格式提交最终结清申请单。提交最终结清申请单的份数在专用合同条款中约定。</w:t>
      </w:r>
    </w:p>
    <w:p w14:paraId="1C22A06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(2)发包人对最终结清申请单内容有异议的，有权要求承包人进行修正和提供补充资料，由承包人向监理人提交修正后的最终结清申请单。</w:t>
      </w:r>
    </w:p>
    <w:p w14:paraId="35D899F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17.6.2 最终结清证书和支付时间</w:t>
      </w:r>
    </w:p>
    <w:p w14:paraId="3226BAB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2BD1FEC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(2）发包人应在监理人出具最终结清证书后的14天内，将应支付款支付给承包人。</w:t>
      </w:r>
    </w:p>
    <w:p w14:paraId="7756ADD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发包人不按期支付的，按第17.3.3(2）目的约定，将逾期付款违约金支付给承包人。</w:t>
      </w:r>
    </w:p>
    <w:p w14:paraId="3CCFC30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(3）承包人对发包人签认的最终结清证书有异议的，按第24条的约定办理。</w:t>
      </w:r>
    </w:p>
    <w:p w14:paraId="5666A1A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(4）最终结清付款涉及政府投资资金的，按第17.3.3(4）目的约定办理。</w:t>
      </w:r>
    </w:p>
    <w:p w14:paraId="64B08F69">
      <w:pPr>
        <w:spacing w:line="360" w:lineRule="auto"/>
        <w:ind w:firstLine="480" w:firstLineChars="200"/>
        <w:outlineLvl w:val="9"/>
        <w:rPr>
          <w:rFonts w:hint="eastAsia" w:ascii="宋体" w:hAnsi="宋体" w:eastAsia="宋体" w:cs="Times New Roman"/>
          <w:color w:val="auto"/>
          <w:sz w:val="24"/>
          <w:szCs w:val="24"/>
        </w:rPr>
      </w:pPr>
      <w:bookmarkStart w:id="624" w:name="_Toc267473005"/>
      <w:bookmarkStart w:id="625" w:name="_Toc285028899"/>
      <w:bookmarkStart w:id="626" w:name="_Toc263677429"/>
      <w:r>
        <w:rPr>
          <w:rFonts w:hint="eastAsia" w:ascii="宋体" w:hAnsi="宋体" w:eastAsia="宋体" w:cs="Times New Roman"/>
          <w:color w:val="auto"/>
          <w:sz w:val="24"/>
          <w:szCs w:val="24"/>
        </w:rPr>
        <w:t>17.7 竣工财务决算</w:t>
      </w:r>
      <w:bookmarkEnd w:id="624"/>
      <w:bookmarkEnd w:id="625"/>
      <w:bookmarkEnd w:id="626"/>
    </w:p>
    <w:p w14:paraId="6D0EAF6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发包人负责编制本工程项目竣工财务决算，承包人应按专用合同条款的约定提供竣工财务决算编制所需的相关材料。</w:t>
      </w:r>
    </w:p>
    <w:p w14:paraId="115BA51B">
      <w:pPr>
        <w:spacing w:line="360" w:lineRule="auto"/>
        <w:ind w:firstLine="480" w:firstLineChars="200"/>
        <w:outlineLvl w:val="9"/>
        <w:rPr>
          <w:rFonts w:hint="eastAsia" w:ascii="宋体" w:hAnsi="宋体" w:eastAsia="宋体" w:cs="Times New Roman"/>
          <w:color w:val="auto"/>
          <w:sz w:val="24"/>
          <w:szCs w:val="24"/>
        </w:rPr>
      </w:pPr>
      <w:bookmarkStart w:id="627" w:name="_Toc285028900"/>
      <w:bookmarkStart w:id="628" w:name="_Toc267473006"/>
      <w:bookmarkStart w:id="629" w:name="_Toc263677430"/>
      <w:r>
        <w:rPr>
          <w:rFonts w:hint="eastAsia" w:ascii="宋体" w:hAnsi="宋体" w:eastAsia="宋体" w:cs="Times New Roman"/>
          <w:color w:val="auto"/>
          <w:sz w:val="24"/>
          <w:szCs w:val="24"/>
        </w:rPr>
        <w:t>17.8 竣工审计</w:t>
      </w:r>
      <w:bookmarkEnd w:id="627"/>
      <w:bookmarkEnd w:id="628"/>
      <w:bookmarkEnd w:id="629"/>
    </w:p>
    <w:p w14:paraId="3481168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发包人负责完成本工程竣工审计手续，承包人应完成相关配合工作。</w:t>
      </w:r>
    </w:p>
    <w:p w14:paraId="619800C9">
      <w:pPr>
        <w:spacing w:line="360" w:lineRule="auto"/>
        <w:ind w:firstLine="480" w:firstLineChars="200"/>
        <w:outlineLvl w:val="9"/>
        <w:rPr>
          <w:rFonts w:hint="eastAsia" w:ascii="宋体" w:hAnsi="宋体" w:eastAsia="宋体" w:cs="Times New Roman"/>
          <w:color w:val="auto"/>
          <w:sz w:val="24"/>
          <w:szCs w:val="24"/>
        </w:rPr>
      </w:pPr>
      <w:bookmarkStart w:id="630" w:name="_Toc184635115"/>
      <w:bookmarkStart w:id="631" w:name="_Toc307416164"/>
      <w:bookmarkStart w:id="632" w:name="_Toc307417461"/>
      <w:bookmarkStart w:id="633" w:name="_Toc263677431"/>
      <w:bookmarkStart w:id="634" w:name="_Toc31564"/>
      <w:bookmarkStart w:id="635" w:name="_Toc285028901"/>
      <w:bookmarkStart w:id="636" w:name="_Toc307485228"/>
      <w:bookmarkStart w:id="637" w:name="_Toc430097434"/>
      <w:bookmarkStart w:id="638" w:name="_Toc267473007"/>
      <w:bookmarkStart w:id="639" w:name="_Toc263370612"/>
      <w:r>
        <w:rPr>
          <w:rFonts w:hint="eastAsia" w:ascii="宋体" w:hAnsi="宋体" w:eastAsia="宋体" w:cs="Times New Roman"/>
          <w:color w:val="auto"/>
          <w:sz w:val="24"/>
          <w:szCs w:val="24"/>
        </w:rPr>
        <w:t>18．竣工验收</w:t>
      </w:r>
      <w:bookmarkEnd w:id="630"/>
      <w:r>
        <w:rPr>
          <w:rFonts w:hint="eastAsia" w:ascii="宋体" w:hAnsi="宋体" w:eastAsia="宋体" w:cs="Times New Roman"/>
          <w:color w:val="auto"/>
          <w:sz w:val="24"/>
          <w:szCs w:val="24"/>
        </w:rPr>
        <w:t>（验收）</w:t>
      </w:r>
      <w:bookmarkEnd w:id="631"/>
      <w:bookmarkEnd w:id="632"/>
      <w:bookmarkEnd w:id="633"/>
      <w:bookmarkEnd w:id="634"/>
      <w:bookmarkEnd w:id="635"/>
      <w:bookmarkEnd w:id="636"/>
      <w:bookmarkEnd w:id="637"/>
      <w:bookmarkEnd w:id="638"/>
      <w:bookmarkEnd w:id="639"/>
    </w:p>
    <w:p w14:paraId="6A02D6C4">
      <w:pPr>
        <w:spacing w:line="360" w:lineRule="auto"/>
        <w:ind w:firstLine="480" w:firstLineChars="200"/>
        <w:outlineLvl w:val="9"/>
        <w:rPr>
          <w:rFonts w:hint="eastAsia" w:ascii="宋体" w:hAnsi="宋体" w:eastAsia="宋体" w:cs="Times New Roman"/>
          <w:color w:val="auto"/>
          <w:sz w:val="24"/>
          <w:szCs w:val="24"/>
        </w:rPr>
      </w:pPr>
      <w:bookmarkStart w:id="640" w:name="_Toc263677432"/>
      <w:bookmarkStart w:id="641" w:name="_Toc285028902"/>
      <w:bookmarkStart w:id="642" w:name="_Toc267473008"/>
      <w:r>
        <w:rPr>
          <w:rFonts w:hint="eastAsia" w:ascii="宋体" w:hAnsi="宋体" w:eastAsia="宋体" w:cs="Times New Roman"/>
          <w:color w:val="auto"/>
          <w:sz w:val="24"/>
          <w:szCs w:val="24"/>
        </w:rPr>
        <w:t>18.1 验收工作分类</w:t>
      </w:r>
      <w:bookmarkEnd w:id="640"/>
      <w:bookmarkEnd w:id="641"/>
      <w:bookmarkEnd w:id="642"/>
    </w:p>
    <w:p w14:paraId="189EFDE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2D6C91A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18.1.1 竣工验收指承包人完成了全部合同工作后，发包人按合同要求进行的验收。</w:t>
      </w:r>
    </w:p>
    <w:p w14:paraId="1341BA8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18.1.2 国家验收是政府有关部门根据法律、规范、规程和政策要求，针对发包人全面组织实施的整个工程正式交付投运前的验收。</w:t>
      </w:r>
    </w:p>
    <w:p w14:paraId="4BAC0E3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18.1.3 需要进行国家验收的，竣工验收是国家验收的一部分。竣工验收所采用的各项验收和评定标准应符合国家验收标准。发包人和承包人为竣工验收提供的各项竣工验收资料应符合国家验收的要求。</w:t>
      </w:r>
    </w:p>
    <w:p w14:paraId="5388D554">
      <w:pPr>
        <w:spacing w:line="360" w:lineRule="auto"/>
        <w:ind w:firstLine="480" w:firstLineChars="200"/>
        <w:outlineLvl w:val="9"/>
        <w:rPr>
          <w:rFonts w:hint="eastAsia" w:ascii="宋体" w:hAnsi="宋体" w:eastAsia="宋体" w:cs="Times New Roman"/>
          <w:color w:val="auto"/>
          <w:sz w:val="24"/>
          <w:szCs w:val="24"/>
        </w:rPr>
      </w:pPr>
      <w:bookmarkStart w:id="643" w:name="_Toc263677433"/>
      <w:bookmarkStart w:id="644" w:name="_Toc285028903"/>
      <w:bookmarkStart w:id="645" w:name="_Toc267473009"/>
      <w:r>
        <w:rPr>
          <w:rFonts w:hint="eastAsia" w:ascii="宋体" w:hAnsi="宋体" w:eastAsia="宋体" w:cs="Times New Roman"/>
          <w:color w:val="auto"/>
          <w:sz w:val="24"/>
          <w:szCs w:val="24"/>
        </w:rPr>
        <w:t>18.2 分部工程验收</w:t>
      </w:r>
      <w:bookmarkEnd w:id="643"/>
      <w:bookmarkEnd w:id="644"/>
      <w:bookmarkEnd w:id="645"/>
    </w:p>
    <w:p w14:paraId="74371C2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18.2.1 分部工程具备验收条件时，承包人应向发包人提交验收申请报告，发包人应在收到验收申请报告之日起10个工作日内决定是否同意进行验收。</w:t>
      </w:r>
    </w:p>
    <w:p w14:paraId="5512EAA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18.2.2 除专用合同条款另有约定外，监理人主持分部工程验收，承包人应派符合条件的代表参加验收工作组。</w:t>
      </w:r>
    </w:p>
    <w:p w14:paraId="75C4A13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18.2.3 分部工程验收通过后，发包人向承包人发送分部工程验收鉴定书。承包人应及时完成分部工程验收鉴定书载明应由承包人处理的遗留问题。</w:t>
      </w:r>
    </w:p>
    <w:p w14:paraId="41EFB646">
      <w:pPr>
        <w:spacing w:line="360" w:lineRule="auto"/>
        <w:ind w:firstLine="480" w:firstLineChars="200"/>
        <w:outlineLvl w:val="9"/>
        <w:rPr>
          <w:rFonts w:hint="eastAsia" w:ascii="宋体" w:hAnsi="宋体" w:eastAsia="宋体" w:cs="Times New Roman"/>
          <w:color w:val="auto"/>
          <w:sz w:val="24"/>
          <w:szCs w:val="24"/>
        </w:rPr>
      </w:pPr>
      <w:bookmarkStart w:id="646" w:name="_Toc285028904"/>
      <w:bookmarkStart w:id="647" w:name="_Toc267473010"/>
      <w:bookmarkStart w:id="648" w:name="_Toc263677434"/>
      <w:r>
        <w:rPr>
          <w:rFonts w:hint="eastAsia" w:ascii="宋体" w:hAnsi="宋体" w:eastAsia="宋体" w:cs="Times New Roman"/>
          <w:color w:val="auto"/>
          <w:sz w:val="24"/>
          <w:szCs w:val="24"/>
        </w:rPr>
        <w:t>18.3 单位工程验收</w:t>
      </w:r>
      <w:bookmarkEnd w:id="646"/>
      <w:bookmarkEnd w:id="647"/>
      <w:bookmarkEnd w:id="648"/>
    </w:p>
    <w:p w14:paraId="017FDE5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18.3.1 单位工程具备验收条件时，承包人应向发包人提交验收申请报告，发包人应在收到验收申请报告之日起10个工作日内决定是否同意进行验收。</w:t>
      </w:r>
    </w:p>
    <w:p w14:paraId="11F6ABF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18.3.2 发包人主持单位工程验收，承包人应派符合条件的代表参加验收工作组。</w:t>
      </w:r>
    </w:p>
    <w:p w14:paraId="71004AC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18.3.3 单位工程验收通过后，发包人向承包人发送单位工程验收鉴定书。承包人应及时完成单位工程验收鉴定书载明应由承包人处理的遗留问题。</w:t>
      </w:r>
    </w:p>
    <w:p w14:paraId="7379A3A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18.3.4 需提前投入使用的单位工程在专用合同条款中明确。</w:t>
      </w:r>
    </w:p>
    <w:p w14:paraId="70F4A06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18.3.5 除专用合同条款另有约定外，经验收合格工程的实际竣工日期，以提交竣工验收申请报告的日期为准，并在工程接收证书中写明。</w:t>
      </w:r>
    </w:p>
    <w:p w14:paraId="55AA3F9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18.3.6 发包人在收到承包人竣工验收申请报告56天后未进行验收的，视为验收合格，实际竣工日期以提交竣工验收申请报告的日期为准，但发包人由于不可抗力不能进行验收的除外。</w:t>
      </w:r>
    </w:p>
    <w:p w14:paraId="064DD14F">
      <w:pPr>
        <w:spacing w:line="360" w:lineRule="auto"/>
        <w:ind w:firstLine="480" w:firstLineChars="200"/>
        <w:outlineLvl w:val="9"/>
        <w:rPr>
          <w:rFonts w:hint="eastAsia" w:ascii="宋体" w:hAnsi="宋体" w:eastAsia="宋体" w:cs="Times New Roman"/>
          <w:color w:val="auto"/>
          <w:sz w:val="24"/>
          <w:szCs w:val="24"/>
        </w:rPr>
      </w:pPr>
      <w:bookmarkStart w:id="649" w:name="_Toc263677435"/>
      <w:bookmarkStart w:id="650" w:name="_Toc285028905"/>
      <w:bookmarkStart w:id="651" w:name="_Toc267473011"/>
      <w:r>
        <w:rPr>
          <w:rFonts w:hint="eastAsia" w:ascii="宋体" w:hAnsi="宋体" w:eastAsia="宋体" w:cs="Times New Roman"/>
          <w:color w:val="auto"/>
          <w:sz w:val="24"/>
          <w:szCs w:val="24"/>
        </w:rPr>
        <w:t>18.4 合同工程完工验收</w:t>
      </w:r>
      <w:bookmarkEnd w:id="649"/>
      <w:bookmarkEnd w:id="650"/>
      <w:bookmarkEnd w:id="651"/>
    </w:p>
    <w:p w14:paraId="08CBADF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18.4.1 合同工程具备验收条件时，承包人应向发包人提交验收申请报告，发包人应在收到验收申请报告之日起20个工作日内决定是否同意进行验收。</w:t>
      </w:r>
    </w:p>
    <w:p w14:paraId="07A7EC9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18.4.2 发包人主持合同工程完工验收，承包人应派代表参加验收工作组。</w:t>
      </w:r>
    </w:p>
    <w:p w14:paraId="798C106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18.4.3合同工程完工验收通过后，发包人向承包人发送合同工二程完工验收鉴定书。承包人应及时完成合同工程完工验收鉴定书载明应由承包人处理的遗留问题。</w:t>
      </w:r>
    </w:p>
    <w:p w14:paraId="3FDA236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18.4.4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85ACF11">
      <w:pPr>
        <w:spacing w:line="360" w:lineRule="auto"/>
        <w:ind w:firstLine="480" w:firstLineChars="200"/>
        <w:outlineLvl w:val="9"/>
        <w:rPr>
          <w:rFonts w:hint="eastAsia" w:ascii="宋体" w:hAnsi="宋体" w:eastAsia="宋体" w:cs="Times New Roman"/>
          <w:color w:val="auto"/>
          <w:sz w:val="24"/>
          <w:szCs w:val="24"/>
        </w:rPr>
      </w:pPr>
      <w:bookmarkStart w:id="652" w:name="_Toc267473012"/>
      <w:bookmarkStart w:id="653" w:name="_Toc263677436"/>
      <w:bookmarkStart w:id="654" w:name="_Toc285028906"/>
      <w:r>
        <w:rPr>
          <w:rFonts w:hint="eastAsia" w:ascii="宋体" w:hAnsi="宋体" w:eastAsia="宋体" w:cs="Times New Roman"/>
          <w:color w:val="auto"/>
          <w:sz w:val="24"/>
          <w:szCs w:val="24"/>
        </w:rPr>
        <w:t>18.5 阶段验收</w:t>
      </w:r>
      <w:bookmarkEnd w:id="652"/>
      <w:bookmarkEnd w:id="653"/>
      <w:bookmarkEnd w:id="654"/>
    </w:p>
    <w:p w14:paraId="210B704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18.5.1 工程建设具备阶段验收条件时，发包人负责提出阶段验收申请报告。承包人应派代表参加阶段验收，并作为被验收单位在验收鉴定书上签字。阶段验收的具体类别在专用合同条款中约定。</w:t>
      </w:r>
    </w:p>
    <w:p w14:paraId="4DCC8B0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18.5.2 承包人应及时完成阶段验收鉴定书载明应由承包人处理的遗留问题。</w:t>
      </w:r>
    </w:p>
    <w:p w14:paraId="61DC3EAC">
      <w:pPr>
        <w:spacing w:line="360" w:lineRule="auto"/>
        <w:ind w:firstLine="480" w:firstLineChars="200"/>
        <w:outlineLvl w:val="9"/>
        <w:rPr>
          <w:rFonts w:hint="eastAsia" w:ascii="宋体" w:hAnsi="宋体" w:eastAsia="宋体" w:cs="Times New Roman"/>
          <w:color w:val="auto"/>
          <w:sz w:val="24"/>
          <w:szCs w:val="24"/>
        </w:rPr>
      </w:pPr>
      <w:bookmarkStart w:id="655" w:name="_Toc263677437"/>
      <w:bookmarkStart w:id="656" w:name="_Toc285028907"/>
      <w:bookmarkStart w:id="657" w:name="_Toc267473013"/>
      <w:r>
        <w:rPr>
          <w:rFonts w:hint="eastAsia" w:ascii="宋体" w:hAnsi="宋体" w:eastAsia="宋体" w:cs="Times New Roman"/>
          <w:color w:val="auto"/>
          <w:sz w:val="24"/>
          <w:szCs w:val="24"/>
        </w:rPr>
        <w:t>18.6 专项验收</w:t>
      </w:r>
      <w:bookmarkEnd w:id="655"/>
      <w:bookmarkEnd w:id="656"/>
      <w:bookmarkEnd w:id="657"/>
    </w:p>
    <w:p w14:paraId="747C848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18.6.1 发包人负责提出专项验收申请报告。承包人应按专项验收的相关规定参加专项验收。专项验收的具体类别在专用合同条款中约定。</w:t>
      </w:r>
    </w:p>
    <w:p w14:paraId="7C2D725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18.6.2 承包人应及时完成专项验收成果性文件载明应由承包人处理的遗留问题。</w:t>
      </w:r>
    </w:p>
    <w:p w14:paraId="3665F812">
      <w:pPr>
        <w:spacing w:line="360" w:lineRule="auto"/>
        <w:ind w:firstLine="480" w:firstLineChars="200"/>
        <w:outlineLvl w:val="9"/>
        <w:rPr>
          <w:rFonts w:hint="eastAsia" w:ascii="宋体" w:hAnsi="宋体" w:eastAsia="宋体" w:cs="Times New Roman"/>
          <w:color w:val="auto"/>
          <w:sz w:val="24"/>
          <w:szCs w:val="24"/>
        </w:rPr>
      </w:pPr>
      <w:bookmarkStart w:id="658" w:name="_Toc263677438"/>
      <w:bookmarkStart w:id="659" w:name="_Toc267473014"/>
      <w:bookmarkStart w:id="660" w:name="_Toc285028908"/>
      <w:r>
        <w:rPr>
          <w:rFonts w:hint="eastAsia" w:ascii="宋体" w:hAnsi="宋体" w:eastAsia="宋体" w:cs="Times New Roman"/>
          <w:color w:val="auto"/>
          <w:sz w:val="24"/>
          <w:szCs w:val="24"/>
        </w:rPr>
        <w:t>18.7 竣工验收</w:t>
      </w:r>
      <w:bookmarkEnd w:id="658"/>
      <w:bookmarkEnd w:id="659"/>
      <w:bookmarkEnd w:id="660"/>
    </w:p>
    <w:p w14:paraId="7343116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18.7.1 申请竣工验收前，发包人组织竣工验收自查，承包人应派代表参加。</w:t>
      </w:r>
    </w:p>
    <w:p w14:paraId="2942DEB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18.7.2 竣工验收分为竣工技术预验收和竣工验收两个阶段。发包人应通知承包人派代表参加技术预验收和竣工验收。</w:t>
      </w:r>
    </w:p>
    <w:p w14:paraId="5AE8D64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18.7.3 专用合同条款约定工程需要进行技术鉴定的，承包人应提交有关资料并完成配合工作。</w:t>
      </w:r>
    </w:p>
    <w:p w14:paraId="49554D3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18.7.4 竣工验收需要进行质量检测的，所需费用由发包人承担，但因承包人原因造成质量不合格的除外。</w:t>
      </w:r>
    </w:p>
    <w:p w14:paraId="4675F5D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18.7.5 工程质量保修期满以及竣工验收遗留问题和尾工处理完成并通过验收后，发包人负责将处理情况和验收成果报送竣工验收主持单位，申请领取工程竣工证书，并发送承包人。</w:t>
      </w:r>
    </w:p>
    <w:p w14:paraId="62A3CD0F">
      <w:pPr>
        <w:spacing w:line="360" w:lineRule="auto"/>
        <w:ind w:firstLine="480" w:firstLineChars="200"/>
        <w:outlineLvl w:val="9"/>
        <w:rPr>
          <w:rFonts w:hint="eastAsia" w:ascii="宋体" w:hAnsi="宋体" w:eastAsia="宋体" w:cs="Times New Roman"/>
          <w:color w:val="auto"/>
          <w:sz w:val="24"/>
          <w:szCs w:val="24"/>
        </w:rPr>
      </w:pPr>
      <w:bookmarkStart w:id="661" w:name="_Toc263677439"/>
      <w:bookmarkStart w:id="662" w:name="_Toc285028909"/>
      <w:bookmarkStart w:id="663" w:name="_Toc267473015"/>
      <w:r>
        <w:rPr>
          <w:rFonts w:hint="eastAsia" w:ascii="宋体" w:hAnsi="宋体" w:eastAsia="宋体" w:cs="Times New Roman"/>
          <w:color w:val="auto"/>
          <w:sz w:val="24"/>
          <w:szCs w:val="24"/>
        </w:rPr>
        <w:t>18.8 施工期运行</w:t>
      </w:r>
      <w:bookmarkEnd w:id="661"/>
      <w:bookmarkEnd w:id="662"/>
      <w:bookmarkEnd w:id="663"/>
    </w:p>
    <w:p w14:paraId="07B879A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0F85458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18.8.2 在施工期运行中发现工程或工程设备损坏或存在缺陷的，由承包人按第19.2款约定进行修复。</w:t>
      </w:r>
    </w:p>
    <w:p w14:paraId="538943C4">
      <w:pPr>
        <w:spacing w:line="360" w:lineRule="auto"/>
        <w:ind w:firstLine="480" w:firstLineChars="200"/>
        <w:outlineLvl w:val="9"/>
        <w:rPr>
          <w:rFonts w:hint="eastAsia" w:ascii="宋体" w:hAnsi="宋体" w:eastAsia="宋体" w:cs="Times New Roman"/>
          <w:color w:val="auto"/>
          <w:sz w:val="24"/>
          <w:szCs w:val="24"/>
        </w:rPr>
      </w:pPr>
      <w:bookmarkStart w:id="664" w:name="_Toc267473016"/>
      <w:bookmarkStart w:id="665" w:name="_Toc263677440"/>
      <w:bookmarkStart w:id="666" w:name="_Toc285028910"/>
      <w:r>
        <w:rPr>
          <w:rFonts w:hint="eastAsia" w:ascii="宋体" w:hAnsi="宋体" w:eastAsia="宋体" w:cs="Times New Roman"/>
          <w:color w:val="auto"/>
          <w:sz w:val="24"/>
          <w:szCs w:val="24"/>
        </w:rPr>
        <w:t>18.9 试运行</w:t>
      </w:r>
      <w:bookmarkEnd w:id="664"/>
      <w:bookmarkEnd w:id="665"/>
      <w:bookmarkEnd w:id="666"/>
    </w:p>
    <w:p w14:paraId="68E260C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18.9.1 除专用合同条款另有约定外，承包人应按规定进行工程及工程设备试运行，负责提供试运行所需的人员、器材和必要的条件，并承担全部试运行费用。</w:t>
      </w:r>
    </w:p>
    <w:p w14:paraId="1F3E11E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8D7310B">
      <w:pPr>
        <w:spacing w:line="360" w:lineRule="auto"/>
        <w:ind w:firstLine="480" w:firstLineChars="200"/>
        <w:outlineLvl w:val="9"/>
        <w:rPr>
          <w:rFonts w:hint="eastAsia" w:ascii="宋体" w:hAnsi="宋体" w:eastAsia="宋体" w:cs="Times New Roman"/>
          <w:color w:val="auto"/>
          <w:sz w:val="24"/>
          <w:szCs w:val="24"/>
        </w:rPr>
      </w:pPr>
      <w:bookmarkStart w:id="667" w:name="_Toc263677441"/>
      <w:bookmarkStart w:id="668" w:name="_Toc285028911"/>
      <w:bookmarkStart w:id="669" w:name="_Toc267473017"/>
      <w:r>
        <w:rPr>
          <w:rFonts w:hint="eastAsia" w:ascii="宋体" w:hAnsi="宋体" w:eastAsia="宋体" w:cs="Times New Roman"/>
          <w:color w:val="auto"/>
          <w:sz w:val="24"/>
          <w:szCs w:val="24"/>
        </w:rPr>
        <w:t>18.10 竣工（完工）清场</w:t>
      </w:r>
      <w:bookmarkEnd w:id="667"/>
      <w:bookmarkEnd w:id="668"/>
      <w:bookmarkEnd w:id="669"/>
    </w:p>
    <w:p w14:paraId="4769455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18.10.1 工程项目竣工(完工)清场的工作范围和内容在技术标准和要求(合同技术条款)中约定。</w:t>
      </w:r>
    </w:p>
    <w:p w14:paraId="0964872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18.10.2 承包人未按监理人的要求恢复临时占地，或者场地清理未达到合同约定的，发包人有权委托其它人恢复或清理，所发生的金额从拟支付给承包人的款项中扣除。</w:t>
      </w:r>
    </w:p>
    <w:p w14:paraId="402848B3">
      <w:pPr>
        <w:spacing w:line="360" w:lineRule="auto"/>
        <w:ind w:firstLine="480" w:firstLineChars="200"/>
        <w:outlineLvl w:val="9"/>
        <w:rPr>
          <w:rFonts w:hint="eastAsia" w:ascii="宋体" w:hAnsi="宋体" w:eastAsia="宋体" w:cs="Times New Roman"/>
          <w:color w:val="auto"/>
          <w:sz w:val="24"/>
          <w:szCs w:val="24"/>
        </w:rPr>
      </w:pPr>
      <w:bookmarkStart w:id="670" w:name="_Toc267473018"/>
      <w:bookmarkStart w:id="671" w:name="_Toc285028912"/>
      <w:bookmarkStart w:id="672" w:name="_Toc263677442"/>
      <w:r>
        <w:rPr>
          <w:rFonts w:hint="eastAsia" w:ascii="宋体" w:hAnsi="宋体" w:eastAsia="宋体" w:cs="Times New Roman"/>
          <w:color w:val="auto"/>
          <w:sz w:val="24"/>
          <w:szCs w:val="24"/>
        </w:rPr>
        <w:t>18.11 施工队伍的撤离</w:t>
      </w:r>
      <w:bookmarkEnd w:id="670"/>
      <w:bookmarkEnd w:id="671"/>
      <w:bookmarkEnd w:id="672"/>
    </w:p>
    <w:p w14:paraId="3DB5C68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77125E50">
      <w:pPr>
        <w:spacing w:line="360" w:lineRule="auto"/>
        <w:ind w:firstLine="480" w:firstLineChars="200"/>
        <w:outlineLvl w:val="9"/>
        <w:rPr>
          <w:rFonts w:hint="eastAsia" w:ascii="宋体" w:hAnsi="宋体" w:eastAsia="宋体" w:cs="Times New Roman"/>
          <w:color w:val="auto"/>
          <w:sz w:val="24"/>
          <w:szCs w:val="24"/>
        </w:rPr>
      </w:pPr>
      <w:bookmarkStart w:id="673" w:name="_Toc430097435"/>
      <w:bookmarkStart w:id="674" w:name="_Toc18979"/>
      <w:bookmarkStart w:id="675" w:name="_Toc307416165"/>
      <w:bookmarkStart w:id="676" w:name="_Toc307417462"/>
      <w:bookmarkStart w:id="677" w:name="_Toc263677443"/>
      <w:bookmarkStart w:id="678" w:name="_Toc307485229"/>
      <w:bookmarkStart w:id="679" w:name="_Toc267473019"/>
      <w:bookmarkStart w:id="680" w:name="_Toc285028913"/>
      <w:bookmarkStart w:id="681" w:name="_Toc263370613"/>
      <w:bookmarkStart w:id="682" w:name="_Toc184635116"/>
      <w:r>
        <w:rPr>
          <w:rFonts w:hint="eastAsia" w:ascii="宋体" w:hAnsi="宋体" w:eastAsia="宋体" w:cs="Times New Roman"/>
          <w:color w:val="auto"/>
          <w:sz w:val="24"/>
          <w:szCs w:val="24"/>
        </w:rPr>
        <w:t>19．缺陷责任与保修责任</w:t>
      </w:r>
      <w:bookmarkEnd w:id="673"/>
      <w:bookmarkEnd w:id="674"/>
      <w:bookmarkEnd w:id="675"/>
      <w:bookmarkEnd w:id="676"/>
      <w:bookmarkEnd w:id="677"/>
      <w:bookmarkEnd w:id="678"/>
      <w:bookmarkEnd w:id="679"/>
      <w:bookmarkEnd w:id="680"/>
      <w:bookmarkEnd w:id="681"/>
      <w:bookmarkEnd w:id="682"/>
    </w:p>
    <w:p w14:paraId="24E78EA2">
      <w:pPr>
        <w:spacing w:line="360" w:lineRule="auto"/>
        <w:ind w:firstLine="480" w:firstLineChars="200"/>
        <w:outlineLvl w:val="9"/>
        <w:rPr>
          <w:rFonts w:hint="eastAsia" w:ascii="宋体" w:hAnsi="宋体" w:eastAsia="宋体" w:cs="Times New Roman"/>
          <w:color w:val="auto"/>
          <w:sz w:val="24"/>
          <w:szCs w:val="24"/>
        </w:rPr>
      </w:pPr>
      <w:bookmarkStart w:id="683" w:name="_Toc285028914"/>
      <w:bookmarkStart w:id="684" w:name="_Toc267473020"/>
      <w:bookmarkStart w:id="685" w:name="_Toc263677444"/>
      <w:r>
        <w:rPr>
          <w:rFonts w:hint="eastAsia" w:ascii="宋体" w:hAnsi="宋体" w:eastAsia="宋体" w:cs="Times New Roman"/>
          <w:color w:val="auto"/>
          <w:sz w:val="24"/>
          <w:szCs w:val="24"/>
        </w:rPr>
        <w:t>19.1 缺陷责任期（工程质量保修期）的起算时间</w:t>
      </w:r>
      <w:bookmarkEnd w:id="683"/>
      <w:bookmarkEnd w:id="684"/>
      <w:bookmarkEnd w:id="685"/>
    </w:p>
    <w:p w14:paraId="3E105E6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58E0D4CB">
      <w:pPr>
        <w:spacing w:line="360" w:lineRule="auto"/>
        <w:ind w:firstLine="480" w:firstLineChars="200"/>
        <w:outlineLvl w:val="9"/>
        <w:rPr>
          <w:rFonts w:hint="eastAsia" w:ascii="宋体" w:hAnsi="宋体" w:eastAsia="宋体" w:cs="Times New Roman"/>
          <w:color w:val="auto"/>
          <w:sz w:val="24"/>
          <w:szCs w:val="24"/>
        </w:rPr>
      </w:pPr>
      <w:bookmarkStart w:id="686" w:name="_Toc285028915"/>
      <w:bookmarkStart w:id="687" w:name="_Toc267473021"/>
      <w:bookmarkStart w:id="688" w:name="_Toc263677445"/>
      <w:r>
        <w:rPr>
          <w:rFonts w:hint="eastAsia" w:ascii="宋体" w:hAnsi="宋体" w:eastAsia="宋体" w:cs="Times New Roman"/>
          <w:color w:val="auto"/>
          <w:sz w:val="24"/>
          <w:szCs w:val="24"/>
        </w:rPr>
        <w:t>19.2 缺陷责任</w:t>
      </w:r>
      <w:bookmarkEnd w:id="686"/>
      <w:bookmarkEnd w:id="687"/>
      <w:bookmarkEnd w:id="688"/>
    </w:p>
    <w:p w14:paraId="153DECD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19.2.1 承包人应在缺陷责任期内对已交付使用的工程承担缺陷责任。</w:t>
      </w:r>
    </w:p>
    <w:p w14:paraId="1DE8B8B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37B563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95AEF9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19.2.4 承包人不能在合理时间内修复缺陷的，发包人可自行修复或委托其他人修复，所需费用和利润的承担，按第19.2.3项约定办理。</w:t>
      </w:r>
    </w:p>
    <w:p w14:paraId="0538923D">
      <w:pPr>
        <w:spacing w:line="360" w:lineRule="auto"/>
        <w:ind w:firstLine="480" w:firstLineChars="200"/>
        <w:outlineLvl w:val="9"/>
        <w:rPr>
          <w:rFonts w:hint="eastAsia" w:ascii="宋体" w:hAnsi="宋体" w:eastAsia="宋体" w:cs="Times New Roman"/>
          <w:color w:val="auto"/>
          <w:sz w:val="24"/>
          <w:szCs w:val="24"/>
        </w:rPr>
      </w:pPr>
      <w:bookmarkStart w:id="689" w:name="_Toc285028916"/>
      <w:bookmarkStart w:id="690" w:name="_Toc263677446"/>
      <w:bookmarkStart w:id="691" w:name="_Toc267473022"/>
      <w:r>
        <w:rPr>
          <w:rFonts w:hint="eastAsia" w:ascii="宋体" w:hAnsi="宋体" w:eastAsia="宋体" w:cs="Times New Roman"/>
          <w:color w:val="auto"/>
          <w:sz w:val="24"/>
          <w:szCs w:val="24"/>
        </w:rPr>
        <w:t>19.3 缺陷责任期的延长</w:t>
      </w:r>
      <w:bookmarkEnd w:id="689"/>
      <w:bookmarkEnd w:id="690"/>
      <w:bookmarkEnd w:id="691"/>
    </w:p>
    <w:p w14:paraId="2DA8A47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由于承包人原因造成某项缺陷或损坏使某项工程或工程设备不能按原．定目标使用而需要再次检查、检验和修复的，发包人有权要求承包人相应延长缺陷责任期，但缺陷责任期最长不超过2年。</w:t>
      </w:r>
    </w:p>
    <w:p w14:paraId="691D303B">
      <w:pPr>
        <w:spacing w:line="360" w:lineRule="auto"/>
        <w:ind w:firstLine="480" w:firstLineChars="200"/>
        <w:outlineLvl w:val="9"/>
        <w:rPr>
          <w:rFonts w:hint="eastAsia" w:ascii="宋体" w:hAnsi="宋体" w:eastAsia="宋体" w:cs="Times New Roman"/>
          <w:color w:val="auto"/>
          <w:sz w:val="24"/>
          <w:szCs w:val="24"/>
        </w:rPr>
      </w:pPr>
      <w:bookmarkStart w:id="692" w:name="_Toc263677447"/>
      <w:bookmarkStart w:id="693" w:name="_Toc267473023"/>
      <w:bookmarkStart w:id="694" w:name="_Toc285028917"/>
      <w:r>
        <w:rPr>
          <w:rFonts w:hint="eastAsia" w:ascii="宋体" w:hAnsi="宋体" w:eastAsia="宋体" w:cs="Times New Roman"/>
          <w:color w:val="auto"/>
          <w:sz w:val="24"/>
          <w:szCs w:val="24"/>
        </w:rPr>
        <w:t>19.4 进一步试验和试运行</w:t>
      </w:r>
      <w:bookmarkEnd w:id="692"/>
      <w:bookmarkEnd w:id="693"/>
      <w:bookmarkEnd w:id="694"/>
    </w:p>
    <w:p w14:paraId="6645318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任何一项缺陷或损坏修复后，经检查证明其影响了工程或工程设备的使用性能，承包人应重新进行合同约定的试验和试运行，试验和试运行的全部费用应由责任方承担。</w:t>
      </w:r>
    </w:p>
    <w:p w14:paraId="38666F79">
      <w:pPr>
        <w:spacing w:line="360" w:lineRule="auto"/>
        <w:ind w:firstLine="480" w:firstLineChars="200"/>
        <w:outlineLvl w:val="9"/>
        <w:rPr>
          <w:rFonts w:hint="eastAsia" w:ascii="宋体" w:hAnsi="宋体" w:eastAsia="宋体" w:cs="Times New Roman"/>
          <w:color w:val="auto"/>
          <w:sz w:val="24"/>
          <w:szCs w:val="24"/>
        </w:rPr>
      </w:pPr>
      <w:bookmarkStart w:id="695" w:name="_Toc263677448"/>
      <w:bookmarkStart w:id="696" w:name="_Toc267473024"/>
      <w:bookmarkStart w:id="697" w:name="_Toc285028918"/>
      <w:r>
        <w:rPr>
          <w:rFonts w:hint="eastAsia" w:ascii="宋体" w:hAnsi="宋体" w:eastAsia="宋体" w:cs="Times New Roman"/>
          <w:color w:val="auto"/>
          <w:sz w:val="24"/>
          <w:szCs w:val="24"/>
        </w:rPr>
        <w:t>19.5 承包人的进入权</w:t>
      </w:r>
      <w:bookmarkEnd w:id="695"/>
      <w:bookmarkEnd w:id="696"/>
      <w:bookmarkEnd w:id="697"/>
    </w:p>
    <w:p w14:paraId="3B56855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缺陷责任期内承包人为缺陷修复工作需要，有权进入工程现场，但应遵守发包人的保安和保密规定。</w:t>
      </w:r>
    </w:p>
    <w:p w14:paraId="03AD9A11">
      <w:pPr>
        <w:spacing w:line="360" w:lineRule="auto"/>
        <w:ind w:firstLine="480" w:firstLineChars="200"/>
        <w:outlineLvl w:val="9"/>
        <w:rPr>
          <w:rFonts w:hint="eastAsia" w:ascii="宋体" w:hAnsi="宋体" w:eastAsia="宋体" w:cs="Times New Roman"/>
          <w:color w:val="auto"/>
          <w:sz w:val="24"/>
          <w:szCs w:val="24"/>
        </w:rPr>
      </w:pPr>
      <w:bookmarkStart w:id="698" w:name="_Toc285028919"/>
      <w:bookmarkStart w:id="699" w:name="_Toc267473025"/>
      <w:bookmarkStart w:id="700" w:name="_Toc263677449"/>
      <w:r>
        <w:rPr>
          <w:rFonts w:hint="eastAsia" w:ascii="宋体" w:hAnsi="宋体" w:eastAsia="宋体" w:cs="Times New Roman"/>
          <w:color w:val="auto"/>
          <w:sz w:val="24"/>
          <w:szCs w:val="24"/>
        </w:rPr>
        <w:t>19.6 缺陷责任期终止证书(工程质量保修责任终止证书)</w:t>
      </w:r>
      <w:bookmarkEnd w:id="698"/>
      <w:bookmarkEnd w:id="699"/>
      <w:bookmarkEnd w:id="700"/>
    </w:p>
    <w:p w14:paraId="754C7E0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合同工程完工验收或投入使用验收后，发包人与承包人应办理工程交接手续，承包人应向发包人递交工程质量保修书。</w:t>
      </w:r>
    </w:p>
    <w:p w14:paraId="231F2E8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缺陷责任期(工程质量保修期)满后30个工作日内，发包人应向承包人颁发工程质量保修责任终止证书，并退还剩余的质量保证金，但保修责任范围内的质量缺陷未处理完成的应除外。</w:t>
      </w:r>
    </w:p>
    <w:p w14:paraId="654C422F">
      <w:pPr>
        <w:spacing w:line="360" w:lineRule="auto"/>
        <w:ind w:firstLine="480" w:firstLineChars="200"/>
        <w:outlineLvl w:val="9"/>
        <w:rPr>
          <w:rFonts w:hint="eastAsia" w:ascii="宋体" w:hAnsi="宋体" w:eastAsia="宋体" w:cs="Times New Roman"/>
          <w:color w:val="auto"/>
          <w:sz w:val="24"/>
          <w:szCs w:val="24"/>
        </w:rPr>
      </w:pPr>
      <w:bookmarkStart w:id="701" w:name="_Toc263677450"/>
      <w:bookmarkStart w:id="702" w:name="_Toc267473026"/>
      <w:bookmarkStart w:id="703" w:name="_Toc285028920"/>
      <w:r>
        <w:rPr>
          <w:rFonts w:hint="eastAsia" w:ascii="宋体" w:hAnsi="宋体" w:eastAsia="宋体" w:cs="Times New Roman"/>
          <w:color w:val="auto"/>
          <w:sz w:val="24"/>
          <w:szCs w:val="24"/>
        </w:rPr>
        <w:t>19.7 保修责任</w:t>
      </w:r>
      <w:bookmarkEnd w:id="701"/>
      <w:bookmarkEnd w:id="702"/>
      <w:bookmarkEnd w:id="703"/>
    </w:p>
    <w:p w14:paraId="40A65BC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5CBBA6D9">
      <w:pPr>
        <w:spacing w:line="360" w:lineRule="auto"/>
        <w:ind w:firstLine="480" w:firstLineChars="200"/>
        <w:outlineLvl w:val="9"/>
        <w:rPr>
          <w:rFonts w:hint="eastAsia" w:ascii="宋体" w:hAnsi="宋体" w:eastAsia="宋体" w:cs="Times New Roman"/>
          <w:color w:val="auto"/>
          <w:sz w:val="24"/>
          <w:szCs w:val="24"/>
        </w:rPr>
      </w:pPr>
      <w:bookmarkStart w:id="704" w:name="_Toc307417463"/>
      <w:bookmarkStart w:id="705" w:name="_Toc184635117"/>
      <w:bookmarkStart w:id="706" w:name="_Toc267473027"/>
      <w:bookmarkStart w:id="707" w:name="_Toc430097436"/>
      <w:bookmarkStart w:id="708" w:name="_Toc307485230"/>
      <w:bookmarkStart w:id="709" w:name="_Toc32009"/>
      <w:bookmarkStart w:id="710" w:name="_Toc307416166"/>
      <w:bookmarkStart w:id="711" w:name="_Toc263370614"/>
      <w:bookmarkStart w:id="712" w:name="_Toc285028921"/>
      <w:bookmarkStart w:id="713" w:name="_Toc263677451"/>
      <w:r>
        <w:rPr>
          <w:rFonts w:hint="eastAsia" w:ascii="宋体" w:hAnsi="宋体" w:eastAsia="宋体" w:cs="Times New Roman"/>
          <w:color w:val="auto"/>
          <w:sz w:val="24"/>
          <w:szCs w:val="24"/>
        </w:rPr>
        <w:t>20．保险</w:t>
      </w:r>
      <w:bookmarkEnd w:id="704"/>
      <w:bookmarkEnd w:id="705"/>
      <w:bookmarkEnd w:id="706"/>
      <w:bookmarkEnd w:id="707"/>
      <w:bookmarkEnd w:id="708"/>
      <w:bookmarkEnd w:id="709"/>
      <w:bookmarkEnd w:id="710"/>
      <w:bookmarkEnd w:id="711"/>
      <w:bookmarkEnd w:id="712"/>
      <w:bookmarkEnd w:id="713"/>
    </w:p>
    <w:p w14:paraId="41C1AF29">
      <w:pPr>
        <w:spacing w:line="360" w:lineRule="auto"/>
        <w:ind w:firstLine="480" w:firstLineChars="200"/>
        <w:outlineLvl w:val="9"/>
        <w:rPr>
          <w:rFonts w:hint="eastAsia" w:ascii="宋体" w:hAnsi="宋体" w:eastAsia="宋体" w:cs="Times New Roman"/>
          <w:color w:val="auto"/>
          <w:sz w:val="24"/>
          <w:szCs w:val="24"/>
        </w:rPr>
      </w:pPr>
      <w:bookmarkStart w:id="714" w:name="_Toc285028922"/>
      <w:bookmarkStart w:id="715" w:name="_Toc267473028"/>
      <w:bookmarkStart w:id="716" w:name="_Toc263677452"/>
      <w:r>
        <w:rPr>
          <w:rFonts w:hint="eastAsia" w:ascii="宋体" w:hAnsi="宋体" w:eastAsia="宋体" w:cs="Times New Roman"/>
          <w:color w:val="auto"/>
          <w:sz w:val="24"/>
          <w:szCs w:val="24"/>
        </w:rPr>
        <w:t>20.1 工程保险</w:t>
      </w:r>
      <w:bookmarkEnd w:id="714"/>
      <w:bookmarkEnd w:id="715"/>
      <w:bookmarkEnd w:id="716"/>
    </w:p>
    <w:p w14:paraId="717FEAE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2577E3A9">
      <w:pPr>
        <w:spacing w:line="360" w:lineRule="auto"/>
        <w:ind w:firstLine="480" w:firstLineChars="200"/>
        <w:outlineLvl w:val="9"/>
        <w:rPr>
          <w:rFonts w:hint="eastAsia" w:ascii="宋体" w:hAnsi="宋体" w:eastAsia="宋体" w:cs="Times New Roman"/>
          <w:color w:val="auto"/>
          <w:sz w:val="24"/>
          <w:szCs w:val="24"/>
        </w:rPr>
      </w:pPr>
      <w:bookmarkStart w:id="717" w:name="_Toc263677453"/>
      <w:bookmarkStart w:id="718" w:name="_Toc267473029"/>
      <w:bookmarkStart w:id="719" w:name="_Toc285028923"/>
      <w:r>
        <w:rPr>
          <w:rFonts w:hint="eastAsia" w:ascii="宋体" w:hAnsi="宋体" w:eastAsia="宋体" w:cs="Times New Roman"/>
          <w:color w:val="auto"/>
          <w:sz w:val="24"/>
          <w:szCs w:val="24"/>
        </w:rPr>
        <w:t>20.2 人员工伤事故的保险</w:t>
      </w:r>
      <w:bookmarkEnd w:id="717"/>
      <w:bookmarkEnd w:id="718"/>
      <w:bookmarkEnd w:id="719"/>
    </w:p>
    <w:p w14:paraId="2313560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20.2.1 承包人员工伤事故的保险</w:t>
      </w:r>
    </w:p>
    <w:p w14:paraId="32EF972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承包人应依照有关法律规定参加工伤保险，为其履行合同所雇佣的全部人员，缴纳工伤保险费，并要求其分包人也进行此项保险。</w:t>
      </w:r>
    </w:p>
    <w:p w14:paraId="5A9781E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20.2.2 发包人员工伤事故的保险</w:t>
      </w:r>
    </w:p>
    <w:p w14:paraId="0928FFC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发包人应依照有关法律规定参加工伤保险，为其现场机构雇佣的全部人员，缴纳工伤保险费，并要求其监理人也进行此项保险。</w:t>
      </w:r>
    </w:p>
    <w:p w14:paraId="4C351525">
      <w:pPr>
        <w:spacing w:line="360" w:lineRule="auto"/>
        <w:ind w:firstLine="480" w:firstLineChars="200"/>
        <w:outlineLvl w:val="9"/>
        <w:rPr>
          <w:rFonts w:hint="eastAsia" w:ascii="宋体" w:hAnsi="宋体" w:eastAsia="宋体" w:cs="Times New Roman"/>
          <w:color w:val="auto"/>
          <w:sz w:val="24"/>
          <w:szCs w:val="24"/>
        </w:rPr>
      </w:pPr>
      <w:bookmarkStart w:id="720" w:name="_Toc263677454"/>
      <w:bookmarkStart w:id="721" w:name="_Toc285028924"/>
      <w:bookmarkStart w:id="722" w:name="_Toc267473030"/>
      <w:r>
        <w:rPr>
          <w:rFonts w:hint="eastAsia" w:ascii="宋体" w:hAnsi="宋体" w:eastAsia="宋体" w:cs="Times New Roman"/>
          <w:color w:val="auto"/>
          <w:sz w:val="24"/>
          <w:szCs w:val="24"/>
        </w:rPr>
        <w:t>20.3 人身意外伤害险</w:t>
      </w:r>
      <w:bookmarkEnd w:id="720"/>
      <w:bookmarkEnd w:id="721"/>
      <w:bookmarkEnd w:id="722"/>
    </w:p>
    <w:p w14:paraId="71FAA31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20.3.1 发包人应在整个施工期间为其现场机构雇用的全部人员，投保人身意外伤害险，缴纳保险费，并要求其监理人也进行此项保险。</w:t>
      </w:r>
    </w:p>
    <w:p w14:paraId="3824E1A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20.3.2 承包人应在整个施工期间为其现场机构雇用的全部人员，投保人身意外伤害险，缴纳保险费，并要求其分包人也进行此项保险。</w:t>
      </w:r>
    </w:p>
    <w:p w14:paraId="0C98C7FC">
      <w:pPr>
        <w:spacing w:line="360" w:lineRule="auto"/>
        <w:ind w:firstLine="480" w:firstLineChars="200"/>
        <w:outlineLvl w:val="9"/>
        <w:rPr>
          <w:rFonts w:hint="eastAsia" w:ascii="宋体" w:hAnsi="宋体" w:eastAsia="宋体" w:cs="Times New Roman"/>
          <w:color w:val="auto"/>
          <w:sz w:val="24"/>
          <w:szCs w:val="24"/>
        </w:rPr>
      </w:pPr>
      <w:bookmarkStart w:id="723" w:name="_Toc285028925"/>
      <w:bookmarkStart w:id="724" w:name="_Toc267473031"/>
      <w:bookmarkStart w:id="725" w:name="_Toc263677455"/>
      <w:r>
        <w:rPr>
          <w:rFonts w:hint="eastAsia" w:ascii="宋体" w:hAnsi="宋体" w:eastAsia="宋体" w:cs="Times New Roman"/>
          <w:color w:val="auto"/>
          <w:sz w:val="24"/>
          <w:szCs w:val="24"/>
        </w:rPr>
        <w:t>20.4 第三者责任险</w:t>
      </w:r>
      <w:bookmarkEnd w:id="723"/>
      <w:bookmarkEnd w:id="724"/>
      <w:bookmarkEnd w:id="725"/>
    </w:p>
    <w:p w14:paraId="7A54858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7B0DC5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20.4.2 在缺陷责任期终止证书颁发前，承包人应以承包人和发包人的共同名义，投保第20.4.1项约定的第三者责任险，其保险费率、保险金额等有关内容在专用合同条款中约定。</w:t>
      </w:r>
    </w:p>
    <w:p w14:paraId="546724F6">
      <w:pPr>
        <w:spacing w:line="360" w:lineRule="auto"/>
        <w:ind w:firstLine="480" w:firstLineChars="200"/>
        <w:outlineLvl w:val="9"/>
        <w:rPr>
          <w:rFonts w:hint="eastAsia" w:ascii="宋体" w:hAnsi="宋体" w:eastAsia="宋体" w:cs="Times New Roman"/>
          <w:color w:val="auto"/>
          <w:sz w:val="24"/>
          <w:szCs w:val="24"/>
        </w:rPr>
      </w:pPr>
      <w:bookmarkStart w:id="726" w:name="_Toc285028926"/>
      <w:bookmarkStart w:id="727" w:name="_Toc267473032"/>
      <w:bookmarkStart w:id="728" w:name="_Toc263677456"/>
      <w:r>
        <w:rPr>
          <w:rFonts w:hint="eastAsia" w:ascii="宋体" w:hAnsi="宋体" w:eastAsia="宋体" w:cs="Times New Roman"/>
          <w:color w:val="auto"/>
          <w:sz w:val="24"/>
          <w:szCs w:val="24"/>
        </w:rPr>
        <w:t>20.5 其他保险</w:t>
      </w:r>
      <w:bookmarkEnd w:id="726"/>
      <w:bookmarkEnd w:id="727"/>
      <w:bookmarkEnd w:id="728"/>
    </w:p>
    <w:p w14:paraId="2A37547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除专用合同条款另有约定外，承包人应为其施工设备、进场的材料和工程设备等办理保险。</w:t>
      </w:r>
    </w:p>
    <w:p w14:paraId="143927C8">
      <w:pPr>
        <w:spacing w:line="360" w:lineRule="auto"/>
        <w:ind w:firstLine="480" w:firstLineChars="200"/>
        <w:outlineLvl w:val="9"/>
        <w:rPr>
          <w:rFonts w:hint="eastAsia" w:ascii="宋体" w:hAnsi="宋体" w:eastAsia="宋体" w:cs="Times New Roman"/>
          <w:color w:val="auto"/>
          <w:sz w:val="24"/>
          <w:szCs w:val="24"/>
        </w:rPr>
      </w:pPr>
      <w:bookmarkStart w:id="729" w:name="_Toc267473033"/>
      <w:bookmarkStart w:id="730" w:name="_Toc263677457"/>
      <w:bookmarkStart w:id="731" w:name="_Toc285028927"/>
      <w:r>
        <w:rPr>
          <w:rFonts w:hint="eastAsia" w:ascii="宋体" w:hAnsi="宋体" w:eastAsia="宋体" w:cs="Times New Roman"/>
          <w:color w:val="auto"/>
          <w:sz w:val="24"/>
          <w:szCs w:val="24"/>
        </w:rPr>
        <w:t>20.6 对各项保险的一般要求</w:t>
      </w:r>
      <w:bookmarkEnd w:id="729"/>
      <w:bookmarkEnd w:id="730"/>
      <w:bookmarkEnd w:id="731"/>
    </w:p>
    <w:p w14:paraId="69D3751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20.6.1 保险凭证</w:t>
      </w:r>
    </w:p>
    <w:p w14:paraId="6874D3C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承包人应在专用合同条款约定的期限内向发包人提交各项保险生效的证据和保险单副本，保险单必须与专用合同条款约定的条件保持一致。</w:t>
      </w:r>
    </w:p>
    <w:p w14:paraId="7CD00EC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20.6.2 保险合同条款的变动</w:t>
      </w:r>
    </w:p>
    <w:p w14:paraId="601E41E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承包人需要变动保险合同条款时，应事先征得发包人同意，并通知监理人。保险人做出变动的，承包人应在收到保险人通知后立即通知发包人和监理人。</w:t>
      </w:r>
    </w:p>
    <w:p w14:paraId="685BAF8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20.6.3 持续保险</w:t>
      </w:r>
    </w:p>
    <w:p w14:paraId="6BECDF1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承包人应与保险人保持联系，使保险人能够随时了解工程实施中的变动，并确保按保险合同条款要求持续保险。</w:t>
      </w:r>
    </w:p>
    <w:p w14:paraId="44BDCBE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20.6.4 保险金不足的补偿</w:t>
      </w:r>
    </w:p>
    <w:p w14:paraId="4AEB076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保险金不足以补偿损失时，应由承包人和发包人各自负责补偿的范围和金额在专用合同条款中约定。</w:t>
      </w:r>
    </w:p>
    <w:p w14:paraId="3E3BE2F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20.6.5 未按约定投保的补救</w:t>
      </w:r>
    </w:p>
    <w:p w14:paraId="4A31A32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(l）由于负有投保义务的一方当事人未按合同约定办理保险，或未能使保险持续有效的，另一方当事人可代为办理，所需费用由对方当事人承担。</w:t>
      </w:r>
    </w:p>
    <w:p w14:paraId="5264ACD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(2）由于负有投保义务的一方当事人未按合同约定办理某项保险，导致受益人未能得到保险人的赔偿，原应从该项保险得到的保险金应由负有投保义务的一方当事人支付。</w:t>
      </w:r>
    </w:p>
    <w:p w14:paraId="48ED62B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20.6.6 报告义务</w:t>
      </w:r>
    </w:p>
    <w:p w14:paraId="68CD82B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当保险事故发生时，投保人应按照保险单规定的条件和期限及时向保险人报告。</w:t>
      </w:r>
    </w:p>
    <w:p w14:paraId="3CFA8181">
      <w:pPr>
        <w:spacing w:line="360" w:lineRule="auto"/>
        <w:ind w:firstLine="480" w:firstLineChars="200"/>
        <w:outlineLvl w:val="9"/>
        <w:rPr>
          <w:rFonts w:hint="eastAsia" w:ascii="宋体" w:hAnsi="宋体" w:eastAsia="宋体" w:cs="Times New Roman"/>
          <w:color w:val="auto"/>
          <w:sz w:val="24"/>
          <w:szCs w:val="24"/>
        </w:rPr>
      </w:pPr>
      <w:bookmarkStart w:id="732" w:name="_Toc267473034"/>
      <w:bookmarkStart w:id="733" w:name="_Toc285028928"/>
      <w:bookmarkStart w:id="734" w:name="_Toc263677458"/>
      <w:r>
        <w:rPr>
          <w:rFonts w:hint="eastAsia" w:ascii="宋体" w:hAnsi="宋体" w:eastAsia="宋体" w:cs="Times New Roman"/>
          <w:color w:val="auto"/>
          <w:sz w:val="24"/>
          <w:szCs w:val="24"/>
        </w:rPr>
        <w:t>20.7 风险责任的转移</w:t>
      </w:r>
      <w:bookmarkEnd w:id="732"/>
      <w:bookmarkEnd w:id="733"/>
      <w:bookmarkEnd w:id="734"/>
    </w:p>
    <w:p w14:paraId="27F25BB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工程通过合同工程完工验收并移交给发包人后，原由承包人应承担的风险责任，以及保险的责任、权利和义务同时转移给发包人，但承包人在缺陷责任期(工程质量保修期)前造成损失和损坏情形除外。</w:t>
      </w:r>
    </w:p>
    <w:p w14:paraId="1674A455">
      <w:pPr>
        <w:spacing w:line="360" w:lineRule="auto"/>
        <w:ind w:firstLine="480" w:firstLineChars="200"/>
        <w:outlineLvl w:val="9"/>
        <w:rPr>
          <w:rFonts w:hint="eastAsia" w:ascii="宋体" w:hAnsi="宋体" w:eastAsia="宋体" w:cs="Times New Roman"/>
          <w:color w:val="auto"/>
          <w:sz w:val="24"/>
          <w:szCs w:val="24"/>
        </w:rPr>
      </w:pPr>
      <w:bookmarkStart w:id="735" w:name="_Toc267473035"/>
      <w:bookmarkStart w:id="736" w:name="_Toc11843"/>
      <w:bookmarkStart w:id="737" w:name="_Toc285028929"/>
      <w:bookmarkStart w:id="738" w:name="_Toc430097437"/>
      <w:bookmarkStart w:id="739" w:name="_Toc263370615"/>
      <w:bookmarkStart w:id="740" w:name="_Toc263677459"/>
      <w:bookmarkStart w:id="741" w:name="_Toc307416167"/>
      <w:bookmarkStart w:id="742" w:name="_Toc307485231"/>
      <w:bookmarkStart w:id="743" w:name="_Toc307417464"/>
      <w:bookmarkStart w:id="744" w:name="_Toc184635118"/>
      <w:r>
        <w:rPr>
          <w:rFonts w:hint="eastAsia" w:ascii="宋体" w:hAnsi="宋体" w:eastAsia="宋体" w:cs="Times New Roman"/>
          <w:color w:val="auto"/>
          <w:sz w:val="24"/>
          <w:szCs w:val="24"/>
        </w:rPr>
        <w:t>21．不可抗力</w:t>
      </w:r>
      <w:bookmarkEnd w:id="735"/>
      <w:bookmarkEnd w:id="736"/>
      <w:bookmarkEnd w:id="737"/>
      <w:bookmarkEnd w:id="738"/>
      <w:bookmarkEnd w:id="739"/>
      <w:bookmarkEnd w:id="740"/>
      <w:bookmarkEnd w:id="741"/>
      <w:bookmarkEnd w:id="742"/>
      <w:bookmarkEnd w:id="743"/>
      <w:bookmarkEnd w:id="744"/>
    </w:p>
    <w:p w14:paraId="3824A675">
      <w:pPr>
        <w:spacing w:line="360" w:lineRule="auto"/>
        <w:ind w:firstLine="480" w:firstLineChars="200"/>
        <w:outlineLvl w:val="9"/>
        <w:rPr>
          <w:rFonts w:hint="eastAsia" w:ascii="宋体" w:hAnsi="宋体" w:eastAsia="宋体" w:cs="Times New Roman"/>
          <w:color w:val="auto"/>
          <w:sz w:val="24"/>
          <w:szCs w:val="24"/>
        </w:rPr>
      </w:pPr>
      <w:bookmarkStart w:id="745" w:name="_Toc285028930"/>
      <w:bookmarkStart w:id="746" w:name="_Toc263677460"/>
      <w:bookmarkStart w:id="747" w:name="_Toc267473036"/>
      <w:r>
        <w:rPr>
          <w:rFonts w:hint="eastAsia" w:ascii="宋体" w:hAnsi="宋体" w:eastAsia="宋体" w:cs="Times New Roman"/>
          <w:color w:val="auto"/>
          <w:sz w:val="24"/>
          <w:szCs w:val="24"/>
        </w:rPr>
        <w:t>21.1 不可抗力的确认</w:t>
      </w:r>
      <w:bookmarkEnd w:id="745"/>
      <w:bookmarkEnd w:id="746"/>
      <w:bookmarkEnd w:id="747"/>
    </w:p>
    <w:p w14:paraId="5B7A83F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66D4BE0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7F18AB0">
      <w:pPr>
        <w:spacing w:line="360" w:lineRule="auto"/>
        <w:ind w:firstLine="480" w:firstLineChars="200"/>
        <w:outlineLvl w:val="9"/>
        <w:rPr>
          <w:rFonts w:hint="eastAsia" w:ascii="宋体" w:hAnsi="宋体" w:eastAsia="宋体" w:cs="Times New Roman"/>
          <w:color w:val="auto"/>
          <w:sz w:val="24"/>
          <w:szCs w:val="24"/>
        </w:rPr>
      </w:pPr>
      <w:bookmarkStart w:id="748" w:name="_Toc267473037"/>
      <w:bookmarkStart w:id="749" w:name="_Toc285028931"/>
      <w:bookmarkStart w:id="750" w:name="_Toc263677461"/>
      <w:r>
        <w:rPr>
          <w:rFonts w:hint="eastAsia" w:ascii="宋体" w:hAnsi="宋体" w:eastAsia="宋体" w:cs="Times New Roman"/>
          <w:color w:val="auto"/>
          <w:sz w:val="24"/>
          <w:szCs w:val="24"/>
        </w:rPr>
        <w:t>21.2 不可抗力的通知</w:t>
      </w:r>
      <w:bookmarkEnd w:id="748"/>
      <w:bookmarkEnd w:id="749"/>
      <w:bookmarkEnd w:id="750"/>
    </w:p>
    <w:p w14:paraId="393D40E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21.2.1 合同一方当事人遇到不可抗力事件，使其履行合同义务受到阻碍时，应立即通知合同另一方当事人和监理人，书面说明不可抗力和受阻碍的详细情况，并提供必要的证明。</w:t>
      </w:r>
    </w:p>
    <w:p w14:paraId="15438BB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21.2.2 如不可抗力持续发生，合同一方当事人应及时向合同另一方当事人和监理人提交中间报告，说明不可抗力和履行合同受阻的情况，并于不可抗力事件结束后28天内提交最终报告及有关资料。</w:t>
      </w:r>
    </w:p>
    <w:p w14:paraId="7B85D2B1">
      <w:pPr>
        <w:spacing w:line="360" w:lineRule="auto"/>
        <w:ind w:firstLine="480" w:firstLineChars="200"/>
        <w:outlineLvl w:val="9"/>
        <w:rPr>
          <w:rFonts w:hint="eastAsia" w:ascii="宋体" w:hAnsi="宋体" w:eastAsia="宋体" w:cs="Times New Roman"/>
          <w:color w:val="auto"/>
          <w:sz w:val="24"/>
          <w:szCs w:val="24"/>
        </w:rPr>
      </w:pPr>
      <w:bookmarkStart w:id="751" w:name="_Toc267473038"/>
      <w:bookmarkStart w:id="752" w:name="_Toc263677462"/>
      <w:bookmarkStart w:id="753" w:name="_Toc285028932"/>
      <w:r>
        <w:rPr>
          <w:rFonts w:hint="eastAsia" w:ascii="宋体" w:hAnsi="宋体" w:eastAsia="宋体" w:cs="Times New Roman"/>
          <w:color w:val="auto"/>
          <w:sz w:val="24"/>
          <w:szCs w:val="24"/>
        </w:rPr>
        <w:t>21.3 不可抗力后果及其处理</w:t>
      </w:r>
      <w:bookmarkEnd w:id="751"/>
      <w:bookmarkEnd w:id="752"/>
      <w:bookmarkEnd w:id="753"/>
    </w:p>
    <w:p w14:paraId="35DD6049">
      <w:pPr>
        <w:spacing w:line="360" w:lineRule="auto"/>
        <w:ind w:firstLine="480" w:firstLineChars="200"/>
        <w:outlineLvl w:val="9"/>
        <w:rPr>
          <w:rFonts w:hint="eastAsia" w:ascii="宋体" w:hAnsi="宋体" w:eastAsia="宋体" w:cs="Times New Roman"/>
          <w:color w:val="auto"/>
          <w:sz w:val="24"/>
          <w:szCs w:val="24"/>
        </w:rPr>
      </w:pPr>
      <w:bookmarkStart w:id="754" w:name="_Toc267471043"/>
      <w:bookmarkStart w:id="755" w:name="_Toc285028933"/>
      <w:bookmarkStart w:id="756" w:name="_Toc275528182"/>
      <w:bookmarkStart w:id="757" w:name="_Toc267473039"/>
      <w:r>
        <w:rPr>
          <w:rFonts w:hint="eastAsia" w:ascii="宋体" w:hAnsi="宋体" w:eastAsia="宋体" w:cs="Times New Roman"/>
          <w:color w:val="auto"/>
          <w:sz w:val="24"/>
          <w:szCs w:val="24"/>
        </w:rPr>
        <w:t>21.3.1 不可抗力造成损害的责任</w:t>
      </w:r>
      <w:bookmarkEnd w:id="754"/>
      <w:bookmarkEnd w:id="755"/>
      <w:bookmarkEnd w:id="756"/>
      <w:bookmarkEnd w:id="757"/>
    </w:p>
    <w:p w14:paraId="21958E8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除专用合同条款另有约定外，不可抗力导致的人员伤亡、财产损失、费用增加和（或）工期延误等后果，由合同双方按以下原则承担：</w:t>
      </w:r>
    </w:p>
    <w:p w14:paraId="7588A8F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(1）永久工程，包括已运至施工场地的材料和工程设备的损害，以及因工程损害造成的第三者人员伤亡和财产损失由发包人承担；</w:t>
      </w:r>
    </w:p>
    <w:p w14:paraId="257BE9E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(2）承包人设备的损坏由承包人承担；</w:t>
      </w:r>
    </w:p>
    <w:p w14:paraId="79059A3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(3）发包人和承包人各自承担其人员伤亡和其他财产损失及其相关费用；</w:t>
      </w:r>
    </w:p>
    <w:p w14:paraId="225FB35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(4）承包人的停工损失由承包人承担，但停工期间应监理人要求照管工程和清理、修复工程的金额由发包人承担；</w:t>
      </w:r>
    </w:p>
    <w:p w14:paraId="38B676B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(5）不能按期竣工的，应合理延长工期，承包人不需支付逾期竣工违约金。发包人要求赶工的，承包人应采取赶工措施，赶工费用由发包人承担。</w:t>
      </w:r>
    </w:p>
    <w:p w14:paraId="10863E6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21.3.2 延迟履行期间发生的不可抗力</w:t>
      </w:r>
    </w:p>
    <w:p w14:paraId="3707941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合同一方当事人延迟履行，在延迟履行期间发生不可抗力的，不免除其责任。</w:t>
      </w:r>
    </w:p>
    <w:p w14:paraId="7CDFC6A6">
      <w:pPr>
        <w:spacing w:line="360" w:lineRule="auto"/>
        <w:ind w:firstLine="480" w:firstLineChars="200"/>
        <w:outlineLvl w:val="9"/>
        <w:rPr>
          <w:rFonts w:hint="eastAsia" w:ascii="宋体" w:hAnsi="宋体" w:eastAsia="宋体" w:cs="Times New Roman"/>
          <w:color w:val="auto"/>
          <w:sz w:val="24"/>
          <w:szCs w:val="24"/>
        </w:rPr>
      </w:pPr>
      <w:bookmarkStart w:id="758" w:name="_Toc285028934"/>
      <w:bookmarkStart w:id="759" w:name="_Toc275528183"/>
      <w:bookmarkStart w:id="760" w:name="_Toc267471044"/>
      <w:bookmarkStart w:id="761" w:name="_Toc267473040"/>
      <w:r>
        <w:rPr>
          <w:rFonts w:hint="eastAsia" w:ascii="宋体" w:hAnsi="宋体" w:eastAsia="宋体" w:cs="Times New Roman"/>
          <w:color w:val="auto"/>
          <w:sz w:val="24"/>
          <w:szCs w:val="24"/>
        </w:rPr>
        <w:t>21.3.3 避免和减少不可抗力损失</w:t>
      </w:r>
      <w:bookmarkEnd w:id="758"/>
      <w:bookmarkEnd w:id="759"/>
      <w:bookmarkEnd w:id="760"/>
      <w:bookmarkEnd w:id="761"/>
    </w:p>
    <w:p w14:paraId="22A9A2C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不可抗力发生后，发包人和承包人均应采取措施尽量避免和减少损失的扩大，任何一方没有采取有效措施导致损失扩大的，应对扩大的损失承担责任。</w:t>
      </w:r>
    </w:p>
    <w:p w14:paraId="18EC39D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21.3.4 因不可抗力解除合同</w:t>
      </w:r>
    </w:p>
    <w:p w14:paraId="5A65BFA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25B8FB09">
      <w:pPr>
        <w:spacing w:line="360" w:lineRule="auto"/>
        <w:ind w:firstLine="480" w:firstLineChars="200"/>
        <w:outlineLvl w:val="9"/>
        <w:rPr>
          <w:rFonts w:hint="eastAsia" w:ascii="宋体" w:hAnsi="宋体" w:eastAsia="宋体" w:cs="Times New Roman"/>
          <w:color w:val="auto"/>
          <w:sz w:val="24"/>
          <w:szCs w:val="24"/>
        </w:rPr>
      </w:pPr>
      <w:bookmarkStart w:id="762" w:name="_Toc307485232"/>
      <w:bookmarkStart w:id="763" w:name="_Toc1093"/>
      <w:bookmarkStart w:id="764" w:name="_Toc307416168"/>
      <w:bookmarkStart w:id="765" w:name="_Toc267473041"/>
      <w:bookmarkStart w:id="766" w:name="_Toc430097438"/>
      <w:bookmarkStart w:id="767" w:name="_Toc263370616"/>
      <w:bookmarkStart w:id="768" w:name="_Toc184635119"/>
      <w:bookmarkStart w:id="769" w:name="_Toc285028935"/>
      <w:bookmarkStart w:id="770" w:name="_Toc263677463"/>
      <w:bookmarkStart w:id="771" w:name="_Toc307417465"/>
      <w:r>
        <w:rPr>
          <w:rFonts w:hint="eastAsia" w:ascii="宋体" w:hAnsi="宋体" w:eastAsia="宋体" w:cs="Times New Roman"/>
          <w:color w:val="auto"/>
          <w:sz w:val="24"/>
          <w:szCs w:val="24"/>
        </w:rPr>
        <w:t>22．违约</w:t>
      </w:r>
      <w:bookmarkEnd w:id="762"/>
      <w:bookmarkEnd w:id="763"/>
      <w:bookmarkEnd w:id="764"/>
      <w:bookmarkEnd w:id="765"/>
      <w:bookmarkEnd w:id="766"/>
      <w:bookmarkEnd w:id="767"/>
      <w:bookmarkEnd w:id="768"/>
      <w:bookmarkEnd w:id="769"/>
      <w:bookmarkEnd w:id="770"/>
      <w:bookmarkEnd w:id="771"/>
    </w:p>
    <w:p w14:paraId="5C32EFD3">
      <w:pPr>
        <w:spacing w:line="360" w:lineRule="auto"/>
        <w:ind w:firstLine="480" w:firstLineChars="200"/>
        <w:outlineLvl w:val="9"/>
        <w:rPr>
          <w:rFonts w:hint="eastAsia" w:ascii="宋体" w:hAnsi="宋体" w:eastAsia="宋体" w:cs="Times New Roman"/>
          <w:color w:val="auto"/>
          <w:sz w:val="24"/>
          <w:szCs w:val="24"/>
        </w:rPr>
      </w:pPr>
      <w:bookmarkStart w:id="772" w:name="_Toc267473042"/>
      <w:bookmarkStart w:id="773" w:name="_Toc285028936"/>
      <w:bookmarkStart w:id="774" w:name="_Toc263677464"/>
      <w:r>
        <w:rPr>
          <w:rFonts w:hint="eastAsia" w:ascii="宋体" w:hAnsi="宋体" w:eastAsia="宋体" w:cs="Times New Roman"/>
          <w:color w:val="auto"/>
          <w:sz w:val="24"/>
          <w:szCs w:val="24"/>
        </w:rPr>
        <w:t>22.1 承包人违约</w:t>
      </w:r>
      <w:bookmarkEnd w:id="772"/>
      <w:bookmarkEnd w:id="773"/>
      <w:bookmarkEnd w:id="774"/>
    </w:p>
    <w:p w14:paraId="556762E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22.1.1 承包人违约的情形</w:t>
      </w:r>
    </w:p>
    <w:p w14:paraId="36FDB28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在履行合同过程中发生的下列情况属承包人违约：</w:t>
      </w:r>
    </w:p>
    <w:p w14:paraId="354F5138">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(1）承包人违反第1．8款或第4．3款的约定，私自将合同的全部或部分权利转让给其他人，或私自将合同的全部或部分义务转移给其他人；</w:t>
      </w:r>
    </w:p>
    <w:p w14:paraId="3136488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(2)承包人违反第5.3款或第6.4款的约定，未经监理人批准，私自将已按合同约定进入施工场地的施工设备、临时设施或材料撤离施工场地；</w:t>
      </w:r>
    </w:p>
    <w:p w14:paraId="478EFC4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(3)承包人违反第5.4款的约定使用了不合格材料或工程设备，工程质量达不到标准要求，又拒绝清除不合格工程；</w:t>
      </w:r>
    </w:p>
    <w:p w14:paraId="73A007A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(4)承包人未能按合同进度计划及时完成合同约定的工作，已造成或预期造成工期延误；</w:t>
      </w:r>
    </w:p>
    <w:p w14:paraId="2DCE50B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(5)承包人在缺陷责任期(工程质量保修期)内，未能对合同工程完工验收鉴定书所列的缺陷清单的内容或缺陷责任期(工程质量保修期)内发生的缺陷进行修复，而又拒绝按监理人指示再进行修补；</w:t>
      </w:r>
    </w:p>
    <w:p w14:paraId="3C774E6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(6)承包人无法继续履行或明确表示不履行或实质上已停止履行合同；</w:t>
      </w:r>
    </w:p>
    <w:p w14:paraId="56F4A6F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(7)承包人不按合同约定履行义务的其它情况。</w:t>
      </w:r>
    </w:p>
    <w:p w14:paraId="6C30751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22.1.2 对承包人违约的处理</w:t>
      </w:r>
    </w:p>
    <w:p w14:paraId="5D996B9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(l）承包人发生第22.1.1(6）目约定的违约情况时，发包人可通知承包人立即解除合同，并按有关法律处理。</w:t>
      </w:r>
    </w:p>
    <w:p w14:paraId="27F822E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(2）承包人发生除第22.1.1(6）目约定以外的其他违约情况时，监理人可向承包人发出整改通知，要求其在指定的期限内改正。承包人应承担其违约所引起的费用增加和（或）工期延误。</w:t>
      </w:r>
    </w:p>
    <w:p w14:paraId="6B15A0E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(3）经检查证明承包人已采取了有效措施纠正违约行为，具备复工条件的，可由监理人签发复工通知复工。</w:t>
      </w:r>
    </w:p>
    <w:p w14:paraId="13A6C35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22.1.3 承包人违约解除合同</w:t>
      </w:r>
    </w:p>
    <w:p w14:paraId="630B993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DD41C0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22.1.4 合同解除后的估价、付款和结清</w:t>
      </w:r>
    </w:p>
    <w:p w14:paraId="4B77978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(1）合同解除后，监理人按第3.5款商定或确定承包人实际完成工作的价值，以及承包人已提供的材料、施工设备、工程设备和临时工程等的价值。</w:t>
      </w:r>
    </w:p>
    <w:p w14:paraId="01A0C9A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(2）合同解除后，发包人应暂停对承包人的一切付款，查清各项付款和已扣款金额，包括承包人应支付的违约金。</w:t>
      </w:r>
    </w:p>
    <w:p w14:paraId="5123EB8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(3）合同解除后，发包人应按第23.4款的约定向承包人索赔由于解除合同给发包人造成的损失。</w:t>
      </w:r>
    </w:p>
    <w:p w14:paraId="1F33738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(4）合同双方确认上述往来款项后，出具最终结清付款证书，结清全部合同款项。</w:t>
      </w:r>
    </w:p>
    <w:p w14:paraId="0D7B8DE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(5）发包人和承包人未能就解除合同后的结清达成一致而形成争议的，按第24条的约定办理。</w:t>
      </w:r>
    </w:p>
    <w:p w14:paraId="461B2A5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22.1.5 协议利益的转让</w:t>
      </w:r>
    </w:p>
    <w:p w14:paraId="3EC6C88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因承包人违约解除合同的，发包人有权要求承包人将其为实施合同而签订的材料和设备的订货协议或任何服务协议利益转让给发包人，并在解除合同后的14天内，依法办理转让手续。</w:t>
      </w:r>
    </w:p>
    <w:p w14:paraId="601F85C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22.1.6 紧急情况下无能力或不愿进行抢救</w:t>
      </w:r>
    </w:p>
    <w:p w14:paraId="0F5437B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1313700A">
      <w:pPr>
        <w:spacing w:line="360" w:lineRule="auto"/>
        <w:ind w:firstLine="480" w:firstLineChars="200"/>
        <w:outlineLvl w:val="9"/>
        <w:rPr>
          <w:rFonts w:hint="eastAsia" w:ascii="宋体" w:hAnsi="宋体" w:eastAsia="宋体" w:cs="Times New Roman"/>
          <w:color w:val="auto"/>
          <w:sz w:val="24"/>
          <w:szCs w:val="24"/>
        </w:rPr>
      </w:pPr>
      <w:bookmarkStart w:id="775" w:name="_Toc285028937"/>
      <w:bookmarkStart w:id="776" w:name="_Toc263677465"/>
      <w:bookmarkStart w:id="777" w:name="_Toc267473043"/>
      <w:r>
        <w:rPr>
          <w:rFonts w:hint="eastAsia" w:ascii="宋体" w:hAnsi="宋体" w:eastAsia="宋体" w:cs="Times New Roman"/>
          <w:color w:val="auto"/>
          <w:sz w:val="24"/>
          <w:szCs w:val="24"/>
        </w:rPr>
        <w:t>22.2 发包人违约</w:t>
      </w:r>
      <w:bookmarkEnd w:id="775"/>
      <w:bookmarkEnd w:id="776"/>
      <w:bookmarkEnd w:id="777"/>
    </w:p>
    <w:p w14:paraId="58E59E8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22.2.1 发包人违约的情形</w:t>
      </w:r>
    </w:p>
    <w:p w14:paraId="71E77BD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在履行合同过程中发生的下列情形，属发包人违约：</w:t>
      </w:r>
    </w:p>
    <w:p w14:paraId="50065D8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(l）发包人未能按合同约定支付预付款或合同价款，或拖延、拒绝批准付款申请和支付凭证，导致付款延误的；</w:t>
      </w:r>
    </w:p>
    <w:p w14:paraId="7508A89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(2）发包人原因造成停工的；</w:t>
      </w:r>
    </w:p>
    <w:p w14:paraId="0C37ED2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(3）监理人无正当理由没有在约定期限内发出复工指示，导致承包人无法复工的；</w:t>
      </w:r>
    </w:p>
    <w:p w14:paraId="592399A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(4）发包人无法继续履行或明确表示不履行或实质上已停止履行合同的；</w:t>
      </w:r>
    </w:p>
    <w:p w14:paraId="62793425">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(5）发包人不履行合同约定其他义务的。</w:t>
      </w:r>
    </w:p>
    <w:p w14:paraId="37A2738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22.2.2 承包人有权暂停施工</w:t>
      </w:r>
    </w:p>
    <w:p w14:paraId="79EEABB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58CE9E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22.2.3 发包人违约解除合同</w:t>
      </w:r>
    </w:p>
    <w:p w14:paraId="725B459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(1）发生第22.2.1(4）目的违约情况时，承包人可书面通知发包人解除合同。</w:t>
      </w:r>
    </w:p>
    <w:p w14:paraId="2838341F">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(2）承包人按22.2.2 项暂停施工28天后，发包人仍不纠正违约行为的，承包人可向发包人发出解除合同通知。但承包人的这一行动不免除发包人承担的违约责任，也不影响承包人根据合同约定享有的索赔权利。</w:t>
      </w:r>
    </w:p>
    <w:p w14:paraId="530501F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22.2.4 解除合同后的付款</w:t>
      </w:r>
    </w:p>
    <w:p w14:paraId="3869F5A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因发包人违约解除合同的，发包人应在解除合同后28天内向承包人支付下列金额，承包人应在此期限内及时向发包人提交要求支付下列金额的有关资料和凭证：</w:t>
      </w:r>
    </w:p>
    <w:p w14:paraId="45306A0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(l）合同解除日以前所完成工作的价款；</w:t>
      </w:r>
    </w:p>
    <w:p w14:paraId="5C2F9B8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(2）承包人为该工程施工订购并已付款的材料、工程设备和其他物品的金额。发包人付还后，该材料、工程设备和其他物品归发包人所有；</w:t>
      </w:r>
    </w:p>
    <w:p w14:paraId="6D6DC00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(3）承包人为完成工程所发生的，而发包人未支付的金额；</w:t>
      </w:r>
    </w:p>
    <w:p w14:paraId="7BE487A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(4）承包人撤离施工场地以及遣散承包人人员的金额；</w:t>
      </w:r>
    </w:p>
    <w:p w14:paraId="548303D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(5）由于解除合同应赔偿的承包人损失；</w:t>
      </w:r>
    </w:p>
    <w:p w14:paraId="1069D807">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(6）按合同约定在合同解除日前应支付给承包人的其他金额。</w:t>
      </w:r>
    </w:p>
    <w:p w14:paraId="5F63DBF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发包人应按本项约定支付上述金额并退还质量保证金和履约担保，但有权要求承包人支付应偿还给发包人的各项金额。</w:t>
      </w:r>
    </w:p>
    <w:p w14:paraId="0156CD5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22.2.5 解除合同后的承包人撤离</w:t>
      </w:r>
    </w:p>
    <w:p w14:paraId="0D8EE09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因发包人违约而解除合同后，承包人应妥善做好已竣工工程和已购材料、设备的保护和移交工作，按发包人要求将承包人设备和人员撤出施工场地。承包人撤出施工场地应遵守第18.7.1 项的约定，发包人应为承包人撤出提供必要条件。</w:t>
      </w:r>
    </w:p>
    <w:p w14:paraId="141AFAAF">
      <w:pPr>
        <w:spacing w:line="360" w:lineRule="auto"/>
        <w:ind w:firstLine="480" w:firstLineChars="200"/>
        <w:outlineLvl w:val="9"/>
        <w:rPr>
          <w:rFonts w:hint="eastAsia" w:ascii="宋体" w:hAnsi="宋体" w:eastAsia="宋体" w:cs="Times New Roman"/>
          <w:color w:val="auto"/>
          <w:sz w:val="24"/>
          <w:szCs w:val="24"/>
        </w:rPr>
      </w:pPr>
      <w:bookmarkStart w:id="778" w:name="_Toc285028938"/>
      <w:bookmarkStart w:id="779" w:name="_Toc267473044"/>
      <w:bookmarkStart w:id="780" w:name="_Toc263677466"/>
      <w:r>
        <w:rPr>
          <w:rFonts w:hint="eastAsia" w:ascii="宋体" w:hAnsi="宋体" w:eastAsia="宋体" w:cs="Times New Roman"/>
          <w:color w:val="auto"/>
          <w:sz w:val="24"/>
          <w:szCs w:val="24"/>
        </w:rPr>
        <w:t>22.3 第三人造成的违约</w:t>
      </w:r>
      <w:bookmarkEnd w:id="778"/>
      <w:bookmarkEnd w:id="779"/>
      <w:bookmarkEnd w:id="780"/>
    </w:p>
    <w:p w14:paraId="304AE14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在履行合同过程中，一方当事人因第三人的原因造成违约的，应当向对方当事人承担违约责任。一方当事人和第三人之间的纠纷，依照法律规定或者按照约定解决。</w:t>
      </w:r>
    </w:p>
    <w:p w14:paraId="522F2A2A">
      <w:pPr>
        <w:spacing w:line="360" w:lineRule="auto"/>
        <w:ind w:firstLine="480" w:firstLineChars="200"/>
        <w:outlineLvl w:val="9"/>
        <w:rPr>
          <w:rFonts w:hint="eastAsia" w:ascii="宋体" w:hAnsi="宋体" w:eastAsia="宋体" w:cs="Times New Roman"/>
          <w:color w:val="auto"/>
          <w:sz w:val="24"/>
          <w:szCs w:val="24"/>
        </w:rPr>
      </w:pPr>
      <w:bookmarkStart w:id="781" w:name="_Toc184635120"/>
      <w:bookmarkStart w:id="782" w:name="_Toc267473045"/>
      <w:bookmarkStart w:id="783" w:name="_Toc285028939"/>
      <w:bookmarkStart w:id="784" w:name="_Toc307416169"/>
      <w:bookmarkStart w:id="785" w:name="_Toc263677467"/>
      <w:bookmarkStart w:id="786" w:name="_Toc307417466"/>
      <w:bookmarkStart w:id="787" w:name="_Toc12002"/>
      <w:bookmarkStart w:id="788" w:name="_Toc307485233"/>
      <w:bookmarkStart w:id="789" w:name="_Toc430097439"/>
      <w:bookmarkStart w:id="790" w:name="_Toc263370617"/>
      <w:r>
        <w:rPr>
          <w:rFonts w:hint="eastAsia" w:ascii="宋体" w:hAnsi="宋体" w:eastAsia="宋体" w:cs="Times New Roman"/>
          <w:color w:val="auto"/>
          <w:sz w:val="24"/>
          <w:szCs w:val="24"/>
        </w:rPr>
        <w:t>23．索赔</w:t>
      </w:r>
      <w:bookmarkEnd w:id="781"/>
      <w:bookmarkEnd w:id="782"/>
      <w:bookmarkEnd w:id="783"/>
      <w:bookmarkEnd w:id="784"/>
      <w:bookmarkEnd w:id="785"/>
      <w:bookmarkEnd w:id="786"/>
      <w:bookmarkEnd w:id="787"/>
      <w:bookmarkEnd w:id="788"/>
      <w:bookmarkEnd w:id="789"/>
      <w:bookmarkEnd w:id="790"/>
    </w:p>
    <w:p w14:paraId="110D4329">
      <w:pPr>
        <w:spacing w:line="360" w:lineRule="auto"/>
        <w:ind w:firstLine="480" w:firstLineChars="200"/>
        <w:outlineLvl w:val="9"/>
        <w:rPr>
          <w:rFonts w:hint="eastAsia" w:ascii="宋体" w:hAnsi="宋体" w:eastAsia="宋体" w:cs="Times New Roman"/>
          <w:color w:val="auto"/>
          <w:sz w:val="24"/>
          <w:szCs w:val="24"/>
        </w:rPr>
      </w:pPr>
      <w:bookmarkStart w:id="791" w:name="_Toc267473046"/>
      <w:bookmarkStart w:id="792" w:name="_Toc285028940"/>
      <w:bookmarkStart w:id="793" w:name="_Toc263677468"/>
      <w:r>
        <w:rPr>
          <w:rFonts w:hint="eastAsia" w:ascii="宋体" w:hAnsi="宋体" w:eastAsia="宋体" w:cs="Times New Roman"/>
          <w:color w:val="auto"/>
          <w:sz w:val="24"/>
          <w:szCs w:val="24"/>
        </w:rPr>
        <w:t>23.1 承包人索赔的提出</w:t>
      </w:r>
      <w:bookmarkEnd w:id="791"/>
      <w:bookmarkEnd w:id="792"/>
      <w:bookmarkEnd w:id="793"/>
    </w:p>
    <w:p w14:paraId="3A620EF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根据合同约定，承包人认为有权得到追加付款和（或）延长工期的，应按以下程序向发包人提出索赔：</w:t>
      </w:r>
    </w:p>
    <w:p w14:paraId="3AAE1BE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(l）承包人应在知道或应当知道索赔事件发生后28天内，向监理人递交索赔意向通知书，并说明发生索赔事件的事由。承包人未在前述28天内发出索赔意向通知书的，丧失要求追加付款和（或）延长工期的权利：</w:t>
      </w:r>
    </w:p>
    <w:p w14:paraId="01E0C55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(2）承包人应在发出索赔意向通知书后28天内，向监理人正式递交索赔通知书。索赔通知书应详细说明索赔理由以及要求追加的付款金额和（或）延长的工期，并附必要的记录和证明材料；</w:t>
      </w:r>
    </w:p>
    <w:p w14:paraId="22E7F6B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(3）索赔事件具有连续影响的，承包人应按合理时间间隔继续递交延续索赔通知，说明连续影响的实际情况和记录，列出累计的追加付款金额和（或）工期延长天数；</w:t>
      </w:r>
    </w:p>
    <w:p w14:paraId="7A07C8F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(4）在索赔事件影响结束后的28天内，承包人应向监理人递交最终索赔通知书，说明最终要求索赔的追加付款金额和延长的工期，并附必要的记录和证明材料。</w:t>
      </w:r>
    </w:p>
    <w:p w14:paraId="131F665E">
      <w:pPr>
        <w:spacing w:line="360" w:lineRule="auto"/>
        <w:ind w:firstLine="480" w:firstLineChars="200"/>
        <w:outlineLvl w:val="9"/>
        <w:rPr>
          <w:rFonts w:hint="eastAsia" w:ascii="宋体" w:hAnsi="宋体" w:eastAsia="宋体" w:cs="Times New Roman"/>
          <w:color w:val="auto"/>
          <w:sz w:val="24"/>
          <w:szCs w:val="24"/>
        </w:rPr>
      </w:pPr>
      <w:bookmarkStart w:id="794" w:name="_Toc267473047"/>
      <w:bookmarkStart w:id="795" w:name="_Toc285028941"/>
      <w:bookmarkStart w:id="796" w:name="_Toc263677469"/>
      <w:r>
        <w:rPr>
          <w:rFonts w:hint="eastAsia" w:ascii="宋体" w:hAnsi="宋体" w:eastAsia="宋体" w:cs="Times New Roman"/>
          <w:color w:val="auto"/>
          <w:sz w:val="24"/>
          <w:szCs w:val="24"/>
        </w:rPr>
        <w:t>23.2 承包人索赔处理程序</w:t>
      </w:r>
      <w:bookmarkEnd w:id="794"/>
      <w:bookmarkEnd w:id="795"/>
      <w:bookmarkEnd w:id="796"/>
    </w:p>
    <w:p w14:paraId="3A52F63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(1）监理人收到承包人提交的索赔通知书后，应及时审查索赔通知书的内容、查验承包人的记录和证明材料，必要时监理人可要求承包人提交全部原始记录副本。</w:t>
      </w:r>
    </w:p>
    <w:p w14:paraId="243321F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(2）监理人应按第3.5款商定或确定追加的付款和（或）延长的工期，并在收到上述索赔通知书或有关索赔的进一步证明材料后的42天内，将索赔处理结果答复承包人。</w:t>
      </w:r>
    </w:p>
    <w:p w14:paraId="621B3BB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(3）承包人接受索赔处理结果的，发包人应在做出索赔处理结果答复后28天内完成赔付。承包人不接受索赔处理结果的，按第24条的约定办理。</w:t>
      </w:r>
    </w:p>
    <w:p w14:paraId="4218F896">
      <w:pPr>
        <w:spacing w:line="360" w:lineRule="auto"/>
        <w:ind w:firstLine="480" w:firstLineChars="200"/>
        <w:outlineLvl w:val="9"/>
        <w:rPr>
          <w:rFonts w:hint="eastAsia" w:ascii="宋体" w:hAnsi="宋体" w:eastAsia="宋体" w:cs="Times New Roman"/>
          <w:color w:val="auto"/>
          <w:sz w:val="24"/>
          <w:szCs w:val="24"/>
        </w:rPr>
      </w:pPr>
      <w:bookmarkStart w:id="797" w:name="_Toc263677470"/>
      <w:bookmarkStart w:id="798" w:name="_Toc285028942"/>
      <w:bookmarkStart w:id="799" w:name="_Toc267473048"/>
      <w:r>
        <w:rPr>
          <w:rFonts w:hint="eastAsia" w:ascii="宋体" w:hAnsi="宋体" w:eastAsia="宋体" w:cs="Times New Roman"/>
          <w:color w:val="auto"/>
          <w:sz w:val="24"/>
          <w:szCs w:val="24"/>
        </w:rPr>
        <w:t>23.3 承包人提出索赔的期限</w:t>
      </w:r>
      <w:bookmarkEnd w:id="797"/>
      <w:bookmarkEnd w:id="798"/>
      <w:bookmarkEnd w:id="799"/>
    </w:p>
    <w:p w14:paraId="1ED2EE2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23.3.1 承包人按第17.5款的约定接受了完工付款证书后，应被认为已无权再提出在合同工程完工证书颁发前所发生的任何索赔。</w:t>
      </w:r>
    </w:p>
    <w:p w14:paraId="4BBE432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23.3.2 承包人按第17.6款的约定提交的最终结清申请单中，只限于提出合同工程完工证书颁发后发生的索赔。提出索赔的期限、9接受最终结清证书时终止。</w:t>
      </w:r>
    </w:p>
    <w:p w14:paraId="7E1250B2">
      <w:pPr>
        <w:spacing w:line="360" w:lineRule="auto"/>
        <w:ind w:firstLine="480" w:firstLineChars="200"/>
        <w:outlineLvl w:val="9"/>
        <w:rPr>
          <w:rFonts w:hint="eastAsia" w:ascii="宋体" w:hAnsi="宋体" w:eastAsia="宋体" w:cs="Times New Roman"/>
          <w:color w:val="auto"/>
          <w:sz w:val="24"/>
          <w:szCs w:val="24"/>
        </w:rPr>
      </w:pPr>
      <w:bookmarkStart w:id="800" w:name="_Toc267473049"/>
      <w:bookmarkStart w:id="801" w:name="_Toc285028943"/>
      <w:bookmarkStart w:id="802" w:name="_Toc263677471"/>
      <w:r>
        <w:rPr>
          <w:rFonts w:hint="eastAsia" w:ascii="宋体" w:hAnsi="宋体" w:eastAsia="宋体" w:cs="Times New Roman"/>
          <w:color w:val="auto"/>
          <w:sz w:val="24"/>
          <w:szCs w:val="24"/>
        </w:rPr>
        <w:t>23.4 发包人的索赔</w:t>
      </w:r>
      <w:bookmarkEnd w:id="800"/>
      <w:bookmarkEnd w:id="801"/>
      <w:bookmarkEnd w:id="802"/>
    </w:p>
    <w:p w14:paraId="2C11B4E1">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36D2710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2C96102C">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47901C9E">
      <w:pPr>
        <w:spacing w:line="360" w:lineRule="auto"/>
        <w:ind w:firstLine="480" w:firstLineChars="200"/>
        <w:outlineLvl w:val="9"/>
        <w:rPr>
          <w:rFonts w:hint="eastAsia" w:ascii="宋体" w:hAnsi="宋体" w:eastAsia="宋体" w:cs="Times New Roman"/>
          <w:color w:val="auto"/>
          <w:sz w:val="24"/>
          <w:szCs w:val="24"/>
        </w:rPr>
      </w:pPr>
      <w:bookmarkStart w:id="803" w:name="_Toc184635121"/>
      <w:bookmarkStart w:id="804" w:name="_Toc11280"/>
      <w:bookmarkStart w:id="805" w:name="_Toc263677472"/>
      <w:bookmarkStart w:id="806" w:name="_Toc307485234"/>
      <w:bookmarkStart w:id="807" w:name="_Toc267473050"/>
      <w:bookmarkStart w:id="808" w:name="_Toc285028944"/>
      <w:bookmarkStart w:id="809" w:name="_Toc307417467"/>
      <w:bookmarkStart w:id="810" w:name="_Toc263370618"/>
      <w:bookmarkStart w:id="811" w:name="_Toc430097440"/>
      <w:bookmarkStart w:id="812" w:name="_Toc307416170"/>
      <w:r>
        <w:rPr>
          <w:rFonts w:hint="eastAsia" w:ascii="宋体" w:hAnsi="宋体" w:eastAsia="宋体" w:cs="Times New Roman"/>
          <w:color w:val="auto"/>
          <w:sz w:val="24"/>
          <w:szCs w:val="24"/>
        </w:rPr>
        <w:t>24．争议的解决</w:t>
      </w:r>
      <w:bookmarkEnd w:id="803"/>
      <w:bookmarkEnd w:id="804"/>
      <w:bookmarkEnd w:id="805"/>
      <w:bookmarkEnd w:id="806"/>
      <w:bookmarkEnd w:id="807"/>
      <w:bookmarkEnd w:id="808"/>
      <w:bookmarkEnd w:id="809"/>
      <w:bookmarkEnd w:id="810"/>
      <w:bookmarkEnd w:id="811"/>
      <w:bookmarkEnd w:id="812"/>
    </w:p>
    <w:p w14:paraId="297F179E">
      <w:pPr>
        <w:spacing w:line="360" w:lineRule="auto"/>
        <w:ind w:firstLine="480" w:firstLineChars="200"/>
        <w:outlineLvl w:val="9"/>
        <w:rPr>
          <w:rFonts w:hint="eastAsia" w:ascii="宋体" w:hAnsi="宋体" w:eastAsia="宋体" w:cs="Times New Roman"/>
          <w:color w:val="auto"/>
          <w:sz w:val="24"/>
          <w:szCs w:val="24"/>
        </w:rPr>
      </w:pPr>
      <w:bookmarkStart w:id="813" w:name="_Toc267473051"/>
      <w:bookmarkStart w:id="814" w:name="_Toc263677473"/>
      <w:bookmarkStart w:id="815" w:name="_Toc285028945"/>
      <w:r>
        <w:rPr>
          <w:rFonts w:hint="eastAsia" w:ascii="宋体" w:hAnsi="宋体" w:eastAsia="宋体" w:cs="Times New Roman"/>
          <w:color w:val="auto"/>
          <w:sz w:val="24"/>
          <w:szCs w:val="24"/>
        </w:rPr>
        <w:t>24.1 争议的解决方式</w:t>
      </w:r>
      <w:bookmarkEnd w:id="813"/>
      <w:bookmarkEnd w:id="814"/>
      <w:bookmarkEnd w:id="815"/>
    </w:p>
    <w:p w14:paraId="4F0D1FA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616312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(l）向约定的仲裁委员会申请仲裁；</w:t>
      </w:r>
    </w:p>
    <w:p w14:paraId="0924885E">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(2）向有管辖权的人民法院提起诉讼。</w:t>
      </w:r>
    </w:p>
    <w:p w14:paraId="5FC466C3">
      <w:pPr>
        <w:spacing w:line="360" w:lineRule="auto"/>
        <w:ind w:firstLine="480" w:firstLineChars="200"/>
        <w:outlineLvl w:val="9"/>
        <w:rPr>
          <w:rFonts w:hint="eastAsia" w:ascii="宋体" w:hAnsi="宋体" w:eastAsia="宋体" w:cs="Times New Roman"/>
          <w:color w:val="auto"/>
          <w:sz w:val="24"/>
          <w:szCs w:val="24"/>
        </w:rPr>
      </w:pPr>
      <w:bookmarkStart w:id="816" w:name="_Toc263677474"/>
      <w:bookmarkStart w:id="817" w:name="_Toc285028946"/>
      <w:bookmarkStart w:id="818" w:name="_Toc267473052"/>
      <w:r>
        <w:rPr>
          <w:rFonts w:hint="eastAsia" w:ascii="宋体" w:hAnsi="宋体" w:eastAsia="宋体" w:cs="Times New Roman"/>
          <w:color w:val="auto"/>
          <w:sz w:val="24"/>
          <w:szCs w:val="24"/>
        </w:rPr>
        <w:t>24.2 友好解决</w:t>
      </w:r>
      <w:bookmarkEnd w:id="816"/>
      <w:bookmarkEnd w:id="817"/>
      <w:bookmarkEnd w:id="818"/>
    </w:p>
    <w:p w14:paraId="2C7CF0B2">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在提请争议评审、仲裁或者诉讼前，以及在争议评审、仲裁或诉讼过程中，发包人和承包人均可共同努力友好协商解决争议。</w:t>
      </w:r>
    </w:p>
    <w:p w14:paraId="6811B6C2">
      <w:pPr>
        <w:spacing w:line="360" w:lineRule="auto"/>
        <w:ind w:firstLine="480" w:firstLineChars="200"/>
        <w:outlineLvl w:val="9"/>
        <w:rPr>
          <w:rFonts w:hint="eastAsia" w:ascii="宋体" w:hAnsi="宋体" w:eastAsia="宋体" w:cs="Times New Roman"/>
          <w:color w:val="auto"/>
          <w:sz w:val="24"/>
          <w:szCs w:val="24"/>
        </w:rPr>
      </w:pPr>
      <w:bookmarkStart w:id="819" w:name="_Toc267473053"/>
      <w:bookmarkStart w:id="820" w:name="_Toc285028947"/>
      <w:bookmarkStart w:id="821" w:name="_Toc263677475"/>
      <w:r>
        <w:rPr>
          <w:rFonts w:hint="eastAsia" w:ascii="宋体" w:hAnsi="宋体" w:eastAsia="宋体" w:cs="Times New Roman"/>
          <w:color w:val="auto"/>
          <w:sz w:val="24"/>
          <w:szCs w:val="24"/>
        </w:rPr>
        <w:t>24.3 争议评审</w:t>
      </w:r>
      <w:bookmarkEnd w:id="819"/>
      <w:bookmarkEnd w:id="820"/>
      <w:bookmarkEnd w:id="821"/>
    </w:p>
    <w:p w14:paraId="3C9C0714">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24.3.1 采用争议评审的，发包人和承包人应在开工日后的28天内或在争议发生后，协商成立争议评审组。争议评审组由有合同管理和工程实践经验的专家组成。</w:t>
      </w:r>
    </w:p>
    <w:p w14:paraId="746E85E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24.3.2 合同双方的争议，应首先由申请人向争议评审组提交一份详细的评审申请报告，并附必要的文件、图纸和证明材料，申请人还应将上述报告的副本同时提交给被申请人和监理人。</w:t>
      </w:r>
    </w:p>
    <w:p w14:paraId="6756CE1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24.3.3 被申请人在收到申请人评审申请报告副本后的28天内，向争议评审组提交一份答辩报告，并附证明材料。被申请人应将答辩报告的副本同时提交给申请人和监理人。</w:t>
      </w:r>
    </w:p>
    <w:p w14:paraId="26EC1B00">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24.3.4 除专用合同条款另有约定外，争议评审组在收到合同双方报告后的14天内，邀请双方代表和有关人员举行调查会，向双方调查争议细节；必要时争议评审组可要求双方进一步提供补充材料。</w:t>
      </w:r>
    </w:p>
    <w:p w14:paraId="6B1A3B0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0F487DC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24.3.6 发包人和承包人接受评审意见的，由监理人根据评审意见拟定执行协议，经争议双方签字后作为合同的补充文件，并遵照执行。</w:t>
      </w:r>
    </w:p>
    <w:p w14:paraId="7B7D3266">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14:paraId="1A827223">
      <w:pPr>
        <w:spacing w:line="360" w:lineRule="auto"/>
        <w:ind w:firstLine="480" w:firstLineChars="200"/>
        <w:outlineLvl w:val="9"/>
        <w:rPr>
          <w:rFonts w:hint="eastAsia" w:ascii="宋体" w:hAnsi="宋体" w:eastAsia="宋体" w:cs="Times New Roman"/>
          <w:color w:val="auto"/>
          <w:sz w:val="24"/>
          <w:szCs w:val="24"/>
        </w:rPr>
      </w:pPr>
      <w:bookmarkStart w:id="822" w:name="_Toc267473054"/>
      <w:bookmarkStart w:id="823" w:name="_Toc263677476"/>
      <w:bookmarkStart w:id="824" w:name="_Toc285028948"/>
      <w:r>
        <w:rPr>
          <w:rFonts w:hint="eastAsia" w:ascii="宋体" w:hAnsi="宋体" w:eastAsia="宋体" w:cs="Times New Roman"/>
          <w:color w:val="auto"/>
          <w:sz w:val="24"/>
          <w:szCs w:val="24"/>
        </w:rPr>
        <w:t>24.4 仲裁</w:t>
      </w:r>
      <w:bookmarkEnd w:id="822"/>
      <w:bookmarkEnd w:id="823"/>
      <w:bookmarkEnd w:id="824"/>
    </w:p>
    <w:p w14:paraId="2DC02C13">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24.4.1 若合同双方商定直接向仲裁机构申请仲裁，应签订仲裁协议并约定仲裁机构。</w:t>
      </w:r>
    </w:p>
    <w:p w14:paraId="4BD681FC">
      <w:pPr>
        <w:spacing w:line="360" w:lineRule="auto"/>
        <w:ind w:firstLine="480" w:firstLineChars="200"/>
        <w:outlineLvl w:val="9"/>
        <w:rPr>
          <w:rFonts w:ascii="宋体" w:hAnsi="宋体"/>
          <w:color w:val="auto"/>
          <w:szCs w:val="21"/>
        </w:rPr>
      </w:pPr>
      <w:r>
        <w:rPr>
          <w:rFonts w:hint="eastAsia" w:ascii="宋体" w:hAnsi="宋体" w:eastAsia="宋体" w:cs="Times New Roman"/>
          <w:color w:val="auto"/>
          <w:sz w:val="24"/>
          <w:szCs w:val="24"/>
        </w:rPr>
        <w:t>24.4.2 若合同双方未能达成仲裁协议，则本合同的仲裁条款无效，任一方均有权向人民法院提起诉讼。</w:t>
      </w:r>
    </w:p>
    <w:p w14:paraId="72B6202F">
      <w:pPr>
        <w:snapToGrid w:val="0"/>
        <w:spacing w:line="360" w:lineRule="auto"/>
        <w:jc w:val="center"/>
        <w:outlineLvl w:val="9"/>
        <w:rPr>
          <w:color w:val="auto"/>
          <w:sz w:val="28"/>
          <w:szCs w:val="28"/>
        </w:rPr>
      </w:pPr>
      <w:r>
        <w:rPr>
          <w:color w:val="auto"/>
          <w:sz w:val="28"/>
          <w:szCs w:val="28"/>
        </w:rPr>
        <w:br w:type="page"/>
      </w:r>
      <w:bookmarkStart w:id="825" w:name="_Toc430097441"/>
      <w:bookmarkStart w:id="826" w:name="_Toc267473055"/>
      <w:bookmarkStart w:id="827" w:name="_Toc307417468"/>
      <w:bookmarkStart w:id="828" w:name="_Toc285028949"/>
      <w:bookmarkStart w:id="829" w:name="_Toc307416171"/>
      <w:bookmarkStart w:id="830" w:name="_Toc307485235"/>
      <w:bookmarkStart w:id="831" w:name="_Toc29864"/>
      <w:r>
        <w:rPr>
          <w:rFonts w:hint="eastAsia"/>
          <w:b/>
          <w:bCs/>
          <w:color w:val="auto"/>
          <w:sz w:val="28"/>
          <w:szCs w:val="28"/>
        </w:rPr>
        <w:t>第2节</w:t>
      </w:r>
      <w:r>
        <w:rPr>
          <w:rFonts w:hint="eastAsia"/>
          <w:b/>
          <w:bCs/>
          <w:color w:val="auto"/>
          <w:sz w:val="28"/>
          <w:szCs w:val="28"/>
          <w:lang w:val="en-US" w:eastAsia="zh-CN"/>
        </w:rPr>
        <w:t xml:space="preserve">  </w:t>
      </w:r>
      <w:r>
        <w:rPr>
          <w:rFonts w:hint="eastAsia"/>
          <w:b/>
          <w:bCs/>
          <w:color w:val="auto"/>
          <w:sz w:val="28"/>
          <w:szCs w:val="28"/>
        </w:rPr>
        <w:t>专用合同条款</w:t>
      </w:r>
      <w:bookmarkEnd w:id="62"/>
      <w:bookmarkEnd w:id="63"/>
      <w:bookmarkEnd w:id="64"/>
      <w:bookmarkEnd w:id="65"/>
      <w:bookmarkEnd w:id="66"/>
      <w:bookmarkEnd w:id="825"/>
      <w:bookmarkEnd w:id="826"/>
      <w:bookmarkEnd w:id="827"/>
      <w:bookmarkEnd w:id="828"/>
      <w:bookmarkEnd w:id="829"/>
      <w:bookmarkEnd w:id="830"/>
      <w:bookmarkEnd w:id="831"/>
    </w:p>
    <w:p w14:paraId="112B15A9">
      <w:pPr>
        <w:numPr>
          <w:ilvl w:val="0"/>
          <w:numId w:val="0"/>
        </w:numPr>
        <w:snapToGrid w:val="0"/>
        <w:ind w:leftChars="0"/>
        <w:jc w:val="both"/>
        <w:outlineLvl w:val="9"/>
        <w:rPr>
          <w:rFonts w:hint="eastAsia" w:ascii="宋体" w:hAnsi="宋体" w:eastAsia="宋体" w:cs="宋体"/>
          <w:color w:val="auto"/>
          <w:sz w:val="24"/>
          <w:szCs w:val="24"/>
        </w:rPr>
      </w:pPr>
      <w:bookmarkStart w:id="832" w:name="_Toc267473056"/>
      <w:bookmarkStart w:id="833" w:name="_Toc285028950"/>
      <w:bookmarkStart w:id="834" w:name="_Toc307485236"/>
      <w:bookmarkStart w:id="835" w:name="_Toc430097442"/>
      <w:bookmarkStart w:id="836" w:name="_Toc307416172"/>
      <w:bookmarkStart w:id="837" w:name="_Toc307417469"/>
      <w:bookmarkStart w:id="838" w:name="_Toc265657485"/>
      <w:bookmarkStart w:id="839" w:name="_Toc263370620"/>
      <w:bookmarkStart w:id="840" w:name="_Toc29925"/>
      <w:r>
        <w:rPr>
          <w:rFonts w:hint="eastAsia" w:ascii="宋体" w:hAnsi="宋体" w:eastAsia="宋体" w:cs="宋体"/>
          <w:b/>
          <w:bCs/>
          <w:color w:val="auto"/>
          <w:sz w:val="24"/>
          <w:szCs w:val="24"/>
        </w:rPr>
        <w:t>1．一般约定</w:t>
      </w:r>
      <w:bookmarkEnd w:id="832"/>
      <w:bookmarkEnd w:id="833"/>
      <w:bookmarkEnd w:id="834"/>
      <w:bookmarkEnd w:id="835"/>
      <w:bookmarkEnd w:id="836"/>
      <w:bookmarkEnd w:id="837"/>
      <w:bookmarkEnd w:id="838"/>
      <w:bookmarkEnd w:id="839"/>
      <w:bookmarkEnd w:id="840"/>
    </w:p>
    <w:p w14:paraId="4A52C184">
      <w:pPr>
        <w:pageBreakBefore w:val="0"/>
        <w:kinsoku/>
        <w:wordWrap/>
        <w:overflowPunct/>
        <w:topLinePunct w:val="0"/>
        <w:bidi w:val="0"/>
        <w:spacing w:line="360" w:lineRule="auto"/>
        <w:textAlignment w:val="auto"/>
        <w:outlineLvl w:val="9"/>
        <w:rPr>
          <w:rFonts w:hint="eastAsia" w:ascii="宋体" w:hAnsi="宋体" w:eastAsia="宋体" w:cs="Times New Roman"/>
          <w:color w:val="auto"/>
          <w:sz w:val="24"/>
          <w:szCs w:val="24"/>
        </w:rPr>
      </w:pPr>
      <w:bookmarkStart w:id="841" w:name="_Toc267473057"/>
      <w:bookmarkStart w:id="842" w:name="_Toc285028951"/>
      <w:bookmarkStart w:id="843" w:name="_Toc265657486"/>
      <w:r>
        <w:rPr>
          <w:rFonts w:hint="eastAsia" w:ascii="宋体" w:hAnsi="宋体" w:eastAsia="宋体" w:cs="Times New Roman"/>
          <w:color w:val="auto"/>
          <w:sz w:val="24"/>
          <w:szCs w:val="24"/>
        </w:rPr>
        <w:t>1.1 词语定义</w:t>
      </w:r>
      <w:bookmarkEnd w:id="841"/>
      <w:bookmarkEnd w:id="842"/>
      <w:bookmarkEnd w:id="843"/>
    </w:p>
    <w:p w14:paraId="7D10EAC6">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1.1.2 合同当事人和人员</w:t>
      </w:r>
    </w:p>
    <w:p w14:paraId="3A87057B">
      <w:pPr>
        <w:pageBreakBefore w:val="0"/>
        <w:kinsoku/>
        <w:wordWrap/>
        <w:overflowPunct/>
        <w:topLinePunct w:val="0"/>
        <w:bidi w:val="0"/>
        <w:spacing w:line="360" w:lineRule="auto"/>
        <w:ind w:firstLine="480" w:firstLineChars="200"/>
        <w:textAlignment w:val="auto"/>
        <w:outlineLvl w:val="9"/>
        <w:rPr>
          <w:rFonts w:hint="default" w:ascii="宋体" w:hAnsi="宋体" w:eastAsia="宋体" w:cs="Times New Roman"/>
          <w:color w:val="auto"/>
          <w:sz w:val="24"/>
          <w:szCs w:val="24"/>
          <w:lang w:val="en-US"/>
        </w:rPr>
      </w:pPr>
      <w:r>
        <w:rPr>
          <w:rFonts w:hint="eastAsia" w:ascii="宋体" w:hAnsi="宋体" w:eastAsia="宋体" w:cs="Times New Roman"/>
          <w:color w:val="auto"/>
          <w:sz w:val="24"/>
          <w:szCs w:val="24"/>
        </w:rPr>
        <w:t>1.1.2.2 发包人：</w:t>
      </w:r>
      <w:r>
        <w:rPr>
          <w:rFonts w:hint="eastAsia" w:ascii="宋体" w:hAnsi="宋体" w:eastAsia="宋体" w:cs="Times New Roman"/>
          <w:color w:val="auto"/>
          <w:sz w:val="24"/>
          <w:szCs w:val="24"/>
          <w:u w:val="single"/>
        </w:rPr>
        <w:t xml:space="preserve"> </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highlight w:val="none"/>
          <w:u w:val="single"/>
          <w:lang w:val="en-US" w:eastAsia="zh-CN"/>
        </w:rPr>
        <w:t xml:space="preserve">                               </w:t>
      </w:r>
      <w:r>
        <w:rPr>
          <w:rFonts w:hint="eastAsia" w:ascii="宋体" w:hAnsi="宋体" w:cs="Times New Roman"/>
          <w:color w:val="auto"/>
          <w:sz w:val="24"/>
          <w:szCs w:val="24"/>
          <w:u w:val="single"/>
          <w:lang w:val="en-US" w:eastAsia="zh-CN"/>
        </w:rPr>
        <w:t xml:space="preserve"> </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lang w:val="en-US" w:eastAsia="zh-CN"/>
        </w:rPr>
        <w:t xml:space="preserve"> ，</w:t>
      </w:r>
    </w:p>
    <w:p w14:paraId="23333E82">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1.1.2.3 承包人：</w:t>
      </w:r>
      <w:r>
        <w:rPr>
          <w:rFonts w:hint="eastAsia" w:ascii="宋体" w:hAnsi="宋体" w:eastAsia="宋体" w:cs="Times New Roman"/>
          <w:color w:val="auto"/>
          <w:sz w:val="24"/>
          <w:szCs w:val="24"/>
          <w:u w:val="single"/>
        </w:rPr>
        <w:t xml:space="preserve">    （签约后填入承包人的名称）  </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u w:val="single"/>
        </w:rPr>
        <w:t xml:space="preserve">         </w:t>
      </w:r>
    </w:p>
    <w:p w14:paraId="176B4877">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1.1.2.5 分包人：</w:t>
      </w:r>
      <w:r>
        <w:rPr>
          <w:rFonts w:hint="eastAsia" w:ascii="宋体" w:hAnsi="宋体" w:eastAsia="宋体" w:cs="Times New Roman"/>
          <w:color w:val="auto"/>
          <w:sz w:val="24"/>
          <w:szCs w:val="24"/>
          <w:u w:val="single"/>
        </w:rPr>
        <w:t xml:space="preserve">                  无              </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rPr>
        <w:t xml:space="preserve">     </w:t>
      </w:r>
    </w:p>
    <w:p w14:paraId="1983165A">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1.1.2.6 监理人：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由发包人最终确定监理单位</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rPr>
        <w:t xml:space="preserve">                                        </w:t>
      </w:r>
    </w:p>
    <w:p w14:paraId="3885BDF4">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1.1.4 日期</w:t>
      </w:r>
      <w:r>
        <w:rPr>
          <w:rFonts w:hint="eastAsia" w:ascii="宋体" w:hAnsi="宋体" w:eastAsia="宋体" w:cs="Times New Roman"/>
          <w:color w:val="auto"/>
          <w:sz w:val="24"/>
          <w:szCs w:val="24"/>
          <w:lang w:val="en-US" w:eastAsia="zh-CN"/>
        </w:rPr>
        <w:t xml:space="preserve"> </w:t>
      </w:r>
    </w:p>
    <w:p w14:paraId="28004B7F">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bookmarkStart w:id="844" w:name="_Toc267471062"/>
      <w:bookmarkStart w:id="845" w:name="_Toc285028952"/>
      <w:bookmarkStart w:id="846" w:name="_Toc267473058"/>
      <w:bookmarkStart w:id="847" w:name="_Toc265655888"/>
      <w:bookmarkStart w:id="848" w:name="_Toc275528201"/>
      <w:bookmarkStart w:id="849" w:name="_Toc265595267"/>
      <w:bookmarkStart w:id="850" w:name="_Toc265673898"/>
      <w:bookmarkStart w:id="851" w:name="_Toc264959667"/>
      <w:bookmarkStart w:id="852" w:name="_Toc265657487"/>
      <w:bookmarkStart w:id="853" w:name="_Toc265658092"/>
      <w:r>
        <w:rPr>
          <w:rFonts w:hint="eastAsia" w:ascii="宋体" w:hAnsi="宋体" w:eastAsia="宋体" w:cs="Times New Roman"/>
          <w:color w:val="auto"/>
          <w:sz w:val="24"/>
          <w:szCs w:val="24"/>
        </w:rPr>
        <w:t>1.1.4.5 缺陷责任期</w:t>
      </w:r>
      <w:r>
        <w:rPr>
          <w:rFonts w:hint="eastAsia" w:ascii="宋体" w:hAnsi="宋体" w:eastAsia="宋体" w:cs="Times New Roman"/>
          <w:color w:val="auto"/>
          <w:sz w:val="24"/>
          <w:szCs w:val="24"/>
          <w:lang w:val="en-US" w:eastAsia="zh-CN"/>
        </w:rPr>
        <w:t>（工程质量保修期）</w:t>
      </w:r>
      <w:r>
        <w:rPr>
          <w:rFonts w:hint="eastAsia" w:ascii="宋体" w:hAnsi="宋体" w:eastAsia="宋体" w:cs="Times New Roman"/>
          <w:color w:val="auto"/>
          <w:sz w:val="24"/>
          <w:szCs w:val="24"/>
        </w:rPr>
        <w:t>：</w:t>
      </w:r>
      <w:bookmarkEnd w:id="844"/>
      <w:bookmarkEnd w:id="845"/>
      <w:bookmarkEnd w:id="846"/>
      <w:bookmarkEnd w:id="847"/>
      <w:bookmarkEnd w:id="848"/>
      <w:bookmarkEnd w:id="849"/>
      <w:bookmarkEnd w:id="850"/>
      <w:bookmarkEnd w:id="851"/>
      <w:bookmarkEnd w:id="852"/>
      <w:bookmarkEnd w:id="853"/>
      <w:r>
        <w:rPr>
          <w:rFonts w:hint="eastAsia" w:ascii="宋体" w:hAnsi="宋体" w:cs="Times New Roman"/>
          <w:color w:val="auto"/>
          <w:sz w:val="24"/>
          <w:szCs w:val="24"/>
          <w:u w:val="single"/>
          <w:lang w:val="en-US" w:eastAsia="zh-CN"/>
        </w:rPr>
        <w:t xml:space="preserve">                 </w:t>
      </w:r>
      <w:r>
        <w:rPr>
          <w:rFonts w:hint="eastAsia" w:ascii="宋体" w:hAnsi="宋体" w:eastAsia="宋体" w:cs="Times New Roman"/>
          <w:color w:val="auto"/>
          <w:sz w:val="24"/>
          <w:szCs w:val="24"/>
        </w:rPr>
        <w:t>；</w:t>
      </w:r>
    </w:p>
    <w:p w14:paraId="0014A66D">
      <w:pPr>
        <w:pageBreakBefore w:val="0"/>
        <w:kinsoku/>
        <w:wordWrap/>
        <w:overflowPunct/>
        <w:topLinePunct w:val="0"/>
        <w:bidi w:val="0"/>
        <w:spacing w:line="360" w:lineRule="auto"/>
        <w:textAlignment w:val="auto"/>
        <w:outlineLvl w:val="9"/>
        <w:rPr>
          <w:rFonts w:hint="eastAsia" w:ascii="宋体" w:hAnsi="宋体" w:eastAsia="宋体" w:cs="Times New Roman"/>
          <w:color w:val="auto"/>
          <w:sz w:val="24"/>
          <w:szCs w:val="24"/>
        </w:rPr>
      </w:pPr>
      <w:bookmarkStart w:id="854" w:name="_Toc265657488"/>
      <w:bookmarkStart w:id="855" w:name="_Toc267473059"/>
      <w:bookmarkStart w:id="856" w:name="_Toc285028953"/>
      <w:r>
        <w:rPr>
          <w:rFonts w:hint="eastAsia" w:ascii="宋体" w:hAnsi="宋体" w:eastAsia="宋体" w:cs="Times New Roman"/>
          <w:color w:val="auto"/>
          <w:sz w:val="24"/>
          <w:szCs w:val="24"/>
        </w:rPr>
        <w:t>1.4 合同文件的优先顺序</w:t>
      </w:r>
      <w:bookmarkEnd w:id="854"/>
      <w:bookmarkEnd w:id="855"/>
      <w:bookmarkEnd w:id="856"/>
    </w:p>
    <w:p w14:paraId="26E75396">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进入合同文件的各项文件及其优先顺序是：</w:t>
      </w:r>
    </w:p>
    <w:p w14:paraId="11D61F4A">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（1）本合同协议书（包括补充协议）</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 xml:space="preserve"> </w:t>
      </w:r>
    </w:p>
    <w:p w14:paraId="6E52F3D7">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（2）</w:t>
      </w:r>
      <w:r>
        <w:rPr>
          <w:rFonts w:hint="eastAsia" w:ascii="宋体" w:hAnsi="宋体" w:cs="Times New Roman"/>
          <w:color w:val="auto"/>
          <w:sz w:val="24"/>
          <w:szCs w:val="24"/>
          <w:lang w:val="en-US" w:eastAsia="zh-CN"/>
        </w:rPr>
        <w:t>成交</w:t>
      </w:r>
      <w:r>
        <w:rPr>
          <w:rFonts w:hint="eastAsia" w:ascii="宋体" w:hAnsi="宋体" w:eastAsia="宋体" w:cs="Times New Roman"/>
          <w:color w:val="auto"/>
          <w:sz w:val="24"/>
          <w:szCs w:val="24"/>
        </w:rPr>
        <w:t>通知书</w:t>
      </w:r>
      <w:r>
        <w:rPr>
          <w:rFonts w:hint="eastAsia" w:ascii="宋体" w:hAnsi="宋体" w:eastAsia="宋体" w:cs="Times New Roman"/>
          <w:color w:val="auto"/>
          <w:sz w:val="24"/>
          <w:szCs w:val="24"/>
          <w:lang w:eastAsia="zh-CN"/>
        </w:rPr>
        <w:t>；</w:t>
      </w:r>
    </w:p>
    <w:p w14:paraId="584F31E3">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（3）本合同专用条款</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 xml:space="preserve"> </w:t>
      </w:r>
    </w:p>
    <w:p w14:paraId="04508253">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（4）本合同通用条款</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 xml:space="preserve"> </w:t>
      </w:r>
    </w:p>
    <w:p w14:paraId="5ED126D0">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（5）</w:t>
      </w:r>
      <w:r>
        <w:rPr>
          <w:rFonts w:hint="eastAsia" w:ascii="宋体" w:hAnsi="宋体" w:cs="Times New Roman"/>
          <w:color w:val="auto"/>
          <w:sz w:val="24"/>
          <w:szCs w:val="24"/>
          <w:lang w:val="en-US" w:eastAsia="zh-CN"/>
        </w:rPr>
        <w:t>竞争性磋商</w:t>
      </w:r>
      <w:r>
        <w:rPr>
          <w:rFonts w:hint="eastAsia" w:ascii="宋体" w:hAnsi="宋体" w:eastAsia="宋体" w:cs="Times New Roman"/>
          <w:color w:val="auto"/>
          <w:sz w:val="24"/>
          <w:szCs w:val="24"/>
        </w:rPr>
        <w:t>文件及其附件</w:t>
      </w:r>
      <w:r>
        <w:rPr>
          <w:rFonts w:hint="eastAsia" w:ascii="宋体" w:hAnsi="宋体" w:eastAsia="宋体" w:cs="Times New Roman"/>
          <w:color w:val="auto"/>
          <w:sz w:val="24"/>
          <w:szCs w:val="24"/>
          <w:lang w:eastAsia="zh-CN"/>
        </w:rPr>
        <w:t>；</w:t>
      </w:r>
    </w:p>
    <w:p w14:paraId="412D7123">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w:t>
      </w:r>
      <w:r>
        <w:rPr>
          <w:rFonts w:hint="eastAsia" w:ascii="宋体" w:hAnsi="宋体" w:cs="Times New Roman"/>
          <w:color w:val="auto"/>
          <w:sz w:val="24"/>
          <w:szCs w:val="24"/>
          <w:lang w:val="en-US" w:eastAsia="zh-CN"/>
        </w:rPr>
        <w:t>磋商响应</w:t>
      </w:r>
      <w:r>
        <w:rPr>
          <w:rFonts w:hint="eastAsia" w:ascii="宋体" w:hAnsi="宋体" w:eastAsia="宋体" w:cs="Times New Roman"/>
          <w:color w:val="auto"/>
          <w:sz w:val="24"/>
          <w:szCs w:val="24"/>
        </w:rPr>
        <w:t>文件及其附件</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 xml:space="preserve"> </w:t>
      </w:r>
    </w:p>
    <w:p w14:paraId="6BEE3950">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（7）标准、规范及有关技术文件</w:t>
      </w:r>
      <w:r>
        <w:rPr>
          <w:rFonts w:hint="eastAsia" w:ascii="宋体" w:hAnsi="宋体" w:eastAsia="宋体" w:cs="Times New Roman"/>
          <w:color w:val="auto"/>
          <w:sz w:val="24"/>
          <w:szCs w:val="24"/>
          <w:lang w:eastAsia="zh-CN"/>
        </w:rPr>
        <w:t>；</w:t>
      </w:r>
    </w:p>
    <w:p w14:paraId="4E6713E0">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（8）已标价的工程量清单</w:t>
      </w:r>
      <w:r>
        <w:rPr>
          <w:rFonts w:hint="eastAsia" w:ascii="宋体" w:hAnsi="宋体" w:eastAsia="宋体" w:cs="Times New Roman"/>
          <w:color w:val="auto"/>
          <w:sz w:val="24"/>
          <w:szCs w:val="24"/>
          <w:lang w:eastAsia="zh-CN"/>
        </w:rPr>
        <w:t>；</w:t>
      </w:r>
    </w:p>
    <w:p w14:paraId="07E995DC">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（9）其他合同文件</w:t>
      </w:r>
      <w:r>
        <w:rPr>
          <w:rFonts w:hint="eastAsia" w:ascii="宋体" w:hAnsi="宋体" w:eastAsia="宋体" w:cs="Times New Roman"/>
          <w:color w:val="auto"/>
          <w:sz w:val="24"/>
          <w:szCs w:val="24"/>
          <w:lang w:eastAsia="zh-CN"/>
        </w:rPr>
        <w:t>。</w:t>
      </w:r>
    </w:p>
    <w:p w14:paraId="09A1E875">
      <w:pPr>
        <w:pageBreakBefore w:val="0"/>
        <w:kinsoku/>
        <w:wordWrap/>
        <w:overflowPunct/>
        <w:topLinePunct w:val="0"/>
        <w:bidi w:val="0"/>
        <w:spacing w:line="360" w:lineRule="auto"/>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  联络</w:t>
      </w:r>
    </w:p>
    <w:p w14:paraId="31D8CA0A">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1.7.2 来往函件均应按技术标准和要求（合同技术条款）约定的期限送达：</w:t>
      </w:r>
      <w:r>
        <w:rPr>
          <w:rFonts w:hint="eastAsia" w:ascii="宋体" w:hAnsi="宋体" w:eastAsia="宋体" w:cs="Times New Roman"/>
          <w:color w:val="auto"/>
          <w:sz w:val="24"/>
          <w:szCs w:val="24"/>
          <w:u w:val="single"/>
        </w:rPr>
        <w:t>对发包人送达项目现场管理机构；对监理送达该项目监理部；对承包人送达项目经理部</w:t>
      </w:r>
      <w:r>
        <w:rPr>
          <w:rFonts w:hint="eastAsia" w:ascii="宋体" w:hAnsi="宋体" w:eastAsia="宋体" w:cs="Times New Roman"/>
          <w:color w:val="auto"/>
          <w:sz w:val="24"/>
          <w:szCs w:val="24"/>
        </w:rPr>
        <w:t>。</w:t>
      </w:r>
    </w:p>
    <w:p w14:paraId="2AE7FF93">
      <w:pPr>
        <w:keepNext w:val="0"/>
        <w:keepLines w:val="0"/>
        <w:pageBreakBefore w:val="0"/>
        <w:widowControl/>
        <w:numPr>
          <w:ilvl w:val="2"/>
          <w:numId w:val="0"/>
        </w:numPr>
        <w:tabs>
          <w:tab w:val="left" w:pos="720"/>
        </w:tabs>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color w:val="auto"/>
          <w:sz w:val="24"/>
          <w:szCs w:val="24"/>
        </w:rPr>
      </w:pPr>
      <w:bookmarkStart w:id="857" w:name="_Toc307417470"/>
      <w:bookmarkStart w:id="858" w:name="_Toc285028954"/>
      <w:bookmarkStart w:id="859" w:name="_Toc265657489"/>
      <w:bookmarkStart w:id="860" w:name="_Toc263370621"/>
      <w:bookmarkStart w:id="861" w:name="_Toc307416173"/>
      <w:bookmarkStart w:id="862" w:name="_Toc307485237"/>
      <w:bookmarkStart w:id="863" w:name="_Toc267473060"/>
      <w:bookmarkStart w:id="864" w:name="_Toc22226"/>
      <w:bookmarkStart w:id="865" w:name="_Toc430097443"/>
      <w:r>
        <w:rPr>
          <w:rFonts w:hint="eastAsia" w:ascii="宋体" w:hAnsi="宋体" w:eastAsia="宋体" w:cs="宋体"/>
          <w:b/>
          <w:color w:val="auto"/>
          <w:sz w:val="24"/>
          <w:szCs w:val="24"/>
        </w:rPr>
        <w:t>2．发包人义务</w:t>
      </w:r>
      <w:bookmarkEnd w:id="857"/>
      <w:bookmarkEnd w:id="858"/>
      <w:bookmarkEnd w:id="859"/>
      <w:bookmarkEnd w:id="860"/>
      <w:bookmarkEnd w:id="861"/>
      <w:bookmarkEnd w:id="862"/>
      <w:bookmarkEnd w:id="863"/>
      <w:bookmarkEnd w:id="864"/>
      <w:bookmarkEnd w:id="865"/>
    </w:p>
    <w:p w14:paraId="688F29E0">
      <w:pPr>
        <w:keepNext w:val="0"/>
        <w:keepLines w:val="0"/>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24"/>
          <w:szCs w:val="24"/>
        </w:rPr>
      </w:pPr>
      <w:bookmarkStart w:id="866" w:name="_Toc267473061"/>
      <w:bookmarkStart w:id="867" w:name="_Toc265657490"/>
      <w:bookmarkStart w:id="868" w:name="_Toc285028955"/>
      <w:r>
        <w:rPr>
          <w:rFonts w:hint="eastAsia" w:ascii="宋体" w:hAnsi="宋体" w:eastAsia="宋体" w:cs="宋体"/>
          <w:color w:val="auto"/>
          <w:sz w:val="24"/>
          <w:szCs w:val="24"/>
        </w:rPr>
        <w:t>2.3 提供施工场地</w:t>
      </w:r>
      <w:bookmarkEnd w:id="866"/>
      <w:bookmarkEnd w:id="867"/>
      <w:bookmarkEnd w:id="868"/>
    </w:p>
    <w:p w14:paraId="1342C915">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Times New Roman"/>
          <w:color w:val="auto"/>
          <w:sz w:val="24"/>
          <w:szCs w:val="24"/>
          <w:u w:val="single"/>
        </w:rPr>
      </w:pPr>
      <w:bookmarkStart w:id="869" w:name="_Toc267473062"/>
      <w:bookmarkStart w:id="870" w:name="_Toc285028956"/>
      <w:bookmarkStart w:id="871" w:name="_Toc265658093"/>
      <w:bookmarkStart w:id="872" w:name="_Toc265673899"/>
      <w:bookmarkStart w:id="873" w:name="_Toc265655892"/>
      <w:bookmarkStart w:id="874" w:name="_Toc275528205"/>
      <w:bookmarkStart w:id="875" w:name="_Toc265595271"/>
      <w:bookmarkStart w:id="876" w:name="_Toc264959671"/>
      <w:bookmarkStart w:id="877" w:name="_Toc267471066"/>
      <w:bookmarkStart w:id="878" w:name="_Toc265657491"/>
      <w:r>
        <w:rPr>
          <w:rFonts w:hint="eastAsia" w:ascii="宋体" w:hAnsi="宋体" w:eastAsia="宋体" w:cs="Times New Roman"/>
          <w:color w:val="auto"/>
          <w:sz w:val="24"/>
          <w:szCs w:val="24"/>
        </w:rPr>
        <w:t>2.3.2 发包人提供的施工场地范围为：</w:t>
      </w:r>
      <w:r>
        <w:rPr>
          <w:rFonts w:hint="eastAsia" w:ascii="宋体" w:hAnsi="宋体" w:eastAsia="宋体" w:cs="Times New Roman"/>
          <w:color w:val="auto"/>
          <w:sz w:val="24"/>
          <w:szCs w:val="24"/>
          <w:u w:val="single"/>
          <w:lang w:val="en-US" w:eastAsia="zh-CN"/>
        </w:rPr>
        <w:t>见施工招标总平面图或施工用地图，提供用地的范围和期限可在签署协议书时商定</w:t>
      </w:r>
      <w:r>
        <w:rPr>
          <w:rFonts w:hint="eastAsia" w:ascii="宋体" w:hAnsi="宋体" w:eastAsia="宋体" w:cs="Times New Roman"/>
          <w:color w:val="auto"/>
          <w:sz w:val="24"/>
          <w:szCs w:val="24"/>
          <w:u w:val="none"/>
        </w:rPr>
        <w:t>。</w:t>
      </w:r>
    </w:p>
    <w:p w14:paraId="086D639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Times New Roman"/>
          <w:color w:val="auto"/>
          <w:sz w:val="24"/>
          <w:szCs w:val="24"/>
          <w:u w:val="single"/>
          <w:lang w:val="en-US" w:eastAsia="zh-CN"/>
        </w:rPr>
      </w:pPr>
      <w:r>
        <w:rPr>
          <w:rFonts w:hint="eastAsia" w:ascii="宋体" w:hAnsi="宋体" w:eastAsia="宋体" w:cs="宋体"/>
          <w:color w:val="auto"/>
          <w:sz w:val="24"/>
          <w:szCs w:val="24"/>
          <w:lang w:val="en-US" w:eastAsia="zh-CN" w:bidi="ar-SA"/>
        </w:rPr>
        <w:t>2.3.3 承包人自行勘察的施工场地范围为：</w:t>
      </w:r>
      <w:r>
        <w:rPr>
          <w:rFonts w:hint="eastAsia" w:ascii="宋体" w:hAnsi="宋体" w:eastAsia="宋体" w:cs="Times New Roman"/>
          <w:color w:val="auto"/>
          <w:sz w:val="24"/>
          <w:szCs w:val="24"/>
          <w:u w:val="single"/>
          <w:lang w:val="en-US" w:eastAsia="zh-CN"/>
        </w:rPr>
        <w:t>在本项目施工占地图范围内由承包人根据其施工组织设计自行确定。</w:t>
      </w:r>
      <w:bookmarkEnd w:id="869"/>
      <w:bookmarkEnd w:id="870"/>
      <w:bookmarkEnd w:id="871"/>
      <w:bookmarkEnd w:id="872"/>
      <w:bookmarkEnd w:id="873"/>
      <w:bookmarkEnd w:id="874"/>
      <w:bookmarkEnd w:id="875"/>
      <w:bookmarkEnd w:id="876"/>
      <w:bookmarkEnd w:id="877"/>
      <w:bookmarkEnd w:id="878"/>
    </w:p>
    <w:p w14:paraId="4C3B3616">
      <w:pPr>
        <w:pStyle w:val="11"/>
        <w:pageBreakBefore w:val="0"/>
        <w:kinsoku/>
        <w:wordWrap/>
        <w:overflowPunct/>
        <w:topLinePunct w:val="0"/>
        <w:bidi w:val="0"/>
        <w:spacing w:line="360" w:lineRule="auto"/>
        <w:ind w:firstLine="480"/>
        <w:textAlignment w:val="auto"/>
        <w:outlineLvl w:val="9"/>
        <w:rPr>
          <w:rFonts w:hint="eastAsia" w:ascii="宋体" w:hAnsi="宋体" w:eastAsia="宋体" w:cs="宋体"/>
          <w:color w:val="auto"/>
          <w:sz w:val="24"/>
          <w:szCs w:val="24"/>
        </w:rPr>
      </w:pPr>
      <w:bookmarkStart w:id="879" w:name="_Toc285028957"/>
      <w:bookmarkStart w:id="880" w:name="_Toc265657492"/>
      <w:bookmarkStart w:id="881" w:name="_Toc267473063"/>
      <w:r>
        <w:rPr>
          <w:rFonts w:hint="eastAsia" w:ascii="宋体" w:hAnsi="宋体" w:eastAsia="宋体" w:cs="宋体"/>
          <w:color w:val="auto"/>
          <w:sz w:val="24"/>
          <w:szCs w:val="24"/>
        </w:rPr>
        <w:t>2.8 其他义务</w:t>
      </w:r>
      <w:bookmarkEnd w:id="879"/>
      <w:bookmarkEnd w:id="880"/>
      <w:bookmarkEnd w:id="881"/>
    </w:p>
    <w:p w14:paraId="7DEA7292">
      <w:pPr>
        <w:pStyle w:val="11"/>
        <w:pageBreakBefore w:val="0"/>
        <w:kinsoku/>
        <w:wordWrap/>
        <w:overflowPunct/>
        <w:topLinePunct w:val="0"/>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（根据发包人的合同管理要求补充）</w:t>
      </w:r>
    </w:p>
    <w:p w14:paraId="57D832C8">
      <w:pPr>
        <w:pStyle w:val="11"/>
        <w:pageBreakBefore w:val="0"/>
        <w:kinsoku/>
        <w:wordWrap/>
        <w:overflowPunct/>
        <w:topLinePunct w:val="0"/>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（1）工地外道路联系；</w:t>
      </w:r>
    </w:p>
    <w:p w14:paraId="0AE4A61D">
      <w:pPr>
        <w:pStyle w:val="11"/>
        <w:pageBreakBefore w:val="0"/>
        <w:kinsoku/>
        <w:wordWrap/>
        <w:overflowPunct/>
        <w:topLinePunct w:val="0"/>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（2）发包人负责工地范围内的征迁和移民；</w:t>
      </w:r>
    </w:p>
    <w:p w14:paraId="14912697">
      <w:pPr>
        <w:pStyle w:val="11"/>
        <w:pageBreakBefore w:val="0"/>
        <w:kinsoku/>
        <w:wordWrap/>
        <w:overflowPunct/>
        <w:topLinePunct w:val="0"/>
        <w:bidi w:val="0"/>
        <w:spacing w:line="360" w:lineRule="auto"/>
        <w:ind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（3）本合同工程施工所需的土地、拆迁费用由发包人支付。</w:t>
      </w:r>
    </w:p>
    <w:p w14:paraId="20030AEC">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rPr>
      </w:pPr>
      <w:bookmarkStart w:id="882" w:name="_Toc307417471"/>
      <w:bookmarkStart w:id="883" w:name="_Toc307416174"/>
      <w:bookmarkStart w:id="884" w:name="_Toc285028958"/>
      <w:bookmarkStart w:id="885" w:name="_Toc30482"/>
      <w:bookmarkStart w:id="886" w:name="_Toc263677486"/>
      <w:bookmarkStart w:id="887" w:name="_Toc263370622"/>
      <w:bookmarkStart w:id="888" w:name="_Toc430097444"/>
      <w:bookmarkStart w:id="889" w:name="_Toc267473064"/>
      <w:bookmarkStart w:id="890" w:name="_Toc307485238"/>
      <w:r>
        <w:rPr>
          <w:rFonts w:hint="eastAsia" w:ascii="宋体" w:hAnsi="宋体" w:eastAsia="宋体" w:cs="宋体"/>
          <w:b/>
          <w:color w:val="auto"/>
          <w:sz w:val="24"/>
          <w:szCs w:val="24"/>
        </w:rPr>
        <w:t>3．监理人</w:t>
      </w:r>
      <w:bookmarkEnd w:id="882"/>
      <w:bookmarkEnd w:id="883"/>
      <w:bookmarkEnd w:id="884"/>
      <w:bookmarkEnd w:id="885"/>
      <w:bookmarkEnd w:id="886"/>
      <w:bookmarkEnd w:id="887"/>
      <w:bookmarkEnd w:id="888"/>
      <w:bookmarkEnd w:id="889"/>
      <w:bookmarkEnd w:id="890"/>
    </w:p>
    <w:p w14:paraId="37DB7A9D">
      <w:pPr>
        <w:pageBreakBefore w:val="0"/>
        <w:kinsoku/>
        <w:wordWrap/>
        <w:overflowPunct/>
        <w:topLinePunct w:val="0"/>
        <w:bidi w:val="0"/>
        <w:spacing w:line="360" w:lineRule="auto"/>
        <w:textAlignment w:val="auto"/>
        <w:outlineLvl w:val="9"/>
        <w:rPr>
          <w:rFonts w:hint="eastAsia" w:ascii="宋体" w:hAnsi="宋体" w:eastAsia="宋体" w:cs="Times New Roman"/>
          <w:color w:val="auto"/>
          <w:sz w:val="24"/>
          <w:szCs w:val="24"/>
        </w:rPr>
      </w:pPr>
      <w:bookmarkStart w:id="891" w:name="_Toc267473065"/>
      <w:bookmarkStart w:id="892" w:name="_Toc263677487"/>
      <w:bookmarkStart w:id="893" w:name="_Toc285028959"/>
      <w:r>
        <w:rPr>
          <w:rFonts w:hint="eastAsia" w:ascii="宋体" w:hAnsi="宋体" w:eastAsia="宋体" w:cs="宋体"/>
          <w:color w:val="auto"/>
          <w:sz w:val="24"/>
          <w:szCs w:val="24"/>
        </w:rPr>
        <w:t>3</w:t>
      </w:r>
      <w:r>
        <w:rPr>
          <w:rFonts w:hint="eastAsia" w:ascii="宋体" w:hAnsi="宋体" w:eastAsia="宋体" w:cs="Times New Roman"/>
          <w:color w:val="auto"/>
          <w:sz w:val="24"/>
          <w:szCs w:val="24"/>
        </w:rPr>
        <w:t>.1 监理人的职责和权力</w:t>
      </w:r>
      <w:bookmarkEnd w:id="891"/>
      <w:bookmarkEnd w:id="892"/>
      <w:bookmarkEnd w:id="893"/>
    </w:p>
    <w:p w14:paraId="69573040">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3.1.1监理人须根据发包人事先批准的权力范围行使权力，发包人批准的权力范围（以下示例在发包人与承包人签订协议时，可另行调整）：</w:t>
      </w:r>
    </w:p>
    <w:p w14:paraId="55822370">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（1）按第4.3款约定，批准工程的分包；</w:t>
      </w:r>
    </w:p>
    <w:p w14:paraId="6209D67A">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（2）按第11.3款约定，确定延长完工期限；</w:t>
      </w:r>
    </w:p>
    <w:p w14:paraId="445539B7">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（3）按第15.6款约定，批准暂列金额的使用；</w:t>
      </w:r>
    </w:p>
    <w:p w14:paraId="2EF7B65B">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（4）当变更引起的合同价格增加时做出的变更决定；</w:t>
      </w:r>
    </w:p>
    <w:p w14:paraId="393CBC9D">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（5）发布停工令、开工令；</w:t>
      </w:r>
    </w:p>
    <w:p w14:paraId="1C65564F">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（6）调整控制性进度计划；</w:t>
      </w:r>
    </w:p>
    <w:p w14:paraId="0CF085E8">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（7）施工中发生，但投标人《工程量清单》中未列单价的工程项目，计量单价的确认；</w:t>
      </w:r>
    </w:p>
    <w:p w14:paraId="2EC486C5">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（8）工程重大质量事故的处理意见；</w:t>
      </w:r>
    </w:p>
    <w:p w14:paraId="19014841">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（9）工程的重大设计变更；</w:t>
      </w:r>
    </w:p>
    <w:p w14:paraId="496B23E1">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（10）撤换项目经理或项目技术负责人员；</w:t>
      </w:r>
    </w:p>
    <w:p w14:paraId="36A24295">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（11）确定承包人提出的索赔金额；</w:t>
      </w:r>
    </w:p>
    <w:p w14:paraId="0D8B44CE">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（12）项目监理认为需要业主批准的其它事宜。</w:t>
      </w:r>
    </w:p>
    <w:p w14:paraId="1A4C1BCB">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rPr>
      </w:pPr>
      <w:bookmarkStart w:id="894" w:name="_Toc285028960"/>
      <w:bookmarkStart w:id="895" w:name="_Toc430097445"/>
      <w:bookmarkStart w:id="896" w:name="_Toc263370623"/>
      <w:bookmarkStart w:id="897" w:name="_Toc267473066"/>
      <w:bookmarkStart w:id="898" w:name="_Toc307416175"/>
      <w:bookmarkStart w:id="899" w:name="_Toc307417472"/>
      <w:bookmarkStart w:id="900" w:name="_Toc307485239"/>
      <w:bookmarkStart w:id="901" w:name="_Toc14955"/>
      <w:bookmarkStart w:id="902" w:name="_Toc265657493"/>
      <w:r>
        <w:rPr>
          <w:rFonts w:hint="eastAsia" w:ascii="宋体" w:hAnsi="宋体" w:eastAsia="宋体" w:cs="宋体"/>
          <w:b/>
          <w:color w:val="auto"/>
          <w:sz w:val="24"/>
          <w:szCs w:val="24"/>
        </w:rPr>
        <w:t>4．承包人</w:t>
      </w:r>
      <w:bookmarkEnd w:id="894"/>
      <w:bookmarkEnd w:id="895"/>
      <w:bookmarkEnd w:id="896"/>
      <w:bookmarkEnd w:id="897"/>
      <w:bookmarkEnd w:id="898"/>
      <w:bookmarkEnd w:id="899"/>
      <w:bookmarkEnd w:id="900"/>
      <w:bookmarkEnd w:id="901"/>
      <w:bookmarkEnd w:id="902"/>
    </w:p>
    <w:p w14:paraId="5E5F28C3">
      <w:pPr>
        <w:pageBreakBefore w:val="0"/>
        <w:kinsoku/>
        <w:wordWrap/>
        <w:overflowPunct/>
        <w:topLinePunct w:val="0"/>
        <w:bidi w:val="0"/>
        <w:spacing w:line="360" w:lineRule="auto"/>
        <w:textAlignment w:val="auto"/>
        <w:outlineLvl w:val="9"/>
        <w:rPr>
          <w:rFonts w:hint="eastAsia" w:ascii="宋体" w:hAnsi="宋体" w:eastAsia="宋体" w:cs="Times New Roman"/>
          <w:color w:val="auto"/>
          <w:sz w:val="24"/>
          <w:szCs w:val="24"/>
        </w:rPr>
      </w:pPr>
      <w:bookmarkStart w:id="903" w:name="_Toc285028961"/>
      <w:bookmarkStart w:id="904" w:name="_Toc265657494"/>
      <w:bookmarkStart w:id="905" w:name="_Toc267473067"/>
      <w:r>
        <w:rPr>
          <w:rFonts w:hint="eastAsia" w:ascii="宋体" w:hAnsi="宋体" w:eastAsia="宋体" w:cs="Times New Roman"/>
          <w:color w:val="auto"/>
          <w:sz w:val="24"/>
          <w:szCs w:val="24"/>
        </w:rPr>
        <w:t>4.1 承包人的一般义务</w:t>
      </w:r>
      <w:bookmarkEnd w:id="903"/>
      <w:bookmarkEnd w:id="904"/>
      <w:bookmarkEnd w:id="905"/>
    </w:p>
    <w:p w14:paraId="1001511E">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4.1.9 工程的维护和照管</w:t>
      </w:r>
    </w:p>
    <w:p w14:paraId="7960B7CC">
      <w:pPr>
        <w:pageBreakBefore w:val="0"/>
        <w:kinsoku/>
        <w:wordWrap/>
        <w:overflowPunct/>
        <w:topLinePunct w:val="0"/>
        <w:bidi w:val="0"/>
        <w:spacing w:line="360" w:lineRule="auto"/>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本项补充：</w:t>
      </w:r>
    </w:p>
    <w:p w14:paraId="30E99985">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在承包人负责照管与维护期间，如果本工程或材料、设备等发生损失或损害，除不可抗力原因之外，承包人均应自费弥补，并达到合同要求。承包人还应按第19条规定而实施作业过程中由承包人造成的对工程的任何损失或损害负责。</w:t>
      </w:r>
    </w:p>
    <w:p w14:paraId="54A95221">
      <w:pPr>
        <w:pageBreakBefore w:val="0"/>
        <w:kinsoku/>
        <w:wordWrap/>
        <w:overflowPunct/>
        <w:topLinePunct w:val="0"/>
        <w:bidi w:val="0"/>
        <w:spacing w:line="360" w:lineRule="auto"/>
        <w:ind w:firstLine="480" w:firstLineChars="200"/>
        <w:textAlignment w:val="auto"/>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4.1.10 其他义务</w:t>
      </w:r>
    </w:p>
    <w:p w14:paraId="159526B5">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1）承包人进驻工地后，施工期间的一切协调工作由承包人自行解决。由承包人承担临时道路、临时房建、仓库等其他临时工程建设费用，并负责占用、剥离、开采（如有）、环保（含水保），以及办理各种许可相关手续和协调与当地居民的关系。施工总布置图所示的范围以外的各种临时用地的征地和地面附着物补偿等费用由承包人承担。所有上述工作所产生的一切费用均应包含在合同价格中。</w:t>
      </w:r>
    </w:p>
    <w:p w14:paraId="13E01302">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（2）施工对外交通</w:t>
      </w:r>
    </w:p>
    <w:p w14:paraId="1F4A431E">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承包人自行解决对外交通道路通行，费用包含在合同总价或单价中，发包人不再另行支付。</w:t>
      </w:r>
    </w:p>
    <w:p w14:paraId="176F9C3A">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（3）施工用电</w:t>
      </w:r>
    </w:p>
    <w:p w14:paraId="053FA4FE">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承包人自行解决施工和生活用电电源，并按规定及时向供电部门交纳电费，费用包含在合同总价或单价中，发包人不再另行支付。</w:t>
      </w:r>
    </w:p>
    <w:p w14:paraId="2E402BC0">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施工中可能发生临时停电，承包人应备有足够容量自备电源。</w:t>
      </w:r>
    </w:p>
    <w:p w14:paraId="31A46B8C">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（4）施工用水</w:t>
      </w:r>
    </w:p>
    <w:p w14:paraId="45E3021C">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承包人自行解决施工和生活用水水源，费用包含在合同总价或单价中，发包人不再另行支付。</w:t>
      </w:r>
    </w:p>
    <w:p w14:paraId="0FE06146">
      <w:pPr>
        <w:pageBreakBefore w:val="0"/>
        <w:kinsoku/>
        <w:wordWrap/>
        <w:overflowPunct/>
        <w:topLinePunct w:val="0"/>
        <w:bidi w:val="0"/>
        <w:snapToGrid w:val="0"/>
        <w:spacing w:line="360" w:lineRule="auto"/>
        <w:ind w:firstLine="435"/>
        <w:textAlignment w:val="auto"/>
        <w:outlineLvl w:val="9"/>
        <w:rPr>
          <w:rFonts w:ascii="宋体" w:hAnsi="宋体"/>
          <w:color w:val="auto"/>
          <w:sz w:val="24"/>
          <w:szCs w:val="24"/>
          <w:u w:val="none"/>
        </w:rPr>
      </w:pPr>
      <w:r>
        <w:rPr>
          <w:rFonts w:hint="eastAsia" w:ascii="宋体" w:hAnsi="宋体"/>
          <w:color w:val="auto"/>
          <w:sz w:val="24"/>
          <w:szCs w:val="24"/>
          <w:u w:val="none"/>
        </w:rPr>
        <w:t>（5）垃圾及污水处理</w:t>
      </w:r>
    </w:p>
    <w:p w14:paraId="656B199C">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r>
        <w:rPr>
          <w:rFonts w:hint="eastAsia" w:ascii="宋体" w:hAnsi="宋体"/>
          <w:color w:val="auto"/>
          <w:sz w:val="24"/>
          <w:szCs w:val="24"/>
          <w:u w:val="none"/>
        </w:rPr>
        <w:t>承包人应集中处理生活垃圾和生活、生产污水，严禁乱扔生活垃圾。承包人产生的垃圾及污水，必须按法律法规要求处理，达标排放，费用包含在合同总价或单价中，发包人不再另行支付。</w:t>
      </w:r>
    </w:p>
    <w:p w14:paraId="1D502AFF">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r>
        <w:rPr>
          <w:rFonts w:hint="eastAsia" w:ascii="宋体" w:hAnsi="宋体" w:eastAsia="宋体" w:cs="Times New Roman"/>
          <w:color w:val="auto"/>
          <w:sz w:val="24"/>
          <w:szCs w:val="24"/>
          <w:u w:val="none"/>
        </w:rPr>
        <w:t>（6）自觉完成业主安排的其他有关工作。</w:t>
      </w:r>
    </w:p>
    <w:p w14:paraId="60C957BE">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bookmarkStart w:id="906" w:name="_Toc267473069"/>
      <w:bookmarkStart w:id="907" w:name="_Toc24964"/>
      <w:bookmarkStart w:id="908" w:name="_Toc285028964"/>
      <w:bookmarkStart w:id="909" w:name="_Toc263370624"/>
      <w:bookmarkStart w:id="910" w:name="_Toc307416176"/>
      <w:bookmarkStart w:id="911" w:name="_Toc307417473"/>
      <w:bookmarkStart w:id="912" w:name="_Toc307485240"/>
      <w:bookmarkStart w:id="913" w:name="_Toc265657496"/>
      <w:bookmarkStart w:id="914" w:name="_Toc430097446"/>
      <w:r>
        <w:rPr>
          <w:rFonts w:hint="eastAsia" w:ascii="宋体" w:hAnsi="宋体" w:eastAsia="宋体" w:cs="Times New Roman"/>
          <w:color w:val="auto"/>
          <w:sz w:val="24"/>
          <w:szCs w:val="24"/>
          <w:u w:val="none"/>
        </w:rPr>
        <w:t>4.2履约担保</w:t>
      </w:r>
    </w:p>
    <w:p w14:paraId="696EBFE3">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r>
        <w:rPr>
          <w:rFonts w:hint="eastAsia" w:ascii="宋体" w:hAnsi="宋体" w:eastAsia="宋体" w:cs="Times New Roman"/>
          <w:color w:val="auto"/>
          <w:sz w:val="24"/>
          <w:szCs w:val="24"/>
          <w:u w:val="none"/>
        </w:rPr>
        <w:t>承包人应向发包人提供履约担保</w:t>
      </w:r>
    </w:p>
    <w:p w14:paraId="6858765A">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lang w:eastAsia="zh-CN"/>
        </w:rPr>
      </w:pPr>
      <w:r>
        <w:rPr>
          <w:rFonts w:hint="eastAsia" w:ascii="宋体" w:hAnsi="宋体" w:eastAsia="宋体" w:cs="Times New Roman"/>
          <w:color w:val="auto"/>
          <w:sz w:val="24"/>
          <w:szCs w:val="24"/>
          <w:u w:val="none"/>
        </w:rPr>
        <w:t>履约担保的形式：</w:t>
      </w:r>
      <w:r>
        <w:rPr>
          <w:rFonts w:hint="eastAsia" w:ascii="宋体" w:hAnsi="宋体" w:eastAsia="宋体" w:cs="Times New Roman"/>
          <w:color w:val="auto"/>
          <w:sz w:val="24"/>
          <w:szCs w:val="24"/>
          <w:u w:val="none"/>
          <w:lang w:val="en-US" w:eastAsia="zh-CN"/>
        </w:rPr>
        <w:t>履约担保、保兑支票、银行汇票或现金支票</w:t>
      </w:r>
      <w:r>
        <w:rPr>
          <w:rFonts w:hint="eastAsia" w:ascii="宋体" w:hAnsi="宋体" w:eastAsia="宋体" w:cs="Times New Roman"/>
          <w:color w:val="auto"/>
          <w:sz w:val="24"/>
          <w:szCs w:val="24"/>
          <w:u w:val="none"/>
        </w:rPr>
        <w:t>。</w:t>
      </w:r>
    </w:p>
    <w:p w14:paraId="33DD3D28">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highlight w:val="none"/>
          <w:u w:val="none"/>
        </w:rPr>
      </w:pPr>
      <w:r>
        <w:rPr>
          <w:rFonts w:hint="eastAsia" w:ascii="宋体" w:hAnsi="宋体" w:eastAsia="宋体" w:cs="Times New Roman"/>
          <w:color w:val="auto"/>
          <w:sz w:val="24"/>
          <w:szCs w:val="24"/>
          <w:highlight w:val="none"/>
          <w:u w:val="none"/>
        </w:rPr>
        <w:t>履约担保的金额：</w:t>
      </w:r>
      <w:r>
        <w:rPr>
          <w:rFonts w:hint="eastAsia" w:ascii="宋体" w:hAnsi="宋体" w:eastAsia="宋体" w:cs="Times New Roman"/>
          <w:color w:val="auto"/>
          <w:sz w:val="24"/>
          <w:szCs w:val="24"/>
          <w:highlight w:val="none"/>
          <w:u w:val="none"/>
          <w:lang w:val="en-US" w:eastAsia="zh-CN"/>
        </w:rPr>
        <w:t>人民币</w:t>
      </w:r>
      <w:r>
        <w:rPr>
          <w:rFonts w:hint="eastAsia" w:ascii="宋体" w:hAnsi="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CN"/>
        </w:rPr>
        <w:t>万元</w:t>
      </w:r>
      <w:r>
        <w:rPr>
          <w:rFonts w:hint="eastAsia" w:ascii="宋体" w:hAnsi="宋体" w:eastAsia="宋体" w:cs="Times New Roman"/>
          <w:color w:val="auto"/>
          <w:sz w:val="24"/>
          <w:szCs w:val="24"/>
          <w:highlight w:val="none"/>
          <w:u w:val="none"/>
        </w:rPr>
        <w:t>。</w:t>
      </w:r>
    </w:p>
    <w:p w14:paraId="4ECA2457">
      <w:pPr>
        <w:pageBreakBefore w:val="0"/>
        <w:kinsoku/>
        <w:wordWrap/>
        <w:overflowPunct/>
        <w:topLinePunct w:val="0"/>
        <w:bidi w:val="0"/>
        <w:snapToGrid w:val="0"/>
        <w:spacing w:line="360" w:lineRule="auto"/>
        <w:textAlignment w:val="auto"/>
        <w:outlineLvl w:val="9"/>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5．材料和工程设备</w:t>
      </w:r>
      <w:bookmarkEnd w:id="906"/>
      <w:bookmarkEnd w:id="907"/>
      <w:bookmarkEnd w:id="908"/>
      <w:bookmarkEnd w:id="909"/>
      <w:bookmarkEnd w:id="910"/>
      <w:bookmarkEnd w:id="911"/>
      <w:bookmarkEnd w:id="912"/>
      <w:bookmarkEnd w:id="913"/>
      <w:bookmarkEnd w:id="914"/>
    </w:p>
    <w:p w14:paraId="044309CC">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r>
        <w:rPr>
          <w:rFonts w:hint="eastAsia" w:ascii="宋体" w:hAnsi="宋体" w:eastAsia="宋体" w:cs="Times New Roman"/>
          <w:color w:val="auto"/>
          <w:sz w:val="24"/>
          <w:szCs w:val="24"/>
          <w:u w:val="none"/>
        </w:rPr>
        <w:t xml:space="preserve">5.1 </w:t>
      </w:r>
      <w:bookmarkStart w:id="915" w:name="_Toc267473071"/>
      <w:bookmarkStart w:id="916" w:name="_Toc307416177"/>
      <w:bookmarkStart w:id="917" w:name="_Toc430097447"/>
      <w:bookmarkStart w:id="918" w:name="_Toc285028966"/>
      <w:bookmarkStart w:id="919" w:name="_Toc265657498"/>
      <w:bookmarkStart w:id="920" w:name="_Toc263370625"/>
      <w:bookmarkStart w:id="921" w:name="_Toc307485241"/>
      <w:bookmarkStart w:id="922" w:name="_Toc307417474"/>
      <w:r>
        <w:rPr>
          <w:rFonts w:hint="eastAsia" w:ascii="宋体" w:hAnsi="宋体" w:eastAsia="宋体" w:cs="Times New Roman"/>
          <w:color w:val="auto"/>
          <w:sz w:val="24"/>
          <w:szCs w:val="24"/>
          <w:u w:val="none"/>
        </w:rPr>
        <w:t>承包人采购的主要设备及管材，承包人应在采购前须提前10日将采购清单（包括厂家基本情况、产品规格、数量、价格等情况）报经发包人认可。要求采购国内厂家生产的市场占有率较高、质量优良、售后服务良好的产品。未经发包人认可的材料及设备，不得进入工地现场，否则，工程结算时不予结算。</w:t>
      </w:r>
    </w:p>
    <w:p w14:paraId="3BBF878B">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r>
        <w:rPr>
          <w:rFonts w:hint="eastAsia" w:ascii="宋体" w:hAnsi="宋体" w:eastAsia="宋体" w:cs="Times New Roman"/>
          <w:color w:val="auto"/>
          <w:sz w:val="24"/>
          <w:szCs w:val="24"/>
          <w:u w:val="none"/>
        </w:rPr>
        <w:t>5.2　发包人提供的材料和工程设备</w:t>
      </w:r>
    </w:p>
    <w:p w14:paraId="5CFCFA9B">
      <w:pPr>
        <w:pageBreakBefore w:val="0"/>
        <w:kinsoku/>
        <w:wordWrap/>
        <w:overflowPunct/>
        <w:topLinePunct w:val="0"/>
        <w:bidi w:val="0"/>
        <w:snapToGrid w:val="0"/>
        <w:spacing w:line="360" w:lineRule="auto"/>
        <w:ind w:firstLine="435"/>
        <w:textAlignment w:val="auto"/>
        <w:outlineLvl w:val="9"/>
        <w:rPr>
          <w:rFonts w:hint="eastAsia" w:ascii="仿宋" w:hAnsi="仿宋" w:eastAsia="仿宋" w:cs="仿宋"/>
          <w:color w:val="auto"/>
        </w:rPr>
      </w:pPr>
      <w:r>
        <w:rPr>
          <w:rFonts w:hint="eastAsia" w:ascii="宋体" w:hAnsi="宋体" w:eastAsia="宋体" w:cs="Times New Roman"/>
          <w:color w:val="auto"/>
          <w:sz w:val="24"/>
          <w:szCs w:val="24"/>
          <w:u w:val="none"/>
        </w:rPr>
        <w:t>发包人不提供任何形式的材料和工程设备。</w:t>
      </w:r>
    </w:p>
    <w:p w14:paraId="25BA0C1C">
      <w:pPr>
        <w:pageBreakBefore w:val="0"/>
        <w:kinsoku/>
        <w:wordWrap/>
        <w:overflowPunct/>
        <w:topLinePunct w:val="0"/>
        <w:bidi w:val="0"/>
        <w:snapToGrid w:val="0"/>
        <w:spacing w:line="360" w:lineRule="auto"/>
        <w:textAlignment w:val="auto"/>
        <w:outlineLvl w:val="9"/>
        <w:rPr>
          <w:rFonts w:hint="eastAsia" w:ascii="宋体" w:hAnsi="宋体" w:eastAsia="宋体" w:cs="宋体"/>
          <w:b/>
          <w:color w:val="auto"/>
          <w:sz w:val="24"/>
          <w:szCs w:val="24"/>
          <w:lang w:val="en-US" w:eastAsia="zh-CN" w:bidi="ar-SA"/>
        </w:rPr>
      </w:pPr>
      <w:bookmarkStart w:id="923" w:name="_Toc16504"/>
      <w:r>
        <w:rPr>
          <w:rFonts w:hint="eastAsia" w:ascii="宋体" w:hAnsi="宋体" w:eastAsia="宋体" w:cs="宋体"/>
          <w:b/>
          <w:color w:val="auto"/>
          <w:sz w:val="24"/>
          <w:szCs w:val="24"/>
          <w:lang w:val="en-US" w:eastAsia="zh-CN" w:bidi="ar-SA"/>
        </w:rPr>
        <w:t>6．施工设备和临时设施</w:t>
      </w:r>
      <w:bookmarkEnd w:id="915"/>
      <w:bookmarkEnd w:id="916"/>
      <w:bookmarkEnd w:id="917"/>
      <w:bookmarkEnd w:id="918"/>
      <w:bookmarkEnd w:id="919"/>
      <w:bookmarkEnd w:id="920"/>
      <w:bookmarkEnd w:id="921"/>
      <w:bookmarkEnd w:id="922"/>
      <w:bookmarkEnd w:id="923"/>
    </w:p>
    <w:p w14:paraId="5BC51BB9">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bookmarkStart w:id="924" w:name="_Toc265657499"/>
      <w:bookmarkStart w:id="925" w:name="_Toc285028967"/>
      <w:bookmarkStart w:id="926" w:name="_Toc267473072"/>
      <w:r>
        <w:rPr>
          <w:rFonts w:hint="eastAsia" w:ascii="宋体" w:hAnsi="宋体" w:eastAsia="宋体" w:cs="Times New Roman"/>
          <w:color w:val="auto"/>
          <w:sz w:val="24"/>
          <w:szCs w:val="24"/>
          <w:u w:val="none"/>
        </w:rPr>
        <w:t>6.2 发包人提供的施工设备和临时设施</w:t>
      </w:r>
      <w:bookmarkEnd w:id="924"/>
      <w:bookmarkEnd w:id="925"/>
      <w:bookmarkEnd w:id="926"/>
    </w:p>
    <w:p w14:paraId="6C2827A0">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r>
        <w:rPr>
          <w:rFonts w:hint="eastAsia" w:ascii="宋体" w:hAnsi="宋体" w:eastAsia="宋体" w:cs="Times New Roman"/>
          <w:color w:val="auto"/>
          <w:sz w:val="24"/>
          <w:szCs w:val="24"/>
          <w:u w:val="none"/>
        </w:rPr>
        <w:t>发包人不提供任何形式的施工设备和临时设施。</w:t>
      </w:r>
    </w:p>
    <w:p w14:paraId="39A680C5">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lang w:val="en-US" w:eastAsia="zh-CN" w:bidi="ar-SA"/>
        </w:rPr>
      </w:pPr>
      <w:bookmarkStart w:id="927" w:name="_Toc263370630"/>
      <w:bookmarkStart w:id="928" w:name="_Toc307485245"/>
      <w:bookmarkStart w:id="929" w:name="_Toc285028978"/>
      <w:bookmarkStart w:id="930" w:name="_Toc430097452"/>
      <w:bookmarkStart w:id="931" w:name="_Toc267473083"/>
      <w:bookmarkStart w:id="932" w:name="_Toc21900"/>
      <w:bookmarkStart w:id="933" w:name="_Toc307416181"/>
      <w:bookmarkStart w:id="934" w:name="_Toc307417478"/>
      <w:bookmarkStart w:id="935" w:name="_Toc265657505"/>
      <w:r>
        <w:rPr>
          <w:rFonts w:hint="eastAsia" w:ascii="宋体" w:hAnsi="宋体" w:eastAsia="宋体" w:cs="宋体"/>
          <w:b/>
          <w:color w:val="auto"/>
          <w:sz w:val="24"/>
          <w:szCs w:val="24"/>
          <w:lang w:val="en-US" w:eastAsia="zh-CN" w:bidi="ar-SA"/>
        </w:rPr>
        <w:t>11．开工和竣工（完工）</w:t>
      </w:r>
      <w:bookmarkEnd w:id="927"/>
      <w:bookmarkEnd w:id="928"/>
      <w:bookmarkEnd w:id="929"/>
      <w:bookmarkEnd w:id="930"/>
      <w:bookmarkEnd w:id="931"/>
      <w:bookmarkEnd w:id="932"/>
      <w:bookmarkEnd w:id="933"/>
      <w:bookmarkEnd w:id="934"/>
      <w:bookmarkEnd w:id="935"/>
    </w:p>
    <w:p w14:paraId="3D495A4C">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r>
        <w:rPr>
          <w:rFonts w:hint="eastAsia" w:ascii="宋体" w:hAnsi="宋体" w:eastAsia="宋体" w:cs="Times New Roman"/>
          <w:color w:val="auto"/>
          <w:sz w:val="24"/>
          <w:szCs w:val="24"/>
          <w:u w:val="none"/>
        </w:rPr>
        <w:t>11.4 异常恶劣的气候条件</w:t>
      </w:r>
    </w:p>
    <w:p w14:paraId="32159EB2">
      <w:pPr>
        <w:pageBreakBefore w:val="0"/>
        <w:kinsoku/>
        <w:wordWrap/>
        <w:overflowPunct/>
        <w:topLinePunct w:val="0"/>
        <w:bidi w:val="0"/>
        <w:snapToGrid w:val="0"/>
        <w:spacing w:line="360" w:lineRule="auto"/>
        <w:ind w:firstLine="435"/>
        <w:textAlignment w:val="auto"/>
        <w:outlineLvl w:val="9"/>
        <w:rPr>
          <w:rFonts w:hint="eastAsia" w:ascii="宋体" w:hAnsi="宋体" w:eastAsia="宋体" w:cs="Times New Roman"/>
          <w:color w:val="auto"/>
          <w:sz w:val="24"/>
          <w:szCs w:val="24"/>
          <w:u w:val="none"/>
        </w:rPr>
      </w:pPr>
      <w:r>
        <w:rPr>
          <w:rFonts w:hint="eastAsia" w:ascii="宋体" w:hAnsi="宋体" w:eastAsia="宋体" w:cs="Times New Roman"/>
          <w:color w:val="auto"/>
          <w:sz w:val="24"/>
          <w:szCs w:val="24"/>
          <w:u w:val="none"/>
        </w:rPr>
        <w:t>11.4.3　本合同工程界定异常恶劣气候条件的范围为：</w:t>
      </w:r>
    </w:p>
    <w:p w14:paraId="24E0139E">
      <w:pPr>
        <w:pageBreakBefore w:val="0"/>
        <w:kinsoku/>
        <w:wordWrap/>
        <w:overflowPunct/>
        <w:topLinePunct w:val="0"/>
        <w:bidi w:val="0"/>
        <w:snapToGrid w:val="0"/>
        <w:spacing w:line="360" w:lineRule="auto"/>
        <w:ind w:firstLine="435"/>
        <w:textAlignment w:val="auto"/>
        <w:outlineLvl w:val="9"/>
        <w:rPr>
          <w:rFonts w:hint="eastAsia" w:ascii="宋体" w:hAnsi="宋体" w:eastAsia="宋体" w:cs="宋体"/>
          <w:color w:val="auto"/>
          <w:sz w:val="24"/>
          <w:szCs w:val="24"/>
        </w:rPr>
      </w:pPr>
      <w:r>
        <w:rPr>
          <w:rFonts w:hint="eastAsia" w:ascii="宋体" w:hAnsi="宋体" w:eastAsia="宋体" w:cs="Times New Roman"/>
          <w:color w:val="auto"/>
          <w:sz w:val="24"/>
          <w:szCs w:val="24"/>
          <w:u w:val="none"/>
        </w:rPr>
        <w:t>(1)日降雨</w:t>
      </w:r>
      <w:r>
        <w:rPr>
          <w:rFonts w:hint="eastAsia" w:ascii="宋体" w:hAnsi="宋体" w:eastAsia="宋体" w:cs="宋体"/>
          <w:color w:val="auto"/>
          <w:sz w:val="24"/>
          <w:szCs w:val="24"/>
        </w:rPr>
        <w:t>量大于</w:t>
      </w:r>
      <w:r>
        <w:rPr>
          <w:rFonts w:hint="eastAsia" w:ascii="宋体" w:hAnsi="宋体" w:eastAsia="宋体" w:cs="宋体"/>
          <w:color w:val="auto"/>
          <w:sz w:val="24"/>
          <w:szCs w:val="24"/>
          <w:u w:val="single"/>
        </w:rPr>
        <w:t>50mm</w:t>
      </w:r>
      <w:r>
        <w:rPr>
          <w:rFonts w:hint="eastAsia" w:ascii="宋体" w:hAnsi="宋体" w:eastAsia="宋体" w:cs="宋体"/>
          <w:color w:val="auto"/>
          <w:sz w:val="24"/>
          <w:szCs w:val="24"/>
        </w:rPr>
        <w:t>的雨日超过</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天；</w:t>
      </w:r>
    </w:p>
    <w:p w14:paraId="13C43C62">
      <w:pPr>
        <w:pageBreakBefore w:val="0"/>
        <w:kinsoku/>
        <w:wordWrap/>
        <w:overflowPunct/>
        <w:topLinePunct w:val="0"/>
        <w:bidi w:val="0"/>
        <w:spacing w:line="360" w:lineRule="auto"/>
        <w:ind w:firstLine="52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(2)风速大于</w:t>
      </w:r>
      <w:r>
        <w:rPr>
          <w:rFonts w:hint="eastAsia" w:ascii="宋体" w:hAnsi="宋体" w:eastAsia="宋体" w:cs="宋体"/>
          <w:color w:val="auto"/>
          <w:sz w:val="24"/>
          <w:szCs w:val="24"/>
          <w:u w:val="single"/>
        </w:rPr>
        <w:t>21 m/s</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级以上台风灾害；</w:t>
      </w:r>
    </w:p>
    <w:p w14:paraId="0DABEFC8">
      <w:pPr>
        <w:pageBreakBefore w:val="0"/>
        <w:kinsoku/>
        <w:wordWrap/>
        <w:overflowPunct/>
        <w:topLinePunct w:val="0"/>
        <w:bidi w:val="0"/>
        <w:spacing w:line="360" w:lineRule="auto"/>
        <w:ind w:firstLine="52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(3)日气温超过</w:t>
      </w:r>
      <w:r>
        <w:rPr>
          <w:rFonts w:hint="eastAsia" w:ascii="宋体" w:hAnsi="宋体" w:eastAsia="宋体" w:cs="宋体"/>
          <w:color w:val="auto"/>
          <w:sz w:val="24"/>
          <w:szCs w:val="24"/>
          <w:u w:val="single"/>
        </w:rPr>
        <w:t>38℃</w:t>
      </w:r>
      <w:r>
        <w:rPr>
          <w:rFonts w:hint="eastAsia" w:ascii="宋体" w:hAnsi="宋体" w:eastAsia="宋体" w:cs="宋体"/>
          <w:color w:val="auto"/>
          <w:sz w:val="24"/>
          <w:szCs w:val="24"/>
        </w:rPr>
        <w:t>的高温大于</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p>
    <w:p w14:paraId="524A43E4">
      <w:pPr>
        <w:pageBreakBefore w:val="0"/>
        <w:kinsoku/>
        <w:wordWrap/>
        <w:overflowPunct/>
        <w:topLinePunct w:val="0"/>
        <w:bidi w:val="0"/>
        <w:spacing w:line="360" w:lineRule="auto"/>
        <w:ind w:firstLine="52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(4)日气温低于</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rPr>
        <w:t>的严寒大于</w:t>
      </w:r>
      <w:r>
        <w:rPr>
          <w:rFonts w:hint="eastAsia" w:ascii="宋体" w:hAnsi="宋体" w:eastAsia="宋体" w:cs="宋体"/>
          <w:color w:val="auto"/>
          <w:sz w:val="24"/>
          <w:szCs w:val="24"/>
          <w:u w:val="single"/>
        </w:rPr>
        <w:t>3</w:t>
      </w:r>
      <w:r>
        <w:rPr>
          <w:rFonts w:hint="eastAsia" w:ascii="宋体" w:hAnsi="宋体" w:eastAsia="宋体" w:cs="宋体"/>
          <w:color w:val="auto"/>
          <w:sz w:val="24"/>
          <w:szCs w:val="24"/>
        </w:rPr>
        <w:t>天；</w:t>
      </w:r>
    </w:p>
    <w:p w14:paraId="350A59B1">
      <w:pPr>
        <w:pageBreakBefore w:val="0"/>
        <w:kinsoku/>
        <w:wordWrap/>
        <w:overflowPunct/>
        <w:topLinePunct w:val="0"/>
        <w:bidi w:val="0"/>
        <w:spacing w:line="360" w:lineRule="auto"/>
        <w:ind w:firstLine="52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(5)造成工程损坏的冰雹和大雪灾害：</w:t>
      </w:r>
      <w:r>
        <w:rPr>
          <w:rFonts w:hint="eastAsia" w:ascii="宋体" w:hAnsi="宋体" w:eastAsia="宋体" w:cs="宋体"/>
          <w:color w:val="auto"/>
          <w:sz w:val="24"/>
          <w:szCs w:val="24"/>
          <w:u w:val="single"/>
        </w:rPr>
        <w:t>30年一遇</w:t>
      </w:r>
      <w:r>
        <w:rPr>
          <w:rFonts w:hint="eastAsia" w:ascii="宋体" w:hAnsi="宋体" w:eastAsia="宋体" w:cs="宋体"/>
          <w:color w:val="auto"/>
          <w:sz w:val="24"/>
          <w:szCs w:val="24"/>
        </w:rPr>
        <w:t>；</w:t>
      </w:r>
    </w:p>
    <w:p w14:paraId="7B6C6AA7">
      <w:pPr>
        <w:pageBreakBefore w:val="0"/>
        <w:kinsoku/>
        <w:wordWrap/>
        <w:overflowPunct/>
        <w:topLinePunct w:val="0"/>
        <w:bidi w:val="0"/>
        <w:spacing w:line="360" w:lineRule="auto"/>
        <w:ind w:firstLine="52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(6)其它异常恶劣气候灾害。</w:t>
      </w:r>
    </w:p>
    <w:p w14:paraId="150B1BB2">
      <w:pPr>
        <w:pageBreakBefore w:val="0"/>
        <w:kinsoku/>
        <w:wordWrap/>
        <w:overflowPunct/>
        <w:topLinePunct w:val="0"/>
        <w:bidi w:val="0"/>
        <w:spacing w:line="360" w:lineRule="auto"/>
        <w:jc w:val="both"/>
        <w:textAlignment w:val="auto"/>
        <w:outlineLvl w:val="9"/>
        <w:rPr>
          <w:rFonts w:hint="eastAsia" w:ascii="宋体" w:hAnsi="宋体" w:eastAsia="宋体" w:cs="宋体"/>
          <w:color w:val="auto"/>
          <w:sz w:val="24"/>
          <w:szCs w:val="24"/>
        </w:rPr>
      </w:pPr>
      <w:bookmarkStart w:id="936" w:name="_Toc265657506"/>
      <w:bookmarkStart w:id="937" w:name="_Toc267473084"/>
      <w:bookmarkStart w:id="938" w:name="_Toc285028979"/>
      <w:r>
        <w:rPr>
          <w:rFonts w:hint="eastAsia" w:ascii="宋体" w:hAnsi="宋体" w:eastAsia="宋体" w:cs="宋体"/>
          <w:color w:val="auto"/>
          <w:sz w:val="24"/>
          <w:szCs w:val="24"/>
        </w:rPr>
        <w:t>11.5 承包人的工期延误</w:t>
      </w:r>
      <w:bookmarkEnd w:id="936"/>
      <w:bookmarkEnd w:id="937"/>
      <w:bookmarkEnd w:id="938"/>
    </w:p>
    <w:p w14:paraId="0583B666">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（1）逾期完工违约金</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元/日</w:t>
      </w:r>
      <w:r>
        <w:rPr>
          <w:rFonts w:hint="eastAsia" w:ascii="宋体" w:hAnsi="宋体" w:eastAsia="宋体" w:cs="宋体"/>
          <w:b/>
          <w:color w:val="auto"/>
          <w:kern w:val="0"/>
          <w:sz w:val="24"/>
          <w:szCs w:val="24"/>
          <w:highlight w:val="none"/>
        </w:rPr>
        <w:t>。</w:t>
      </w:r>
    </w:p>
    <w:p w14:paraId="34DA9F86">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（2）全部逾期完工违约金的总限额为</w:t>
      </w:r>
      <w:r>
        <w:rPr>
          <w:rFonts w:hint="eastAsia" w:ascii="宋体" w:hAnsi="宋体" w:eastAsia="宋体" w:cs="宋体"/>
          <w:color w:val="auto"/>
          <w:sz w:val="24"/>
          <w:szCs w:val="24"/>
          <w:u w:val="single"/>
        </w:rPr>
        <w:t xml:space="preserve">  不超过签约合同价的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p>
    <w:p w14:paraId="27E23BD7">
      <w:pPr>
        <w:pageBreakBefore w:val="0"/>
        <w:kinsoku/>
        <w:wordWrap/>
        <w:overflowPunct/>
        <w:topLinePunct w:val="0"/>
        <w:bidi w:val="0"/>
        <w:spacing w:line="360" w:lineRule="auto"/>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11.6 工期提前</w:t>
      </w:r>
    </w:p>
    <w:p w14:paraId="1A3470BC">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工期提前的奖励约定：</w:t>
      </w:r>
      <w:r>
        <w:rPr>
          <w:rFonts w:hint="eastAsia" w:ascii="宋体" w:hAnsi="宋体" w:eastAsia="宋体" w:cs="宋体"/>
          <w:color w:val="auto"/>
          <w:sz w:val="24"/>
          <w:szCs w:val="24"/>
          <w:u w:val="single"/>
        </w:rPr>
        <w:t>不奖励</w:t>
      </w:r>
      <w:r>
        <w:rPr>
          <w:rFonts w:hint="eastAsia" w:ascii="宋体" w:hAnsi="宋体" w:eastAsia="宋体" w:cs="宋体"/>
          <w:color w:val="auto"/>
          <w:sz w:val="24"/>
          <w:szCs w:val="24"/>
        </w:rPr>
        <w:t>。</w:t>
      </w:r>
    </w:p>
    <w:p w14:paraId="0745AB78">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lang w:val="en-US" w:eastAsia="zh-CN" w:bidi="ar-SA"/>
        </w:rPr>
      </w:pPr>
      <w:bookmarkStart w:id="939" w:name="_Toc263370632"/>
      <w:bookmarkStart w:id="940" w:name="_Toc285028984"/>
      <w:bookmarkStart w:id="941" w:name="_Toc267473089"/>
      <w:bookmarkStart w:id="942" w:name="_Toc265657511"/>
      <w:bookmarkStart w:id="943" w:name="_Toc307416183"/>
      <w:bookmarkStart w:id="944" w:name="_Toc307485247"/>
      <w:bookmarkStart w:id="945" w:name="_Toc307415741"/>
      <w:bookmarkStart w:id="946" w:name="_Toc307417480"/>
      <w:bookmarkStart w:id="947" w:name="_Toc430097454"/>
      <w:bookmarkStart w:id="948" w:name="_Toc7650"/>
      <w:r>
        <w:rPr>
          <w:rFonts w:hint="eastAsia" w:ascii="宋体" w:hAnsi="宋体" w:eastAsia="宋体" w:cs="宋体"/>
          <w:b/>
          <w:color w:val="auto"/>
          <w:sz w:val="24"/>
          <w:szCs w:val="24"/>
          <w:lang w:val="en-US" w:eastAsia="zh-CN" w:bidi="ar-SA"/>
        </w:rPr>
        <w:t>13．工程质量</w:t>
      </w:r>
      <w:bookmarkEnd w:id="939"/>
      <w:bookmarkEnd w:id="940"/>
      <w:bookmarkEnd w:id="941"/>
      <w:bookmarkEnd w:id="942"/>
      <w:bookmarkEnd w:id="943"/>
      <w:bookmarkEnd w:id="944"/>
      <w:bookmarkEnd w:id="945"/>
      <w:bookmarkEnd w:id="946"/>
      <w:bookmarkEnd w:id="947"/>
      <w:bookmarkEnd w:id="948"/>
    </w:p>
    <w:p w14:paraId="76D61287">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color w:val="auto"/>
          <w:sz w:val="24"/>
          <w:szCs w:val="24"/>
          <w:highlight w:val="none"/>
        </w:rPr>
      </w:pPr>
      <w:bookmarkStart w:id="949" w:name="_Toc267473090"/>
      <w:bookmarkStart w:id="950" w:name="_Toc307415742"/>
      <w:bookmarkStart w:id="951" w:name="_Toc285028985"/>
      <w:bookmarkStart w:id="952" w:name="_Toc265657512"/>
      <w:r>
        <w:rPr>
          <w:rFonts w:hint="eastAsia" w:ascii="宋体" w:hAnsi="宋体" w:eastAsia="宋体" w:cs="宋体"/>
          <w:color w:val="auto"/>
          <w:sz w:val="24"/>
          <w:szCs w:val="24"/>
        </w:rPr>
        <w:t>13.7 质量评定</w:t>
      </w:r>
      <w:bookmarkEnd w:id="949"/>
      <w:bookmarkEnd w:id="950"/>
      <w:bookmarkEnd w:id="951"/>
      <w:bookmarkEnd w:id="952"/>
    </w:p>
    <w:p w14:paraId="7914306B">
      <w:pPr>
        <w:pageBreakBefore w:val="0"/>
        <w:kinsoku/>
        <w:wordWrap/>
        <w:overflowPunct/>
        <w:topLinePunct w:val="0"/>
        <w:bidi w:val="0"/>
        <w:snapToGrid w:val="0"/>
        <w:spacing w:line="360" w:lineRule="auto"/>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此款增加约定为:按水利行业要求进行项目划分和质量评定，在分部工程评定完成后，统一按水利行业办法进行验收。</w:t>
      </w:r>
    </w:p>
    <w:p w14:paraId="36519244">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lang w:val="en-US" w:eastAsia="zh-CN" w:bidi="ar-SA"/>
        </w:rPr>
      </w:pPr>
      <w:bookmarkStart w:id="953" w:name="_Toc267473092"/>
      <w:bookmarkStart w:id="954" w:name="_Toc430097455"/>
      <w:bookmarkStart w:id="955" w:name="_Toc263370633"/>
      <w:bookmarkStart w:id="956" w:name="_Toc307485248"/>
      <w:bookmarkStart w:id="957" w:name="_Toc29053"/>
      <w:bookmarkStart w:id="958" w:name="_Toc307416184"/>
      <w:bookmarkStart w:id="959" w:name="_Toc307417481"/>
      <w:bookmarkStart w:id="960" w:name="_Toc265657514"/>
      <w:bookmarkStart w:id="961" w:name="_Toc307415744"/>
      <w:bookmarkStart w:id="962" w:name="_Toc285028987"/>
      <w:r>
        <w:rPr>
          <w:rFonts w:hint="eastAsia" w:ascii="宋体" w:hAnsi="宋体" w:eastAsia="宋体" w:cs="宋体"/>
          <w:b/>
          <w:color w:val="auto"/>
          <w:sz w:val="24"/>
          <w:szCs w:val="24"/>
          <w:lang w:val="en-US" w:eastAsia="zh-CN" w:bidi="ar-SA"/>
        </w:rPr>
        <w:t>14．试验和检验</w:t>
      </w:r>
      <w:bookmarkEnd w:id="953"/>
      <w:bookmarkEnd w:id="954"/>
      <w:bookmarkEnd w:id="955"/>
      <w:bookmarkEnd w:id="956"/>
      <w:bookmarkEnd w:id="957"/>
      <w:bookmarkEnd w:id="958"/>
      <w:bookmarkEnd w:id="959"/>
      <w:bookmarkEnd w:id="960"/>
      <w:bookmarkEnd w:id="961"/>
      <w:bookmarkEnd w:id="962"/>
    </w:p>
    <w:p w14:paraId="782C3202">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color w:val="auto"/>
          <w:sz w:val="24"/>
          <w:szCs w:val="24"/>
        </w:rPr>
      </w:pPr>
      <w:bookmarkStart w:id="963" w:name="_Toc267473093"/>
      <w:bookmarkStart w:id="964" w:name="_Toc307415745"/>
      <w:bookmarkStart w:id="965" w:name="_Toc285028988"/>
      <w:bookmarkStart w:id="966" w:name="_Toc265657515"/>
      <w:r>
        <w:rPr>
          <w:rFonts w:hint="eastAsia" w:ascii="宋体" w:hAnsi="宋体" w:eastAsia="宋体" w:cs="宋体"/>
          <w:color w:val="auto"/>
          <w:sz w:val="24"/>
          <w:szCs w:val="24"/>
        </w:rPr>
        <w:t>14.1材料、工程设备和工程的试验和检验</w:t>
      </w:r>
      <w:bookmarkEnd w:id="963"/>
      <w:bookmarkEnd w:id="964"/>
      <w:bookmarkEnd w:id="965"/>
      <w:bookmarkEnd w:id="966"/>
    </w:p>
    <w:p w14:paraId="1592DA07">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14.1.5 水工金属结构、启闭机及机电产品进场后的交货检查和验收中，承包人负责</w:t>
      </w:r>
      <w:r>
        <w:rPr>
          <w:rFonts w:hint="eastAsia" w:ascii="宋体" w:hAnsi="宋体" w:eastAsia="宋体" w:cs="宋体"/>
          <w:color w:val="auto"/>
          <w:sz w:val="24"/>
          <w:szCs w:val="24"/>
          <w:u w:val="single"/>
        </w:rPr>
        <w:t>参加检查验收并负责接收工作</w:t>
      </w:r>
      <w:r>
        <w:rPr>
          <w:rFonts w:hint="eastAsia" w:ascii="仿宋" w:hAnsi="仿宋" w:eastAsia="仿宋" w:cs="仿宋"/>
          <w:color w:val="auto"/>
          <w:u w:val="single"/>
        </w:rPr>
        <w:t xml:space="preserve"> </w:t>
      </w:r>
      <w:r>
        <w:rPr>
          <w:rFonts w:hint="eastAsia" w:ascii="宋体" w:hAnsi="宋体" w:eastAsia="宋体" w:cs="宋体"/>
          <w:color w:val="auto"/>
          <w:sz w:val="24"/>
          <w:szCs w:val="24"/>
        </w:rPr>
        <w:t>。</w:t>
      </w:r>
    </w:p>
    <w:p w14:paraId="4854B426">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lang w:val="en-US" w:eastAsia="zh-CN" w:bidi="ar-SA"/>
        </w:rPr>
      </w:pPr>
      <w:bookmarkStart w:id="967" w:name="_Toc307417482"/>
      <w:bookmarkStart w:id="968" w:name="_Toc307415746"/>
      <w:bookmarkStart w:id="969" w:name="_Toc8179"/>
      <w:bookmarkStart w:id="970" w:name="_Toc285028990"/>
      <w:bookmarkStart w:id="971" w:name="_Toc307416185"/>
      <w:bookmarkStart w:id="972" w:name="_Toc307485249"/>
      <w:bookmarkStart w:id="973" w:name="_Toc430097456"/>
      <w:bookmarkStart w:id="974" w:name="_Toc263370634"/>
      <w:bookmarkStart w:id="975" w:name="_Toc265657517"/>
      <w:bookmarkStart w:id="976" w:name="_Toc267473095"/>
      <w:r>
        <w:rPr>
          <w:rFonts w:hint="eastAsia" w:ascii="宋体" w:hAnsi="宋体" w:eastAsia="宋体" w:cs="宋体"/>
          <w:b/>
          <w:color w:val="auto"/>
          <w:sz w:val="24"/>
          <w:szCs w:val="24"/>
          <w:lang w:val="en-US" w:eastAsia="zh-CN" w:bidi="ar-SA"/>
        </w:rPr>
        <w:t>15．变更</w:t>
      </w:r>
      <w:bookmarkEnd w:id="967"/>
      <w:bookmarkEnd w:id="968"/>
      <w:bookmarkEnd w:id="969"/>
      <w:bookmarkEnd w:id="970"/>
      <w:bookmarkEnd w:id="971"/>
      <w:bookmarkEnd w:id="972"/>
      <w:bookmarkEnd w:id="973"/>
      <w:bookmarkEnd w:id="974"/>
      <w:bookmarkEnd w:id="975"/>
      <w:bookmarkEnd w:id="976"/>
    </w:p>
    <w:p w14:paraId="78056172">
      <w:pPr>
        <w:pageBreakBefore w:val="0"/>
        <w:widowControl/>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24"/>
          <w:szCs w:val="24"/>
        </w:rPr>
      </w:pPr>
      <w:bookmarkStart w:id="977" w:name="_Toc285028991"/>
      <w:bookmarkStart w:id="978" w:name="_Toc267473096"/>
      <w:bookmarkStart w:id="979" w:name="_Toc265657518"/>
      <w:bookmarkStart w:id="980" w:name="_Toc307415747"/>
      <w:r>
        <w:rPr>
          <w:rFonts w:hint="eastAsia" w:ascii="宋体" w:hAnsi="宋体" w:eastAsia="宋体" w:cs="宋体"/>
          <w:color w:val="auto"/>
          <w:sz w:val="24"/>
          <w:szCs w:val="24"/>
        </w:rPr>
        <w:t>15.1 变更的范围和内容</w:t>
      </w:r>
      <w:bookmarkEnd w:id="977"/>
      <w:bookmarkEnd w:id="978"/>
      <w:bookmarkEnd w:id="979"/>
      <w:bookmarkEnd w:id="980"/>
    </w:p>
    <w:p w14:paraId="41A3659F">
      <w:pPr>
        <w:keepNext w:val="0"/>
        <w:keepLines w:val="0"/>
        <w:pageBreakBefore w:val="0"/>
        <w:widowControl/>
        <w:suppressLineNumbers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（6）增加或减少合同中关键项目工程量超过其工程总量的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%时，关键项目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，单价调整方式：</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p>
    <w:p w14:paraId="566FDA70">
      <w:pPr>
        <w:pageBreakBefore w:val="0"/>
        <w:kinsoku/>
        <w:wordWrap/>
        <w:overflowPunct/>
        <w:topLinePunct w:val="0"/>
        <w:bidi w:val="0"/>
        <w:spacing w:line="360" w:lineRule="auto"/>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15.8 暂估价</w:t>
      </w:r>
    </w:p>
    <w:p w14:paraId="03181AA5">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（1）发包人和承包人组织招标的暂估价项目：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（签约后填入） </w:t>
      </w:r>
      <w:r>
        <w:rPr>
          <w:rFonts w:hint="eastAsia" w:ascii="宋体" w:hAnsi="宋体" w:eastAsia="宋体" w:cs="宋体"/>
          <w:color w:val="auto"/>
          <w:sz w:val="24"/>
          <w:szCs w:val="24"/>
        </w:rPr>
        <w:t>；发包人组织招标的暂估价项目：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（签约后填入）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BA433EF">
      <w:pPr>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（2）发包人和承包人以招标方式选择暂估价项目供应商或分包人时，双方的权利义务关系：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（签约后填入） </w:t>
      </w:r>
      <w:r>
        <w:rPr>
          <w:rFonts w:hint="eastAsia" w:ascii="宋体" w:hAnsi="宋体" w:eastAsia="宋体" w:cs="宋体"/>
          <w:color w:val="auto"/>
          <w:sz w:val="24"/>
          <w:szCs w:val="24"/>
        </w:rPr>
        <w:t>。</w:t>
      </w:r>
    </w:p>
    <w:p w14:paraId="7418990F">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lang w:val="en-US" w:eastAsia="zh-CN" w:bidi="ar-SA"/>
        </w:rPr>
      </w:pPr>
      <w:bookmarkStart w:id="981" w:name="_Toc307415749"/>
      <w:bookmarkStart w:id="982" w:name="_Toc285028993"/>
      <w:bookmarkStart w:id="983" w:name="_Toc307485250"/>
      <w:bookmarkStart w:id="984" w:name="_Toc263370635"/>
      <w:bookmarkStart w:id="985" w:name="_Toc265657520"/>
      <w:bookmarkStart w:id="986" w:name="_Toc430097457"/>
      <w:bookmarkStart w:id="987" w:name="_Toc267473098"/>
      <w:bookmarkStart w:id="988" w:name="_Toc307416186"/>
      <w:bookmarkStart w:id="989" w:name="_Toc26542"/>
      <w:bookmarkStart w:id="990" w:name="_Toc307417483"/>
      <w:r>
        <w:rPr>
          <w:rFonts w:hint="eastAsia" w:ascii="宋体" w:hAnsi="宋体" w:eastAsia="宋体" w:cs="宋体"/>
          <w:b/>
          <w:color w:val="auto"/>
          <w:sz w:val="24"/>
          <w:szCs w:val="24"/>
          <w:lang w:val="en-US" w:eastAsia="zh-CN" w:bidi="ar-SA"/>
        </w:rPr>
        <w:t>16．价格调整</w:t>
      </w:r>
      <w:bookmarkEnd w:id="981"/>
      <w:bookmarkEnd w:id="982"/>
      <w:bookmarkEnd w:id="983"/>
      <w:bookmarkEnd w:id="984"/>
      <w:bookmarkEnd w:id="985"/>
      <w:bookmarkEnd w:id="986"/>
      <w:bookmarkEnd w:id="987"/>
      <w:bookmarkEnd w:id="988"/>
      <w:bookmarkEnd w:id="989"/>
      <w:bookmarkEnd w:id="990"/>
    </w:p>
    <w:p w14:paraId="36C38AF6">
      <w:pPr>
        <w:pageBreakBefore w:val="0"/>
        <w:kinsoku/>
        <w:wordWrap/>
        <w:overflowPunct/>
        <w:topLinePunct w:val="0"/>
        <w:autoSpaceDE/>
        <w:autoSpaceDN/>
        <w:bidi w:val="0"/>
        <w:adjustRightInd/>
        <w:spacing w:line="360" w:lineRule="auto"/>
        <w:jc w:val="left"/>
        <w:textAlignment w:val="auto"/>
        <w:outlineLvl w:val="9"/>
        <w:rPr>
          <w:rFonts w:hint="eastAsia" w:ascii="宋体" w:hAnsi="宋体" w:eastAsia="宋体" w:cs="宋体"/>
          <w:b w:val="0"/>
          <w:bCs/>
          <w:color w:val="auto"/>
          <w:sz w:val="24"/>
          <w:szCs w:val="24"/>
        </w:rPr>
      </w:pPr>
      <w:bookmarkStart w:id="991" w:name="_Toc265657521"/>
      <w:bookmarkStart w:id="992" w:name="_Toc267473099"/>
      <w:bookmarkStart w:id="993" w:name="_Toc285028994"/>
      <w:bookmarkStart w:id="994" w:name="_Toc307415750"/>
      <w:r>
        <w:rPr>
          <w:rFonts w:hint="eastAsia" w:ascii="宋体" w:hAnsi="宋体" w:eastAsia="宋体" w:cs="宋体"/>
          <w:b w:val="0"/>
          <w:bCs/>
          <w:color w:val="auto"/>
          <w:sz w:val="24"/>
          <w:szCs w:val="24"/>
        </w:rPr>
        <w:t>16.1物价波动引起的价格调整</w:t>
      </w:r>
      <w:bookmarkEnd w:id="991"/>
      <w:bookmarkEnd w:id="992"/>
      <w:bookmarkEnd w:id="993"/>
      <w:bookmarkEnd w:id="994"/>
    </w:p>
    <w:p w14:paraId="35DE7485">
      <w:pPr>
        <w:pageBreakBefore w:val="0"/>
        <w:kinsoku/>
        <w:wordWrap/>
        <w:overflowPunct/>
        <w:topLinePunct w:val="0"/>
        <w:autoSpaceDE/>
        <w:autoSpaceDN/>
        <w:bidi w:val="0"/>
        <w:adjustRightInd/>
        <w:spacing w:line="360" w:lineRule="auto"/>
        <w:ind w:firstLine="480" w:firstLineChars="200"/>
        <w:jc w:val="left"/>
        <w:textAlignment w:val="auto"/>
        <w:outlineLvl w:val="9"/>
        <w:rPr>
          <w:rFonts w:ascii="宋体"/>
          <w:color w:val="auto"/>
          <w:szCs w:val="21"/>
        </w:rPr>
      </w:pPr>
      <w:bookmarkStart w:id="995" w:name="_Toc307485251"/>
      <w:bookmarkStart w:id="996" w:name="_Toc307415751"/>
      <w:bookmarkStart w:id="997" w:name="_Toc265657522"/>
      <w:bookmarkStart w:id="998" w:name="_Toc267473100"/>
      <w:bookmarkStart w:id="999" w:name="_Toc307417484"/>
      <w:bookmarkStart w:id="1000" w:name="_Toc307416187"/>
      <w:bookmarkStart w:id="1001" w:name="_Toc285028995"/>
      <w:bookmarkStart w:id="1002" w:name="_Toc263370636"/>
      <w:r>
        <w:rPr>
          <w:rFonts w:hint="eastAsia" w:ascii="宋体" w:hAnsi="宋体" w:eastAsia="宋体" w:cs="宋体"/>
          <w:b w:val="0"/>
          <w:bCs/>
          <w:color w:val="auto"/>
          <w:sz w:val="24"/>
          <w:szCs w:val="24"/>
        </w:rPr>
        <w:t>物价波动引起的价格调整方式：</w:t>
      </w:r>
      <w:r>
        <w:rPr>
          <w:rFonts w:hint="eastAsia" w:ascii="宋体" w:hAnsi="宋体" w:eastAsia="宋体"/>
          <w:color w:val="auto"/>
          <w:sz w:val="24"/>
          <w:szCs w:val="24"/>
          <w:u w:val="single"/>
          <w:lang w:val="en-US" w:eastAsia="zh-CN"/>
        </w:rPr>
        <w:t xml:space="preserve">   不调价    </w:t>
      </w:r>
      <w:r>
        <w:rPr>
          <w:rFonts w:hint="eastAsia" w:ascii="宋体"/>
          <w:color w:val="auto"/>
          <w:sz w:val="24"/>
          <w:szCs w:val="24"/>
        </w:rPr>
        <w:t>。</w:t>
      </w:r>
    </w:p>
    <w:p w14:paraId="4D6A15EF">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lang w:val="en-US" w:eastAsia="zh-CN" w:bidi="ar-SA"/>
        </w:rPr>
      </w:pPr>
      <w:bookmarkStart w:id="1003" w:name="_Toc430097458"/>
      <w:bookmarkStart w:id="1004" w:name="_Toc27226"/>
      <w:r>
        <w:rPr>
          <w:rFonts w:hint="eastAsia" w:ascii="宋体" w:hAnsi="宋体" w:eastAsia="宋体" w:cs="宋体"/>
          <w:b/>
          <w:color w:val="auto"/>
          <w:sz w:val="24"/>
          <w:szCs w:val="24"/>
          <w:lang w:val="en-US" w:eastAsia="zh-CN" w:bidi="ar-SA"/>
        </w:rPr>
        <w:t>17．计量与支付</w:t>
      </w:r>
      <w:bookmarkEnd w:id="995"/>
      <w:bookmarkEnd w:id="996"/>
      <w:bookmarkEnd w:id="997"/>
      <w:bookmarkEnd w:id="998"/>
      <w:bookmarkEnd w:id="999"/>
      <w:bookmarkEnd w:id="1000"/>
      <w:bookmarkEnd w:id="1001"/>
      <w:bookmarkEnd w:id="1002"/>
      <w:bookmarkEnd w:id="1003"/>
      <w:bookmarkEnd w:id="1004"/>
    </w:p>
    <w:p w14:paraId="5FA8B626">
      <w:pPr>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 w:val="0"/>
          <w:bCs/>
          <w:color w:val="auto"/>
          <w:sz w:val="24"/>
          <w:szCs w:val="24"/>
        </w:rPr>
      </w:pPr>
      <w:bookmarkStart w:id="1005" w:name="_Toc267473101"/>
      <w:bookmarkStart w:id="1006" w:name="_Toc307415752"/>
      <w:bookmarkStart w:id="1007" w:name="_Toc265657523"/>
      <w:bookmarkStart w:id="1008" w:name="_Toc285028996"/>
      <w:r>
        <w:rPr>
          <w:rFonts w:hint="eastAsia" w:ascii="宋体" w:hAnsi="宋体" w:eastAsia="宋体" w:cs="宋体"/>
          <w:b w:val="0"/>
          <w:bCs/>
          <w:color w:val="auto"/>
          <w:sz w:val="24"/>
          <w:szCs w:val="24"/>
        </w:rPr>
        <w:t>17.1.3 计量周期</w:t>
      </w:r>
    </w:p>
    <w:p w14:paraId="13055146">
      <w:pPr>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本合同的计量周期：</w:t>
      </w:r>
      <w:r>
        <w:rPr>
          <w:rFonts w:hint="eastAsia" w:ascii="宋体" w:hAnsi="宋体" w:eastAsia="宋体" w:cs="宋体"/>
          <w:b w:val="0"/>
          <w:bCs/>
          <w:color w:val="auto"/>
          <w:sz w:val="24"/>
          <w:szCs w:val="24"/>
          <w:u w:val="single"/>
        </w:rPr>
        <w:t>单价子目和总价子目按月计量，每月25日计量，每月30日前报监理人</w:t>
      </w:r>
      <w:r>
        <w:rPr>
          <w:rFonts w:hint="eastAsia" w:ascii="宋体" w:hAnsi="宋体" w:eastAsia="宋体" w:cs="宋体"/>
          <w:b w:val="0"/>
          <w:bCs/>
          <w:color w:val="auto"/>
          <w:sz w:val="24"/>
          <w:szCs w:val="24"/>
        </w:rPr>
        <w:t>。</w:t>
      </w:r>
    </w:p>
    <w:p w14:paraId="79986D82">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17.2预付款</w:t>
      </w:r>
    </w:p>
    <w:p w14:paraId="3148203C">
      <w:pPr>
        <w:pageBreakBefore w:val="0"/>
        <w:kinsoku/>
        <w:wordWrap/>
        <w:overflowPunct/>
        <w:topLinePunct w:val="0"/>
        <w:autoSpaceDE w:val="0"/>
        <w:autoSpaceDN w:val="0"/>
        <w:bidi w:val="0"/>
        <w:adjustRightIn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本项目无预付款</w:t>
      </w:r>
      <w:r>
        <w:rPr>
          <w:rFonts w:hint="eastAsia" w:ascii="宋体" w:hAnsi="宋体" w:eastAsia="宋体" w:cs="宋体"/>
          <w:color w:val="auto"/>
          <w:sz w:val="24"/>
          <w:szCs w:val="24"/>
        </w:rPr>
        <w:t>。</w:t>
      </w:r>
    </w:p>
    <w:p w14:paraId="22D914ED">
      <w:pPr>
        <w:pageBreakBefore w:val="0"/>
        <w:kinsoku/>
        <w:wordWrap/>
        <w:overflowPunct/>
        <w:topLinePunct w:val="0"/>
        <w:bidi w:val="0"/>
        <w:snapToGrid w:val="0"/>
        <w:spacing w:before="120" w:beforeLines="50" w:line="360" w:lineRule="auto"/>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17.3工程进度付款</w:t>
      </w:r>
    </w:p>
    <w:p w14:paraId="11491807">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17.3.1 付款周期</w:t>
      </w:r>
    </w:p>
    <w:p w14:paraId="17F7C6E3">
      <w:pPr>
        <w:pageBreakBefore w:val="0"/>
        <w:tabs>
          <w:tab w:val="left" w:pos="744"/>
        </w:tabs>
        <w:kinsoku/>
        <w:wordWrap/>
        <w:overflowPunct/>
        <w:topLinePunct w:val="0"/>
        <w:bidi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按月计量支付 </w:t>
      </w:r>
      <w:r>
        <w:rPr>
          <w:rFonts w:hint="eastAsia" w:ascii="宋体" w:hAnsi="宋体" w:eastAsia="宋体" w:cs="宋体"/>
          <w:color w:val="auto"/>
          <w:sz w:val="24"/>
          <w:szCs w:val="24"/>
          <w:highlight w:val="none"/>
        </w:rPr>
        <w:t>；</w:t>
      </w:r>
    </w:p>
    <w:p w14:paraId="47E41BC8">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17.3.2 进度</w:t>
      </w:r>
      <w:r>
        <w:rPr>
          <w:rFonts w:hint="eastAsia" w:ascii="宋体" w:hAnsi="宋体" w:eastAsia="宋体" w:cs="宋体"/>
          <w:b w:val="0"/>
          <w:bCs/>
          <w:color w:val="auto"/>
          <w:sz w:val="24"/>
          <w:szCs w:val="24"/>
          <w:highlight w:val="none"/>
        </w:rPr>
        <w:t>付款申请单</w:t>
      </w:r>
    </w:p>
    <w:p w14:paraId="09B182AF">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当月完成的工程量于本月25日之前报监理人，监理人收到进度付款申请单后</w:t>
      </w: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日内完成</w:t>
      </w:r>
      <w:r>
        <w:rPr>
          <w:rFonts w:hint="eastAsia" w:ascii="宋体" w:hAnsi="宋体" w:cs="宋体"/>
          <w:b w:val="0"/>
          <w:bCs/>
          <w:color w:val="auto"/>
          <w:sz w:val="24"/>
          <w:szCs w:val="24"/>
          <w:highlight w:val="none"/>
          <w:lang w:val="en-US" w:eastAsia="zh-CN"/>
        </w:rPr>
        <w:t>审核</w:t>
      </w:r>
      <w:r>
        <w:rPr>
          <w:rFonts w:hint="eastAsia" w:ascii="宋体" w:hAnsi="宋体" w:eastAsia="宋体" w:cs="宋体"/>
          <w:b w:val="0"/>
          <w:bCs/>
          <w:color w:val="auto"/>
          <w:sz w:val="24"/>
          <w:szCs w:val="24"/>
          <w:highlight w:val="none"/>
        </w:rPr>
        <w:t>工作</w:t>
      </w:r>
      <w:r>
        <w:rPr>
          <w:rFonts w:hint="eastAsia" w:ascii="宋体" w:hAnsi="宋体" w:cs="宋体"/>
          <w:b w:val="0"/>
          <w:bCs/>
          <w:color w:val="auto"/>
          <w:sz w:val="24"/>
          <w:szCs w:val="24"/>
          <w:highlight w:val="none"/>
          <w:lang w:val="en-US" w:eastAsia="zh-CN"/>
        </w:rPr>
        <w:t>并</w:t>
      </w:r>
      <w:r>
        <w:rPr>
          <w:rFonts w:hint="eastAsia" w:ascii="宋体" w:hAnsi="宋体" w:eastAsia="宋体" w:cs="宋体"/>
          <w:b w:val="0"/>
          <w:bCs/>
          <w:color w:val="auto"/>
          <w:sz w:val="24"/>
          <w:szCs w:val="24"/>
          <w:highlight w:val="none"/>
        </w:rPr>
        <w:t>报发包人审核，发包人收到经监理人审定的进度付款申请单后15日内完成进度款的支付。</w:t>
      </w:r>
    </w:p>
    <w:p w14:paraId="1BA28CC2">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17.3.3</w:t>
      </w:r>
      <w:r>
        <w:rPr>
          <w:rFonts w:hint="eastAsia" w:ascii="宋体" w:hAnsi="宋体" w:eastAsia="宋体" w:cs="宋体"/>
          <w:b w:val="0"/>
          <w:bCs/>
          <w:color w:val="auto"/>
          <w:sz w:val="24"/>
          <w:szCs w:val="24"/>
        </w:rPr>
        <w:t>进度付款证书和支付时间</w:t>
      </w:r>
    </w:p>
    <w:p w14:paraId="1057FBEE">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付款方式：</w:t>
      </w:r>
      <w:r>
        <w:rPr>
          <w:rFonts w:hint="eastAsia" w:ascii="宋体" w:hAnsi="宋体" w:eastAsia="宋体" w:cs="宋体"/>
          <w:b w:val="0"/>
          <w:bCs/>
          <w:color w:val="auto"/>
          <w:sz w:val="24"/>
          <w:szCs w:val="24"/>
          <w:highlight w:val="none"/>
        </w:rPr>
        <w:t>每次应付进度款为完成</w:t>
      </w:r>
      <w:r>
        <w:rPr>
          <w:rFonts w:hint="eastAsia" w:ascii="宋体" w:hAnsi="宋体" w:cs="宋体"/>
          <w:b w:val="0"/>
          <w:bCs/>
          <w:color w:val="auto"/>
          <w:sz w:val="24"/>
          <w:szCs w:val="24"/>
          <w:highlight w:val="none"/>
          <w:lang w:val="en-US" w:eastAsia="zh-CN"/>
        </w:rPr>
        <w:t>合格</w:t>
      </w:r>
      <w:r>
        <w:rPr>
          <w:rFonts w:hint="eastAsia" w:ascii="宋体" w:hAnsi="宋体" w:eastAsia="宋体" w:cs="宋体"/>
          <w:b w:val="0"/>
          <w:bCs/>
          <w:color w:val="auto"/>
          <w:sz w:val="24"/>
          <w:szCs w:val="24"/>
          <w:highlight w:val="none"/>
        </w:rPr>
        <w:t>计量工程造价</w:t>
      </w:r>
      <w:r>
        <w:rPr>
          <w:rFonts w:hint="eastAsia" w:ascii="宋体" w:hAnsi="宋体" w:cs="宋体"/>
          <w:b w:val="0"/>
          <w:bCs/>
          <w:color w:val="auto"/>
          <w:sz w:val="24"/>
          <w:szCs w:val="24"/>
          <w:highlight w:val="none"/>
          <w:lang w:val="en-US" w:eastAsia="zh-CN"/>
        </w:rPr>
        <w:t>的97%，剩余3%作为质保金，在</w:t>
      </w:r>
      <w:r>
        <w:rPr>
          <w:rFonts w:hint="eastAsia" w:ascii="宋体" w:hAnsi="宋体" w:eastAsia="宋体" w:cs="宋体"/>
          <w:b w:val="0"/>
          <w:bCs/>
          <w:color w:val="auto"/>
          <w:sz w:val="24"/>
          <w:szCs w:val="24"/>
          <w:highlight w:val="none"/>
        </w:rPr>
        <w:t>工程质量保修期满后支付。</w:t>
      </w:r>
    </w:p>
    <w:p w14:paraId="79175F35">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17.4质量保证金</w:t>
      </w:r>
    </w:p>
    <w:p w14:paraId="3F389B12">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17.4.1每个付款周期扣留的质量保证金为工程进度付款的</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3  </w:t>
      </w:r>
      <w:r>
        <w:rPr>
          <w:rFonts w:hint="eastAsia" w:ascii="宋体" w:hAnsi="宋体" w:eastAsia="宋体" w:cs="宋体"/>
          <w:b w:val="0"/>
          <w:bCs/>
          <w:color w:val="auto"/>
          <w:sz w:val="24"/>
          <w:szCs w:val="24"/>
        </w:rPr>
        <w:t>％，扣留的质量保证金总额为签约合同价的</w:t>
      </w:r>
      <w:r>
        <w:rPr>
          <w:rFonts w:hint="eastAsia" w:ascii="宋体" w:hAnsi="宋体" w:eastAsia="宋体" w:cs="宋体"/>
          <w:b w:val="0"/>
          <w:bCs/>
          <w:color w:val="auto"/>
          <w:sz w:val="24"/>
          <w:szCs w:val="24"/>
          <w:u w:val="single"/>
          <w:lang w:val="en-US" w:eastAsia="zh-CN"/>
        </w:rPr>
        <w:t xml:space="preserve">   3  </w:t>
      </w:r>
      <w:r>
        <w:rPr>
          <w:rFonts w:hint="eastAsia" w:ascii="宋体" w:hAnsi="宋体" w:eastAsia="宋体" w:cs="宋体"/>
          <w:b w:val="0"/>
          <w:bCs/>
          <w:color w:val="auto"/>
          <w:sz w:val="24"/>
          <w:szCs w:val="24"/>
        </w:rPr>
        <w:t>％。</w:t>
      </w:r>
    </w:p>
    <w:p w14:paraId="24983519">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17.5 竣工（完工）结算</w:t>
      </w:r>
      <w:bookmarkEnd w:id="1005"/>
      <w:bookmarkEnd w:id="1006"/>
      <w:bookmarkEnd w:id="1007"/>
      <w:bookmarkEnd w:id="1008"/>
    </w:p>
    <w:p w14:paraId="5F6F5D65">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17.5.1 竣工（完工）付款申请单</w:t>
      </w:r>
    </w:p>
    <w:p w14:paraId="47DE134D">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(1)承包人应提交完工付款申请单一式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color w:val="auto"/>
          <w:sz w:val="24"/>
          <w:szCs w:val="24"/>
          <w:u w:val="single"/>
          <w:lang w:val="en-US" w:eastAsia="zh-CN"/>
        </w:rPr>
        <w:t>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w:t>
      </w:r>
    </w:p>
    <w:p w14:paraId="26EB8435">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color w:val="auto"/>
          <w:sz w:val="24"/>
          <w:szCs w:val="24"/>
        </w:rPr>
      </w:pPr>
      <w:bookmarkStart w:id="1009" w:name="_Toc307415753"/>
      <w:bookmarkStart w:id="1010" w:name="_Toc267473102"/>
      <w:bookmarkStart w:id="1011" w:name="_Toc285028997"/>
      <w:bookmarkStart w:id="1012" w:name="_Toc265657524"/>
      <w:r>
        <w:rPr>
          <w:rFonts w:hint="eastAsia" w:ascii="宋体" w:hAnsi="宋体" w:eastAsia="宋体" w:cs="宋体"/>
          <w:color w:val="auto"/>
          <w:sz w:val="24"/>
          <w:szCs w:val="24"/>
        </w:rPr>
        <w:t>17.6 最终结清</w:t>
      </w:r>
      <w:bookmarkEnd w:id="1009"/>
      <w:bookmarkEnd w:id="1010"/>
      <w:bookmarkEnd w:id="1011"/>
      <w:bookmarkEnd w:id="1012"/>
    </w:p>
    <w:p w14:paraId="2BE00BFD">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17.6.1 最终结清申请单</w:t>
      </w:r>
    </w:p>
    <w:p w14:paraId="71891E45">
      <w:pPr>
        <w:pageBreakBefore w:val="0"/>
        <w:kinsoku/>
        <w:wordWrap/>
        <w:overflowPunct/>
        <w:topLinePunct w:val="0"/>
        <w:bidi w:val="0"/>
        <w:spacing w:line="360" w:lineRule="auto"/>
        <w:ind w:firstLine="51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(1）承包人应提交最终结清申请单一式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color w:val="auto"/>
          <w:sz w:val="24"/>
          <w:szCs w:val="24"/>
          <w:u w:val="single"/>
          <w:lang w:val="en-US" w:eastAsia="zh-CN"/>
        </w:rPr>
        <w:t>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w:t>
      </w:r>
    </w:p>
    <w:p w14:paraId="51A48844">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color w:val="auto"/>
          <w:sz w:val="24"/>
          <w:szCs w:val="24"/>
        </w:rPr>
      </w:pPr>
      <w:bookmarkStart w:id="1013" w:name="_Toc307415754"/>
      <w:bookmarkStart w:id="1014" w:name="_Toc267473103"/>
      <w:bookmarkStart w:id="1015" w:name="_Toc285028998"/>
      <w:bookmarkStart w:id="1016" w:name="_Toc265657525"/>
      <w:r>
        <w:rPr>
          <w:rFonts w:hint="eastAsia" w:ascii="宋体" w:hAnsi="宋体" w:eastAsia="宋体" w:cs="宋体"/>
          <w:color w:val="auto"/>
          <w:sz w:val="24"/>
          <w:szCs w:val="24"/>
        </w:rPr>
        <w:t>17.7 竣工财务决算</w:t>
      </w:r>
      <w:bookmarkEnd w:id="1013"/>
      <w:bookmarkEnd w:id="1014"/>
      <w:bookmarkEnd w:id="1015"/>
      <w:bookmarkEnd w:id="1016"/>
    </w:p>
    <w:p w14:paraId="61CDF5A1">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承包人应为竣工财务决算编制提供的资料：</w:t>
      </w:r>
      <w:r>
        <w:rPr>
          <w:rFonts w:hint="eastAsia" w:ascii="宋体" w:hAnsi="宋体" w:eastAsia="宋体" w:cs="宋体"/>
          <w:b w:val="0"/>
          <w:bCs/>
          <w:color w:val="auto"/>
          <w:sz w:val="24"/>
          <w:szCs w:val="24"/>
          <w:u w:val="single"/>
          <w:lang w:val="en-US" w:eastAsia="zh-CN"/>
        </w:rPr>
        <w:t>按工程需要提供并配合相关工作</w:t>
      </w:r>
      <w:r>
        <w:rPr>
          <w:rFonts w:hint="eastAsia" w:ascii="宋体" w:hAnsi="宋体" w:eastAsia="宋体" w:cs="宋体"/>
          <w:color w:val="auto"/>
          <w:sz w:val="24"/>
          <w:szCs w:val="24"/>
        </w:rPr>
        <w:t>。</w:t>
      </w:r>
    </w:p>
    <w:p w14:paraId="63678751">
      <w:pPr>
        <w:pageBreakBefore w:val="0"/>
        <w:numPr>
          <w:ilvl w:val="2"/>
          <w:numId w:val="0"/>
        </w:numPr>
        <w:tabs>
          <w:tab w:val="left" w:pos="720"/>
        </w:tabs>
        <w:kinsoku/>
        <w:wordWrap/>
        <w:overflowPunct/>
        <w:topLinePunct w:val="0"/>
        <w:bidi w:val="0"/>
        <w:snapToGrid w:val="0"/>
        <w:spacing w:line="360" w:lineRule="auto"/>
        <w:ind w:leftChars="0"/>
        <w:jc w:val="both"/>
        <w:textAlignment w:val="auto"/>
        <w:outlineLvl w:val="9"/>
        <w:rPr>
          <w:rFonts w:hint="eastAsia" w:ascii="宋体" w:hAnsi="宋体" w:eastAsia="宋体" w:cs="宋体"/>
          <w:b/>
          <w:color w:val="auto"/>
          <w:sz w:val="24"/>
          <w:szCs w:val="24"/>
          <w:lang w:val="en-US" w:eastAsia="zh-CN" w:bidi="ar-SA"/>
        </w:rPr>
      </w:pPr>
      <w:bookmarkStart w:id="1017" w:name="_Toc430097459"/>
      <w:bookmarkStart w:id="1018" w:name="_Toc265657526"/>
      <w:bookmarkStart w:id="1019" w:name="_Toc307415755"/>
      <w:bookmarkStart w:id="1020" w:name="_Toc6955"/>
      <w:bookmarkStart w:id="1021" w:name="_Toc267473104"/>
      <w:bookmarkStart w:id="1022" w:name="_Toc307416188"/>
      <w:bookmarkStart w:id="1023" w:name="_Toc307417485"/>
      <w:bookmarkStart w:id="1024" w:name="_Toc263370637"/>
      <w:bookmarkStart w:id="1025" w:name="_Toc285028999"/>
      <w:bookmarkStart w:id="1026" w:name="_Toc307485252"/>
      <w:r>
        <w:rPr>
          <w:rFonts w:hint="eastAsia" w:ascii="宋体" w:hAnsi="宋体" w:eastAsia="宋体" w:cs="宋体"/>
          <w:b/>
          <w:color w:val="auto"/>
          <w:sz w:val="24"/>
          <w:szCs w:val="24"/>
          <w:lang w:val="en-US" w:eastAsia="zh-CN" w:bidi="ar-SA"/>
        </w:rPr>
        <w:t>18．竣工验收（验收）</w:t>
      </w:r>
      <w:bookmarkEnd w:id="1017"/>
      <w:bookmarkEnd w:id="1018"/>
      <w:bookmarkEnd w:id="1019"/>
      <w:bookmarkEnd w:id="1020"/>
      <w:bookmarkEnd w:id="1021"/>
      <w:bookmarkEnd w:id="1022"/>
      <w:bookmarkEnd w:id="1023"/>
      <w:bookmarkEnd w:id="1024"/>
      <w:bookmarkEnd w:id="1025"/>
      <w:bookmarkEnd w:id="1026"/>
    </w:p>
    <w:p w14:paraId="4A59D34C">
      <w:pPr>
        <w:pageBreakBefore w:val="0"/>
        <w:kinsoku/>
        <w:wordWrap/>
        <w:overflowPunct/>
        <w:topLinePunct w:val="0"/>
        <w:bidi w:val="0"/>
        <w:snapToGrid w:val="0"/>
        <w:spacing w:line="360" w:lineRule="auto"/>
        <w:jc w:val="both"/>
        <w:textAlignment w:val="auto"/>
        <w:outlineLvl w:val="9"/>
        <w:rPr>
          <w:rFonts w:hint="eastAsia" w:ascii="宋体" w:hAnsi="宋体" w:eastAsia="宋体" w:cs="宋体"/>
          <w:color w:val="auto"/>
          <w:sz w:val="24"/>
          <w:szCs w:val="24"/>
        </w:rPr>
      </w:pPr>
      <w:bookmarkStart w:id="1027" w:name="_Toc307415756"/>
      <w:bookmarkStart w:id="1028" w:name="_Toc265657527"/>
      <w:bookmarkStart w:id="1029" w:name="_Toc285029000"/>
      <w:bookmarkStart w:id="1030" w:name="_Toc267473105"/>
      <w:r>
        <w:rPr>
          <w:rFonts w:hint="eastAsia" w:ascii="宋体" w:hAnsi="宋体" w:eastAsia="宋体" w:cs="宋体"/>
          <w:color w:val="auto"/>
          <w:sz w:val="24"/>
          <w:szCs w:val="24"/>
        </w:rPr>
        <w:t>18.1 验收工作分类</w:t>
      </w:r>
      <w:bookmarkEnd w:id="1027"/>
      <w:bookmarkEnd w:id="1028"/>
      <w:bookmarkEnd w:id="1029"/>
      <w:bookmarkEnd w:id="1030"/>
    </w:p>
    <w:p w14:paraId="3CD2F14F">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本工程法人验收包括：</w:t>
      </w:r>
      <w:r>
        <w:rPr>
          <w:rFonts w:hint="eastAsia" w:ascii="宋体" w:hAnsi="宋体" w:eastAsia="宋体" w:cs="宋体"/>
          <w:snapToGrid w:val="0"/>
          <w:color w:val="auto"/>
          <w:kern w:val="0"/>
          <w:sz w:val="24"/>
          <w:szCs w:val="24"/>
          <w:u w:val="single"/>
        </w:rPr>
        <w:t>重要隐蔽工程验收、分部工程验收、单位工程验收、合同工程完工验收</w:t>
      </w:r>
      <w:r>
        <w:rPr>
          <w:rFonts w:hint="eastAsia" w:ascii="宋体" w:hAnsi="宋体" w:eastAsia="宋体" w:cs="宋体"/>
          <w:snapToGrid w:val="0"/>
          <w:color w:val="auto"/>
          <w:kern w:val="0"/>
          <w:sz w:val="24"/>
          <w:szCs w:val="24"/>
        </w:rPr>
        <w:t>；政府验收包括：</w:t>
      </w:r>
      <w:r>
        <w:rPr>
          <w:rFonts w:hint="eastAsia" w:ascii="宋体" w:hAnsi="宋体" w:eastAsia="宋体" w:cs="宋体"/>
          <w:snapToGrid w:val="0"/>
          <w:color w:val="auto"/>
          <w:kern w:val="0"/>
          <w:sz w:val="24"/>
          <w:szCs w:val="24"/>
          <w:u w:val="single"/>
        </w:rPr>
        <w:t xml:space="preserve">阶段验收、专项验收、 竣工验收 </w:t>
      </w:r>
      <w:r>
        <w:rPr>
          <w:rFonts w:hint="eastAsia" w:ascii="宋体" w:hAnsi="宋体" w:eastAsia="宋体" w:cs="宋体"/>
          <w:snapToGrid w:val="0"/>
          <w:color w:val="auto"/>
          <w:kern w:val="0"/>
          <w:sz w:val="24"/>
          <w:szCs w:val="24"/>
        </w:rPr>
        <w:t>。</w:t>
      </w:r>
    </w:p>
    <w:p w14:paraId="60EE71B1">
      <w:pPr>
        <w:pageBreakBefore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18.9　试运行</w:t>
      </w:r>
    </w:p>
    <w:p w14:paraId="57CC0C94">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18.9.1试运行的组织：</w:t>
      </w:r>
      <w:r>
        <w:rPr>
          <w:rFonts w:hint="eastAsia" w:ascii="宋体" w:hAnsi="宋体" w:eastAsia="宋体" w:cs="宋体"/>
          <w:snapToGrid w:val="0"/>
          <w:color w:val="auto"/>
          <w:kern w:val="0"/>
          <w:sz w:val="24"/>
          <w:szCs w:val="24"/>
          <w:u w:val="single"/>
        </w:rPr>
        <w:t xml:space="preserve">承包人 </w:t>
      </w:r>
      <w:r>
        <w:rPr>
          <w:rFonts w:hint="eastAsia" w:ascii="宋体" w:hAnsi="宋体" w:eastAsia="宋体" w:cs="宋体"/>
          <w:snapToGrid w:val="0"/>
          <w:color w:val="auto"/>
          <w:kern w:val="0"/>
          <w:sz w:val="24"/>
          <w:szCs w:val="24"/>
        </w:rPr>
        <w:t>；费用承担：</w:t>
      </w:r>
      <w:r>
        <w:rPr>
          <w:rFonts w:hint="eastAsia" w:ascii="宋体" w:hAnsi="宋体" w:eastAsia="宋体" w:cs="宋体"/>
          <w:snapToGrid w:val="0"/>
          <w:color w:val="auto"/>
          <w:kern w:val="0"/>
          <w:sz w:val="24"/>
          <w:szCs w:val="24"/>
          <w:u w:val="single"/>
        </w:rPr>
        <w:t xml:space="preserve">承包人负责 </w:t>
      </w:r>
      <w:r>
        <w:rPr>
          <w:rFonts w:hint="eastAsia" w:ascii="宋体" w:hAnsi="宋体" w:eastAsia="宋体" w:cs="宋体"/>
          <w:snapToGrid w:val="0"/>
          <w:color w:val="auto"/>
          <w:kern w:val="0"/>
          <w:sz w:val="24"/>
          <w:szCs w:val="24"/>
        </w:rPr>
        <w:t>。</w:t>
      </w:r>
    </w:p>
    <w:p w14:paraId="06B40CC1">
      <w:pPr>
        <w:pageBreakBefore w:val="0"/>
        <w:numPr>
          <w:ilvl w:val="2"/>
          <w:numId w:val="0"/>
        </w:numPr>
        <w:tabs>
          <w:tab w:val="left" w:pos="720"/>
        </w:tabs>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color w:val="auto"/>
          <w:sz w:val="24"/>
          <w:szCs w:val="24"/>
          <w:lang w:val="en-US" w:eastAsia="zh-CN" w:bidi="ar-SA"/>
        </w:rPr>
      </w:pPr>
      <w:bookmarkStart w:id="1031" w:name="_Toc285029002"/>
      <w:bookmarkStart w:id="1032" w:name="_Toc307415758"/>
      <w:bookmarkStart w:id="1033" w:name="_Toc267473107"/>
      <w:bookmarkStart w:id="1034" w:name="_Toc307417486"/>
      <w:bookmarkStart w:id="1035" w:name="_Toc307485253"/>
      <w:bookmarkStart w:id="1036" w:name="_Toc263370638"/>
      <w:bookmarkStart w:id="1037" w:name="_Toc265657530"/>
      <w:bookmarkStart w:id="1038" w:name="_Toc19181"/>
      <w:bookmarkStart w:id="1039" w:name="_Toc307416189"/>
      <w:bookmarkStart w:id="1040" w:name="_Toc430097460"/>
      <w:r>
        <w:rPr>
          <w:rFonts w:hint="eastAsia" w:ascii="宋体" w:hAnsi="宋体" w:eastAsia="宋体" w:cs="宋体"/>
          <w:b/>
          <w:color w:val="auto"/>
          <w:sz w:val="24"/>
          <w:szCs w:val="24"/>
          <w:lang w:val="en-US" w:eastAsia="zh-CN" w:bidi="ar-SA"/>
        </w:rPr>
        <w:t>19．缺陷责任与保修责任</w:t>
      </w:r>
      <w:bookmarkEnd w:id="1031"/>
      <w:bookmarkEnd w:id="1032"/>
      <w:bookmarkEnd w:id="1033"/>
      <w:bookmarkEnd w:id="1034"/>
      <w:bookmarkEnd w:id="1035"/>
      <w:bookmarkEnd w:id="1036"/>
      <w:bookmarkEnd w:id="1037"/>
      <w:bookmarkEnd w:id="1038"/>
      <w:bookmarkEnd w:id="1039"/>
      <w:bookmarkEnd w:id="1040"/>
    </w:p>
    <w:p w14:paraId="3DF64AE2">
      <w:pPr>
        <w:pageBreakBefore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24"/>
          <w:szCs w:val="24"/>
        </w:rPr>
      </w:pPr>
      <w:bookmarkStart w:id="1041" w:name="_Toc285029003"/>
      <w:bookmarkStart w:id="1042" w:name="_Toc307415759"/>
      <w:bookmarkStart w:id="1043" w:name="_Toc265657531"/>
      <w:bookmarkStart w:id="1044" w:name="_Toc267473108"/>
      <w:r>
        <w:rPr>
          <w:rFonts w:hint="eastAsia" w:ascii="宋体" w:hAnsi="宋体" w:eastAsia="宋体" w:cs="宋体"/>
          <w:color w:val="auto"/>
          <w:sz w:val="24"/>
          <w:szCs w:val="24"/>
        </w:rPr>
        <w:t>19.1 缺陷责任期(工程质量保修期)的起算时间</w:t>
      </w:r>
      <w:bookmarkEnd w:id="1041"/>
      <w:bookmarkEnd w:id="1042"/>
      <w:bookmarkEnd w:id="1043"/>
      <w:bookmarkEnd w:id="1044"/>
    </w:p>
    <w:p w14:paraId="2C3F3B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本工程缺陷责任期计算如下：</w:t>
      </w:r>
      <w:r>
        <w:rPr>
          <w:rFonts w:hint="eastAsia" w:ascii="宋体" w:hAnsi="宋体" w:eastAsia="宋体" w:cs="宋体"/>
          <w:snapToGrid w:val="0"/>
          <w:color w:val="auto"/>
          <w:kern w:val="0"/>
          <w:sz w:val="24"/>
          <w:szCs w:val="24"/>
          <w:u w:val="single"/>
        </w:rPr>
        <w:t>工程竣工验收合格之日</w:t>
      </w:r>
      <w:r>
        <w:rPr>
          <w:rFonts w:hint="eastAsia" w:ascii="宋体" w:hAnsi="宋体" w:eastAsia="宋体" w:cs="宋体"/>
          <w:snapToGrid w:val="0"/>
          <w:color w:val="auto"/>
          <w:kern w:val="0"/>
          <w:sz w:val="24"/>
          <w:szCs w:val="24"/>
        </w:rPr>
        <w:t>。</w:t>
      </w:r>
    </w:p>
    <w:p w14:paraId="2AB6DB8F">
      <w:pPr>
        <w:pageBreakBefore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22．违约</w:t>
      </w:r>
    </w:p>
    <w:p w14:paraId="1937AD59">
      <w:pPr>
        <w:pageBreakBefore w:val="0"/>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 承包人违约</w:t>
      </w:r>
    </w:p>
    <w:p w14:paraId="47E707AF">
      <w:pPr>
        <w:pageBreakBefore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22.1.1 承包人违约的情形</w:t>
      </w:r>
    </w:p>
    <w:p w14:paraId="12CBA9CF">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本项增加以下内容：</w:t>
      </w:r>
    </w:p>
    <w:p w14:paraId="7BB50469">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(8)履约保证金、农民工保证金未按时足额缴纳的。</w:t>
      </w:r>
    </w:p>
    <w:p w14:paraId="34811E1D">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(9)投标文件中约定的项目经理、技术负责人、质量员、安全员、资料员、试验员未到位或驻工地时间不符合国家相关规定的。</w:t>
      </w:r>
    </w:p>
    <w:p w14:paraId="615B9F74">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(10)未按照规范施工或施工完成后质量达不到质量标准的，又不清除不合格工程的。</w:t>
      </w:r>
    </w:p>
    <w:p w14:paraId="46C12368">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(11)原材、中间产品、工程控制等未进行质量检测或检测频次不够的。</w:t>
      </w:r>
    </w:p>
    <w:p w14:paraId="60B0CF9A">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(12)工程资料滞后，施工日志记录不详实，限期又整改不到位的。</w:t>
      </w:r>
    </w:p>
    <w:p w14:paraId="4C6AD21C">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(13)不能按时支付农民工资的，造成农民工上访的。</w:t>
      </w:r>
    </w:p>
    <w:p w14:paraId="0AD91214">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(14)法律法规规定的其他违约情形。</w:t>
      </w:r>
    </w:p>
    <w:p w14:paraId="449D64BE">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22.1.2  违约处理</w:t>
      </w:r>
    </w:p>
    <w:p w14:paraId="671EA1E6">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本项增加以下内容：</w:t>
      </w:r>
    </w:p>
    <w:p w14:paraId="09F0CD09">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（4）对通用条款22.1.1（1）、（2）、（4）、（5）每项按照合同价款1%扣减。</w:t>
      </w:r>
    </w:p>
    <w:p w14:paraId="405D9245">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（5）对违反22.1.1（8）要求的按照自行放弃合同处理，确定第二候选人为新中标人，并不再退还原中标企业交纳的任何费用。</w:t>
      </w:r>
    </w:p>
    <w:p w14:paraId="19D8B487">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（6）对22.1.1（9）项目经理或技术负责人每人按照合同价款1%扣减，其他人员每人按照合同价款0.1%扣减，累计扣减。</w:t>
      </w:r>
    </w:p>
    <w:p w14:paraId="76AC6888">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（7）对22.1.1（10）由发包人委托他人完成，一切费用由承包人承担。</w:t>
      </w:r>
    </w:p>
    <w:p w14:paraId="4C260F43">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（8）对22.1.1（11）由发包人委托有资质的检测机构进行检测，一切费用由承包人承担。</w:t>
      </w:r>
    </w:p>
    <w:p w14:paraId="3F7CAE75">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（9）对22.1.1（12）按照合同价款0.1%扣减。</w:t>
      </w:r>
    </w:p>
    <w:p w14:paraId="544F4718">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（10）对22.1.1（13）产生的一切费用由发包人直接支付，并在承包人工程结算价款中直接扣除。</w:t>
      </w:r>
    </w:p>
    <w:p w14:paraId="1FA1D93E">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承包人出现第22.1.1项违约情形，发包人按照22.1.1项规定处理。就同一违约事项有不同条款适用时，发包人可同时按照所适用条款一并处理。</w:t>
      </w:r>
    </w:p>
    <w:p w14:paraId="47B7D35C">
      <w:pPr>
        <w:pageBreakBefore w:val="0"/>
        <w:numPr>
          <w:ilvl w:val="0"/>
          <w:numId w:val="0"/>
        </w:numPr>
        <w:kinsoku/>
        <w:wordWrap/>
        <w:overflowPunct/>
        <w:topLinePunct w:val="0"/>
        <w:autoSpaceDE/>
        <w:autoSpaceDN/>
        <w:bidi w:val="0"/>
        <w:adjustRightInd/>
        <w:spacing w:line="360" w:lineRule="auto"/>
        <w:ind w:leftChars="0"/>
        <w:jc w:val="left"/>
        <w:textAlignment w:val="auto"/>
        <w:outlineLvl w:val="9"/>
        <w:rPr>
          <w:rFonts w:hint="eastAsia" w:ascii="宋体" w:hAnsi="宋体" w:eastAsia="宋体" w:cs="宋体"/>
          <w:color w:val="auto"/>
          <w:sz w:val="24"/>
          <w:szCs w:val="24"/>
        </w:rPr>
      </w:pPr>
      <w:bookmarkStart w:id="1045" w:name="_Toc22049"/>
      <w:bookmarkStart w:id="1046" w:name="_Toc337998641"/>
      <w:r>
        <w:rPr>
          <w:rFonts w:hint="eastAsia" w:ascii="宋体" w:hAnsi="宋体" w:eastAsia="宋体" w:cs="宋体"/>
          <w:color w:val="auto"/>
          <w:sz w:val="24"/>
          <w:szCs w:val="24"/>
        </w:rPr>
        <w:t>24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争议的解决</w:t>
      </w:r>
      <w:bookmarkEnd w:id="1045"/>
      <w:bookmarkEnd w:id="1046"/>
    </w:p>
    <w:p w14:paraId="4598102E">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24.1争议的解决方式</w:t>
      </w:r>
    </w:p>
    <w:p w14:paraId="5D86C8F9">
      <w:pPr>
        <w:pStyle w:val="11"/>
        <w:pageBreakBefore w:val="0"/>
        <w:kinsoku/>
        <w:wordWrap/>
        <w:overflowPunct/>
        <w:topLinePunct w:val="0"/>
        <w:autoSpaceDE/>
        <w:autoSpaceDN/>
        <w:bidi w:val="0"/>
        <w:adjustRightInd/>
        <w:spacing w:line="360" w:lineRule="auto"/>
        <w:ind w:firstLine="48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合同当事人友好协商解决不成、不愿提请争议评审或不接受争议评审组意见的，约定的合同争议解决方式：</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highlight w:val="none"/>
          <w:u w:val="single"/>
          <w:lang w:val="en-US" w:eastAsia="zh-CN"/>
        </w:rPr>
        <w:t>项目所在地法院</w:t>
      </w:r>
      <w:r>
        <w:rPr>
          <w:rFonts w:hint="eastAsia" w:ascii="宋体" w:hAnsi="宋体" w:eastAsia="宋体" w:cs="宋体"/>
          <w:color w:val="auto"/>
          <w:sz w:val="24"/>
          <w:szCs w:val="24"/>
          <w:u w:val="single"/>
        </w:rPr>
        <w:t>。</w:t>
      </w:r>
    </w:p>
    <w:p w14:paraId="5605FDF9">
      <w:pPr>
        <w:pageBreakBefore w:val="0"/>
        <w:numPr>
          <w:ilvl w:val="0"/>
          <w:numId w:val="0"/>
        </w:numPr>
        <w:kinsoku/>
        <w:wordWrap/>
        <w:overflowPunct/>
        <w:topLinePunct w:val="0"/>
        <w:autoSpaceDE/>
        <w:autoSpaceDN/>
        <w:bidi w:val="0"/>
        <w:adjustRightInd/>
        <w:spacing w:line="360" w:lineRule="auto"/>
        <w:ind w:leftChars="0"/>
        <w:jc w:val="left"/>
        <w:textAlignment w:val="auto"/>
        <w:outlineLvl w:val="9"/>
        <w:rPr>
          <w:rFonts w:hint="eastAsia" w:ascii="宋体" w:hAnsi="宋体" w:eastAsia="宋体" w:cs="宋体"/>
          <w:color w:val="auto"/>
          <w:sz w:val="24"/>
          <w:szCs w:val="24"/>
        </w:rPr>
      </w:pPr>
      <w:bookmarkStart w:id="1047" w:name="_Toc25522"/>
      <w:r>
        <w:rPr>
          <w:rFonts w:hint="eastAsia" w:ascii="宋体" w:hAnsi="宋体" w:eastAsia="宋体" w:cs="宋体"/>
          <w:color w:val="auto"/>
          <w:sz w:val="24"/>
          <w:szCs w:val="24"/>
        </w:rPr>
        <w:t>25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补充其他</w:t>
      </w:r>
      <w:bookmarkEnd w:id="1047"/>
    </w:p>
    <w:p w14:paraId="485BB36A">
      <w:pPr>
        <w:pStyle w:val="11"/>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25.1 工地治污降霾措施：</w:t>
      </w:r>
      <w:r>
        <w:rPr>
          <w:rFonts w:hint="eastAsia" w:ascii="宋体" w:hAnsi="宋体" w:eastAsia="宋体" w:cs="宋体"/>
          <w:bCs/>
          <w:color w:val="auto"/>
          <w:sz w:val="24"/>
          <w:szCs w:val="24"/>
          <w:u w:val="single"/>
        </w:rPr>
        <w:t>要求施工现场务必做到“五必须，六不准”，即必须围挡封闭作业，必须设置冲洗设施，必须实行湿法作业，必须配备保洁人员，必须定时清扫施工现场；不准车辆带泥上路，不准高空抛撒渣土，不准场地存有积水，不准现场焚烧废弃物，不准现场堆放未覆盖的砂土。</w:t>
      </w:r>
    </w:p>
    <w:p w14:paraId="6C25C090">
      <w:pPr>
        <w:pStyle w:val="11"/>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25.2  各施工标段施工过程中涉及到交叉作业问题的，各标段必须采取相应措施互相配合，因此产生的费用不予考虑，不积极配合的单位发包人将给予一定的处罚。</w:t>
      </w:r>
    </w:p>
    <w:p w14:paraId="62C700DE">
      <w:pPr>
        <w:snapToGrid w:val="0"/>
        <w:spacing w:line="360" w:lineRule="auto"/>
        <w:ind w:firstLine="480" w:firstLineChars="200"/>
        <w:outlineLvl w:val="9"/>
        <w:rPr>
          <w:rFonts w:hint="eastAsia" w:ascii="宋体" w:hAnsi="宋体" w:eastAsia="宋体" w:cs="宋体"/>
          <w:snapToGrid w:val="0"/>
          <w:color w:val="auto"/>
          <w:kern w:val="0"/>
          <w:sz w:val="24"/>
          <w:szCs w:val="24"/>
        </w:rPr>
      </w:pPr>
    </w:p>
    <w:p w14:paraId="4D7780A6">
      <w:pPr>
        <w:tabs>
          <w:tab w:val="left" w:pos="720"/>
        </w:tabs>
        <w:jc w:val="center"/>
        <w:outlineLvl w:val="9"/>
        <w:rPr>
          <w:color w:val="auto"/>
          <w:sz w:val="28"/>
          <w:szCs w:val="28"/>
        </w:rPr>
      </w:pPr>
      <w:bookmarkStart w:id="1048" w:name="_Toc307415764"/>
      <w:bookmarkStart w:id="1049" w:name="_Toc263370641"/>
      <w:bookmarkStart w:id="1050" w:name="_Toc307417489"/>
      <w:bookmarkStart w:id="1051" w:name="_Toc265657534"/>
      <w:bookmarkStart w:id="1052" w:name="_Toc285029008"/>
      <w:bookmarkStart w:id="1053" w:name="_Toc267473113"/>
      <w:bookmarkStart w:id="1054" w:name="_Toc184635123"/>
      <w:bookmarkStart w:id="1055" w:name="_Toc430097464"/>
      <w:bookmarkStart w:id="1056" w:name="_Toc307416192"/>
      <w:bookmarkStart w:id="1057" w:name="_Toc307485256"/>
      <w:r>
        <w:rPr>
          <w:color w:val="auto"/>
          <w:sz w:val="28"/>
          <w:szCs w:val="28"/>
        </w:rPr>
        <w:br w:type="page"/>
      </w:r>
      <w:bookmarkStart w:id="1058" w:name="_Toc30536"/>
      <w:r>
        <w:rPr>
          <w:rFonts w:hint="eastAsia"/>
          <w:b/>
          <w:bCs/>
          <w:color w:val="auto"/>
          <w:sz w:val="28"/>
          <w:szCs w:val="28"/>
        </w:rPr>
        <w:t>第3节</w:t>
      </w:r>
      <w:r>
        <w:rPr>
          <w:rFonts w:hint="eastAsia"/>
          <w:b/>
          <w:bCs/>
          <w:color w:val="auto"/>
          <w:sz w:val="28"/>
          <w:szCs w:val="28"/>
          <w:lang w:val="en-US" w:eastAsia="zh-CN"/>
        </w:rPr>
        <w:t xml:space="preserve">  </w:t>
      </w:r>
      <w:r>
        <w:rPr>
          <w:rFonts w:hint="eastAsia"/>
          <w:b/>
          <w:bCs/>
          <w:color w:val="auto"/>
          <w:sz w:val="28"/>
          <w:szCs w:val="28"/>
        </w:rPr>
        <w:t>合同附件格式</w:t>
      </w:r>
      <w:bookmarkEnd w:id="1048"/>
      <w:bookmarkEnd w:id="1049"/>
      <w:bookmarkEnd w:id="1050"/>
      <w:bookmarkEnd w:id="1051"/>
      <w:bookmarkEnd w:id="1052"/>
      <w:bookmarkEnd w:id="1053"/>
      <w:bookmarkEnd w:id="1054"/>
      <w:bookmarkEnd w:id="1055"/>
      <w:bookmarkEnd w:id="1056"/>
      <w:bookmarkEnd w:id="1057"/>
      <w:bookmarkEnd w:id="1058"/>
    </w:p>
    <w:p w14:paraId="78C13C09">
      <w:pPr>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outlineLvl w:val="9"/>
        <w:rPr>
          <w:color w:val="auto"/>
          <w:sz w:val="28"/>
          <w:szCs w:val="28"/>
        </w:rPr>
      </w:pPr>
      <w:bookmarkStart w:id="1059" w:name="_Toc285029009"/>
      <w:bookmarkStart w:id="1060" w:name="_Toc307417490"/>
      <w:bookmarkStart w:id="1061" w:name="_Toc267473114"/>
      <w:bookmarkStart w:id="1062" w:name="_Toc430097465"/>
      <w:bookmarkStart w:id="1063" w:name="_Toc263370642"/>
      <w:bookmarkStart w:id="1064" w:name="_Toc265657535"/>
      <w:bookmarkStart w:id="1065" w:name="_Toc17552"/>
      <w:bookmarkStart w:id="1066" w:name="_Toc307415765"/>
      <w:bookmarkStart w:id="1067" w:name="_Toc307416193"/>
      <w:bookmarkStart w:id="1068" w:name="_Toc307485257"/>
      <w:r>
        <w:rPr>
          <w:rFonts w:hint="eastAsia"/>
          <w:b/>
          <w:bCs/>
          <w:color w:val="auto"/>
          <w:sz w:val="28"/>
          <w:szCs w:val="28"/>
        </w:rPr>
        <w:t>附件一：</w:t>
      </w:r>
      <w:bookmarkEnd w:id="1059"/>
      <w:bookmarkEnd w:id="1060"/>
      <w:bookmarkEnd w:id="1061"/>
      <w:bookmarkEnd w:id="1062"/>
      <w:bookmarkEnd w:id="1063"/>
      <w:bookmarkEnd w:id="1064"/>
      <w:bookmarkEnd w:id="1065"/>
      <w:bookmarkEnd w:id="1066"/>
      <w:bookmarkEnd w:id="1067"/>
      <w:bookmarkEnd w:id="1068"/>
    </w:p>
    <w:p w14:paraId="4D9420A1">
      <w:pPr>
        <w:pageBreakBefore w:val="0"/>
        <w:widowControl/>
        <w:kinsoku/>
        <w:wordWrap/>
        <w:overflowPunct/>
        <w:topLinePunct w:val="0"/>
        <w:autoSpaceDE/>
        <w:autoSpaceDN/>
        <w:bidi w:val="0"/>
        <w:adjustRightInd/>
        <w:snapToGrid/>
        <w:spacing w:line="240" w:lineRule="auto"/>
        <w:ind w:firstLine="562" w:firstLineChars="200"/>
        <w:jc w:val="center"/>
        <w:textAlignment w:val="auto"/>
        <w:outlineLvl w:val="9"/>
        <w:rPr>
          <w:rFonts w:ascii="宋体" w:hAnsi="宋体"/>
          <w:b/>
          <w:color w:val="auto"/>
          <w:sz w:val="32"/>
          <w:szCs w:val="32"/>
        </w:rPr>
      </w:pPr>
      <w:r>
        <w:rPr>
          <w:rFonts w:hint="eastAsia" w:ascii="宋体" w:hAnsi="宋体"/>
          <w:b/>
          <w:bCs w:val="0"/>
          <w:color w:val="auto"/>
          <w:sz w:val="28"/>
          <w:szCs w:val="28"/>
        </w:rPr>
        <w:t>合同协议书</w:t>
      </w:r>
    </w:p>
    <w:p w14:paraId="3111DF6C">
      <w:pPr>
        <w:spacing w:line="360" w:lineRule="auto"/>
        <w:outlineLvl w:val="9"/>
        <w:rPr>
          <w:rFonts w:ascii="宋体" w:hAnsi="宋体"/>
          <w:color w:val="auto"/>
          <w:szCs w:val="21"/>
        </w:rPr>
      </w:pPr>
    </w:p>
    <w:p w14:paraId="1ED50CBC">
      <w:pPr>
        <w:spacing w:line="360" w:lineRule="auto"/>
        <w:ind w:firstLine="480" w:firstLineChars="200"/>
        <w:outlineLvl w:val="9"/>
        <w:rPr>
          <w:rFonts w:ascii="宋体" w:hAnsi="宋体"/>
          <w:snapToGrid w:val="0"/>
          <w:color w:val="auto"/>
          <w:kern w:val="0"/>
          <w:sz w:val="24"/>
          <w:szCs w:val="24"/>
        </w:rPr>
      </w:pPr>
      <w:r>
        <w:rPr>
          <w:rFonts w:hint="eastAsia"/>
          <w:b w:val="0"/>
          <w:bCs/>
          <w:color w:val="auto"/>
          <w:sz w:val="24"/>
          <w:szCs w:val="24"/>
          <w:u w:val="single"/>
          <w:lang w:val="en-US" w:eastAsia="zh-CN"/>
        </w:rPr>
        <w:t xml:space="preserve">                </w:t>
      </w:r>
      <w:r>
        <w:rPr>
          <w:rFonts w:hint="eastAsia" w:ascii="宋体" w:hAnsi="宋体"/>
          <w:snapToGrid w:val="0"/>
          <w:color w:val="auto"/>
          <w:kern w:val="0"/>
          <w:sz w:val="24"/>
          <w:szCs w:val="24"/>
        </w:rPr>
        <w:t>（</w:t>
      </w:r>
      <w:r>
        <w:rPr>
          <w:rFonts w:hint="eastAsia" w:ascii="宋体" w:hAnsi="宋体"/>
          <w:snapToGrid w:val="0"/>
          <w:color w:val="auto"/>
          <w:kern w:val="0"/>
          <w:sz w:val="24"/>
          <w:szCs w:val="24"/>
          <w:lang w:val="en-US" w:eastAsia="zh-CN"/>
        </w:rPr>
        <w:t>发包人名称，</w:t>
      </w:r>
      <w:r>
        <w:rPr>
          <w:rFonts w:hint="eastAsia" w:ascii="宋体" w:hAnsi="宋体"/>
          <w:snapToGrid w:val="0"/>
          <w:color w:val="auto"/>
          <w:kern w:val="0"/>
          <w:sz w:val="24"/>
          <w:szCs w:val="24"/>
        </w:rPr>
        <w:t>以下简称“发包人</w:t>
      </w:r>
      <w:r>
        <w:rPr>
          <w:rFonts w:ascii="宋体" w:hAnsi="宋体"/>
          <w:snapToGrid w:val="0"/>
          <w:color w:val="auto"/>
          <w:kern w:val="0"/>
          <w:sz w:val="24"/>
          <w:szCs w:val="24"/>
        </w:rPr>
        <w:t>”</w:t>
      </w:r>
      <w:r>
        <w:rPr>
          <w:rFonts w:hint="eastAsia" w:ascii="宋体" w:hAnsi="宋体"/>
          <w:snapToGrid w:val="0"/>
          <w:color w:val="auto"/>
          <w:kern w:val="0"/>
          <w:sz w:val="24"/>
          <w:szCs w:val="24"/>
        </w:rPr>
        <w:t xml:space="preserve"> ）为实施</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w:t>
      </w:r>
      <w:r>
        <w:rPr>
          <w:rFonts w:hint="eastAsia" w:ascii="宋体" w:hAnsi="宋体"/>
          <w:color w:val="auto"/>
          <w:sz w:val="24"/>
          <w:szCs w:val="24"/>
        </w:rPr>
        <w:t>项目名称）</w:t>
      </w:r>
      <w:r>
        <w:rPr>
          <w:rFonts w:hint="eastAsia" w:ascii="宋体" w:hAnsi="宋体"/>
          <w:snapToGrid w:val="0"/>
          <w:color w:val="auto"/>
          <w:spacing w:val="-2"/>
          <w:kern w:val="0"/>
          <w:sz w:val="24"/>
          <w:szCs w:val="24"/>
        </w:rPr>
        <w:t>，已接受</w:t>
      </w:r>
      <w:r>
        <w:rPr>
          <w:rFonts w:hint="eastAsia" w:ascii="宋体" w:hAnsi="宋体"/>
          <w:snapToGrid w:val="0"/>
          <w:color w:val="auto"/>
          <w:spacing w:val="-2"/>
          <w:kern w:val="0"/>
          <w:sz w:val="24"/>
          <w:szCs w:val="24"/>
          <w:u w:val="single"/>
          <w:lang w:val="en-US" w:eastAsia="zh-CN"/>
        </w:rPr>
        <w:t xml:space="preserve">     </w:t>
      </w:r>
      <w:r>
        <w:rPr>
          <w:rFonts w:hint="eastAsia" w:ascii="宋体" w:hAnsi="宋体"/>
          <w:snapToGrid w:val="0"/>
          <w:color w:val="auto"/>
          <w:kern w:val="0"/>
          <w:sz w:val="24"/>
          <w:szCs w:val="24"/>
        </w:rPr>
        <w:t>(承包人名称，以下简称“承包人</w:t>
      </w:r>
      <w:r>
        <w:rPr>
          <w:rFonts w:ascii="宋体" w:hAnsi="宋体"/>
          <w:snapToGrid w:val="0"/>
          <w:color w:val="auto"/>
          <w:kern w:val="0"/>
          <w:sz w:val="24"/>
          <w:szCs w:val="24"/>
        </w:rPr>
        <w:t>”</w:t>
      </w:r>
      <w:r>
        <w:rPr>
          <w:rFonts w:hint="eastAsia" w:ascii="宋体" w:hAnsi="宋体"/>
          <w:snapToGrid w:val="0"/>
          <w:color w:val="auto"/>
          <w:kern w:val="0"/>
          <w:sz w:val="24"/>
          <w:szCs w:val="24"/>
        </w:rPr>
        <w:t>)对</w:t>
      </w:r>
      <w:r>
        <w:rPr>
          <w:rFonts w:hint="eastAsia" w:ascii="宋体" w:hAnsi="宋体"/>
          <w:color w:val="auto"/>
          <w:sz w:val="24"/>
          <w:szCs w:val="24"/>
          <w:u w:val="single"/>
          <w:lang w:val="en-US" w:eastAsia="zh-CN"/>
        </w:rPr>
        <w:t xml:space="preserve">          </w:t>
      </w:r>
      <w:r>
        <w:rPr>
          <w:rFonts w:hint="eastAsia" w:ascii="宋体" w:hAnsi="宋体"/>
          <w:color w:val="auto"/>
          <w:sz w:val="24"/>
          <w:szCs w:val="24"/>
        </w:rPr>
        <w:t>（项目名称）</w:t>
      </w:r>
      <w:r>
        <w:rPr>
          <w:rFonts w:hint="eastAsia" w:ascii="宋体" w:hAnsi="宋体"/>
          <w:snapToGrid w:val="0"/>
          <w:color w:val="auto"/>
          <w:kern w:val="0"/>
          <w:sz w:val="24"/>
          <w:szCs w:val="24"/>
        </w:rPr>
        <w:t>的投标，并确定其为中标人。发包人和承包人共同达成如下协议。</w:t>
      </w:r>
    </w:p>
    <w:p w14:paraId="7A779FFF">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1．本协议书与下列文件一起构成合同文件：</w:t>
      </w:r>
    </w:p>
    <w:p w14:paraId="27CA96FD">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(l）</w:t>
      </w:r>
      <w:r>
        <w:rPr>
          <w:rFonts w:hint="eastAsia" w:ascii="宋体" w:hAnsi="宋体"/>
          <w:color w:val="auto"/>
          <w:sz w:val="24"/>
          <w:szCs w:val="24"/>
          <w:lang w:val="en-US" w:eastAsia="zh-CN"/>
        </w:rPr>
        <w:t>成交</w:t>
      </w:r>
      <w:r>
        <w:rPr>
          <w:rFonts w:hint="eastAsia" w:ascii="宋体" w:hAnsi="宋体"/>
          <w:color w:val="auto"/>
          <w:sz w:val="24"/>
          <w:szCs w:val="24"/>
        </w:rPr>
        <w:t>通知书；</w:t>
      </w:r>
    </w:p>
    <w:p w14:paraId="1D8D7101">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磋商响应函</w:t>
      </w:r>
      <w:r>
        <w:rPr>
          <w:rFonts w:hint="eastAsia" w:ascii="宋体" w:hAnsi="宋体"/>
          <w:color w:val="auto"/>
          <w:sz w:val="24"/>
          <w:szCs w:val="24"/>
        </w:rPr>
        <w:t>及</w:t>
      </w:r>
      <w:r>
        <w:rPr>
          <w:rFonts w:hint="eastAsia" w:ascii="宋体" w:hAnsi="宋体"/>
          <w:color w:val="auto"/>
          <w:sz w:val="24"/>
          <w:szCs w:val="24"/>
          <w:lang w:val="en-US" w:eastAsia="zh-CN"/>
        </w:rPr>
        <w:t>二次报价明细</w:t>
      </w:r>
      <w:r>
        <w:rPr>
          <w:rFonts w:hint="eastAsia" w:ascii="宋体" w:hAnsi="宋体"/>
          <w:color w:val="auto"/>
          <w:sz w:val="24"/>
          <w:szCs w:val="24"/>
        </w:rPr>
        <w:t>；</w:t>
      </w:r>
    </w:p>
    <w:p w14:paraId="6090FC11">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(3）专用合同条款；</w:t>
      </w:r>
    </w:p>
    <w:p w14:paraId="2CBCE99A">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(4）通用合同条款；</w:t>
      </w:r>
    </w:p>
    <w:p w14:paraId="45840122">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(5）技术标准和要求（合同技术条款）；</w:t>
      </w:r>
    </w:p>
    <w:p w14:paraId="37C47BA5">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(6) 图纸；</w:t>
      </w:r>
    </w:p>
    <w:p w14:paraId="6BA0520C">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(7）已标价工程量清单；</w:t>
      </w:r>
    </w:p>
    <w:p w14:paraId="1E50DBFF">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(8）其它合同文件。</w:t>
      </w:r>
    </w:p>
    <w:p w14:paraId="6ACAC8A2">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2．上述文件互相补充和解释，如有不明确或不一致之处，以合同约定次序在先者为准。</w:t>
      </w:r>
    </w:p>
    <w:p w14:paraId="0B83AC21">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3．签约合同价：人民币（大写）</w:t>
      </w:r>
      <w:r>
        <w:rPr>
          <w:rFonts w:hint="eastAsia" w:ascii="宋体" w:hAnsi="宋体"/>
          <w:color w:val="auto"/>
          <w:sz w:val="24"/>
          <w:szCs w:val="24"/>
          <w:u w:val="single"/>
        </w:rPr>
        <w:t xml:space="preserve">         </w:t>
      </w:r>
      <w:r>
        <w:rPr>
          <w:rFonts w:hint="eastAsia" w:ascii="宋体" w:hAnsi="宋体"/>
          <w:color w:val="auto"/>
          <w:sz w:val="24"/>
          <w:szCs w:val="24"/>
        </w:rPr>
        <w:t>元（</w:t>
      </w:r>
      <w:r>
        <w:rPr>
          <w:rFonts w:hint="eastAsia" w:ascii="宋体" w:hAnsi="宋体" w:eastAsia="宋体" w:cs="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w:t>
      </w:r>
    </w:p>
    <w:p w14:paraId="5705592D">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4．承包人项目经理：</w:t>
      </w:r>
      <w:r>
        <w:rPr>
          <w:rFonts w:hint="eastAsia" w:ascii="宋体" w:hAnsi="宋体"/>
          <w:color w:val="auto"/>
          <w:sz w:val="24"/>
          <w:szCs w:val="24"/>
          <w:u w:val="single"/>
        </w:rPr>
        <w:t xml:space="preserve">        </w:t>
      </w:r>
      <w:r>
        <w:rPr>
          <w:rFonts w:hint="eastAsia" w:ascii="宋体" w:hAnsi="宋体"/>
          <w:color w:val="auto"/>
          <w:sz w:val="24"/>
          <w:szCs w:val="24"/>
          <w:u w:val="single"/>
          <w:lang w:eastAsia="zh-CN"/>
        </w:rPr>
        <w:t>，</w:t>
      </w:r>
      <w:r>
        <w:rPr>
          <w:rFonts w:hint="eastAsia" w:ascii="宋体" w:hAnsi="宋体"/>
          <w:color w:val="auto"/>
          <w:sz w:val="24"/>
          <w:szCs w:val="24"/>
          <w:u w:val="single"/>
        </w:rPr>
        <w:t xml:space="preserve"> </w:t>
      </w:r>
    </w:p>
    <w:p w14:paraId="02153BF6">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5．工程质量符合</w:t>
      </w:r>
      <w:r>
        <w:rPr>
          <w:rFonts w:hint="eastAsia" w:ascii="宋体" w:hAnsi="宋体"/>
          <w:color w:val="auto"/>
          <w:sz w:val="24"/>
          <w:szCs w:val="24"/>
          <w:u w:val="single"/>
        </w:rPr>
        <w:t xml:space="preserve">         </w:t>
      </w:r>
      <w:r>
        <w:rPr>
          <w:rFonts w:hint="eastAsia" w:ascii="宋体" w:hAnsi="宋体"/>
          <w:color w:val="auto"/>
          <w:sz w:val="24"/>
          <w:szCs w:val="24"/>
        </w:rPr>
        <w:t>标准。</w:t>
      </w:r>
    </w:p>
    <w:p w14:paraId="42248450">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6．承包人承诺按合同约定承担工程的实施、完成及缺陷修复。</w:t>
      </w:r>
    </w:p>
    <w:p w14:paraId="764B0703">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7．发包人承诺按合同约定的条件、时间和方式向承包人支付合同价款。</w:t>
      </w:r>
    </w:p>
    <w:p w14:paraId="6864F821">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8．承包人承诺执行监理人开工通知，计划工期为</w:t>
      </w:r>
      <w:r>
        <w:rPr>
          <w:rFonts w:hint="eastAsia" w:ascii="宋体" w:hAnsi="宋体"/>
          <w:color w:val="auto"/>
          <w:sz w:val="24"/>
          <w:szCs w:val="24"/>
          <w:u w:val="single"/>
        </w:rPr>
        <w:t xml:space="preserve">     </w:t>
      </w:r>
      <w:r>
        <w:rPr>
          <w:rFonts w:hint="eastAsia" w:ascii="宋体" w:hAnsi="宋体"/>
          <w:color w:val="auto"/>
          <w:sz w:val="24"/>
          <w:szCs w:val="24"/>
        </w:rPr>
        <w:t>天。</w:t>
      </w:r>
    </w:p>
    <w:p w14:paraId="66471B82">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9．本协议书一式</w:t>
      </w:r>
      <w:r>
        <w:rPr>
          <w:rFonts w:hint="eastAsia" w:ascii="宋体" w:hAnsi="宋体"/>
          <w:color w:val="auto"/>
          <w:sz w:val="24"/>
          <w:szCs w:val="24"/>
          <w:u w:val="single"/>
        </w:rPr>
        <w:t xml:space="preserve">     </w:t>
      </w:r>
      <w:r>
        <w:rPr>
          <w:rFonts w:hint="eastAsia" w:ascii="宋体" w:hAnsi="宋体"/>
          <w:color w:val="auto"/>
          <w:sz w:val="24"/>
          <w:szCs w:val="24"/>
        </w:rPr>
        <w:t>份，合同双方各执</w:t>
      </w:r>
      <w:r>
        <w:rPr>
          <w:rFonts w:hint="eastAsia" w:ascii="宋体" w:hAnsi="宋体"/>
          <w:color w:val="auto"/>
          <w:sz w:val="24"/>
          <w:szCs w:val="24"/>
          <w:u w:val="single"/>
        </w:rPr>
        <w:t xml:space="preserve">     </w:t>
      </w:r>
      <w:r>
        <w:rPr>
          <w:rFonts w:hint="eastAsia" w:ascii="宋体" w:hAnsi="宋体"/>
          <w:color w:val="auto"/>
          <w:sz w:val="24"/>
          <w:szCs w:val="24"/>
        </w:rPr>
        <w:t>份。</w:t>
      </w:r>
    </w:p>
    <w:p w14:paraId="21EDEF7B">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10．合同未尽事宜，双方另行签订补充协议。补充协议是合同的组成部分。</w:t>
      </w:r>
    </w:p>
    <w:p w14:paraId="4D447594">
      <w:pPr>
        <w:spacing w:line="360" w:lineRule="auto"/>
        <w:outlineLvl w:val="9"/>
        <w:rPr>
          <w:rFonts w:ascii="宋体" w:hAnsi="宋体"/>
          <w:color w:val="auto"/>
          <w:sz w:val="24"/>
          <w:szCs w:val="24"/>
        </w:rPr>
      </w:pPr>
      <w:r>
        <w:rPr>
          <w:rFonts w:hint="eastAsia" w:ascii="宋体" w:hAnsi="宋体"/>
          <w:color w:val="auto"/>
          <w:sz w:val="24"/>
          <w:szCs w:val="24"/>
        </w:rPr>
        <w:t>发包人：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（盖单位章）  </w:t>
      </w:r>
      <w:r>
        <w:rPr>
          <w:rFonts w:hint="eastAsia" w:ascii="宋体" w:hAnsi="宋体"/>
          <w:color w:val="auto"/>
          <w:sz w:val="24"/>
          <w:szCs w:val="24"/>
          <w:lang w:val="en-US" w:eastAsia="zh-CN"/>
        </w:rPr>
        <w:t xml:space="preserve"> </w:t>
      </w:r>
      <w:r>
        <w:rPr>
          <w:rFonts w:hint="eastAsia" w:ascii="宋体" w:hAnsi="宋体"/>
          <w:color w:val="auto"/>
          <w:sz w:val="24"/>
          <w:szCs w:val="24"/>
        </w:rPr>
        <w:t>承包人：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75B181D7">
      <w:pPr>
        <w:spacing w:line="360" w:lineRule="auto"/>
        <w:outlineLvl w:val="9"/>
        <w:rPr>
          <w:rFonts w:ascii="宋体" w:hAnsi="宋体"/>
          <w:color w:val="auto"/>
          <w:sz w:val="24"/>
          <w:szCs w:val="24"/>
        </w:rPr>
      </w:pPr>
      <w:r>
        <w:rPr>
          <w:rFonts w:hint="eastAsia" w:ascii="宋体" w:hAnsi="宋体"/>
          <w:color w:val="auto"/>
          <w:sz w:val="24"/>
          <w:szCs w:val="24"/>
        </w:rPr>
        <w:t>法定代表人或其委托代理人：</w:t>
      </w:r>
      <w:r>
        <w:rPr>
          <w:rFonts w:hint="eastAsia" w:ascii="宋体" w:hAnsi="宋体"/>
          <w:color w:val="auto"/>
          <w:sz w:val="24"/>
          <w:szCs w:val="24"/>
          <w:u w:val="single"/>
        </w:rPr>
        <w:t xml:space="preserve">   </w:t>
      </w:r>
      <w:r>
        <w:rPr>
          <w:rFonts w:hint="eastAsia" w:ascii="宋体" w:hAnsi="宋体"/>
          <w:color w:val="auto"/>
          <w:sz w:val="24"/>
          <w:szCs w:val="24"/>
        </w:rPr>
        <w:t>（签字）  法定代表人或其委托代理人：</w:t>
      </w:r>
      <w:r>
        <w:rPr>
          <w:rFonts w:hint="eastAsia" w:ascii="宋体" w:hAnsi="宋体"/>
          <w:color w:val="auto"/>
          <w:sz w:val="24"/>
          <w:szCs w:val="24"/>
          <w:u w:val="single"/>
        </w:rPr>
        <w:t xml:space="preserve">  </w:t>
      </w:r>
      <w:r>
        <w:rPr>
          <w:rFonts w:hint="eastAsia" w:ascii="宋体" w:hAnsi="宋体"/>
          <w:color w:val="auto"/>
          <w:sz w:val="24"/>
          <w:szCs w:val="24"/>
        </w:rPr>
        <w:t>（签字）</w:t>
      </w:r>
    </w:p>
    <w:p w14:paraId="2A981A28">
      <w:pPr>
        <w:spacing w:line="360" w:lineRule="auto"/>
        <w:ind w:firstLine="720" w:firstLineChars="300"/>
        <w:outlineLvl w:val="9"/>
        <w:rPr>
          <w:rFonts w:ascii="宋体" w:hAnsi="宋体"/>
          <w:color w:val="auto"/>
          <w:szCs w:val="21"/>
        </w:rPr>
        <w:sectPr>
          <w:headerReference r:id="rId3" w:type="default"/>
          <w:footerReference r:id="rId4" w:type="default"/>
          <w:pgSz w:w="11906" w:h="16838"/>
          <w:pgMar w:top="1418" w:right="1418" w:bottom="1418" w:left="1418" w:header="850" w:footer="992" w:gutter="0"/>
          <w:pgNumType w:fmt="decimal" w:start="1"/>
          <w:cols w:space="720" w:num="1"/>
          <w:docGrid w:linePitch="312" w:charSpace="0"/>
        </w:sectPr>
      </w:pP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lang w:val="en-US" w:eastAsia="zh-CN"/>
        </w:rPr>
        <w:t xml:space="preserve">    </w:t>
      </w:r>
      <w:r>
        <w:rPr>
          <w:rFonts w:hint="eastAsia" w:ascii="宋体" w:hAnsi="宋体"/>
          <w:color w:val="auto"/>
          <w:sz w:val="24"/>
          <w:szCs w:val="24"/>
        </w:rPr>
        <w:t xml:space="preserve">日                      </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w:t>
      </w:r>
    </w:p>
    <w:p w14:paraId="0DE2521C">
      <w:pPr>
        <w:pageBreakBefore w:val="0"/>
        <w:widowControl/>
        <w:numPr>
          <w:ilvl w:val="2"/>
          <w:numId w:val="0"/>
        </w:numPr>
        <w:tabs>
          <w:tab w:val="left" w:pos="720"/>
        </w:tabs>
        <w:kinsoku/>
        <w:wordWrap/>
        <w:overflowPunct/>
        <w:topLinePunct w:val="0"/>
        <w:autoSpaceDE/>
        <w:autoSpaceDN/>
        <w:bidi w:val="0"/>
        <w:adjustRightInd/>
        <w:snapToGrid/>
        <w:spacing w:line="240" w:lineRule="auto"/>
        <w:ind w:leftChars="0"/>
        <w:jc w:val="both"/>
        <w:textAlignment w:val="auto"/>
        <w:outlineLvl w:val="9"/>
        <w:rPr>
          <w:rFonts w:hint="eastAsia" w:ascii="Times New Roman" w:hAnsi="Times New Roman" w:eastAsia="宋体" w:cs="Times New Roman"/>
          <w:b/>
          <w:color w:val="auto"/>
          <w:sz w:val="28"/>
          <w:szCs w:val="28"/>
          <w:lang w:eastAsia="zh-CN"/>
        </w:rPr>
      </w:pPr>
      <w:bookmarkStart w:id="1069" w:name="_Toc267473115"/>
      <w:bookmarkStart w:id="1070" w:name="_Toc307417491"/>
      <w:bookmarkStart w:id="1071" w:name="_Toc307485258"/>
      <w:bookmarkStart w:id="1072" w:name="_Toc307416194"/>
      <w:bookmarkStart w:id="1073" w:name="_Toc285029010"/>
      <w:bookmarkStart w:id="1074" w:name="_Toc265657536"/>
      <w:bookmarkStart w:id="1075" w:name="_Toc307415766"/>
      <w:bookmarkStart w:id="1076" w:name="_Toc27750"/>
      <w:bookmarkStart w:id="1077" w:name="_Toc430097466"/>
      <w:r>
        <w:rPr>
          <w:rFonts w:hint="eastAsia" w:ascii="Times New Roman" w:hAnsi="Times New Roman" w:eastAsia="宋体" w:cs="Times New Roman"/>
          <w:b/>
          <w:color w:val="auto"/>
          <w:sz w:val="28"/>
          <w:szCs w:val="28"/>
        </w:rPr>
        <w:t>附件二：</w:t>
      </w:r>
      <w:bookmarkEnd w:id="1069"/>
      <w:bookmarkEnd w:id="1070"/>
      <w:bookmarkEnd w:id="1071"/>
      <w:bookmarkEnd w:id="1072"/>
      <w:bookmarkEnd w:id="1073"/>
      <w:bookmarkEnd w:id="1074"/>
      <w:bookmarkEnd w:id="1075"/>
      <w:bookmarkEnd w:id="1076"/>
      <w:bookmarkEnd w:id="1077"/>
      <w:r>
        <w:rPr>
          <w:rFonts w:hint="eastAsia" w:ascii="Times New Roman" w:hAnsi="Times New Roman" w:eastAsia="宋体" w:cs="Times New Roman"/>
          <w:b/>
          <w:color w:val="auto"/>
          <w:sz w:val="28"/>
          <w:szCs w:val="28"/>
          <w:lang w:val="en-US" w:eastAsia="zh-CN"/>
        </w:rPr>
        <w:t xml:space="preserve"> </w:t>
      </w:r>
    </w:p>
    <w:p w14:paraId="579981A6">
      <w:pPr>
        <w:pageBreakBefore w:val="0"/>
        <w:widowControl/>
        <w:numPr>
          <w:ilvl w:val="2"/>
          <w:numId w:val="0"/>
        </w:numPr>
        <w:tabs>
          <w:tab w:val="left" w:pos="720"/>
        </w:tabs>
        <w:kinsoku/>
        <w:wordWrap/>
        <w:overflowPunct/>
        <w:topLinePunct w:val="0"/>
        <w:autoSpaceDE/>
        <w:autoSpaceDN/>
        <w:bidi w:val="0"/>
        <w:adjustRightInd/>
        <w:snapToGrid/>
        <w:spacing w:line="240" w:lineRule="auto"/>
        <w:ind w:leftChars="0"/>
        <w:jc w:val="center"/>
        <w:textAlignment w:val="auto"/>
        <w:outlineLvl w:val="9"/>
        <w:rPr>
          <w:rFonts w:ascii="宋体" w:hAnsi="宋体"/>
          <w:b/>
          <w:color w:val="auto"/>
          <w:sz w:val="32"/>
          <w:szCs w:val="32"/>
        </w:rPr>
      </w:pPr>
      <w:r>
        <w:rPr>
          <w:rFonts w:hint="eastAsia" w:ascii="Times New Roman" w:hAnsi="Times New Roman" w:eastAsia="宋体" w:cs="Times New Roman"/>
          <w:b/>
          <w:color w:val="auto"/>
          <w:sz w:val="28"/>
          <w:szCs w:val="28"/>
        </w:rPr>
        <w:t>履约担保</w:t>
      </w:r>
    </w:p>
    <w:p w14:paraId="15448ADD">
      <w:pPr>
        <w:spacing w:line="360" w:lineRule="auto"/>
        <w:outlineLvl w:val="9"/>
        <w:rPr>
          <w:rFonts w:ascii="宋体" w:hAnsi="宋体"/>
          <w:color w:val="auto"/>
          <w:szCs w:val="21"/>
          <w:u w:val="single"/>
        </w:rPr>
      </w:pPr>
    </w:p>
    <w:p w14:paraId="48E90128">
      <w:pPr>
        <w:spacing w:line="360" w:lineRule="auto"/>
        <w:outlineLvl w:val="9"/>
        <w:rPr>
          <w:rFonts w:ascii="宋体" w:hAnsi="宋体"/>
          <w:color w:val="auto"/>
          <w:sz w:val="24"/>
          <w:szCs w:val="24"/>
        </w:rPr>
      </w:pPr>
      <w:r>
        <w:rPr>
          <w:rFonts w:hint="eastAsia"/>
          <w:b w:val="0"/>
          <w:bCs/>
          <w:color w:val="auto"/>
          <w:sz w:val="24"/>
          <w:szCs w:val="24"/>
          <w:u w:val="single"/>
          <w:lang w:val="en-US" w:eastAsia="zh-CN"/>
        </w:rPr>
        <w:t xml:space="preserve">                 </w:t>
      </w:r>
      <w:r>
        <w:rPr>
          <w:rFonts w:hint="eastAsia" w:ascii="宋体" w:hAnsi="宋体"/>
          <w:snapToGrid w:val="0"/>
          <w:color w:val="auto"/>
          <w:kern w:val="0"/>
          <w:sz w:val="24"/>
          <w:szCs w:val="24"/>
        </w:rPr>
        <w:t>（发包人名称）</w:t>
      </w:r>
      <w:r>
        <w:rPr>
          <w:rFonts w:hint="eastAsia" w:ascii="宋体" w:hAnsi="宋体"/>
          <w:color w:val="auto"/>
          <w:sz w:val="24"/>
          <w:szCs w:val="24"/>
        </w:rPr>
        <w:t>：</w:t>
      </w:r>
    </w:p>
    <w:p w14:paraId="55CC5CDB">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鉴于</w:t>
      </w:r>
      <w:r>
        <w:rPr>
          <w:rFonts w:hint="eastAsia"/>
          <w:b w:val="0"/>
          <w:bCs/>
          <w:color w:val="auto"/>
          <w:sz w:val="24"/>
          <w:szCs w:val="24"/>
          <w:u w:val="single"/>
          <w:lang w:val="en-US" w:eastAsia="zh-CN"/>
        </w:rPr>
        <w:t xml:space="preserve">              </w:t>
      </w:r>
      <w:r>
        <w:rPr>
          <w:rFonts w:hint="eastAsia" w:ascii="宋体" w:hAnsi="宋体"/>
          <w:color w:val="auto"/>
          <w:sz w:val="24"/>
          <w:szCs w:val="24"/>
        </w:rPr>
        <w:t>（发包人名称，以下简称“发包人</w:t>
      </w:r>
      <w:r>
        <w:rPr>
          <w:rFonts w:ascii="宋体" w:hAnsi="宋体"/>
          <w:color w:val="auto"/>
          <w:sz w:val="24"/>
          <w:szCs w:val="24"/>
        </w:rPr>
        <w:t>”</w:t>
      </w:r>
      <w:r>
        <w:rPr>
          <w:rFonts w:hint="eastAsia" w:ascii="宋体" w:hAnsi="宋体"/>
          <w:color w:val="auto"/>
          <w:sz w:val="24"/>
          <w:szCs w:val="24"/>
        </w:rPr>
        <w:t>）已接受</w:t>
      </w:r>
      <w:r>
        <w:rPr>
          <w:rFonts w:hint="eastAsia"/>
          <w:b w:val="0"/>
          <w:bCs/>
          <w:color w:val="auto"/>
          <w:sz w:val="24"/>
          <w:szCs w:val="24"/>
          <w:u w:val="single"/>
          <w:lang w:val="en-US" w:eastAsia="zh-CN"/>
        </w:rPr>
        <w:t xml:space="preserve">             </w:t>
      </w:r>
      <w:r>
        <w:rPr>
          <w:rFonts w:hint="eastAsia" w:ascii="宋体" w:hAnsi="宋体"/>
          <w:color w:val="auto"/>
          <w:sz w:val="24"/>
          <w:szCs w:val="24"/>
        </w:rPr>
        <w:t>（承包人名称）（以下称“承包人</w:t>
      </w:r>
      <w:r>
        <w:rPr>
          <w:rFonts w:ascii="宋体" w:hAnsi="宋体"/>
          <w:color w:val="auto"/>
          <w:sz w:val="24"/>
          <w:szCs w:val="24"/>
        </w:rPr>
        <w:t>”</w:t>
      </w:r>
      <w:r>
        <w:rPr>
          <w:rFonts w:hint="eastAsia" w:ascii="宋体" w:hAnsi="宋体"/>
          <w:color w:val="auto"/>
          <w:sz w:val="24"/>
          <w:szCs w:val="24"/>
        </w:rPr>
        <w:t>）于</w:t>
      </w:r>
      <w:r>
        <w:rPr>
          <w:rFonts w:hint="eastAsia"/>
          <w:b w:val="0"/>
          <w:bCs/>
          <w:color w:val="auto"/>
          <w:sz w:val="24"/>
          <w:szCs w:val="24"/>
          <w:u w:val="single"/>
          <w:lang w:val="en-US" w:eastAsia="zh-CN"/>
        </w:rPr>
        <w:t xml:space="preserve">        </w:t>
      </w:r>
      <w:r>
        <w:rPr>
          <w:rFonts w:hint="eastAsia" w:ascii="宋体" w:hAnsi="宋体"/>
          <w:color w:val="auto"/>
          <w:sz w:val="24"/>
          <w:szCs w:val="24"/>
        </w:rPr>
        <w:t>年</w:t>
      </w:r>
      <w:r>
        <w:rPr>
          <w:rFonts w:hint="eastAsia"/>
          <w:b w:val="0"/>
          <w:bCs/>
          <w:color w:val="auto"/>
          <w:sz w:val="24"/>
          <w:szCs w:val="24"/>
          <w:u w:val="single"/>
          <w:lang w:val="en-US" w:eastAsia="zh-CN"/>
        </w:rPr>
        <w:t xml:space="preserve">        </w:t>
      </w:r>
      <w:r>
        <w:rPr>
          <w:rFonts w:hint="eastAsia" w:ascii="宋体" w:hAnsi="宋体"/>
          <w:color w:val="auto"/>
          <w:sz w:val="24"/>
          <w:szCs w:val="24"/>
        </w:rPr>
        <w:t>月</w:t>
      </w:r>
      <w:r>
        <w:rPr>
          <w:rFonts w:hint="eastAsia"/>
          <w:b w:val="0"/>
          <w:bCs/>
          <w:color w:val="auto"/>
          <w:sz w:val="24"/>
          <w:szCs w:val="24"/>
          <w:u w:val="single"/>
          <w:lang w:val="en-US" w:eastAsia="zh-CN"/>
        </w:rPr>
        <w:t xml:space="preserve">        </w:t>
      </w:r>
      <w:r>
        <w:rPr>
          <w:rFonts w:hint="eastAsia" w:ascii="宋体" w:hAnsi="宋体"/>
          <w:color w:val="auto"/>
          <w:sz w:val="24"/>
          <w:szCs w:val="24"/>
        </w:rPr>
        <w:t>日递交的</w:t>
      </w:r>
      <w:r>
        <w:rPr>
          <w:rFonts w:hint="eastAsia" w:ascii="宋体" w:hAnsi="宋体"/>
          <w:b/>
          <w:snapToGrid w:val="0"/>
          <w:color w:val="auto"/>
          <w:kern w:val="0"/>
          <w:sz w:val="24"/>
          <w:szCs w:val="24"/>
          <w:u w:val="single"/>
          <w:lang w:val="en-US" w:eastAsia="zh-CN"/>
        </w:rPr>
        <w:t xml:space="preserve">       </w:t>
      </w:r>
      <w:r>
        <w:rPr>
          <w:rFonts w:hint="eastAsia" w:ascii="宋体" w:hAnsi="宋体"/>
          <w:color w:val="auto"/>
          <w:sz w:val="24"/>
          <w:szCs w:val="24"/>
        </w:rPr>
        <w:t>（项目名称）的投标文件。我方愿意无条件地、不可撤销地就承包人履行与你方订立的合同，向你方提供担保。</w:t>
      </w:r>
    </w:p>
    <w:p w14:paraId="6AC44674">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1．担保金额人民币（大写）</w:t>
      </w:r>
      <w:r>
        <w:rPr>
          <w:rFonts w:hint="eastAsia" w:ascii="宋体" w:hAnsi="宋体"/>
          <w:color w:val="auto"/>
          <w:sz w:val="24"/>
          <w:szCs w:val="24"/>
          <w:u w:val="single"/>
        </w:rPr>
        <w:t xml:space="preserve">         </w:t>
      </w:r>
      <w:r>
        <w:rPr>
          <w:rFonts w:hint="eastAsia" w:ascii="宋体" w:hAnsi="宋体"/>
          <w:color w:val="auto"/>
          <w:sz w:val="24"/>
          <w:szCs w:val="24"/>
        </w:rPr>
        <w:t>元（</w:t>
      </w:r>
      <w:r>
        <w:rPr>
          <w:rFonts w:hint="eastAsia" w:ascii="宋体" w:hAnsi="宋体" w:eastAsia="宋体" w:cs="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w:t>
      </w:r>
    </w:p>
    <w:p w14:paraId="18C2B5AF">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2．担保有效期自发包人与承包人签订的合同生效之日起至发包人签发合同工程完工证书之日止。</w:t>
      </w:r>
    </w:p>
    <w:p w14:paraId="792617F5">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3．在本担保有效期内，因承包人违反合同约定的义务给你方造成经济损失时，我方在收到你方以书面形式提出的在担保金额内的赔偿要求后，无条件地在7天内予以支付。</w:t>
      </w:r>
    </w:p>
    <w:p w14:paraId="1317EA91">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4．发包人和承包人按《通用合同条款》第15条变更合同时，我方承担本担保规定的义务不变。</w:t>
      </w:r>
    </w:p>
    <w:p w14:paraId="6E5DBA83">
      <w:pPr>
        <w:spacing w:line="360" w:lineRule="auto"/>
        <w:ind w:firstLine="480" w:firstLineChars="200"/>
        <w:outlineLvl w:val="9"/>
        <w:rPr>
          <w:rFonts w:ascii="宋体" w:hAnsi="宋体"/>
          <w:color w:val="auto"/>
          <w:sz w:val="24"/>
          <w:szCs w:val="24"/>
        </w:rPr>
      </w:pPr>
    </w:p>
    <w:p w14:paraId="695E6289">
      <w:pPr>
        <w:spacing w:line="360" w:lineRule="auto"/>
        <w:ind w:firstLine="480" w:firstLineChars="200"/>
        <w:outlineLvl w:val="9"/>
        <w:rPr>
          <w:rFonts w:ascii="宋体" w:hAnsi="宋体"/>
          <w:color w:val="auto"/>
          <w:sz w:val="24"/>
          <w:szCs w:val="24"/>
        </w:rPr>
      </w:pPr>
    </w:p>
    <w:p w14:paraId="19FC8227">
      <w:pPr>
        <w:spacing w:line="360" w:lineRule="auto"/>
        <w:ind w:firstLine="480" w:firstLineChars="200"/>
        <w:outlineLvl w:val="9"/>
        <w:rPr>
          <w:rFonts w:ascii="宋体" w:hAnsi="宋体"/>
          <w:color w:val="auto"/>
          <w:sz w:val="24"/>
          <w:szCs w:val="24"/>
        </w:rPr>
      </w:pPr>
    </w:p>
    <w:p w14:paraId="3EEAA046">
      <w:pPr>
        <w:spacing w:line="360" w:lineRule="auto"/>
        <w:ind w:firstLine="1920" w:firstLineChars="800"/>
        <w:outlineLvl w:val="9"/>
        <w:rPr>
          <w:rFonts w:ascii="宋体" w:hAnsi="宋体"/>
          <w:color w:val="auto"/>
          <w:sz w:val="24"/>
          <w:szCs w:val="24"/>
        </w:rPr>
      </w:pPr>
      <w:r>
        <w:rPr>
          <w:rFonts w:hint="eastAsia" w:ascii="宋体" w:hAnsi="宋体"/>
          <w:color w:val="auto"/>
          <w:sz w:val="24"/>
          <w:szCs w:val="24"/>
        </w:rPr>
        <w:t>担保人：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08B8FA6B">
      <w:pPr>
        <w:spacing w:line="360" w:lineRule="auto"/>
        <w:ind w:firstLine="1920" w:firstLineChars="800"/>
        <w:outlineLvl w:val="9"/>
        <w:rPr>
          <w:rFonts w:ascii="宋体" w:hAnsi="宋体"/>
          <w:color w:val="auto"/>
          <w:sz w:val="24"/>
          <w:szCs w:val="24"/>
        </w:rPr>
      </w:pPr>
      <w:r>
        <w:rPr>
          <w:rFonts w:hint="eastAsia" w:ascii="宋体" w:hAnsi="宋体"/>
          <w:color w:val="auto"/>
          <w:sz w:val="24"/>
          <w:szCs w:val="24"/>
        </w:rPr>
        <w:t>法定代表人或其委托代理人：</w:t>
      </w:r>
      <w:r>
        <w:rPr>
          <w:rFonts w:hint="eastAsia" w:ascii="宋体" w:hAnsi="宋体"/>
          <w:color w:val="auto"/>
          <w:sz w:val="24"/>
          <w:szCs w:val="24"/>
          <w:u w:val="single"/>
        </w:rPr>
        <w:t xml:space="preserve">          </w:t>
      </w:r>
      <w:r>
        <w:rPr>
          <w:rFonts w:hint="eastAsia" w:ascii="宋体" w:hAnsi="宋体"/>
          <w:color w:val="auto"/>
          <w:sz w:val="24"/>
          <w:szCs w:val="24"/>
        </w:rPr>
        <w:t>（签字）</w:t>
      </w:r>
    </w:p>
    <w:p w14:paraId="3DC4E7E1">
      <w:pPr>
        <w:spacing w:line="360" w:lineRule="auto"/>
        <w:ind w:firstLine="1920" w:firstLineChars="800"/>
        <w:outlineLvl w:val="9"/>
        <w:rPr>
          <w:rFonts w:hint="eastAsia" w:ascii="宋体" w:hAnsi="宋体" w:eastAsia="宋体"/>
          <w:color w:val="auto"/>
          <w:sz w:val="24"/>
          <w:szCs w:val="24"/>
          <w:u w:val="none"/>
          <w:lang w:eastAsia="zh-CN"/>
        </w:rPr>
      </w:pPr>
      <w:r>
        <w:rPr>
          <w:rFonts w:hint="eastAsia" w:ascii="宋体" w:hAnsi="宋体"/>
          <w:color w:val="auto"/>
          <w:sz w:val="24"/>
          <w:szCs w:val="24"/>
        </w:rPr>
        <w:t>地址：</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none"/>
          <w:lang w:eastAsia="zh-CN"/>
        </w:rPr>
        <w:t>，</w:t>
      </w:r>
    </w:p>
    <w:p w14:paraId="7DE86370">
      <w:pPr>
        <w:spacing w:line="360" w:lineRule="auto"/>
        <w:ind w:firstLine="1920" w:firstLineChars="800"/>
        <w:outlineLvl w:val="9"/>
        <w:rPr>
          <w:rFonts w:ascii="宋体" w:hAnsi="宋体"/>
          <w:color w:val="auto"/>
          <w:sz w:val="24"/>
          <w:szCs w:val="24"/>
        </w:rPr>
      </w:pPr>
      <w:r>
        <w:rPr>
          <w:rFonts w:hint="eastAsia" w:ascii="宋体" w:hAnsi="宋体"/>
          <w:color w:val="auto"/>
          <w:sz w:val="24"/>
          <w:szCs w:val="24"/>
        </w:rPr>
        <w:t>邮政编码：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none"/>
          <w:lang w:eastAsia="zh-CN"/>
        </w:rPr>
        <w:t>，</w:t>
      </w:r>
      <w:r>
        <w:rPr>
          <w:rFonts w:hint="eastAsia" w:ascii="宋体" w:hAnsi="宋体"/>
          <w:color w:val="auto"/>
          <w:sz w:val="24"/>
          <w:szCs w:val="24"/>
          <w:u w:val="single"/>
        </w:rPr>
        <w:t xml:space="preserve">                              </w:t>
      </w:r>
    </w:p>
    <w:p w14:paraId="5B60F925">
      <w:pPr>
        <w:spacing w:line="360" w:lineRule="auto"/>
        <w:ind w:firstLine="1920" w:firstLineChars="800"/>
        <w:outlineLvl w:val="9"/>
        <w:rPr>
          <w:rFonts w:ascii="宋体" w:hAnsi="宋体"/>
          <w:color w:val="auto"/>
          <w:sz w:val="24"/>
          <w:szCs w:val="24"/>
        </w:rPr>
      </w:pPr>
      <w:r>
        <w:rPr>
          <w:rFonts w:hint="eastAsia" w:ascii="宋体" w:hAnsi="宋体"/>
          <w:color w:val="auto"/>
          <w:sz w:val="24"/>
          <w:szCs w:val="24"/>
        </w:rPr>
        <w:t>电话：</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none"/>
          <w:lang w:eastAsia="zh-CN"/>
        </w:rPr>
        <w:t>，</w:t>
      </w:r>
      <w:r>
        <w:rPr>
          <w:rFonts w:hint="eastAsia" w:ascii="宋体" w:hAnsi="宋体"/>
          <w:color w:val="auto"/>
          <w:sz w:val="24"/>
          <w:szCs w:val="24"/>
          <w:u w:val="single"/>
        </w:rPr>
        <w:t xml:space="preserve">                              </w:t>
      </w:r>
    </w:p>
    <w:p w14:paraId="45ABC321">
      <w:pPr>
        <w:spacing w:line="360" w:lineRule="auto"/>
        <w:ind w:firstLine="1920" w:firstLineChars="800"/>
        <w:outlineLvl w:val="9"/>
        <w:rPr>
          <w:rFonts w:ascii="宋体" w:hAnsi="宋体"/>
          <w:color w:val="auto"/>
          <w:sz w:val="24"/>
          <w:szCs w:val="24"/>
        </w:rPr>
      </w:pPr>
      <w:r>
        <w:rPr>
          <w:rFonts w:hint="eastAsia" w:ascii="宋体" w:hAnsi="宋体"/>
          <w:color w:val="auto"/>
          <w:sz w:val="24"/>
          <w:szCs w:val="24"/>
        </w:rPr>
        <w:t>传真:</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u w:val="none"/>
          <w:lang w:eastAsia="zh-CN"/>
        </w:rPr>
        <w:t>，</w:t>
      </w:r>
      <w:r>
        <w:rPr>
          <w:rFonts w:hint="eastAsia" w:ascii="宋体" w:hAnsi="宋体"/>
          <w:color w:val="auto"/>
          <w:sz w:val="24"/>
          <w:szCs w:val="24"/>
          <w:u w:val="single"/>
        </w:rPr>
        <w:t xml:space="preserve">                             </w:t>
      </w:r>
    </w:p>
    <w:p w14:paraId="62E84EC0">
      <w:pPr>
        <w:spacing w:line="360" w:lineRule="auto"/>
        <w:ind w:firstLine="3840" w:firstLineChars="1600"/>
        <w:outlineLvl w:val="9"/>
        <w:rPr>
          <w:rFonts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6EB8E368">
      <w:pPr>
        <w:spacing w:line="360" w:lineRule="auto"/>
        <w:ind w:firstLine="420" w:firstLineChars="200"/>
        <w:outlineLvl w:val="9"/>
        <w:rPr>
          <w:rFonts w:ascii="宋体" w:hAnsi="宋体"/>
          <w:color w:val="auto"/>
          <w:szCs w:val="21"/>
        </w:rPr>
      </w:pPr>
    </w:p>
    <w:p w14:paraId="0AF917D4">
      <w:pPr>
        <w:spacing w:line="360" w:lineRule="auto"/>
        <w:ind w:firstLine="420" w:firstLineChars="200"/>
        <w:outlineLvl w:val="9"/>
        <w:rPr>
          <w:rFonts w:ascii="宋体" w:hAnsi="宋体"/>
          <w:color w:val="auto"/>
          <w:szCs w:val="21"/>
        </w:rPr>
      </w:pPr>
    </w:p>
    <w:p w14:paraId="158F2F87">
      <w:pPr>
        <w:spacing w:line="360" w:lineRule="auto"/>
        <w:outlineLvl w:val="9"/>
        <w:rPr>
          <w:rFonts w:hint="eastAsia" w:ascii="宋体" w:hAnsi="宋体"/>
          <w:color w:val="auto"/>
          <w:sz w:val="24"/>
          <w:szCs w:val="24"/>
        </w:rPr>
      </w:pPr>
      <w:r>
        <w:rPr>
          <w:rFonts w:hint="eastAsia" w:ascii="宋体" w:hAnsi="宋体"/>
          <w:color w:val="auto"/>
          <w:sz w:val="24"/>
          <w:szCs w:val="24"/>
        </w:rPr>
        <w:t>注：委托代理人应附授权委托书。</w:t>
      </w:r>
    </w:p>
    <w:p w14:paraId="2D0FD43A">
      <w:pPr>
        <w:pStyle w:val="16"/>
        <w:outlineLvl w:val="9"/>
        <w:rPr>
          <w:rFonts w:hint="eastAsia" w:ascii="宋体" w:hAnsi="宋体"/>
          <w:color w:val="auto"/>
          <w:sz w:val="24"/>
          <w:szCs w:val="24"/>
        </w:rPr>
      </w:pPr>
    </w:p>
    <w:p w14:paraId="2D31269A">
      <w:pPr>
        <w:pStyle w:val="11"/>
        <w:outlineLvl w:val="9"/>
        <w:rPr>
          <w:rFonts w:hint="eastAsia" w:ascii="宋体" w:hAnsi="宋体"/>
          <w:color w:val="auto"/>
          <w:sz w:val="24"/>
          <w:szCs w:val="24"/>
        </w:rPr>
      </w:pPr>
    </w:p>
    <w:p w14:paraId="3C06BEE4">
      <w:pPr>
        <w:pStyle w:val="16"/>
        <w:outlineLvl w:val="9"/>
        <w:rPr>
          <w:color w:val="auto"/>
        </w:rPr>
        <w:sectPr>
          <w:type w:val="nextColumn"/>
          <w:pgSz w:w="11906" w:h="16838"/>
          <w:pgMar w:top="1418" w:right="1418" w:bottom="1418" w:left="1418" w:header="850" w:footer="992" w:gutter="0"/>
          <w:pgNumType w:fmt="decimal"/>
          <w:cols w:space="720" w:num="1"/>
          <w:docGrid w:linePitch="312" w:charSpace="0"/>
        </w:sectPr>
      </w:pPr>
    </w:p>
    <w:p w14:paraId="782673EA">
      <w:pPr>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outlineLvl w:val="9"/>
        <w:rPr>
          <w:rFonts w:hint="eastAsia" w:ascii="宋体" w:hAnsi="宋体" w:eastAsia="宋体" w:cs="宋体"/>
          <w:b/>
          <w:bCs/>
          <w:color w:val="auto"/>
          <w:sz w:val="28"/>
          <w:szCs w:val="28"/>
        </w:rPr>
      </w:pPr>
      <w:bookmarkStart w:id="1078" w:name="_Toc11849"/>
      <w:r>
        <w:rPr>
          <w:rFonts w:hint="eastAsia" w:ascii="宋体" w:hAnsi="宋体" w:eastAsia="宋体" w:cs="宋体"/>
          <w:b/>
          <w:bCs/>
          <w:color w:val="auto"/>
          <w:sz w:val="28"/>
          <w:szCs w:val="28"/>
          <w:lang w:val="en-US" w:eastAsia="zh-CN"/>
        </w:rPr>
        <w:t>附件三：</w:t>
      </w:r>
    </w:p>
    <w:p w14:paraId="46A3BE5D">
      <w:pPr>
        <w:pageBreakBefore w:val="0"/>
        <w:widowControl/>
        <w:kinsoku/>
        <w:wordWrap/>
        <w:overflowPunct/>
        <w:topLinePunct w:val="0"/>
        <w:autoSpaceDE/>
        <w:autoSpaceDN/>
        <w:bidi w:val="0"/>
        <w:adjustRightInd/>
        <w:snapToGrid/>
        <w:spacing w:line="240" w:lineRule="auto"/>
        <w:ind w:firstLine="562" w:firstLineChars="200"/>
        <w:jc w:val="center"/>
        <w:textAlignment w:val="auto"/>
        <w:outlineLvl w:val="9"/>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安全生产合同（格式）</w:t>
      </w:r>
    </w:p>
    <w:p w14:paraId="199CB9F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为在</w:t>
      </w:r>
      <w:r>
        <w:rPr>
          <w:rFonts w:hint="eastAsia" w:ascii="宋体" w:hAnsi="宋体" w:cs="宋体"/>
          <w:color w:val="auto"/>
          <w:sz w:val="24"/>
          <w:szCs w:val="24"/>
          <w:lang w:val="en-US" w:eastAsia="zh-CN"/>
        </w:rPr>
        <w:t>富平县2025年农村饮水工程维修养护项目</w:t>
      </w:r>
      <w:r>
        <w:rPr>
          <w:rFonts w:hint="eastAsia" w:ascii="宋体" w:hAnsi="宋体" w:eastAsia="宋体" w:cs="宋体"/>
          <w:color w:val="auto"/>
          <w:sz w:val="24"/>
          <w:szCs w:val="24"/>
          <w:lang w:val="en-US" w:eastAsia="zh-CN"/>
        </w:rPr>
        <w:t xml:space="preserve">施工合同的实施过程中创造安全、高效的施工环境，切实搞好本项目的安全管理工作，本项目发包人富平县农村饮水工程指挥部办公室（发包人名称，以下简称“发包人”）与承包人（承包人名称，以下简称“承包人”）特此签订安全生产合同： </w:t>
      </w:r>
    </w:p>
    <w:p w14:paraId="20261ECE">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发包人职责 </w:t>
      </w:r>
    </w:p>
    <w:p w14:paraId="72DB7DC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（1）严格遵守国家有关安全生产的法律法规，认真执行工程承包合同中的有关安 </w:t>
      </w:r>
    </w:p>
    <w:p w14:paraId="10DA5B8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全要求。</w:t>
      </w:r>
    </w:p>
    <w:p w14:paraId="05221AE7">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（2）按照“安全第一、预防为主”和坚持“管生产必须管安全”的原则进行安全 </w:t>
      </w:r>
    </w:p>
    <w:p w14:paraId="7595F0AB">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生产管理，做到生产与安全工作同时计划、布置、检查、总结和评比。 </w:t>
      </w:r>
    </w:p>
    <w:p w14:paraId="3F0FD664">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（3）重要的安全设施必须坚持与主体工程“三同时”的原则，即：同时设计、审 </w:t>
      </w:r>
    </w:p>
    <w:p w14:paraId="47CABA6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批，同时施工，同时验收，投入使用。 </w:t>
      </w:r>
    </w:p>
    <w:p w14:paraId="0CE1F01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（4）定期召开安全生产调度会，及时传达中央及地方有关安全生产的精神。 </w:t>
      </w:r>
    </w:p>
    <w:p w14:paraId="72BF599C">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（5）组织对承包人施工现场安全生产检查，监督承包人及时处理发现的各种安全 </w:t>
      </w:r>
    </w:p>
    <w:p w14:paraId="7DA52175">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隐患。</w:t>
      </w:r>
    </w:p>
    <w:p w14:paraId="6354C44D">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2.承包人职责 </w:t>
      </w:r>
    </w:p>
    <w:p w14:paraId="6149EFD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（1）严格遵守《中华人民共和国安全生产法》、《建设工程安全生产管理条例》等国家有关安全生产的法律法规的规定。认真执行工程承包合同中的有关安全要求。 </w:t>
      </w:r>
    </w:p>
    <w:p w14:paraId="5F7C3BCF">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 </w:t>
      </w:r>
    </w:p>
    <w:p w14:paraId="2467D98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规定的最低数量和资质条件配备专职安全生产管理人员，专职负责所有员工的安全和治安保卫工作及预防事故的发生。安全机构人员有权按有关规定发布指令，并采取保护性措施防止事故发生。</w:t>
      </w:r>
    </w:p>
    <w:p w14:paraId="46E6DFF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（4）承包人在任何时候都应采取各种合理的预防措施，防止其员工发生任何违法、违禁、暴力或妨碍治安的行为。 </w:t>
      </w:r>
    </w:p>
    <w:p w14:paraId="0BE4159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（5）承包人必须具有劳动安全管理部门颁发的安全生产考核合格证书，参加施工的人员，必须接受安全技术教育，熟知和遵守本工种的各项安全技术操作规程，定期进行安全技术考核，合格者方准上岗操作。 </w:t>
      </w:r>
    </w:p>
    <w:p w14:paraId="29E9B25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 </w:t>
      </w:r>
    </w:p>
    <w:p w14:paraId="36F5430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（7）操作人员上岗，必须按规定穿戴防护用品。施工负责人和安全检查员应随时检查劳动防护用品的穿戴情况，不按规定穿戴防护用品的人员不得上岗。 </w:t>
      </w:r>
    </w:p>
    <w:p w14:paraId="24449943">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（8）所有施工机具设备和高空作业的设备均应定期检查，并有安全员的签字记录，保证其经常处于完好状态；不合格的机具、设备和劳动保护用品严禁使用： </w:t>
      </w:r>
    </w:p>
    <w:p w14:paraId="1BB5FD35">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（9）施工中采用新技术、新工艺、新设备、新材料时，必须制定相应的安全技术措施，施工现场必须具有相关的安全标志牌。 </w:t>
      </w:r>
    </w:p>
    <w:p w14:paraId="03932F06">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5E3E29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3.违约责任 </w:t>
      </w:r>
    </w:p>
    <w:p w14:paraId="6EBDB730">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如因发包人或承包人违约造成安全事故，将依法追究责任。 </w:t>
      </w:r>
    </w:p>
    <w:p w14:paraId="49B854C9">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4.本合同由双方法定代表人或其授权的代理人签署并加盖单位公章后生效，全部工程竣工验收后失效。 </w:t>
      </w:r>
    </w:p>
    <w:p w14:paraId="787C06EE">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5.本合同正本—式二份，副本 份，合同双方各执正本—份，副本 份，当正本与 </w:t>
      </w:r>
    </w:p>
    <w:p w14:paraId="0226BF08">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副本的内容不一致时，以正本为准。 </w:t>
      </w:r>
    </w:p>
    <w:p w14:paraId="68638E81">
      <w:pPr>
        <w:pStyle w:val="11"/>
        <w:outlineLvl w:val="9"/>
        <w:rPr>
          <w:rFonts w:hint="eastAsia" w:ascii="宋体" w:hAnsi="宋体" w:eastAsia="宋体" w:cs="宋体"/>
          <w:color w:val="auto"/>
        </w:rPr>
      </w:pPr>
    </w:p>
    <w:p w14:paraId="53435B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 xml:space="preserve">发包人：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（盖单位公章）   承包人：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（盖单位公章） </w:t>
      </w:r>
    </w:p>
    <w:p w14:paraId="2F17B2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法定代表人或其委托代理人：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（签字）   法定代表人或其委托代理人：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（签字） </w:t>
      </w:r>
    </w:p>
    <w:p w14:paraId="7002CD3C">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宋体" w:hAnsi="宋体" w:eastAsia="宋体" w:cs="宋体"/>
          <w:color w:val="auto"/>
        </w:rPr>
      </w:pP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日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p>
    <w:p w14:paraId="62F178D1">
      <w:pPr>
        <w:pStyle w:val="16"/>
        <w:outlineLvl w:val="9"/>
        <w:rPr>
          <w:color w:val="auto"/>
        </w:rPr>
        <w:sectPr>
          <w:pgSz w:w="11906" w:h="16838"/>
          <w:pgMar w:top="1418" w:right="1418" w:bottom="1418" w:left="1418" w:header="850" w:footer="992" w:gutter="0"/>
          <w:pgNumType w:fmt="decimal"/>
          <w:cols w:space="720" w:num="1"/>
          <w:docGrid w:linePitch="312" w:charSpace="0"/>
        </w:sectPr>
      </w:pPr>
    </w:p>
    <w:p w14:paraId="2F69C736">
      <w:pPr>
        <w:jc w:val="center"/>
        <w:outlineLvl w:val="0"/>
        <w:rPr>
          <w:rFonts w:hint="default" w:ascii="宋体" w:hAnsi="宋体"/>
          <w:b/>
          <w:color w:val="auto"/>
          <w:sz w:val="36"/>
          <w:lang w:val="en-US"/>
        </w:rPr>
      </w:pPr>
      <w:bookmarkStart w:id="1079" w:name="_Toc13448"/>
      <w:r>
        <w:rPr>
          <w:rFonts w:hint="eastAsia" w:ascii="宋体" w:hAnsi="宋体"/>
          <w:b/>
          <w:color w:val="auto"/>
          <w:sz w:val="36"/>
        </w:rPr>
        <w:t>第</w:t>
      </w:r>
      <w:r>
        <w:rPr>
          <w:rFonts w:hint="eastAsia" w:ascii="宋体" w:hAnsi="宋体"/>
          <w:b/>
          <w:color w:val="auto"/>
          <w:sz w:val="36"/>
          <w:lang w:val="en-US" w:eastAsia="zh-CN"/>
        </w:rPr>
        <w:t>五</w:t>
      </w:r>
      <w:r>
        <w:rPr>
          <w:rFonts w:hint="eastAsia" w:ascii="宋体" w:hAnsi="宋体"/>
          <w:b/>
          <w:color w:val="auto"/>
          <w:sz w:val="36"/>
        </w:rPr>
        <w:t xml:space="preserve">部分  </w:t>
      </w:r>
      <w:r>
        <w:rPr>
          <w:rFonts w:hint="eastAsia" w:ascii="宋体" w:hAnsi="宋体"/>
          <w:b/>
          <w:bCs/>
          <w:color w:val="auto"/>
          <w:sz w:val="36"/>
          <w:szCs w:val="36"/>
          <w:lang w:val="en-US" w:eastAsia="zh-CN"/>
        </w:rPr>
        <w:t>技术标准和要求</w:t>
      </w:r>
      <w:bookmarkEnd w:id="1078"/>
      <w:bookmarkEnd w:id="1079"/>
    </w:p>
    <w:p w14:paraId="139E5BF4">
      <w:pPr>
        <w:spacing w:line="360" w:lineRule="auto"/>
        <w:ind w:firstLine="480" w:firstLineChars="200"/>
        <w:outlineLvl w:val="9"/>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一、工程内容</w:t>
      </w:r>
    </w:p>
    <w:p w14:paraId="1F07E3F8">
      <w:pPr>
        <w:spacing w:line="360" w:lineRule="auto"/>
        <w:ind w:firstLine="480" w:firstLineChars="200"/>
        <w:outlineLvl w:val="9"/>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highlight w:val="none"/>
          <w:lang w:val="en-US" w:eastAsia="zh-CN"/>
        </w:rPr>
        <w:t>、</w:t>
      </w:r>
      <w:r>
        <w:rPr>
          <w:rFonts w:hint="eastAsia" w:cs="宋体"/>
          <w:color w:val="auto"/>
          <w:spacing w:val="0"/>
          <w:kern w:val="0"/>
          <w:sz w:val="24"/>
          <w:szCs w:val="24"/>
          <w:highlight w:val="none"/>
          <w:lang w:val="en-US" w:eastAsia="zh-CN"/>
        </w:rPr>
        <w:t>富</w:t>
      </w:r>
      <w:r>
        <w:rPr>
          <w:rFonts w:hint="eastAsia" w:ascii="Times New Roman" w:hAnsi="Times New Roman" w:eastAsia="宋体" w:cs="宋体"/>
          <w:color w:val="auto"/>
          <w:spacing w:val="0"/>
          <w:kern w:val="0"/>
          <w:sz w:val="24"/>
          <w:szCs w:val="24"/>
          <w:highlight w:val="none"/>
          <w:lang w:val="en-US" w:eastAsia="zh-CN"/>
        </w:rPr>
        <w:t>平县2025年农</w:t>
      </w:r>
      <w:r>
        <w:rPr>
          <w:rFonts w:hint="eastAsia" w:cs="宋体"/>
          <w:color w:val="auto"/>
          <w:spacing w:val="0"/>
          <w:kern w:val="0"/>
          <w:sz w:val="24"/>
          <w:szCs w:val="24"/>
          <w:highlight w:val="none"/>
          <w:lang w:val="en-US" w:eastAsia="zh-CN"/>
        </w:rPr>
        <w:t>村饮水工程维修养护项目，</w:t>
      </w:r>
      <w:r>
        <w:rPr>
          <w:rFonts w:hint="eastAsia" w:ascii="宋体" w:hAnsi="宋体" w:eastAsia="宋体" w:cs="Times New Roman"/>
          <w:color w:val="auto"/>
          <w:sz w:val="24"/>
          <w:szCs w:val="24"/>
          <w:highlight w:val="none"/>
          <w:lang w:val="en-US" w:eastAsia="zh-CN"/>
        </w:rPr>
        <w:t>主要</w:t>
      </w:r>
      <w:r>
        <w:rPr>
          <w:rFonts w:hint="eastAsia" w:ascii="宋体" w:hAnsi="宋体" w:cs="Times New Roman"/>
          <w:color w:val="auto"/>
          <w:sz w:val="24"/>
          <w:szCs w:val="24"/>
          <w:highlight w:val="none"/>
          <w:lang w:val="en-US" w:eastAsia="zh-CN"/>
        </w:rPr>
        <w:t>建设</w:t>
      </w:r>
      <w:r>
        <w:rPr>
          <w:rFonts w:hint="eastAsia" w:ascii="宋体" w:hAnsi="宋体" w:eastAsia="宋体" w:cs="Times New Roman"/>
          <w:color w:val="auto"/>
          <w:sz w:val="24"/>
          <w:szCs w:val="24"/>
          <w:highlight w:val="none"/>
          <w:lang w:val="en-US" w:eastAsia="zh-CN"/>
        </w:rPr>
        <w:t>内容</w:t>
      </w:r>
      <w:r>
        <w:rPr>
          <w:rFonts w:hint="eastAsia" w:ascii="宋体" w:hAnsi="宋体" w:cs="Times New Roman"/>
          <w:color w:val="auto"/>
          <w:sz w:val="24"/>
          <w:szCs w:val="24"/>
          <w:highlight w:val="none"/>
          <w:lang w:val="en-US" w:eastAsia="zh-CN"/>
        </w:rPr>
        <w:t>为</w:t>
      </w:r>
      <w:r>
        <w:rPr>
          <w:rFonts w:hint="eastAsia" w:ascii="宋体" w:hAnsi="宋体" w:eastAsia="宋体" w:cs="Times New Roman"/>
          <w:color w:val="auto"/>
          <w:kern w:val="0"/>
          <w:sz w:val="24"/>
          <w:szCs w:val="24"/>
          <w:highlight w:val="none"/>
          <w:lang w:val="en-US" w:eastAsia="zh-CN" w:bidi="ar-SA"/>
        </w:rPr>
        <w:t>维修蓄水池2座；修缮泵房5座；更新水质化验仪器4套；采购饮用水消毒片3000瓶；维修、更换机电设备13台；维修更换输配水管道4670m；安装各类闸阀10个；维修、新建闸阀井20座。</w:t>
      </w:r>
    </w:p>
    <w:p w14:paraId="15DDF917">
      <w:pPr>
        <w:spacing w:line="360" w:lineRule="auto"/>
        <w:ind w:firstLine="480" w:firstLineChars="200"/>
        <w:outlineLvl w:val="9"/>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2、工期：合同签订后</w:t>
      </w:r>
      <w:r>
        <w:rPr>
          <w:rFonts w:hint="eastAsia" w:ascii="宋体" w:hAnsi="宋体" w:cs="Times New Roman"/>
          <w:color w:val="auto"/>
          <w:kern w:val="0"/>
          <w:sz w:val="24"/>
          <w:szCs w:val="24"/>
          <w:highlight w:val="none"/>
          <w:lang w:val="en-US" w:eastAsia="zh-CN" w:bidi="ar-SA"/>
        </w:rPr>
        <w:t>9</w:t>
      </w:r>
      <w:r>
        <w:rPr>
          <w:rFonts w:hint="eastAsia" w:ascii="宋体" w:hAnsi="宋体" w:eastAsia="宋体" w:cs="Times New Roman"/>
          <w:color w:val="auto"/>
          <w:kern w:val="0"/>
          <w:sz w:val="24"/>
          <w:szCs w:val="24"/>
          <w:highlight w:val="none"/>
          <w:lang w:val="en-US" w:eastAsia="zh-CN" w:bidi="ar-SA"/>
        </w:rPr>
        <w:t>0日历天内施工完毕。</w:t>
      </w:r>
    </w:p>
    <w:p w14:paraId="53035DAA">
      <w:pPr>
        <w:spacing w:line="360" w:lineRule="auto"/>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b w:val="0"/>
          <w:bCs w:val="0"/>
          <w:color w:val="auto"/>
          <w:kern w:val="0"/>
          <w:sz w:val="24"/>
          <w:szCs w:val="24"/>
          <w:highlight w:val="none"/>
          <w:lang w:val="en-US" w:eastAsia="zh-CN" w:bidi="ar-SA"/>
        </w:rPr>
        <w:t>质量标准：合格。</w:t>
      </w:r>
    </w:p>
    <w:p w14:paraId="10D4425D">
      <w:pPr>
        <w:spacing w:line="360" w:lineRule="auto"/>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付款方式：</w:t>
      </w:r>
      <w:r>
        <w:rPr>
          <w:rFonts w:hint="eastAsia" w:ascii="宋体" w:hAnsi="宋体" w:eastAsia="宋体" w:cs="宋体"/>
          <w:sz w:val="24"/>
          <w:szCs w:val="24"/>
          <w:highlight w:val="none"/>
          <w:lang w:val="en-US" w:eastAsia="zh-CN"/>
        </w:rPr>
        <w:t>按月计量支付（具体详见磋商文件第四部分专用合同条款17.3）。</w:t>
      </w:r>
    </w:p>
    <w:p w14:paraId="18B1CCDA">
      <w:pPr>
        <w:spacing w:line="400" w:lineRule="exact"/>
        <w:ind w:firstLine="480" w:firstLineChars="200"/>
        <w:jc w:val="both"/>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b w:val="0"/>
          <w:bCs w:val="0"/>
          <w:color w:val="auto"/>
          <w:kern w:val="0"/>
          <w:sz w:val="24"/>
          <w:szCs w:val="24"/>
          <w:highlight w:val="none"/>
          <w:lang w:val="en-US" w:eastAsia="zh-CN" w:bidi="ar-SA"/>
        </w:rPr>
        <w:t>质量保修期（缺陷责任期）</w:t>
      </w:r>
      <w:r>
        <w:rPr>
          <w:rFonts w:hint="eastAsia" w:ascii="宋体" w:hAnsi="宋体" w:eastAsia="宋体" w:cs="Times New Roman"/>
          <w:b w:val="0"/>
          <w:bCs w:val="0"/>
          <w:color w:val="auto"/>
          <w:kern w:val="0"/>
          <w:sz w:val="24"/>
          <w:szCs w:val="24"/>
          <w:highlight w:val="none"/>
          <w:lang w:val="en-US" w:eastAsia="zh-CN" w:bidi="ar-SA"/>
        </w:rPr>
        <w:t>：自竣工验收合格之日起不少于</w:t>
      </w:r>
      <w:r>
        <w:rPr>
          <w:rFonts w:hint="eastAsia" w:ascii="宋体" w:hAnsi="宋体" w:cs="Times New Roman"/>
          <w:b w:val="0"/>
          <w:bCs w:val="0"/>
          <w:color w:val="auto"/>
          <w:kern w:val="0"/>
          <w:sz w:val="24"/>
          <w:szCs w:val="24"/>
          <w:highlight w:val="none"/>
          <w:lang w:val="en-US" w:eastAsia="zh-CN" w:bidi="ar-SA"/>
        </w:rPr>
        <w:t>24</w:t>
      </w:r>
      <w:r>
        <w:rPr>
          <w:rFonts w:hint="eastAsia" w:ascii="宋体" w:hAnsi="宋体" w:eastAsia="宋体" w:cs="Times New Roman"/>
          <w:b w:val="0"/>
          <w:bCs w:val="0"/>
          <w:color w:val="auto"/>
          <w:kern w:val="0"/>
          <w:sz w:val="24"/>
          <w:szCs w:val="24"/>
          <w:highlight w:val="none"/>
          <w:lang w:val="en-US" w:eastAsia="zh-CN" w:bidi="ar-SA"/>
        </w:rPr>
        <w:t>个月。</w:t>
      </w:r>
    </w:p>
    <w:p w14:paraId="30E48A1A">
      <w:pPr>
        <w:spacing w:line="360" w:lineRule="auto"/>
        <w:ind w:firstLine="480" w:firstLineChars="200"/>
        <w:outlineLvl w:val="9"/>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二、工程建设标准</w:t>
      </w:r>
    </w:p>
    <w:p w14:paraId="2990FCDB">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rPr>
        <w:t>、依据设计文件的要求，本次招标工程项目的材料、设备、施工须达到所涉及到的现行中华人民共和国以及省、自治区、直辖市或行业的工程建设标准、规范的要求。</w:t>
      </w:r>
    </w:p>
    <w:p w14:paraId="001C105A">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、根据工程设计要求，该项工程项目的材料、设备、施工除必须达到上述第一条标准外，还应满足设计要求和采购人在磋商文件中的有关要求。</w:t>
      </w:r>
    </w:p>
    <w:p w14:paraId="4E397B99">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、该工程项目的材料、设备、施工如无上述第一、二条的标准，在材料、设备的订货采购和施工安装时，应出具生产厂家或施工安装企业在技术监督部门已备案企业标准，并经业主批准后方可实施。</w:t>
      </w:r>
    </w:p>
    <w:p w14:paraId="7895655D">
      <w:pPr>
        <w:spacing w:line="360" w:lineRule="auto"/>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w:t>
      </w:r>
      <w:r>
        <w:rPr>
          <w:rFonts w:hint="eastAsia" w:ascii="宋体" w:hAnsi="宋体" w:eastAsia="宋体" w:cs="Times New Roman"/>
          <w:sz w:val="24"/>
          <w:szCs w:val="24"/>
        </w:rPr>
        <w:t>该工程项目达到国家及行业规定的</w:t>
      </w:r>
      <w:r>
        <w:rPr>
          <w:rFonts w:hint="eastAsia" w:ascii="宋体" w:hAnsi="宋体" w:eastAsia="宋体" w:cs="Times New Roman"/>
          <w:sz w:val="24"/>
          <w:szCs w:val="24"/>
          <w:lang w:eastAsia="zh-CN"/>
        </w:rPr>
        <w:t>水利水电</w:t>
      </w:r>
      <w:r>
        <w:rPr>
          <w:rFonts w:hint="eastAsia" w:ascii="宋体" w:hAnsi="宋体" w:eastAsia="宋体" w:cs="Times New Roman"/>
          <w:sz w:val="24"/>
          <w:szCs w:val="24"/>
        </w:rPr>
        <w:t>工程质量检验评定的“合格”标准</w:t>
      </w:r>
      <w:r>
        <w:rPr>
          <w:rFonts w:hint="eastAsia" w:ascii="宋体" w:hAnsi="宋体" w:eastAsia="宋体" w:cs="Times New Roman"/>
          <w:color w:val="auto"/>
          <w:sz w:val="24"/>
          <w:szCs w:val="24"/>
        </w:rPr>
        <w:t>。</w:t>
      </w:r>
    </w:p>
    <w:p w14:paraId="21C6DDA3">
      <w:pPr>
        <w:jc w:val="center"/>
        <w:outlineLvl w:val="9"/>
        <w:rPr>
          <w:rFonts w:hint="eastAsia" w:ascii="宋体" w:hAnsi="宋体"/>
          <w:b/>
          <w:color w:val="auto"/>
          <w:sz w:val="36"/>
        </w:rPr>
      </w:pPr>
    </w:p>
    <w:p w14:paraId="44DE73BF">
      <w:pPr>
        <w:pStyle w:val="11"/>
        <w:outlineLvl w:val="9"/>
        <w:rPr>
          <w:rFonts w:hint="eastAsia" w:ascii="宋体" w:hAnsi="宋体"/>
          <w:b/>
          <w:color w:val="auto"/>
          <w:sz w:val="36"/>
        </w:rPr>
      </w:pPr>
    </w:p>
    <w:p w14:paraId="04986698">
      <w:pPr>
        <w:pStyle w:val="20"/>
        <w:outlineLvl w:val="9"/>
        <w:rPr>
          <w:rFonts w:hint="eastAsia" w:ascii="宋体" w:hAnsi="宋体"/>
          <w:b/>
          <w:color w:val="auto"/>
          <w:sz w:val="36"/>
        </w:rPr>
      </w:pPr>
    </w:p>
    <w:p w14:paraId="3CD52E3B">
      <w:pPr>
        <w:pStyle w:val="20"/>
        <w:outlineLvl w:val="9"/>
        <w:rPr>
          <w:rFonts w:hint="eastAsia" w:ascii="宋体" w:hAnsi="宋体"/>
          <w:b/>
          <w:color w:val="auto"/>
          <w:sz w:val="36"/>
        </w:rPr>
      </w:pPr>
    </w:p>
    <w:p w14:paraId="6535A42E">
      <w:pPr>
        <w:pStyle w:val="20"/>
        <w:outlineLvl w:val="9"/>
        <w:rPr>
          <w:rFonts w:hint="eastAsia" w:ascii="宋体" w:hAnsi="宋体"/>
          <w:b/>
          <w:color w:val="auto"/>
          <w:sz w:val="36"/>
        </w:rPr>
      </w:pPr>
    </w:p>
    <w:p w14:paraId="4DD08328">
      <w:pPr>
        <w:pStyle w:val="20"/>
        <w:outlineLvl w:val="9"/>
        <w:rPr>
          <w:rFonts w:hint="eastAsia" w:ascii="宋体" w:hAnsi="宋体"/>
          <w:b/>
          <w:color w:val="auto"/>
          <w:sz w:val="36"/>
        </w:rPr>
      </w:pPr>
    </w:p>
    <w:p w14:paraId="20D22C6E">
      <w:pPr>
        <w:pStyle w:val="20"/>
        <w:outlineLvl w:val="9"/>
        <w:rPr>
          <w:rFonts w:hint="eastAsia" w:ascii="宋体" w:hAnsi="宋体"/>
          <w:b/>
          <w:color w:val="auto"/>
          <w:sz w:val="36"/>
        </w:rPr>
      </w:pPr>
    </w:p>
    <w:p w14:paraId="7D2B5926">
      <w:pPr>
        <w:pStyle w:val="20"/>
        <w:outlineLvl w:val="9"/>
        <w:rPr>
          <w:rFonts w:hint="eastAsia" w:ascii="宋体" w:hAnsi="宋体"/>
          <w:b/>
          <w:color w:val="auto"/>
          <w:sz w:val="36"/>
        </w:rPr>
      </w:pPr>
    </w:p>
    <w:p w14:paraId="2CC940F3">
      <w:pPr>
        <w:pStyle w:val="20"/>
        <w:outlineLvl w:val="9"/>
        <w:rPr>
          <w:rFonts w:hint="eastAsia" w:ascii="宋体" w:hAnsi="宋体"/>
          <w:b/>
          <w:color w:val="auto"/>
          <w:sz w:val="36"/>
        </w:rPr>
      </w:pPr>
    </w:p>
    <w:p w14:paraId="65884862">
      <w:pPr>
        <w:pStyle w:val="20"/>
        <w:outlineLvl w:val="9"/>
        <w:rPr>
          <w:rFonts w:hint="eastAsia" w:ascii="宋体" w:hAnsi="宋体"/>
          <w:b/>
          <w:color w:val="auto"/>
          <w:sz w:val="36"/>
        </w:rPr>
      </w:pPr>
    </w:p>
    <w:p w14:paraId="52389E10">
      <w:pPr>
        <w:pStyle w:val="20"/>
        <w:outlineLvl w:val="9"/>
        <w:rPr>
          <w:rFonts w:hint="eastAsia" w:ascii="宋体" w:hAnsi="宋体"/>
          <w:b/>
          <w:color w:val="auto"/>
          <w:sz w:val="36"/>
        </w:rPr>
      </w:pPr>
    </w:p>
    <w:p w14:paraId="2B3C91C5">
      <w:pPr>
        <w:jc w:val="center"/>
        <w:outlineLvl w:val="0"/>
        <w:rPr>
          <w:rFonts w:hint="eastAsia" w:ascii="宋体" w:hAnsi="宋体"/>
          <w:b/>
          <w:bCs/>
          <w:color w:val="auto"/>
          <w:sz w:val="36"/>
          <w:szCs w:val="36"/>
        </w:rPr>
      </w:pPr>
      <w:bookmarkStart w:id="1080" w:name="_Toc16787"/>
      <w:bookmarkStart w:id="1081" w:name="_Toc30571"/>
      <w:r>
        <w:rPr>
          <w:rFonts w:hint="eastAsia" w:ascii="宋体" w:hAnsi="宋体"/>
          <w:b/>
          <w:color w:val="auto"/>
          <w:sz w:val="36"/>
        </w:rPr>
        <w:t>第</w:t>
      </w:r>
      <w:r>
        <w:rPr>
          <w:rFonts w:hint="eastAsia" w:ascii="宋体" w:hAnsi="宋体"/>
          <w:b/>
          <w:color w:val="auto"/>
          <w:sz w:val="36"/>
          <w:lang w:val="en-US" w:eastAsia="zh-CN"/>
        </w:rPr>
        <w:t>六</w:t>
      </w:r>
      <w:r>
        <w:rPr>
          <w:rFonts w:hint="eastAsia" w:ascii="宋体" w:hAnsi="宋体"/>
          <w:b/>
          <w:color w:val="auto"/>
          <w:sz w:val="36"/>
        </w:rPr>
        <w:t xml:space="preserve">部分  </w:t>
      </w:r>
      <w:r>
        <w:rPr>
          <w:rFonts w:hint="eastAsia" w:ascii="宋体" w:hAnsi="宋体"/>
          <w:b/>
          <w:bCs/>
          <w:color w:val="auto"/>
          <w:sz w:val="36"/>
          <w:szCs w:val="36"/>
        </w:rPr>
        <w:t>磋商响应文件格式</w:t>
      </w:r>
      <w:bookmarkEnd w:id="49"/>
      <w:bookmarkEnd w:id="67"/>
      <w:bookmarkEnd w:id="68"/>
      <w:bookmarkEnd w:id="1080"/>
      <w:bookmarkEnd w:id="1081"/>
    </w:p>
    <w:p w14:paraId="174EF4FD">
      <w:pPr>
        <w:tabs>
          <w:tab w:val="left" w:pos="315"/>
          <w:tab w:val="left" w:pos="8820"/>
        </w:tabs>
        <w:ind w:right="266" w:rightChars="127"/>
        <w:jc w:val="center"/>
        <w:outlineLvl w:val="9"/>
        <w:rPr>
          <w:rFonts w:hint="eastAsia" w:ascii="宋体" w:hAnsi="宋体"/>
          <w:bCs/>
          <w:color w:val="auto"/>
          <w:sz w:val="36"/>
          <w:szCs w:val="36"/>
        </w:rPr>
      </w:pPr>
    </w:p>
    <w:p w14:paraId="7EA4813E">
      <w:pPr>
        <w:pStyle w:val="16"/>
        <w:outlineLvl w:val="9"/>
        <w:rPr>
          <w:rFonts w:hint="eastAsia"/>
          <w:color w:val="auto"/>
        </w:rPr>
      </w:pPr>
    </w:p>
    <w:p w14:paraId="77F1B690">
      <w:pPr>
        <w:tabs>
          <w:tab w:val="left" w:pos="315"/>
          <w:tab w:val="left" w:pos="8820"/>
        </w:tabs>
        <w:ind w:right="266" w:rightChars="127"/>
        <w:jc w:val="center"/>
        <w:outlineLvl w:val="9"/>
        <w:rPr>
          <w:rFonts w:hint="eastAsia" w:ascii="宋体" w:hAnsi="宋体" w:eastAsia="宋体" w:cs="宋体"/>
          <w:b/>
          <w:color w:val="auto"/>
          <w:spacing w:val="0"/>
          <w:sz w:val="36"/>
          <w:szCs w:val="36"/>
          <w:lang w:val="en-US" w:eastAsia="zh-CN"/>
        </w:rPr>
      </w:pPr>
      <w:r>
        <w:rPr>
          <w:rFonts w:hint="eastAsia" w:ascii="宋体" w:hAnsi="宋体" w:eastAsia="宋体" w:cs="宋体"/>
          <w:b/>
          <w:color w:val="auto"/>
          <w:spacing w:val="0"/>
          <w:sz w:val="36"/>
          <w:szCs w:val="36"/>
          <w:lang w:val="en-US" w:eastAsia="zh-CN"/>
        </w:rPr>
        <w:t>富平县2025年农村饮水工程维修养护项目</w:t>
      </w:r>
    </w:p>
    <w:p w14:paraId="3C35B92D">
      <w:pPr>
        <w:tabs>
          <w:tab w:val="left" w:pos="315"/>
          <w:tab w:val="left" w:pos="8820"/>
        </w:tabs>
        <w:ind w:right="266" w:rightChars="127"/>
        <w:jc w:val="center"/>
        <w:outlineLvl w:val="9"/>
        <w:rPr>
          <w:rFonts w:hint="eastAsia" w:ascii="宋体" w:hAnsi="宋体" w:eastAsia="宋体" w:cs="宋体"/>
          <w:b/>
          <w:color w:val="auto"/>
          <w:spacing w:val="0"/>
          <w:sz w:val="36"/>
          <w:szCs w:val="36"/>
          <w:lang w:val="en-US" w:eastAsia="zh-CN"/>
        </w:rPr>
      </w:pPr>
    </w:p>
    <w:p w14:paraId="6203A187">
      <w:pPr>
        <w:pStyle w:val="16"/>
        <w:outlineLvl w:val="9"/>
        <w:rPr>
          <w:rFonts w:hint="eastAsia"/>
          <w:color w:val="auto"/>
          <w:lang w:val="en-US" w:eastAsia="zh-CN"/>
        </w:rPr>
      </w:pPr>
    </w:p>
    <w:p w14:paraId="3CF516DA">
      <w:pPr>
        <w:spacing w:line="360" w:lineRule="auto"/>
        <w:jc w:val="center"/>
        <w:outlineLvl w:val="9"/>
        <w:rPr>
          <w:rFonts w:hint="eastAsia" w:ascii="宋体" w:hAnsi="宋体"/>
          <w:b/>
          <w:color w:val="auto"/>
          <w:sz w:val="72"/>
          <w:szCs w:val="72"/>
        </w:rPr>
      </w:pPr>
      <w:r>
        <w:rPr>
          <w:rFonts w:hint="eastAsia" w:ascii="宋体" w:hAnsi="宋体"/>
          <w:b/>
          <w:color w:val="auto"/>
          <w:sz w:val="72"/>
          <w:szCs w:val="72"/>
        </w:rPr>
        <w:t>磋商响应文件</w:t>
      </w:r>
    </w:p>
    <w:p w14:paraId="3EFAC347">
      <w:pPr>
        <w:ind w:firstLine="160" w:firstLineChars="50"/>
        <w:outlineLvl w:val="9"/>
        <w:rPr>
          <w:rFonts w:hint="eastAsia" w:ascii="宋体" w:hAnsi="宋体"/>
          <w:b/>
          <w:color w:val="auto"/>
          <w:sz w:val="32"/>
          <w:szCs w:val="32"/>
        </w:rPr>
      </w:pPr>
    </w:p>
    <w:p w14:paraId="52EC827B">
      <w:pPr>
        <w:ind w:firstLine="160" w:firstLineChars="50"/>
        <w:outlineLvl w:val="9"/>
        <w:rPr>
          <w:rFonts w:hint="eastAsia" w:ascii="宋体" w:hAnsi="宋体"/>
          <w:b/>
          <w:color w:val="auto"/>
          <w:sz w:val="32"/>
          <w:szCs w:val="32"/>
        </w:rPr>
      </w:pPr>
    </w:p>
    <w:p w14:paraId="5A7B99B4">
      <w:pPr>
        <w:ind w:firstLine="160" w:firstLineChars="50"/>
        <w:outlineLvl w:val="9"/>
        <w:rPr>
          <w:rFonts w:hint="eastAsia" w:ascii="宋体" w:hAnsi="宋体"/>
          <w:b/>
          <w:color w:val="auto"/>
          <w:sz w:val="32"/>
          <w:szCs w:val="32"/>
        </w:rPr>
      </w:pPr>
    </w:p>
    <w:p w14:paraId="4018C58C">
      <w:pPr>
        <w:ind w:firstLine="160" w:firstLineChars="50"/>
        <w:outlineLvl w:val="9"/>
        <w:rPr>
          <w:rFonts w:hint="eastAsia" w:ascii="宋体" w:hAnsi="宋体"/>
          <w:b/>
          <w:color w:val="auto"/>
          <w:sz w:val="32"/>
          <w:szCs w:val="32"/>
        </w:rPr>
      </w:pPr>
    </w:p>
    <w:p w14:paraId="490CF41C">
      <w:pPr>
        <w:pStyle w:val="16"/>
        <w:outlineLvl w:val="9"/>
        <w:rPr>
          <w:rFonts w:hint="eastAsia" w:ascii="宋体" w:hAnsi="宋体"/>
          <w:b/>
          <w:color w:val="auto"/>
          <w:sz w:val="32"/>
          <w:szCs w:val="32"/>
        </w:rPr>
      </w:pPr>
    </w:p>
    <w:p w14:paraId="14514879">
      <w:pPr>
        <w:pStyle w:val="16"/>
        <w:outlineLvl w:val="9"/>
        <w:rPr>
          <w:rFonts w:hint="eastAsia" w:ascii="宋体" w:hAnsi="宋体"/>
          <w:b/>
          <w:color w:val="auto"/>
          <w:sz w:val="32"/>
          <w:szCs w:val="32"/>
        </w:rPr>
      </w:pPr>
    </w:p>
    <w:p w14:paraId="6832C992">
      <w:pPr>
        <w:pStyle w:val="80"/>
        <w:outlineLvl w:val="9"/>
        <w:rPr>
          <w:rFonts w:hint="eastAsia" w:ascii="宋体" w:hAnsi="宋体"/>
          <w:b/>
          <w:color w:val="auto"/>
          <w:sz w:val="32"/>
          <w:szCs w:val="32"/>
        </w:rPr>
      </w:pPr>
    </w:p>
    <w:p w14:paraId="54F27462">
      <w:pPr>
        <w:pStyle w:val="80"/>
        <w:outlineLvl w:val="9"/>
        <w:rPr>
          <w:rFonts w:hint="eastAsia" w:ascii="宋体" w:hAnsi="宋体"/>
          <w:b/>
          <w:color w:val="auto"/>
          <w:sz w:val="32"/>
          <w:szCs w:val="32"/>
        </w:rPr>
      </w:pPr>
    </w:p>
    <w:p w14:paraId="2A346F63">
      <w:pPr>
        <w:spacing w:line="800" w:lineRule="exact"/>
        <w:outlineLvl w:val="9"/>
        <w:rPr>
          <w:rFonts w:hint="eastAsia" w:ascii="宋体" w:hAnsi="宋体" w:cs="宋体"/>
          <w:b/>
          <w:color w:val="auto"/>
          <w:sz w:val="30"/>
          <w:u w:val="none"/>
        </w:rPr>
      </w:pPr>
      <w:r>
        <w:rPr>
          <w:rFonts w:hint="eastAsia" w:ascii="宋体" w:hAnsi="宋体" w:cs="宋体"/>
          <w:b/>
          <w:color w:val="auto"/>
          <w:sz w:val="30"/>
        </w:rPr>
        <w:t xml:space="preserve">      </w:t>
      </w:r>
      <w:r>
        <w:rPr>
          <w:rFonts w:hint="eastAsia" w:ascii="宋体" w:hAnsi="宋体" w:cs="宋体"/>
          <w:b/>
          <w:color w:val="auto"/>
          <w:sz w:val="30"/>
          <w:u w:val="none"/>
        </w:rPr>
        <w:t xml:space="preserve">                           </w:t>
      </w:r>
    </w:p>
    <w:p w14:paraId="6802D65F">
      <w:pPr>
        <w:spacing w:line="800" w:lineRule="exact"/>
        <w:outlineLvl w:val="9"/>
        <w:rPr>
          <w:rFonts w:hint="eastAsia"/>
          <w:color w:val="auto"/>
        </w:rPr>
      </w:pPr>
      <w:r>
        <w:rPr>
          <w:rFonts w:hint="eastAsia" w:ascii="宋体" w:hAnsi="宋体" w:cs="宋体"/>
          <w:b/>
          <w:color w:val="auto"/>
          <w:sz w:val="30"/>
          <w:u w:val="none"/>
        </w:rPr>
        <w:t xml:space="preserve">   </w:t>
      </w:r>
      <w:r>
        <w:rPr>
          <w:rFonts w:hint="eastAsia" w:ascii="宋体" w:hAnsi="宋体" w:cs="宋体"/>
          <w:b/>
          <w:color w:val="auto"/>
          <w:sz w:val="30"/>
          <w:u w:val="none"/>
          <w:lang w:val="en-US" w:eastAsia="zh-CN"/>
        </w:rPr>
        <w:t xml:space="preserve"> </w:t>
      </w:r>
      <w:r>
        <w:rPr>
          <w:rFonts w:hint="eastAsia" w:ascii="宋体" w:hAnsi="宋体" w:cs="宋体"/>
          <w:b/>
          <w:color w:val="auto"/>
          <w:sz w:val="30"/>
          <w:u w:val="none"/>
        </w:rPr>
        <w:t xml:space="preserve">   </w:t>
      </w:r>
    </w:p>
    <w:p w14:paraId="35E7614F">
      <w:pPr>
        <w:spacing w:line="800" w:lineRule="exact"/>
        <w:ind w:firstLine="366" w:firstLineChars="100"/>
        <w:outlineLvl w:val="9"/>
        <w:rPr>
          <w:rFonts w:hint="eastAsia" w:ascii="宋体" w:hAnsi="宋体"/>
          <w:b/>
          <w:color w:val="auto"/>
          <w:u w:val="single"/>
        </w:rPr>
      </w:pPr>
      <w:r>
        <w:rPr>
          <w:rFonts w:hint="eastAsia" w:ascii="宋体" w:hAnsi="宋体"/>
          <w:b/>
          <w:color w:val="auto"/>
          <w:spacing w:val="23"/>
          <w:sz w:val="32"/>
          <w:szCs w:val="32"/>
          <w:highlight w:val="none"/>
          <w:lang w:val="en-US" w:eastAsia="zh-CN"/>
        </w:rPr>
        <w:t>项目编号</w:t>
      </w:r>
      <w:r>
        <w:rPr>
          <w:rFonts w:hint="eastAsia" w:ascii="宋体" w:hAnsi="宋体"/>
          <w:b/>
          <w:color w:val="auto"/>
          <w:sz w:val="32"/>
          <w:szCs w:val="32"/>
          <w:highlight w:val="none"/>
        </w:rPr>
        <w:t>：</w:t>
      </w:r>
      <w:r>
        <w:rPr>
          <w:rFonts w:hint="eastAsia" w:ascii="宋体" w:hAnsi="宋体"/>
          <w:b/>
          <w:color w:val="auto"/>
          <w:highlight w:val="none"/>
          <w:u w:val="single"/>
        </w:rPr>
        <w:t xml:space="preserve">                            </w:t>
      </w:r>
      <w:r>
        <w:rPr>
          <w:rFonts w:hint="eastAsia" w:ascii="宋体" w:hAnsi="宋体"/>
          <w:b/>
          <w:color w:val="auto"/>
          <w:highlight w:val="none"/>
          <w:u w:val="single"/>
          <w:lang w:val="en-US" w:eastAsia="zh-CN"/>
        </w:rPr>
        <w:t xml:space="preserve">    </w:t>
      </w:r>
      <w:r>
        <w:rPr>
          <w:rFonts w:hint="eastAsia" w:ascii="宋体" w:hAnsi="宋体"/>
          <w:b/>
          <w:color w:val="auto"/>
          <w:highlight w:val="none"/>
          <w:u w:val="single"/>
        </w:rPr>
        <w:t xml:space="preserve">   </w:t>
      </w:r>
      <w:r>
        <w:rPr>
          <w:rFonts w:hint="eastAsia" w:ascii="宋体" w:hAnsi="宋体"/>
          <w:b/>
          <w:color w:val="auto"/>
          <w:highlight w:val="none"/>
          <w:u w:val="single"/>
          <w:lang w:val="en-US" w:eastAsia="zh-CN"/>
        </w:rPr>
        <w:t xml:space="preserve">    </w:t>
      </w:r>
      <w:r>
        <w:rPr>
          <w:rFonts w:hint="eastAsia" w:ascii="宋体" w:hAnsi="宋体"/>
          <w:b/>
          <w:color w:val="auto"/>
          <w:highlight w:val="none"/>
          <w:u w:val="single"/>
        </w:rPr>
        <w:t xml:space="preserve">                 .</w:t>
      </w:r>
      <w:r>
        <w:rPr>
          <w:rFonts w:hint="eastAsia" w:ascii="宋体" w:hAnsi="宋体"/>
          <w:b/>
          <w:color w:val="auto"/>
          <w:u w:val="single"/>
        </w:rPr>
        <w:t xml:space="preserve">   </w:t>
      </w:r>
    </w:p>
    <w:p w14:paraId="1D93DFE9">
      <w:pPr>
        <w:spacing w:line="800" w:lineRule="exact"/>
        <w:ind w:firstLine="480" w:firstLineChars="150"/>
        <w:outlineLvl w:val="9"/>
        <w:rPr>
          <w:rFonts w:hint="eastAsia" w:ascii="宋体" w:hAnsi="宋体"/>
          <w:b/>
          <w:color w:val="auto"/>
          <w:u w:val="single"/>
        </w:rPr>
      </w:pPr>
      <w:r>
        <w:rPr>
          <w:rFonts w:hint="eastAsia" w:ascii="宋体" w:hAnsi="宋体"/>
          <w:b/>
          <w:color w:val="auto"/>
          <w:sz w:val="32"/>
          <w:szCs w:val="32"/>
          <w:highlight w:val="none"/>
        </w:rPr>
        <w:t>供应商</w:t>
      </w:r>
      <w:r>
        <w:rPr>
          <w:rFonts w:hint="eastAsia" w:ascii="宋体" w:hAnsi="宋体"/>
          <w:b/>
          <w:color w:val="auto"/>
          <w:sz w:val="32"/>
          <w:szCs w:val="32"/>
          <w:highlight w:val="none"/>
          <w:lang w:val="en-US" w:eastAsia="zh-CN"/>
        </w:rPr>
        <w:t>全称</w:t>
      </w:r>
      <w:r>
        <w:rPr>
          <w:rFonts w:hint="eastAsia" w:ascii="宋体" w:hAnsi="宋体"/>
          <w:b/>
          <w:color w:val="auto"/>
          <w:sz w:val="32"/>
          <w:szCs w:val="32"/>
          <w:highlight w:val="none"/>
        </w:rPr>
        <w:t>：</w:t>
      </w:r>
      <w:r>
        <w:rPr>
          <w:rFonts w:hint="eastAsia" w:ascii="宋体" w:hAnsi="宋体"/>
          <w:b/>
          <w:color w:val="auto"/>
          <w:highlight w:val="none"/>
          <w:u w:val="single"/>
        </w:rPr>
        <w:t xml:space="preserve">                     </w:t>
      </w:r>
      <w:r>
        <w:rPr>
          <w:rFonts w:hint="eastAsia" w:ascii="宋体" w:hAnsi="宋体"/>
          <w:b/>
          <w:color w:val="auto"/>
          <w:highlight w:val="none"/>
          <w:u w:val="single"/>
          <w:lang w:val="en-US" w:eastAsia="zh-CN"/>
        </w:rPr>
        <w:t xml:space="preserve">   </w:t>
      </w:r>
      <w:r>
        <w:rPr>
          <w:rFonts w:hint="eastAsia" w:ascii="宋体" w:hAnsi="宋体"/>
          <w:b/>
          <w:color w:val="auto"/>
          <w:highlight w:val="none"/>
          <w:u w:val="single"/>
        </w:rPr>
        <w:t xml:space="preserve">     </w:t>
      </w:r>
      <w:r>
        <w:rPr>
          <w:rFonts w:hint="eastAsia" w:ascii="宋体" w:hAnsi="宋体"/>
          <w:b/>
          <w:color w:val="auto"/>
          <w:highlight w:val="none"/>
          <w:u w:val="single"/>
          <w:lang w:val="en-US" w:eastAsia="zh-CN"/>
        </w:rPr>
        <w:t xml:space="preserve">  </w:t>
      </w:r>
      <w:r>
        <w:rPr>
          <w:rFonts w:hint="eastAsia" w:ascii="宋体" w:hAnsi="宋体"/>
          <w:b/>
          <w:color w:val="auto"/>
          <w:highlight w:val="none"/>
          <w:u w:val="single"/>
        </w:rPr>
        <w:t xml:space="preserve">         </w:t>
      </w:r>
      <w:r>
        <w:rPr>
          <w:rFonts w:hint="eastAsia" w:ascii="宋体" w:hAnsi="宋体"/>
          <w:b/>
          <w:color w:val="auto"/>
          <w:highlight w:val="none"/>
          <w:u w:val="single"/>
          <w:lang w:val="en-US" w:eastAsia="zh-CN"/>
        </w:rPr>
        <w:t xml:space="preserve">    </w:t>
      </w:r>
      <w:r>
        <w:rPr>
          <w:rFonts w:hint="eastAsia" w:ascii="宋体" w:hAnsi="宋体"/>
          <w:b/>
          <w:color w:val="auto"/>
          <w:sz w:val="32"/>
          <w:szCs w:val="32"/>
          <w:highlight w:val="none"/>
          <w:u w:val="none"/>
        </w:rPr>
        <w:t>（盖章）</w:t>
      </w:r>
      <w:r>
        <w:rPr>
          <w:rFonts w:hint="eastAsia" w:ascii="宋体" w:hAnsi="宋体"/>
          <w:b/>
          <w:color w:val="auto"/>
          <w:highlight w:val="none"/>
          <w:u w:val="single"/>
        </w:rPr>
        <w:t xml:space="preserve"> </w:t>
      </w:r>
      <w:r>
        <w:rPr>
          <w:rFonts w:hint="eastAsia" w:ascii="宋体" w:hAnsi="宋体"/>
          <w:b/>
          <w:color w:val="auto"/>
          <w:u w:val="single"/>
        </w:rPr>
        <w:t xml:space="preserve">  </w:t>
      </w:r>
    </w:p>
    <w:p w14:paraId="548C38FE">
      <w:pPr>
        <w:spacing w:line="440" w:lineRule="exact"/>
        <w:ind w:firstLine="480" w:firstLineChars="150"/>
        <w:outlineLvl w:val="9"/>
        <w:rPr>
          <w:rFonts w:hint="eastAsia" w:ascii="宋体" w:hAnsi="宋体"/>
          <w:b/>
          <w:color w:val="auto"/>
          <w:sz w:val="32"/>
          <w:szCs w:val="32"/>
        </w:rPr>
      </w:pPr>
    </w:p>
    <w:p w14:paraId="61C4EE24">
      <w:pPr>
        <w:spacing w:line="440" w:lineRule="exact"/>
        <w:ind w:firstLine="480" w:firstLineChars="150"/>
        <w:outlineLvl w:val="9"/>
        <w:rPr>
          <w:rFonts w:hint="eastAsia" w:ascii="宋体" w:hAnsi="宋体"/>
          <w:b/>
          <w:color w:val="auto"/>
          <w:sz w:val="32"/>
          <w:szCs w:val="32"/>
        </w:rPr>
      </w:pPr>
      <w:r>
        <w:rPr>
          <w:rFonts w:hint="eastAsia" w:ascii="宋体" w:hAnsi="宋体"/>
          <w:b/>
          <w:color w:val="auto"/>
          <w:sz w:val="32"/>
          <w:szCs w:val="32"/>
        </w:rPr>
        <w:t>法定代表人</w:t>
      </w:r>
    </w:p>
    <w:p w14:paraId="21B53826">
      <w:pPr>
        <w:spacing w:line="440" w:lineRule="exact"/>
        <w:ind w:firstLine="480" w:firstLineChars="150"/>
        <w:outlineLvl w:val="9"/>
        <w:rPr>
          <w:rFonts w:hint="eastAsia" w:ascii="宋体" w:hAnsi="宋体"/>
          <w:b/>
          <w:color w:val="auto"/>
          <w:u w:val="single"/>
        </w:rPr>
      </w:pPr>
      <w:r>
        <w:rPr>
          <w:rFonts w:hint="eastAsia" w:ascii="宋体" w:hAnsi="宋体"/>
          <w:b/>
          <w:color w:val="auto"/>
          <w:sz w:val="32"/>
          <w:szCs w:val="32"/>
          <w:highlight w:val="none"/>
          <w:lang w:val="en-US" w:eastAsia="zh-CN"/>
        </w:rPr>
        <w:t>或</w:t>
      </w:r>
      <w:r>
        <w:rPr>
          <w:rFonts w:hint="eastAsia" w:ascii="宋体" w:hAnsi="宋体"/>
          <w:b/>
          <w:color w:val="auto"/>
          <w:sz w:val="32"/>
          <w:szCs w:val="32"/>
          <w:highlight w:val="none"/>
        </w:rPr>
        <w:t>被授权</w:t>
      </w:r>
      <w:r>
        <w:rPr>
          <w:rFonts w:hint="eastAsia" w:ascii="宋体" w:hAnsi="宋体"/>
          <w:b/>
          <w:color w:val="auto"/>
          <w:sz w:val="32"/>
          <w:szCs w:val="32"/>
          <w:highlight w:val="none"/>
          <w:lang w:val="en-US" w:eastAsia="zh-CN"/>
        </w:rPr>
        <w:t>人</w:t>
      </w:r>
      <w:r>
        <w:rPr>
          <w:rFonts w:hint="eastAsia" w:ascii="宋体" w:hAnsi="宋体"/>
          <w:b/>
          <w:color w:val="auto"/>
          <w:sz w:val="32"/>
          <w:szCs w:val="32"/>
          <w:highlight w:val="none"/>
        </w:rPr>
        <w:t>：</w:t>
      </w:r>
      <w:r>
        <w:rPr>
          <w:rFonts w:hint="eastAsia" w:ascii="宋体" w:hAnsi="宋体"/>
          <w:b/>
          <w:color w:val="auto"/>
          <w:sz w:val="32"/>
          <w:szCs w:val="32"/>
        </w:rPr>
        <w:t xml:space="preserve"> </w:t>
      </w:r>
      <w:r>
        <w:rPr>
          <w:rFonts w:hint="eastAsia" w:ascii="宋体" w:hAnsi="宋体"/>
          <w:b/>
          <w:color w:val="auto"/>
          <w:u w:val="single"/>
        </w:rPr>
        <w:t xml:space="preserve">                 </w:t>
      </w:r>
      <w:r>
        <w:rPr>
          <w:rFonts w:hint="eastAsia" w:ascii="宋体" w:hAnsi="宋体"/>
          <w:b/>
          <w:color w:val="auto"/>
          <w:u w:val="single"/>
          <w:lang w:val="en-US" w:eastAsia="zh-CN"/>
        </w:rPr>
        <w:t xml:space="preserve">      </w:t>
      </w:r>
      <w:r>
        <w:rPr>
          <w:rFonts w:hint="eastAsia" w:ascii="宋体" w:hAnsi="宋体"/>
          <w:b/>
          <w:color w:val="auto"/>
          <w:u w:val="single"/>
        </w:rPr>
        <w:t xml:space="preserve">  </w:t>
      </w:r>
      <w:r>
        <w:rPr>
          <w:rFonts w:hint="eastAsia" w:ascii="宋体" w:hAnsi="宋体"/>
          <w:b/>
          <w:color w:val="auto"/>
          <w:u w:val="single"/>
          <w:lang w:val="en-US" w:eastAsia="zh-CN"/>
        </w:rPr>
        <w:t xml:space="preserve"> </w:t>
      </w:r>
      <w:r>
        <w:rPr>
          <w:rFonts w:hint="eastAsia" w:ascii="宋体" w:hAnsi="宋体"/>
          <w:b/>
          <w:color w:val="auto"/>
          <w:u w:val="single"/>
        </w:rPr>
        <w:t xml:space="preserve"> </w:t>
      </w:r>
      <w:r>
        <w:rPr>
          <w:rFonts w:hint="eastAsia" w:ascii="宋体" w:hAnsi="宋体"/>
          <w:b/>
          <w:color w:val="auto"/>
          <w:u w:val="single"/>
          <w:lang w:val="en-US" w:eastAsia="zh-CN"/>
        </w:rPr>
        <w:t xml:space="preserve">   </w:t>
      </w:r>
      <w:r>
        <w:rPr>
          <w:rFonts w:hint="eastAsia" w:ascii="宋体" w:hAnsi="宋体"/>
          <w:b/>
          <w:color w:val="auto"/>
          <w:u w:val="single"/>
        </w:rPr>
        <w:t xml:space="preserve">    </w:t>
      </w:r>
      <w:r>
        <w:rPr>
          <w:rFonts w:hint="eastAsia" w:ascii="宋体" w:hAnsi="宋体"/>
          <w:b/>
          <w:color w:val="auto"/>
          <w:sz w:val="32"/>
          <w:szCs w:val="32"/>
          <w:u w:val="none"/>
        </w:rPr>
        <w:t>（签字或盖章）</w:t>
      </w:r>
      <w:r>
        <w:rPr>
          <w:rFonts w:hint="eastAsia" w:ascii="宋体" w:hAnsi="宋体"/>
          <w:b/>
          <w:color w:val="auto"/>
          <w:u w:val="single"/>
        </w:rPr>
        <w:t xml:space="preserve">  </w:t>
      </w:r>
    </w:p>
    <w:p w14:paraId="046D1AF3">
      <w:pPr>
        <w:spacing w:line="440" w:lineRule="exact"/>
        <w:ind w:firstLine="315" w:firstLineChars="150"/>
        <w:outlineLvl w:val="9"/>
        <w:rPr>
          <w:rFonts w:hint="eastAsia" w:ascii="宋体" w:hAnsi="宋体"/>
          <w:b/>
          <w:color w:val="auto"/>
          <w:u w:val="single"/>
        </w:rPr>
      </w:pPr>
      <w:r>
        <w:rPr>
          <w:rFonts w:hint="eastAsia" w:ascii="宋体" w:hAnsi="宋体"/>
          <w:b/>
          <w:color w:val="auto"/>
          <w:u w:val="single"/>
        </w:rPr>
        <w:t xml:space="preserve"> </w:t>
      </w:r>
    </w:p>
    <w:p w14:paraId="037F9A79">
      <w:pPr>
        <w:ind w:firstLine="480" w:firstLineChars="150"/>
        <w:outlineLvl w:val="9"/>
        <w:rPr>
          <w:rFonts w:hint="eastAsia" w:ascii="宋体" w:hAnsi="宋体"/>
          <w:b/>
          <w:color w:val="auto"/>
          <w:sz w:val="32"/>
          <w:szCs w:val="32"/>
        </w:rPr>
      </w:pPr>
      <w:r>
        <w:rPr>
          <w:rFonts w:hint="eastAsia" w:ascii="宋体" w:hAnsi="宋体"/>
          <w:b/>
          <w:color w:val="auto"/>
          <w:sz w:val="32"/>
          <w:szCs w:val="32"/>
        </w:rPr>
        <w:t>日      期：</w:t>
      </w:r>
      <w:r>
        <w:rPr>
          <w:rFonts w:hint="eastAsia" w:ascii="宋体" w:hAnsi="宋体"/>
          <w:b/>
          <w:color w:val="auto"/>
          <w:sz w:val="32"/>
          <w:szCs w:val="32"/>
          <w:u w:val="single"/>
        </w:rPr>
        <w:t xml:space="preserve">       </w:t>
      </w:r>
      <w:r>
        <w:rPr>
          <w:rFonts w:hint="eastAsia" w:ascii="宋体" w:hAnsi="宋体"/>
          <w:b/>
          <w:color w:val="auto"/>
          <w:sz w:val="32"/>
          <w:szCs w:val="32"/>
          <w:u w:val="single"/>
          <w:lang w:val="en-US" w:eastAsia="zh-CN"/>
        </w:rPr>
        <w:t xml:space="preserve"> </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hint="eastAsia" w:ascii="宋体" w:hAnsi="宋体"/>
          <w:b/>
          <w:color w:val="auto"/>
          <w:sz w:val="32"/>
          <w:szCs w:val="32"/>
          <w:u w:val="single"/>
          <w:lang w:val="en-US" w:eastAsia="zh-CN"/>
        </w:rPr>
        <w:t xml:space="preserve"> </w:t>
      </w:r>
      <w:r>
        <w:rPr>
          <w:rFonts w:hint="eastAsia" w:ascii="宋体" w:hAnsi="宋体"/>
          <w:b/>
          <w:color w:val="auto"/>
          <w:sz w:val="32"/>
          <w:szCs w:val="32"/>
          <w:u w:val="single"/>
        </w:rPr>
        <w:t xml:space="preserve">  </w:t>
      </w:r>
      <w:r>
        <w:rPr>
          <w:rFonts w:hint="eastAsia" w:ascii="宋体" w:hAnsi="宋体"/>
          <w:b/>
          <w:color w:val="auto"/>
          <w:sz w:val="32"/>
          <w:szCs w:val="32"/>
        </w:rPr>
        <w:t>月</w:t>
      </w:r>
      <w:r>
        <w:rPr>
          <w:rFonts w:hint="eastAsia" w:ascii="宋体" w:hAnsi="宋体"/>
          <w:b/>
          <w:color w:val="auto"/>
          <w:sz w:val="32"/>
          <w:szCs w:val="32"/>
          <w:u w:val="single"/>
        </w:rPr>
        <w:t xml:space="preserve">          </w:t>
      </w:r>
      <w:r>
        <w:rPr>
          <w:rFonts w:hint="eastAsia" w:ascii="宋体" w:hAnsi="宋体"/>
          <w:b/>
          <w:color w:val="auto"/>
          <w:sz w:val="32"/>
          <w:szCs w:val="32"/>
        </w:rPr>
        <w:t>日</w:t>
      </w:r>
    </w:p>
    <w:p w14:paraId="3D658B72">
      <w:pPr>
        <w:pStyle w:val="67"/>
        <w:jc w:val="both"/>
        <w:outlineLvl w:val="9"/>
        <w:rPr>
          <w:rFonts w:hint="eastAsia" w:hAnsi="宋体"/>
          <w:color w:val="auto"/>
          <w:sz w:val="10"/>
          <w:szCs w:val="10"/>
        </w:rPr>
      </w:pPr>
    </w:p>
    <w:p w14:paraId="1668860C">
      <w:pPr>
        <w:pStyle w:val="67"/>
        <w:outlineLvl w:val="9"/>
        <w:rPr>
          <w:rFonts w:hint="eastAsia" w:hAnsi="宋体"/>
          <w:bCs/>
          <w:color w:val="auto"/>
          <w:sz w:val="32"/>
          <w:szCs w:val="32"/>
        </w:rPr>
      </w:pPr>
      <w:r>
        <w:rPr>
          <w:rFonts w:hint="eastAsia" w:hAnsi="宋体"/>
          <w:bCs/>
          <w:color w:val="auto"/>
          <w:sz w:val="32"/>
          <w:szCs w:val="32"/>
        </w:rPr>
        <w:t>一、法定代表人身份证明书</w:t>
      </w:r>
    </w:p>
    <w:p w14:paraId="56A5C76D">
      <w:pPr>
        <w:spacing w:line="360" w:lineRule="auto"/>
        <w:ind w:firstLine="307"/>
        <w:outlineLvl w:val="9"/>
        <w:rPr>
          <w:rFonts w:ascii="宋体" w:hAnsi="宋体" w:cs="宋体"/>
          <w:color w:val="auto"/>
          <w:kern w:val="1"/>
          <w:sz w:val="28"/>
          <w:u w:val="single"/>
        </w:rPr>
      </w:pPr>
      <w:r>
        <w:rPr>
          <w:rFonts w:ascii="宋体" w:hAnsi="宋体" w:cs="宋体"/>
          <w:color w:val="auto"/>
          <w:kern w:val="1"/>
          <w:sz w:val="24"/>
        </w:rPr>
        <w:t>供应商单位名称：</w:t>
      </w:r>
      <w:r>
        <w:rPr>
          <w:rFonts w:hint="eastAsia"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hint="eastAsia" w:ascii="宋体" w:hAnsi="宋体" w:cs="宋体"/>
          <w:color w:val="auto"/>
          <w:kern w:val="1"/>
          <w:sz w:val="24"/>
          <w:szCs w:val="24"/>
          <w:u w:val="single"/>
        </w:rPr>
        <w:t xml:space="preserve">         </w:t>
      </w:r>
      <w:r>
        <w:rPr>
          <w:rFonts w:hint="eastAsia" w:ascii="宋体" w:hAnsi="宋体" w:cs="宋体"/>
          <w:color w:val="FFFFFF" w:themeColor="background1"/>
          <w:kern w:val="1"/>
          <w:sz w:val="32"/>
          <w:szCs w:val="32"/>
          <w14:textFill>
            <w14:solidFill>
              <w14:schemeClr w14:val="bg1"/>
            </w14:solidFill>
          </w14:textFill>
        </w:rPr>
        <w:t>、</w:t>
      </w:r>
      <w:r>
        <w:rPr>
          <w:rFonts w:hint="eastAsia" w:ascii="宋体" w:hAnsi="宋体" w:cs="宋体"/>
          <w:color w:val="auto"/>
          <w:kern w:val="1"/>
          <w:sz w:val="32"/>
          <w:szCs w:val="32"/>
        </w:rPr>
        <w:t xml:space="preserve">      </w:t>
      </w:r>
      <w:r>
        <w:rPr>
          <w:rFonts w:ascii="宋体" w:hAnsi="宋体" w:cs="宋体"/>
          <w:color w:val="auto"/>
          <w:kern w:val="1"/>
          <w:sz w:val="28"/>
        </w:rPr>
        <w:t xml:space="preserve">                                </w:t>
      </w:r>
      <w:r>
        <w:rPr>
          <w:rFonts w:ascii="宋体" w:hAnsi="宋体" w:cs="宋体"/>
          <w:color w:val="auto"/>
          <w:kern w:val="1"/>
          <w:sz w:val="28"/>
          <w:u w:val="single"/>
        </w:rPr>
        <w:t xml:space="preserve"> </w:t>
      </w:r>
    </w:p>
    <w:p w14:paraId="1F8A386D">
      <w:pPr>
        <w:spacing w:line="360" w:lineRule="auto"/>
        <w:ind w:firstLine="307"/>
        <w:outlineLvl w:val="9"/>
        <w:rPr>
          <w:rFonts w:ascii="宋体" w:hAnsi="宋体" w:cs="宋体"/>
          <w:color w:val="auto"/>
          <w:kern w:val="1"/>
          <w:sz w:val="24"/>
          <w:u w:val="single"/>
        </w:rPr>
      </w:pPr>
      <w:r>
        <w:rPr>
          <w:rFonts w:ascii="宋体" w:hAnsi="宋体" w:cs="宋体"/>
          <w:color w:val="auto"/>
          <w:kern w:val="1"/>
          <w:sz w:val="24"/>
        </w:rPr>
        <w:t>供应商单位性质：</w:t>
      </w:r>
      <w:r>
        <w:rPr>
          <w:rFonts w:hint="eastAsia" w:ascii="宋体" w:hAnsi="宋体" w:cs="宋体"/>
          <w:color w:val="auto"/>
          <w:kern w:val="1"/>
          <w:sz w:val="24"/>
          <w:u w:val="single"/>
        </w:rPr>
        <w:t xml:space="preserve">                                             </w:t>
      </w:r>
      <w:r>
        <w:rPr>
          <w:rFonts w:hint="eastAsia" w:ascii="宋体" w:hAnsi="宋体" w:cs="宋体"/>
          <w:color w:val="FFFFFF" w:themeColor="background1"/>
          <w:kern w:val="1"/>
          <w:sz w:val="32"/>
          <w:szCs w:val="32"/>
          <w14:textFill>
            <w14:solidFill>
              <w14:schemeClr w14:val="bg1"/>
            </w14:solidFill>
          </w14:textFill>
        </w:rPr>
        <w:t>、</w:t>
      </w:r>
      <w:r>
        <w:rPr>
          <w:rFonts w:hint="eastAsia" w:ascii="宋体" w:hAnsi="宋体" w:cs="宋体"/>
          <w:color w:val="auto"/>
          <w:kern w:val="1"/>
          <w:sz w:val="32"/>
          <w:szCs w:val="32"/>
          <w:u w:val="single"/>
        </w:rPr>
        <w:t xml:space="preserve">   </w:t>
      </w:r>
      <w:r>
        <w:rPr>
          <w:rFonts w:ascii="宋体" w:hAnsi="宋体" w:cs="宋体"/>
          <w:color w:val="auto"/>
          <w:kern w:val="1"/>
          <w:sz w:val="24"/>
          <w:u w:val="single"/>
        </w:rPr>
        <w:t xml:space="preserve">                                            </w:t>
      </w:r>
    </w:p>
    <w:p w14:paraId="0B793A0B">
      <w:pPr>
        <w:spacing w:line="360" w:lineRule="auto"/>
        <w:ind w:firstLine="360"/>
        <w:outlineLvl w:val="9"/>
        <w:rPr>
          <w:rFonts w:ascii="宋体" w:hAnsi="宋体" w:cs="宋体"/>
          <w:color w:val="auto"/>
          <w:kern w:val="1"/>
          <w:sz w:val="24"/>
          <w:u w:val="single"/>
        </w:rPr>
      </w:pPr>
      <w:r>
        <w:rPr>
          <w:rFonts w:ascii="宋体" w:hAnsi="宋体" w:cs="宋体"/>
          <w:color w:val="auto"/>
          <w:kern w:val="1"/>
          <w:sz w:val="24"/>
        </w:rPr>
        <w:t xml:space="preserve">地        址： </w:t>
      </w:r>
      <w:r>
        <w:rPr>
          <w:rFonts w:ascii="宋体" w:hAnsi="宋体" w:cs="宋体"/>
          <w:color w:val="auto"/>
          <w:kern w:val="1"/>
          <w:sz w:val="24"/>
          <w:u w:val="single"/>
        </w:rPr>
        <w:t xml:space="preserve"> </w:t>
      </w:r>
      <w:r>
        <w:rPr>
          <w:rFonts w:hint="eastAsia" w:ascii="宋体" w:hAnsi="宋体" w:cs="宋体"/>
          <w:color w:val="auto"/>
          <w:kern w:val="1"/>
          <w:sz w:val="24"/>
          <w:u w:val="single"/>
        </w:rPr>
        <w:t xml:space="preserve">                                            </w:t>
      </w:r>
      <w:r>
        <w:rPr>
          <w:rFonts w:hint="eastAsia" w:ascii="宋体" w:hAnsi="宋体" w:cs="宋体"/>
          <w:color w:val="FFFFFF" w:themeColor="background1"/>
          <w:kern w:val="1"/>
          <w:sz w:val="32"/>
          <w:szCs w:val="32"/>
          <w14:textFill>
            <w14:solidFill>
              <w14:schemeClr w14:val="bg1"/>
            </w14:solidFill>
          </w14:textFill>
        </w:rPr>
        <w:t>、</w:t>
      </w:r>
      <w:r>
        <w:rPr>
          <w:rFonts w:hint="eastAsia" w:ascii="宋体" w:hAnsi="宋体" w:cs="宋体"/>
          <w:color w:val="auto"/>
          <w:kern w:val="1"/>
          <w:sz w:val="32"/>
          <w:szCs w:val="32"/>
        </w:rPr>
        <w:t xml:space="preserve"> </w:t>
      </w:r>
      <w:r>
        <w:rPr>
          <w:rFonts w:ascii="宋体" w:hAnsi="宋体" w:cs="宋体"/>
          <w:color w:val="auto"/>
          <w:kern w:val="1"/>
          <w:sz w:val="24"/>
        </w:rPr>
        <w:t xml:space="preserve">                                          </w:t>
      </w:r>
      <w:r>
        <w:rPr>
          <w:rFonts w:ascii="宋体" w:hAnsi="宋体" w:cs="宋体"/>
          <w:color w:val="auto"/>
          <w:kern w:val="1"/>
          <w:sz w:val="24"/>
          <w:u w:val="single"/>
        </w:rPr>
        <w:t xml:space="preserve">  </w:t>
      </w:r>
      <w:r>
        <w:rPr>
          <w:rFonts w:hint="eastAsia" w:ascii="宋体" w:hAnsi="宋体" w:cs="宋体"/>
          <w:color w:val="auto"/>
          <w:kern w:val="1"/>
          <w:sz w:val="24"/>
          <w:u w:val="single"/>
        </w:rPr>
        <w:t xml:space="preserve">  </w:t>
      </w:r>
    </w:p>
    <w:p w14:paraId="198F63F1">
      <w:pPr>
        <w:spacing w:line="360" w:lineRule="auto"/>
        <w:ind w:firstLine="305"/>
        <w:outlineLvl w:val="9"/>
        <w:rPr>
          <w:rFonts w:ascii="宋体" w:hAnsi="宋体" w:cs="宋体"/>
          <w:color w:val="auto"/>
          <w:kern w:val="1"/>
          <w:sz w:val="24"/>
          <w:szCs w:val="24"/>
        </w:rPr>
      </w:pPr>
      <w:r>
        <w:rPr>
          <w:rFonts w:ascii="宋体" w:hAnsi="宋体" w:cs="宋体"/>
          <w:color w:val="auto"/>
          <w:kern w:val="1"/>
          <w:sz w:val="24"/>
        </w:rPr>
        <w:t>成立时间：</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ascii="宋体" w:hAnsi="宋体" w:cs="宋体"/>
          <w:color w:val="auto"/>
          <w:kern w:val="1"/>
          <w:sz w:val="24"/>
          <w:szCs w:val="24"/>
          <w:u w:val="single"/>
        </w:rPr>
        <w:t xml:space="preserve">  </w:t>
      </w:r>
      <w:r>
        <w:rPr>
          <w:rFonts w:ascii="宋体" w:hAnsi="宋体" w:cs="宋体"/>
          <w:color w:val="auto"/>
          <w:kern w:val="1"/>
          <w:sz w:val="24"/>
          <w:szCs w:val="24"/>
        </w:rPr>
        <w:t>年</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ascii="宋体" w:hAnsi="宋体" w:cs="宋体"/>
          <w:color w:val="auto"/>
          <w:kern w:val="1"/>
          <w:sz w:val="24"/>
          <w:szCs w:val="24"/>
          <w:u w:val="single"/>
        </w:rPr>
        <w:t xml:space="preserve">       </w:t>
      </w:r>
      <w:r>
        <w:rPr>
          <w:rFonts w:ascii="宋体" w:hAnsi="宋体" w:cs="宋体"/>
          <w:color w:val="auto"/>
          <w:kern w:val="1"/>
          <w:sz w:val="24"/>
          <w:szCs w:val="24"/>
        </w:rPr>
        <w:t>月</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ascii="宋体" w:hAnsi="宋体" w:cs="宋体"/>
          <w:color w:val="auto"/>
          <w:kern w:val="1"/>
          <w:sz w:val="24"/>
          <w:szCs w:val="24"/>
          <w:u w:val="single"/>
        </w:rPr>
        <w:t xml:space="preserve">       </w:t>
      </w:r>
      <w:r>
        <w:rPr>
          <w:rFonts w:ascii="宋体" w:hAnsi="宋体" w:cs="宋体"/>
          <w:color w:val="auto"/>
          <w:kern w:val="1"/>
          <w:sz w:val="24"/>
          <w:szCs w:val="24"/>
        </w:rPr>
        <w:t>日</w:t>
      </w:r>
    </w:p>
    <w:p w14:paraId="4E0A1922">
      <w:pPr>
        <w:spacing w:line="360" w:lineRule="auto"/>
        <w:ind w:firstLine="307"/>
        <w:outlineLvl w:val="9"/>
        <w:rPr>
          <w:rFonts w:ascii="宋体" w:hAnsi="宋体" w:cs="宋体"/>
          <w:color w:val="auto"/>
          <w:kern w:val="1"/>
          <w:sz w:val="24"/>
          <w:szCs w:val="24"/>
          <w:u w:val="single"/>
        </w:rPr>
      </w:pPr>
      <w:r>
        <w:rPr>
          <w:rFonts w:ascii="宋体" w:hAnsi="宋体" w:cs="宋体"/>
          <w:color w:val="auto"/>
          <w:kern w:val="1"/>
          <w:sz w:val="24"/>
          <w:szCs w:val="24"/>
        </w:rPr>
        <w:t>经营期限：</w:t>
      </w:r>
      <w:r>
        <w:rPr>
          <w:rFonts w:hint="eastAsia" w:ascii="宋体" w:hAnsi="宋体" w:cs="宋体"/>
          <w:color w:val="auto"/>
          <w:kern w:val="1"/>
          <w:sz w:val="24"/>
          <w:szCs w:val="24"/>
          <w:u w:val="single"/>
        </w:rPr>
        <w:t xml:space="preserve">                       </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rPr>
        <w:t xml:space="preserve">   </w:t>
      </w:r>
      <w:r>
        <w:rPr>
          <w:rFonts w:ascii="宋体" w:hAnsi="宋体" w:cs="宋体"/>
          <w:color w:val="auto"/>
          <w:kern w:val="1"/>
          <w:sz w:val="24"/>
          <w:szCs w:val="24"/>
          <w:u w:val="single"/>
        </w:rPr>
        <w:t xml:space="preserve"> </w:t>
      </w:r>
      <w:r>
        <w:rPr>
          <w:rFonts w:hint="eastAsia" w:ascii="宋体" w:hAnsi="宋体" w:cs="宋体"/>
          <w:color w:val="FFFFFF" w:themeColor="background1"/>
          <w:kern w:val="1"/>
          <w:sz w:val="24"/>
          <w:szCs w:val="24"/>
          <w:u w:val="single"/>
          <w14:textFill>
            <w14:solidFill>
              <w14:schemeClr w14:val="bg1"/>
            </w14:solidFill>
          </w14:textFill>
        </w:rPr>
        <w:t>.</w:t>
      </w:r>
      <w:r>
        <w:rPr>
          <w:rFonts w:ascii="宋体" w:hAnsi="宋体" w:cs="宋体"/>
          <w:color w:val="FFFFFF" w:themeColor="background1"/>
          <w:kern w:val="1"/>
          <w:sz w:val="24"/>
          <w:szCs w:val="24"/>
          <w:u w:val="single"/>
          <w14:textFill>
            <w14:solidFill>
              <w14:schemeClr w14:val="bg1"/>
            </w14:solidFill>
          </w14:textFill>
        </w:rPr>
        <w:t xml:space="preserve"> </w:t>
      </w:r>
      <w:r>
        <w:rPr>
          <w:rFonts w:ascii="宋体" w:hAnsi="宋体" w:cs="宋体"/>
          <w:color w:val="auto"/>
          <w:kern w:val="1"/>
          <w:sz w:val="24"/>
          <w:szCs w:val="24"/>
          <w:u w:val="single"/>
        </w:rPr>
        <w:t xml:space="preserve">   </w:t>
      </w:r>
    </w:p>
    <w:p w14:paraId="6AB838FE">
      <w:pPr>
        <w:spacing w:line="360" w:lineRule="auto"/>
        <w:ind w:left="854" w:hanging="480"/>
        <w:outlineLvl w:val="9"/>
        <w:rPr>
          <w:rFonts w:hint="eastAsia" w:ascii="宋体" w:hAnsi="宋体" w:cs="宋体"/>
          <w:color w:val="auto"/>
          <w:kern w:val="1"/>
          <w:sz w:val="24"/>
          <w:szCs w:val="24"/>
          <w:u w:val="single"/>
        </w:rPr>
      </w:pPr>
      <w:r>
        <w:rPr>
          <w:rFonts w:ascii="宋体" w:hAnsi="宋体" w:cs="宋体"/>
          <w:color w:val="auto"/>
          <w:kern w:val="1"/>
          <w:sz w:val="24"/>
          <w:szCs w:val="24"/>
        </w:rPr>
        <w:t>姓    名：</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rPr>
        <w:t xml:space="preserve">  </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ascii="宋体" w:hAnsi="宋体" w:cs="宋体"/>
          <w:color w:val="auto"/>
          <w:kern w:val="1"/>
          <w:sz w:val="24"/>
          <w:szCs w:val="24"/>
          <w:u w:val="single"/>
        </w:rPr>
        <w:t xml:space="preserve"> </w:t>
      </w:r>
      <w:r>
        <w:rPr>
          <w:rFonts w:ascii="宋体" w:hAnsi="宋体" w:cs="宋体"/>
          <w:color w:val="auto"/>
          <w:kern w:val="1"/>
          <w:sz w:val="24"/>
          <w:szCs w:val="24"/>
        </w:rPr>
        <w:t>性别：</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ascii="宋体" w:hAnsi="宋体" w:cs="宋体"/>
          <w:color w:val="auto"/>
          <w:kern w:val="1"/>
          <w:sz w:val="24"/>
          <w:szCs w:val="24"/>
          <w:u w:val="single"/>
        </w:rPr>
        <w:t xml:space="preserve">   </w:t>
      </w:r>
      <w:r>
        <w:rPr>
          <w:rFonts w:ascii="宋体" w:hAnsi="宋体" w:cs="宋体"/>
          <w:color w:val="auto"/>
          <w:kern w:val="1"/>
          <w:sz w:val="24"/>
          <w:szCs w:val="24"/>
        </w:rPr>
        <w:t>年龄：</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lang w:val="en-US" w:eastAsia="zh-CN"/>
        </w:rPr>
        <w:t xml:space="preserve"> </w:t>
      </w:r>
      <w:r>
        <w:rPr>
          <w:rFonts w:ascii="宋体" w:hAnsi="宋体" w:cs="宋体"/>
          <w:color w:val="auto"/>
          <w:kern w:val="1"/>
          <w:sz w:val="24"/>
          <w:szCs w:val="24"/>
          <w:u w:val="single"/>
        </w:rPr>
        <w:t xml:space="preserve">    </w:t>
      </w:r>
      <w:r>
        <w:rPr>
          <w:rFonts w:ascii="宋体" w:hAnsi="宋体" w:cs="宋体"/>
          <w:color w:val="auto"/>
          <w:kern w:val="1"/>
          <w:sz w:val="24"/>
          <w:szCs w:val="24"/>
        </w:rPr>
        <w:t>职务：</w:t>
      </w:r>
      <w:r>
        <w:rPr>
          <w:rFonts w:ascii="宋体" w:hAnsi="宋体" w:cs="宋体"/>
          <w:color w:val="auto"/>
          <w:kern w:val="1"/>
          <w:sz w:val="24"/>
          <w:szCs w:val="24"/>
          <w:u w:val="single"/>
        </w:rPr>
        <w:t xml:space="preserve">    </w:t>
      </w:r>
      <w:r>
        <w:rPr>
          <w:rFonts w:hint="eastAsia" w:ascii="宋体" w:hAnsi="宋体" w:cs="宋体"/>
          <w:color w:val="auto"/>
          <w:kern w:val="1"/>
          <w:sz w:val="24"/>
          <w:szCs w:val="24"/>
          <w:u w:val="single"/>
        </w:rPr>
        <w:t xml:space="preserve">  </w:t>
      </w:r>
      <w:r>
        <w:rPr>
          <w:rFonts w:ascii="宋体" w:hAnsi="宋体" w:cs="宋体"/>
          <w:color w:val="auto"/>
          <w:kern w:val="1"/>
          <w:sz w:val="24"/>
          <w:szCs w:val="24"/>
          <w:u w:val="single"/>
        </w:rPr>
        <w:t xml:space="preserve">  </w:t>
      </w:r>
      <w:r>
        <w:rPr>
          <w:rFonts w:hint="eastAsia" w:ascii="宋体" w:hAnsi="宋体" w:cs="宋体"/>
          <w:color w:val="FFFFFF" w:themeColor="background1"/>
          <w:kern w:val="1"/>
          <w:sz w:val="24"/>
          <w:szCs w:val="24"/>
          <w:u w:val="single"/>
          <w14:textFill>
            <w14:solidFill>
              <w14:schemeClr w14:val="bg1"/>
            </w14:solidFill>
          </w14:textFill>
        </w:rPr>
        <w:t>.</w:t>
      </w:r>
    </w:p>
    <w:p w14:paraId="15B2BC8C">
      <w:pPr>
        <w:spacing w:line="360" w:lineRule="auto"/>
        <w:ind w:firstLine="307"/>
        <w:outlineLvl w:val="9"/>
        <w:rPr>
          <w:rFonts w:ascii="宋体" w:hAnsi="宋体" w:cs="宋体"/>
          <w:color w:val="auto"/>
          <w:kern w:val="1"/>
          <w:sz w:val="24"/>
          <w:szCs w:val="24"/>
        </w:rPr>
      </w:pPr>
      <w:r>
        <w:rPr>
          <w:rFonts w:ascii="宋体" w:hAnsi="宋体" w:cs="宋体"/>
          <w:color w:val="auto"/>
          <w:kern w:val="1"/>
          <w:sz w:val="24"/>
          <w:szCs w:val="24"/>
        </w:rPr>
        <w:t>系</w:t>
      </w:r>
      <w:r>
        <w:rPr>
          <w:rFonts w:ascii="宋体" w:hAnsi="宋体" w:cs="宋体"/>
          <w:color w:val="auto"/>
          <w:kern w:val="1"/>
          <w:sz w:val="24"/>
          <w:szCs w:val="24"/>
          <w:u w:val="single"/>
        </w:rPr>
        <w:t xml:space="preserve">                                         </w:t>
      </w:r>
      <w:r>
        <w:rPr>
          <w:rFonts w:ascii="宋体" w:hAnsi="宋体" w:cs="宋体"/>
          <w:color w:val="auto"/>
          <w:kern w:val="1"/>
          <w:sz w:val="24"/>
          <w:szCs w:val="24"/>
        </w:rPr>
        <w:t>的法定代表人</w:t>
      </w:r>
    </w:p>
    <w:p w14:paraId="34D9F5BE">
      <w:pPr>
        <w:spacing w:line="360" w:lineRule="auto"/>
        <w:ind w:firstLine="199"/>
        <w:outlineLvl w:val="9"/>
        <w:rPr>
          <w:rFonts w:ascii="宋体" w:hAnsi="宋体" w:cs="宋体"/>
          <w:color w:val="auto"/>
          <w:kern w:val="1"/>
          <w:sz w:val="28"/>
          <w:u w:val="single"/>
        </w:rPr>
      </w:pPr>
      <w:r>
        <w:rPr>
          <w:rFonts w:ascii="宋体" w:hAnsi="宋体" w:cs="宋体"/>
          <w:color w:val="auto"/>
          <w:kern w:val="1"/>
          <w:sz w:val="24"/>
          <w:szCs w:val="24"/>
        </w:rPr>
        <w:t xml:space="preserve">（身份证号码 </w:t>
      </w:r>
      <w:r>
        <w:rPr>
          <w:rFonts w:ascii="宋体" w:hAnsi="宋体" w:cs="宋体"/>
          <w:color w:val="auto"/>
          <w:kern w:val="1"/>
          <w:sz w:val="24"/>
          <w:szCs w:val="24"/>
          <w:u w:val="single"/>
        </w:rPr>
        <w:t xml:space="preserve">                                      </w:t>
      </w:r>
      <w:r>
        <w:rPr>
          <w:rFonts w:ascii="宋体" w:hAnsi="宋体" w:cs="宋体"/>
          <w:color w:val="auto"/>
          <w:kern w:val="1"/>
          <w:sz w:val="24"/>
          <w:szCs w:val="24"/>
        </w:rPr>
        <w:t xml:space="preserve"> ）</w:t>
      </w:r>
      <w:r>
        <w:rPr>
          <w:rFonts w:ascii="宋体" w:hAnsi="宋体" w:cs="宋体"/>
          <w:color w:val="auto"/>
          <w:kern w:val="1"/>
          <w:sz w:val="28"/>
        </w:rPr>
        <w:t>。</w:t>
      </w:r>
    </w:p>
    <w:p w14:paraId="4DC955B3">
      <w:pPr>
        <w:spacing w:line="360" w:lineRule="auto"/>
        <w:ind w:firstLine="960"/>
        <w:outlineLvl w:val="9"/>
        <w:rPr>
          <w:rFonts w:ascii="宋体" w:hAnsi="宋体" w:cs="宋体"/>
          <w:color w:val="auto"/>
          <w:kern w:val="1"/>
          <w:sz w:val="24"/>
        </w:rPr>
      </w:pPr>
      <w:r>
        <w:rPr>
          <w:rFonts w:ascii="宋体" w:hAnsi="宋体" w:cs="宋体"/>
          <w:color w:val="auto"/>
          <w:kern w:val="1"/>
          <w:sz w:val="24"/>
        </w:rPr>
        <w:t>特此证明。</w:t>
      </w:r>
    </w:p>
    <w:p w14:paraId="3D0652E1">
      <w:pPr>
        <w:spacing w:line="480" w:lineRule="auto"/>
        <w:outlineLvl w:val="9"/>
        <w:rPr>
          <w:rFonts w:hint="eastAsia" w:ascii="宋体" w:hAnsi="宋体" w:cs="宋体"/>
          <w:color w:val="auto"/>
          <w:sz w:val="24"/>
        </w:rPr>
      </w:pPr>
    </w:p>
    <w:tbl>
      <w:tblPr>
        <w:tblStyle w:val="25"/>
        <w:tblpPr w:leftFromText="180" w:rightFromText="180" w:vertAnchor="text" w:horzAnchor="page" w:tblpX="3162" w:tblpY="4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0"/>
      </w:tblGrid>
      <w:tr w14:paraId="1571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6360" w:type="dxa"/>
            <w:noWrap w:val="0"/>
            <w:vAlign w:val="top"/>
          </w:tcPr>
          <w:p w14:paraId="50AEBC83">
            <w:pPr>
              <w:spacing w:line="400" w:lineRule="exact"/>
              <w:outlineLvl w:val="9"/>
              <w:rPr>
                <w:rFonts w:ascii="宋体" w:hAnsi="宋体" w:cs="宋体"/>
                <w:b/>
                <w:color w:val="auto"/>
                <w:kern w:val="1"/>
                <w:sz w:val="24"/>
              </w:rPr>
            </w:pPr>
          </w:p>
          <w:p w14:paraId="5D734188">
            <w:pPr>
              <w:spacing w:line="400" w:lineRule="exact"/>
              <w:outlineLvl w:val="9"/>
              <w:rPr>
                <w:rFonts w:ascii="宋体" w:hAnsi="宋体" w:cs="宋体"/>
                <w:b/>
                <w:color w:val="auto"/>
                <w:kern w:val="1"/>
                <w:sz w:val="24"/>
              </w:rPr>
            </w:pPr>
          </w:p>
          <w:p w14:paraId="0C8F14E1">
            <w:pPr>
              <w:spacing w:line="400" w:lineRule="exact"/>
              <w:outlineLvl w:val="9"/>
              <w:rPr>
                <w:rFonts w:ascii="宋体" w:hAnsi="宋体" w:cs="宋体"/>
                <w:b/>
                <w:color w:val="auto"/>
                <w:kern w:val="1"/>
                <w:sz w:val="24"/>
              </w:rPr>
            </w:pPr>
          </w:p>
          <w:p w14:paraId="03C1F9A3">
            <w:pPr>
              <w:spacing w:line="400" w:lineRule="exact"/>
              <w:outlineLvl w:val="9"/>
              <w:rPr>
                <w:rFonts w:ascii="宋体" w:hAnsi="宋体" w:cs="宋体"/>
                <w:b/>
                <w:color w:val="auto"/>
                <w:kern w:val="1"/>
                <w:sz w:val="24"/>
              </w:rPr>
            </w:pPr>
          </w:p>
          <w:p w14:paraId="2D5CBD39">
            <w:pPr>
              <w:spacing w:line="400" w:lineRule="exact"/>
              <w:ind w:firstLine="480" w:firstLineChars="200"/>
              <w:outlineLvl w:val="9"/>
              <w:rPr>
                <w:rFonts w:ascii="宋体" w:hAnsi="宋体" w:cs="宋体"/>
                <w:b/>
                <w:color w:val="auto"/>
                <w:kern w:val="1"/>
                <w:sz w:val="24"/>
              </w:rPr>
            </w:pPr>
            <w:r>
              <w:rPr>
                <w:rFonts w:hint="eastAsia" w:ascii="宋体" w:hAnsi="宋体" w:eastAsia="宋体" w:cs="宋体"/>
                <w:b/>
                <w:color w:val="auto"/>
                <w:sz w:val="24"/>
                <w:szCs w:val="22"/>
                <w:highlight w:val="none"/>
                <w:lang w:eastAsia="zh-CN"/>
              </w:rPr>
              <w:t>附：</w:t>
            </w:r>
            <w:r>
              <w:rPr>
                <w:rFonts w:hint="eastAsia" w:ascii="宋体" w:hAnsi="宋体" w:eastAsia="宋体" w:cs="宋体"/>
                <w:b/>
                <w:color w:val="auto"/>
                <w:sz w:val="24"/>
                <w:szCs w:val="22"/>
                <w:highlight w:val="none"/>
                <w:lang w:val="en-US" w:eastAsia="zh-CN"/>
              </w:rPr>
              <w:t>法定代表人</w:t>
            </w:r>
            <w:r>
              <w:rPr>
                <w:rFonts w:hint="eastAsia" w:ascii="宋体" w:hAnsi="宋体" w:eastAsia="宋体" w:cs="宋体"/>
                <w:b/>
                <w:color w:val="auto"/>
                <w:sz w:val="24"/>
                <w:highlight w:val="none"/>
              </w:rPr>
              <w:t>身份证复印件</w:t>
            </w:r>
            <w:r>
              <w:rPr>
                <w:rFonts w:hint="eastAsia" w:ascii="宋体" w:hAnsi="宋体" w:eastAsia="宋体" w:cs="宋体"/>
                <w:b/>
                <w:color w:val="auto"/>
                <w:sz w:val="24"/>
                <w:highlight w:val="none"/>
                <w:lang w:val="en-US" w:eastAsia="zh-CN"/>
              </w:rPr>
              <w:t>或扫描件</w:t>
            </w:r>
            <w:r>
              <w:rPr>
                <w:rFonts w:hint="eastAsia" w:ascii="宋体" w:hAnsi="宋体" w:eastAsia="宋体" w:cs="宋体"/>
                <w:b/>
                <w:color w:val="auto"/>
                <w:sz w:val="24"/>
                <w:highlight w:val="none"/>
                <w:lang w:eastAsia="zh-CN"/>
              </w:rPr>
              <w:t>正、反面</w:t>
            </w:r>
          </w:p>
          <w:p w14:paraId="197D461E">
            <w:pPr>
              <w:spacing w:line="400" w:lineRule="exact"/>
              <w:outlineLvl w:val="9"/>
              <w:rPr>
                <w:rFonts w:ascii="宋体" w:hAnsi="宋体" w:cs="宋体"/>
                <w:b/>
                <w:color w:val="auto"/>
                <w:kern w:val="1"/>
                <w:sz w:val="24"/>
              </w:rPr>
            </w:pPr>
          </w:p>
          <w:p w14:paraId="5A784660">
            <w:pPr>
              <w:spacing w:line="400" w:lineRule="exact"/>
              <w:outlineLvl w:val="9"/>
              <w:rPr>
                <w:rFonts w:ascii="宋体" w:hAnsi="宋体" w:cs="宋体"/>
                <w:b/>
                <w:color w:val="auto"/>
                <w:kern w:val="1"/>
                <w:sz w:val="24"/>
              </w:rPr>
            </w:pPr>
          </w:p>
          <w:p w14:paraId="2C7838FC">
            <w:pPr>
              <w:spacing w:line="400" w:lineRule="exact"/>
              <w:outlineLvl w:val="9"/>
              <w:rPr>
                <w:rFonts w:ascii="宋体" w:hAnsi="宋体" w:cs="宋体"/>
                <w:b/>
                <w:color w:val="auto"/>
                <w:kern w:val="1"/>
                <w:sz w:val="24"/>
              </w:rPr>
            </w:pPr>
          </w:p>
        </w:tc>
      </w:tr>
    </w:tbl>
    <w:p w14:paraId="0F2307F7">
      <w:pPr>
        <w:ind w:right="700"/>
        <w:outlineLvl w:val="9"/>
        <w:rPr>
          <w:rFonts w:ascii="宋体" w:hAnsi="宋体" w:cs="宋体"/>
          <w:color w:val="auto"/>
          <w:kern w:val="1"/>
          <w:sz w:val="28"/>
        </w:rPr>
      </w:pPr>
    </w:p>
    <w:p w14:paraId="4F65AA59">
      <w:pPr>
        <w:ind w:right="700" w:firstLine="358"/>
        <w:jc w:val="center"/>
        <w:outlineLvl w:val="9"/>
        <w:rPr>
          <w:rFonts w:hint="eastAsia" w:ascii="宋体" w:hAnsi="宋体" w:cs="宋体"/>
          <w:color w:val="auto"/>
          <w:kern w:val="1"/>
          <w:sz w:val="28"/>
        </w:rPr>
      </w:pPr>
    </w:p>
    <w:p w14:paraId="6F3FF150">
      <w:pPr>
        <w:ind w:right="700" w:firstLine="358"/>
        <w:jc w:val="center"/>
        <w:outlineLvl w:val="9"/>
        <w:rPr>
          <w:rFonts w:hint="eastAsia" w:ascii="宋体" w:hAnsi="宋体" w:cs="宋体"/>
          <w:color w:val="auto"/>
          <w:kern w:val="1"/>
          <w:sz w:val="28"/>
        </w:rPr>
      </w:pPr>
    </w:p>
    <w:p w14:paraId="0BA23DD7">
      <w:pPr>
        <w:ind w:right="700" w:firstLine="358"/>
        <w:jc w:val="center"/>
        <w:outlineLvl w:val="9"/>
        <w:rPr>
          <w:rFonts w:ascii="宋体" w:hAnsi="宋体" w:cs="宋体"/>
          <w:color w:val="auto"/>
          <w:kern w:val="1"/>
          <w:sz w:val="28"/>
        </w:rPr>
      </w:pPr>
    </w:p>
    <w:p w14:paraId="32C77FF6">
      <w:pPr>
        <w:ind w:right="700" w:firstLine="358"/>
        <w:jc w:val="center"/>
        <w:outlineLvl w:val="9"/>
        <w:rPr>
          <w:rFonts w:ascii="宋体" w:hAnsi="宋体" w:cs="宋体"/>
          <w:color w:val="auto"/>
          <w:kern w:val="1"/>
          <w:sz w:val="28"/>
        </w:rPr>
      </w:pPr>
    </w:p>
    <w:p w14:paraId="0B1AA671">
      <w:pPr>
        <w:spacing w:line="480" w:lineRule="auto"/>
        <w:ind w:right="700" w:firstLine="3600"/>
        <w:outlineLvl w:val="9"/>
        <w:rPr>
          <w:rFonts w:ascii="宋体" w:hAnsi="宋体" w:cs="宋体"/>
          <w:color w:val="auto"/>
          <w:kern w:val="1"/>
          <w:sz w:val="24"/>
        </w:rPr>
      </w:pPr>
    </w:p>
    <w:p w14:paraId="3A5EA928">
      <w:pPr>
        <w:spacing w:line="480" w:lineRule="auto"/>
        <w:ind w:right="700" w:firstLine="3600"/>
        <w:outlineLvl w:val="9"/>
        <w:rPr>
          <w:rFonts w:hint="eastAsia" w:ascii="宋体" w:hAnsi="宋体" w:cs="宋体"/>
          <w:color w:val="auto"/>
          <w:kern w:val="1"/>
          <w:sz w:val="24"/>
        </w:rPr>
      </w:pPr>
    </w:p>
    <w:p w14:paraId="0DA2C0C5">
      <w:pPr>
        <w:spacing w:line="480" w:lineRule="auto"/>
        <w:ind w:right="700" w:firstLine="3600"/>
        <w:outlineLvl w:val="9"/>
        <w:rPr>
          <w:rFonts w:ascii="宋体" w:hAnsi="宋体" w:cs="宋体"/>
          <w:color w:val="auto"/>
          <w:kern w:val="1"/>
          <w:sz w:val="28"/>
          <w:highlight w:val="none"/>
          <w:u w:val="single"/>
        </w:rPr>
      </w:pPr>
      <w:r>
        <w:rPr>
          <w:rFonts w:ascii="宋体" w:hAnsi="宋体" w:cs="宋体"/>
          <w:color w:val="auto"/>
          <w:kern w:val="1"/>
          <w:sz w:val="24"/>
          <w:highlight w:val="none"/>
        </w:rPr>
        <w:t>供应商</w:t>
      </w:r>
      <w:r>
        <w:rPr>
          <w:rFonts w:hint="eastAsia" w:ascii="宋体" w:hAnsi="宋体" w:cs="宋体"/>
          <w:color w:val="auto"/>
          <w:kern w:val="1"/>
          <w:sz w:val="24"/>
          <w:highlight w:val="none"/>
          <w:lang w:val="en-US" w:eastAsia="zh-CN"/>
        </w:rPr>
        <w:t>全称</w:t>
      </w:r>
      <w:r>
        <w:rPr>
          <w:rFonts w:ascii="宋体" w:hAnsi="宋体" w:cs="宋体"/>
          <w:color w:val="auto"/>
          <w:kern w:val="1"/>
          <w:sz w:val="24"/>
        </w:rPr>
        <w:t>：</w:t>
      </w:r>
      <w:r>
        <w:rPr>
          <w:rFonts w:ascii="宋体" w:hAnsi="宋体" w:cs="宋体"/>
          <w:color w:val="auto"/>
          <w:kern w:val="1"/>
          <w:sz w:val="28"/>
          <w:highlight w:val="none"/>
          <w:u w:val="single"/>
        </w:rPr>
        <w:t xml:space="preserve">            </w:t>
      </w:r>
      <w:r>
        <w:rPr>
          <w:rFonts w:ascii="宋体" w:hAnsi="宋体" w:cs="宋体"/>
          <w:color w:val="auto"/>
          <w:kern w:val="1"/>
          <w:sz w:val="24"/>
          <w:highlight w:val="none"/>
          <w:u w:val="none"/>
        </w:rPr>
        <w:t>（盖章）</w:t>
      </w:r>
    </w:p>
    <w:p w14:paraId="541E88C2">
      <w:pPr>
        <w:spacing w:line="480" w:lineRule="auto"/>
        <w:ind w:firstLine="269"/>
        <w:jc w:val="right"/>
        <w:outlineLvl w:val="9"/>
        <w:rPr>
          <w:rFonts w:ascii="宋体" w:hAnsi="宋体" w:cs="宋体"/>
          <w:color w:val="auto"/>
          <w:kern w:val="1"/>
        </w:rPr>
      </w:pPr>
    </w:p>
    <w:p w14:paraId="685832DC">
      <w:pPr>
        <w:spacing w:line="480" w:lineRule="auto"/>
        <w:outlineLvl w:val="9"/>
        <w:rPr>
          <w:rFonts w:ascii="宋体" w:hAnsi="宋体" w:cs="宋体"/>
          <w:color w:val="auto"/>
          <w:kern w:val="1"/>
          <w:sz w:val="24"/>
        </w:rPr>
      </w:pPr>
      <w:r>
        <w:rPr>
          <w:rFonts w:ascii="宋体" w:hAnsi="宋体" w:cs="宋体"/>
          <w:color w:val="auto"/>
          <w:kern w:val="1"/>
          <w:sz w:val="28"/>
        </w:rPr>
        <w:t xml:space="preserve">                         </w:t>
      </w:r>
      <w:r>
        <w:rPr>
          <w:rFonts w:ascii="宋体" w:hAnsi="宋体" w:cs="宋体"/>
          <w:color w:val="auto"/>
          <w:kern w:val="1"/>
          <w:sz w:val="24"/>
        </w:rPr>
        <w:t xml:space="preserve"> 日   期：</w:t>
      </w:r>
      <w:r>
        <w:rPr>
          <w:rFonts w:ascii="宋体" w:hAnsi="宋体" w:cs="宋体"/>
          <w:color w:val="auto"/>
          <w:kern w:val="1"/>
          <w:sz w:val="24"/>
          <w:u w:val="single"/>
        </w:rPr>
        <w:t xml:space="preserve">      </w:t>
      </w:r>
      <w:r>
        <w:rPr>
          <w:rFonts w:ascii="宋体" w:hAnsi="宋体" w:cs="宋体"/>
          <w:color w:val="auto"/>
          <w:kern w:val="1"/>
          <w:sz w:val="24"/>
        </w:rPr>
        <w:t>年</w:t>
      </w:r>
      <w:r>
        <w:rPr>
          <w:rFonts w:ascii="宋体" w:hAnsi="宋体" w:cs="宋体"/>
          <w:color w:val="auto"/>
          <w:kern w:val="1"/>
          <w:sz w:val="24"/>
          <w:u w:val="single"/>
        </w:rPr>
        <w:t xml:space="preserve">     </w:t>
      </w:r>
      <w:r>
        <w:rPr>
          <w:rFonts w:ascii="宋体" w:hAnsi="宋体" w:cs="宋体"/>
          <w:color w:val="auto"/>
          <w:kern w:val="1"/>
          <w:sz w:val="24"/>
        </w:rPr>
        <w:t>月</w:t>
      </w:r>
      <w:r>
        <w:rPr>
          <w:rFonts w:ascii="宋体" w:hAnsi="宋体" w:cs="宋体"/>
          <w:color w:val="auto"/>
          <w:kern w:val="1"/>
          <w:sz w:val="24"/>
          <w:u w:val="single"/>
        </w:rPr>
        <w:t xml:space="preserve">      </w:t>
      </w:r>
      <w:r>
        <w:rPr>
          <w:rFonts w:ascii="宋体" w:hAnsi="宋体" w:cs="宋体"/>
          <w:color w:val="auto"/>
          <w:kern w:val="1"/>
          <w:sz w:val="24"/>
        </w:rPr>
        <w:t>日</w:t>
      </w:r>
    </w:p>
    <w:p w14:paraId="5F82A42C">
      <w:pPr>
        <w:pStyle w:val="16"/>
        <w:outlineLvl w:val="9"/>
        <w:rPr>
          <w:rFonts w:hint="eastAsia" w:ascii="宋体" w:hAnsi="宋体"/>
          <w:color w:val="auto"/>
          <w:sz w:val="24"/>
        </w:rPr>
      </w:pPr>
    </w:p>
    <w:p w14:paraId="31FC6E90">
      <w:pPr>
        <w:pStyle w:val="67"/>
        <w:jc w:val="center"/>
        <w:outlineLvl w:val="9"/>
        <w:rPr>
          <w:rFonts w:hint="eastAsia" w:hAnsi="宋体"/>
          <w:bCs/>
          <w:color w:val="auto"/>
          <w:sz w:val="32"/>
          <w:szCs w:val="32"/>
        </w:rPr>
      </w:pPr>
    </w:p>
    <w:p w14:paraId="7760509E">
      <w:pPr>
        <w:pStyle w:val="67"/>
        <w:jc w:val="center"/>
        <w:outlineLvl w:val="9"/>
        <w:rPr>
          <w:rFonts w:hint="eastAsia" w:hAnsi="宋体"/>
          <w:bCs/>
          <w:color w:val="auto"/>
          <w:sz w:val="32"/>
          <w:szCs w:val="32"/>
        </w:rPr>
      </w:pPr>
    </w:p>
    <w:p w14:paraId="2A6FA2BE">
      <w:pPr>
        <w:pStyle w:val="67"/>
        <w:jc w:val="center"/>
        <w:outlineLvl w:val="9"/>
        <w:rPr>
          <w:rFonts w:hint="eastAsia" w:hAnsi="宋体"/>
          <w:bCs/>
          <w:color w:val="auto"/>
          <w:sz w:val="32"/>
          <w:szCs w:val="32"/>
        </w:rPr>
      </w:pPr>
      <w:r>
        <w:rPr>
          <w:rFonts w:hint="eastAsia" w:hAnsi="宋体"/>
          <w:bCs/>
          <w:color w:val="auto"/>
          <w:sz w:val="32"/>
          <w:szCs w:val="32"/>
        </w:rPr>
        <w:t>二、法定代表人授权委托书</w:t>
      </w:r>
    </w:p>
    <w:p w14:paraId="5FC9C983">
      <w:pPr>
        <w:pStyle w:val="85"/>
        <w:spacing w:before="0" w:after="0" w:line="420" w:lineRule="exact"/>
        <w:ind w:firstLineChars="200"/>
        <w:outlineLvl w:val="9"/>
        <w:rPr>
          <w:rFonts w:hint="eastAsia" w:ascii="宋体" w:hAnsi="宋体"/>
          <w:color w:val="auto"/>
          <w:kern w:val="2"/>
          <w:szCs w:val="21"/>
        </w:rPr>
      </w:pPr>
    </w:p>
    <w:p w14:paraId="03429216">
      <w:pPr>
        <w:pStyle w:val="85"/>
        <w:spacing w:before="0" w:after="0" w:line="480" w:lineRule="auto"/>
        <w:ind w:firstLineChars="200"/>
        <w:outlineLvl w:val="9"/>
        <w:rPr>
          <w:rFonts w:hint="eastAsia" w:ascii="宋体" w:hAnsi="宋体"/>
          <w:color w:val="auto"/>
          <w:kern w:val="2"/>
          <w:highlight w:val="none"/>
        </w:rPr>
      </w:pPr>
      <w:r>
        <w:rPr>
          <w:rFonts w:hint="eastAsia" w:ascii="宋体" w:hAnsi="宋体"/>
          <w:color w:val="auto"/>
          <w:kern w:val="2"/>
        </w:rPr>
        <w:t>本授权书声明：</w:t>
      </w:r>
      <w:r>
        <w:rPr>
          <w:rFonts w:hint="eastAsia" w:ascii="宋体" w:hAnsi="宋体"/>
          <w:color w:val="auto"/>
          <w:kern w:val="2"/>
          <w:u w:val="single"/>
        </w:rPr>
        <w:t xml:space="preserve">       </w:t>
      </w:r>
      <w:r>
        <w:rPr>
          <w:rFonts w:hint="eastAsia" w:ascii="宋体" w:hAnsi="宋体"/>
          <w:color w:val="auto"/>
          <w:kern w:val="2"/>
          <w:u w:val="single"/>
          <w:lang w:val="en-US" w:eastAsia="zh-CN"/>
        </w:rPr>
        <w:t xml:space="preserve">   </w:t>
      </w:r>
      <w:r>
        <w:rPr>
          <w:rFonts w:hint="eastAsia" w:ascii="宋体" w:hAnsi="宋体"/>
          <w:color w:val="auto"/>
          <w:kern w:val="2"/>
          <w:u w:val="single"/>
        </w:rPr>
        <w:t xml:space="preserve">  </w:t>
      </w:r>
      <w:r>
        <w:rPr>
          <w:rFonts w:hint="eastAsia" w:ascii="宋体" w:hAnsi="宋体"/>
          <w:color w:val="auto"/>
          <w:kern w:val="2"/>
        </w:rPr>
        <w:t>（供应商名称）</w:t>
      </w:r>
      <w:r>
        <w:rPr>
          <w:rFonts w:hint="eastAsia" w:ascii="宋体" w:hAnsi="宋体"/>
          <w:color w:val="auto"/>
          <w:kern w:val="2"/>
          <w:u w:val="single"/>
        </w:rPr>
        <w:t xml:space="preserve">     </w:t>
      </w:r>
      <w:r>
        <w:rPr>
          <w:rFonts w:hint="eastAsia" w:ascii="宋体" w:hAnsi="宋体"/>
          <w:color w:val="auto"/>
          <w:kern w:val="2"/>
          <w:u w:val="single"/>
          <w:lang w:val="en-US" w:eastAsia="zh-CN"/>
        </w:rPr>
        <w:t xml:space="preserve">    </w:t>
      </w:r>
      <w:r>
        <w:rPr>
          <w:rFonts w:hint="eastAsia" w:ascii="宋体" w:hAnsi="宋体"/>
          <w:color w:val="auto"/>
          <w:kern w:val="2"/>
          <w:u w:val="single"/>
        </w:rPr>
        <w:t xml:space="preserve">    </w:t>
      </w:r>
      <w:r>
        <w:rPr>
          <w:rFonts w:hint="eastAsia" w:ascii="宋体" w:hAnsi="宋体"/>
          <w:color w:val="auto"/>
          <w:kern w:val="2"/>
        </w:rPr>
        <w:t>（法定代表人姓名、职务）授权</w:t>
      </w:r>
      <w:r>
        <w:rPr>
          <w:rFonts w:hint="eastAsia" w:ascii="宋体" w:hAnsi="宋体"/>
          <w:color w:val="auto"/>
          <w:kern w:val="2"/>
          <w:u w:val="single"/>
        </w:rPr>
        <w:t xml:space="preserve">         </w:t>
      </w:r>
      <w:r>
        <w:rPr>
          <w:rFonts w:hint="eastAsia" w:ascii="宋体" w:hAnsi="宋体"/>
          <w:color w:val="auto"/>
          <w:kern w:val="2"/>
        </w:rPr>
        <w:t>（</w:t>
      </w:r>
      <w:r>
        <w:rPr>
          <w:rFonts w:hint="eastAsia" w:ascii="宋体" w:hAnsi="宋体"/>
          <w:color w:val="auto"/>
          <w:kern w:val="2"/>
          <w:highlight w:val="none"/>
        </w:rPr>
        <w:t>被授权</w:t>
      </w:r>
      <w:r>
        <w:rPr>
          <w:rFonts w:hint="eastAsia" w:ascii="宋体" w:hAnsi="宋体"/>
          <w:color w:val="auto"/>
          <w:kern w:val="2"/>
          <w:highlight w:val="none"/>
          <w:lang w:val="en-US" w:eastAsia="zh-CN"/>
        </w:rPr>
        <w:t>人</w:t>
      </w:r>
      <w:r>
        <w:rPr>
          <w:rFonts w:hint="eastAsia" w:ascii="宋体" w:hAnsi="宋体"/>
          <w:color w:val="auto"/>
          <w:kern w:val="2"/>
          <w:highlight w:val="none"/>
        </w:rPr>
        <w:t>的姓名、职务）为我方就</w:t>
      </w:r>
      <w:r>
        <w:rPr>
          <w:rFonts w:hint="eastAsia" w:ascii="宋体" w:hAnsi="宋体"/>
          <w:color w:val="auto"/>
          <w:kern w:val="2"/>
          <w:highlight w:val="none"/>
          <w:u w:val="single"/>
        </w:rPr>
        <w:t xml:space="preserve">          </w:t>
      </w:r>
      <w:r>
        <w:rPr>
          <w:rFonts w:hint="eastAsia" w:ascii="宋体" w:hAnsi="宋体"/>
          <w:color w:val="auto"/>
          <w:kern w:val="2"/>
          <w:highlight w:val="none"/>
          <w:u w:val="none"/>
          <w:lang w:eastAsia="zh-CN"/>
        </w:rPr>
        <w:t>（</w:t>
      </w:r>
      <w:r>
        <w:rPr>
          <w:rFonts w:hint="eastAsia" w:ascii="宋体" w:hAnsi="宋体"/>
          <w:color w:val="auto"/>
          <w:kern w:val="2"/>
          <w:highlight w:val="none"/>
          <w:u w:val="none"/>
          <w:lang w:val="en-US" w:eastAsia="zh-CN"/>
        </w:rPr>
        <w:t>项目名称</w:t>
      </w:r>
      <w:r>
        <w:rPr>
          <w:rFonts w:hint="eastAsia" w:ascii="宋体" w:hAnsi="宋体"/>
          <w:color w:val="auto"/>
          <w:kern w:val="2"/>
          <w:highlight w:val="none"/>
          <w:u w:val="none"/>
          <w:lang w:eastAsia="zh-CN"/>
        </w:rPr>
        <w:t>）</w:t>
      </w:r>
      <w:r>
        <w:rPr>
          <w:rFonts w:hint="eastAsia" w:ascii="宋体" w:hAnsi="宋体"/>
          <w:color w:val="auto"/>
          <w:kern w:val="2"/>
          <w:highlight w:val="none"/>
        </w:rPr>
        <w:t>的合法代理人，以本公司名义全权处理</w:t>
      </w:r>
      <w:r>
        <w:rPr>
          <w:rFonts w:hint="eastAsia" w:ascii="宋体" w:hAnsi="宋体"/>
          <w:color w:val="auto"/>
          <w:spacing w:val="-6"/>
          <w:kern w:val="2"/>
          <w:highlight w:val="none"/>
        </w:rPr>
        <w:t>一切与该项目招标有关的事务。</w:t>
      </w:r>
    </w:p>
    <w:p w14:paraId="3F91B7EC">
      <w:pPr>
        <w:spacing w:line="480" w:lineRule="auto"/>
        <w:ind w:firstLine="480" w:firstLineChars="200"/>
        <w:outlineLvl w:val="9"/>
        <w:rPr>
          <w:rFonts w:hint="eastAsia" w:ascii="宋体" w:hAnsi="宋体" w:eastAsia="宋体"/>
          <w:color w:val="auto"/>
          <w:sz w:val="24"/>
          <w:highlight w:val="none"/>
          <w:lang w:eastAsia="zh-CN"/>
        </w:rPr>
      </w:pPr>
      <w:r>
        <w:rPr>
          <w:rFonts w:hint="eastAsia" w:ascii="宋体" w:hAnsi="宋体"/>
          <w:color w:val="auto"/>
          <w:spacing w:val="0"/>
          <w:kern w:val="2"/>
          <w:sz w:val="24"/>
          <w:szCs w:val="24"/>
          <w:highlight w:val="none"/>
          <w:lang w:val="en-US" w:eastAsia="zh-CN" w:bidi="ar-SA"/>
        </w:rPr>
        <w:t>委托期限：</w:t>
      </w:r>
      <w:r>
        <w:rPr>
          <w:rFonts w:hint="eastAsia" w:ascii="宋体" w:hAnsi="宋体" w:cs="宋体"/>
          <w:color w:val="auto"/>
          <w:spacing w:val="0"/>
          <w:kern w:val="2"/>
          <w:sz w:val="24"/>
          <w:szCs w:val="24"/>
          <w:highlight w:val="none"/>
          <w:u w:val="single"/>
          <w:lang w:val="en-US" w:eastAsia="zh-CN"/>
        </w:rPr>
        <w:t xml:space="preserve">                        </w:t>
      </w:r>
      <w:r>
        <w:rPr>
          <w:rFonts w:hint="eastAsia" w:ascii="宋体" w:hAnsi="宋体" w:eastAsia="宋体" w:cs="宋体"/>
          <w:color w:val="auto"/>
          <w:spacing w:val="0"/>
          <w:kern w:val="2"/>
          <w:sz w:val="24"/>
          <w:szCs w:val="24"/>
          <w:highlight w:val="none"/>
          <w:lang w:val="en-US" w:eastAsia="zh-CN"/>
        </w:rPr>
        <w:t>。</w:t>
      </w:r>
    </w:p>
    <w:p w14:paraId="2E19094D">
      <w:pPr>
        <w:pStyle w:val="85"/>
        <w:spacing w:before="0" w:after="0"/>
        <w:ind w:firstLineChars="200"/>
        <w:outlineLvl w:val="9"/>
        <w:rPr>
          <w:rFonts w:hint="eastAsia" w:ascii="宋体" w:hAnsi="宋体"/>
          <w:color w:val="auto"/>
          <w:kern w:val="2"/>
          <w:highlight w:val="none"/>
        </w:rPr>
      </w:pPr>
    </w:p>
    <w:p w14:paraId="29E268A3">
      <w:pPr>
        <w:pStyle w:val="85"/>
        <w:spacing w:before="0" w:after="0" w:line="480" w:lineRule="auto"/>
        <w:ind w:firstLine="1920" w:firstLineChars="800"/>
        <w:outlineLvl w:val="9"/>
        <w:rPr>
          <w:rFonts w:hint="eastAsia" w:ascii="宋体" w:hAnsi="宋体"/>
          <w:color w:val="auto"/>
          <w:kern w:val="2"/>
          <w:highlight w:val="none"/>
          <w:u w:val="single"/>
        </w:rPr>
      </w:pPr>
      <w:r>
        <w:rPr>
          <w:rFonts w:hint="eastAsia" w:ascii="宋体" w:hAnsi="宋体"/>
          <w:color w:val="auto"/>
          <w:kern w:val="2"/>
          <w:highlight w:val="none"/>
        </w:rPr>
        <w:t>被授权</w:t>
      </w:r>
      <w:r>
        <w:rPr>
          <w:rFonts w:hint="eastAsia" w:ascii="宋体" w:hAnsi="宋体"/>
          <w:color w:val="auto"/>
          <w:kern w:val="2"/>
          <w:highlight w:val="none"/>
          <w:lang w:val="en-US" w:eastAsia="zh-CN"/>
        </w:rPr>
        <w:t>人</w:t>
      </w:r>
      <w:r>
        <w:rPr>
          <w:rFonts w:hint="eastAsia" w:ascii="宋体" w:hAnsi="宋体"/>
          <w:color w:val="auto"/>
          <w:kern w:val="2"/>
          <w:highlight w:val="none"/>
        </w:rPr>
        <w:t>：</w:t>
      </w:r>
      <w:r>
        <w:rPr>
          <w:rFonts w:hint="eastAsia" w:ascii="宋体" w:hAnsi="宋体"/>
          <w:color w:val="auto"/>
          <w:kern w:val="2"/>
          <w:highlight w:val="none"/>
          <w:u w:val="single"/>
        </w:rPr>
        <w:t xml:space="preserve">       （签字）</w:t>
      </w:r>
      <w:r>
        <w:rPr>
          <w:rFonts w:hint="eastAsia" w:ascii="宋体" w:hAnsi="宋体"/>
          <w:color w:val="auto"/>
          <w:kern w:val="2"/>
          <w:highlight w:val="none"/>
        </w:rPr>
        <w:t>性别：</w:t>
      </w:r>
      <w:r>
        <w:rPr>
          <w:rFonts w:hint="eastAsia" w:ascii="宋体" w:hAnsi="宋体"/>
          <w:color w:val="auto"/>
          <w:kern w:val="2"/>
          <w:highlight w:val="none"/>
          <w:u w:val="single"/>
        </w:rPr>
        <w:t xml:space="preserve">       </w:t>
      </w:r>
      <w:r>
        <w:rPr>
          <w:rFonts w:hint="eastAsia" w:ascii="宋体" w:hAnsi="宋体"/>
          <w:color w:val="auto"/>
          <w:kern w:val="2"/>
          <w:highlight w:val="none"/>
        </w:rPr>
        <w:t>年龄：</w:t>
      </w:r>
      <w:r>
        <w:rPr>
          <w:rFonts w:hint="eastAsia" w:ascii="宋体" w:hAnsi="宋体"/>
          <w:color w:val="auto"/>
          <w:kern w:val="2"/>
          <w:highlight w:val="none"/>
          <w:u w:val="single"/>
        </w:rPr>
        <w:t xml:space="preserve">        </w:t>
      </w:r>
      <w:r>
        <w:rPr>
          <w:rFonts w:hint="eastAsia" w:ascii="宋体" w:hAnsi="宋体"/>
          <w:color w:val="FFFFFF" w:themeColor="background1"/>
          <w:kern w:val="2"/>
          <w:highlight w:val="none"/>
          <w:u w:val="single"/>
          <w14:textFill>
            <w14:solidFill>
              <w14:schemeClr w14:val="bg1"/>
            </w14:solidFill>
          </w14:textFill>
        </w:rPr>
        <w:t>.</w:t>
      </w:r>
      <w:r>
        <w:rPr>
          <w:rFonts w:hint="eastAsia" w:ascii="宋体" w:hAnsi="宋体"/>
          <w:color w:val="auto"/>
          <w:kern w:val="2"/>
          <w:highlight w:val="none"/>
          <w:u w:val="single"/>
        </w:rPr>
        <w:t xml:space="preserve">   </w:t>
      </w:r>
    </w:p>
    <w:p w14:paraId="7FFE1FB0">
      <w:pPr>
        <w:pStyle w:val="85"/>
        <w:spacing w:before="0" w:after="0" w:line="480" w:lineRule="auto"/>
        <w:ind w:firstLine="1920" w:firstLineChars="800"/>
        <w:outlineLvl w:val="9"/>
        <w:rPr>
          <w:rFonts w:hint="eastAsia" w:ascii="宋体" w:hAnsi="宋体"/>
          <w:color w:val="auto"/>
          <w:kern w:val="2"/>
          <w:highlight w:val="none"/>
          <w:u w:val="single"/>
        </w:rPr>
      </w:pPr>
      <w:r>
        <w:rPr>
          <w:rFonts w:hint="eastAsia" w:ascii="宋体" w:hAnsi="宋体"/>
          <w:color w:val="auto"/>
          <w:kern w:val="2"/>
          <w:highlight w:val="none"/>
        </w:rPr>
        <w:t>身份证号码：</w:t>
      </w:r>
      <w:r>
        <w:rPr>
          <w:rFonts w:hint="eastAsia" w:ascii="宋体" w:hAnsi="宋体"/>
          <w:color w:val="auto"/>
          <w:kern w:val="2"/>
          <w:highlight w:val="none"/>
          <w:u w:val="single"/>
        </w:rPr>
        <w:t xml:space="preserve">                        </w:t>
      </w:r>
      <w:r>
        <w:rPr>
          <w:rFonts w:hint="eastAsia" w:ascii="宋体" w:hAnsi="宋体"/>
          <w:color w:val="auto"/>
          <w:kern w:val="2"/>
          <w:highlight w:val="none"/>
        </w:rPr>
        <w:t>职务：</w:t>
      </w:r>
      <w:r>
        <w:rPr>
          <w:rFonts w:hint="eastAsia" w:ascii="宋体" w:hAnsi="宋体"/>
          <w:color w:val="auto"/>
          <w:kern w:val="2"/>
          <w:highlight w:val="none"/>
          <w:u w:val="single"/>
        </w:rPr>
        <w:t xml:space="preserve">     </w:t>
      </w:r>
      <w:r>
        <w:rPr>
          <w:rFonts w:hint="eastAsia" w:ascii="宋体" w:hAnsi="宋体"/>
          <w:color w:val="auto"/>
          <w:kern w:val="2"/>
          <w:highlight w:val="none"/>
          <w:u w:val="single"/>
          <w:lang w:val="en-US" w:eastAsia="zh-CN"/>
        </w:rPr>
        <w:t xml:space="preserve">  </w:t>
      </w:r>
      <w:r>
        <w:rPr>
          <w:rFonts w:hint="eastAsia" w:ascii="宋体" w:hAnsi="宋体"/>
          <w:color w:val="auto"/>
          <w:kern w:val="2"/>
          <w:highlight w:val="none"/>
          <w:u w:val="single"/>
        </w:rPr>
        <w:t xml:space="preserve">   </w:t>
      </w:r>
      <w:r>
        <w:rPr>
          <w:rFonts w:hint="eastAsia" w:ascii="宋体" w:hAnsi="宋体"/>
          <w:color w:val="FFFFFF" w:themeColor="background1"/>
          <w:kern w:val="2"/>
          <w:highlight w:val="none"/>
          <w:u w:val="single"/>
          <w14:textFill>
            <w14:solidFill>
              <w14:schemeClr w14:val="bg1"/>
            </w14:solidFill>
          </w14:textFill>
        </w:rPr>
        <w:t>.</w:t>
      </w:r>
      <w:r>
        <w:rPr>
          <w:rFonts w:hint="eastAsia" w:ascii="宋体" w:hAnsi="宋体"/>
          <w:color w:val="auto"/>
          <w:kern w:val="2"/>
          <w:highlight w:val="none"/>
          <w:u w:val="single"/>
        </w:rPr>
        <w:t xml:space="preserve">      </w:t>
      </w:r>
    </w:p>
    <w:p w14:paraId="2B958A85">
      <w:pPr>
        <w:pStyle w:val="85"/>
        <w:spacing w:before="0" w:after="0" w:line="480" w:lineRule="auto"/>
        <w:ind w:firstLine="1920" w:firstLineChars="800"/>
        <w:outlineLvl w:val="9"/>
        <w:rPr>
          <w:rFonts w:hint="eastAsia" w:ascii="宋体" w:hAnsi="宋体"/>
          <w:color w:val="auto"/>
          <w:highlight w:val="none"/>
        </w:rPr>
      </w:pPr>
      <w:r>
        <w:rPr>
          <w:rFonts w:hint="eastAsia" w:ascii="宋体" w:hAnsi="宋体"/>
          <w:color w:val="auto"/>
          <w:kern w:val="2"/>
          <w:highlight w:val="none"/>
        </w:rPr>
        <w:t>供应商</w:t>
      </w:r>
      <w:r>
        <w:rPr>
          <w:rFonts w:hint="eastAsia" w:ascii="宋体" w:hAnsi="宋体"/>
          <w:color w:val="auto"/>
          <w:kern w:val="2"/>
          <w:highlight w:val="none"/>
          <w:lang w:val="en-US" w:eastAsia="zh-CN"/>
        </w:rPr>
        <w:t>全称</w:t>
      </w:r>
      <w:r>
        <w:rPr>
          <w:rFonts w:hint="eastAsia" w:ascii="宋体" w:hAnsi="宋体"/>
          <w:color w:val="auto"/>
          <w:kern w:val="2"/>
          <w:highlight w:val="none"/>
        </w:rPr>
        <w:t>：</w:t>
      </w:r>
      <w:r>
        <w:rPr>
          <w:rFonts w:hint="eastAsia" w:ascii="宋体" w:hAnsi="宋体"/>
          <w:color w:val="auto"/>
          <w:kern w:val="2"/>
          <w:highlight w:val="none"/>
          <w:u w:val="single"/>
        </w:rPr>
        <w:t xml:space="preserve">                          </w:t>
      </w:r>
      <w:r>
        <w:rPr>
          <w:rFonts w:hint="eastAsia" w:ascii="宋体" w:hAnsi="宋体"/>
          <w:color w:val="auto"/>
          <w:kern w:val="2"/>
          <w:highlight w:val="none"/>
          <w:u w:val="single"/>
          <w:lang w:val="en-US" w:eastAsia="zh-CN"/>
        </w:rPr>
        <w:t xml:space="preserve">  </w:t>
      </w:r>
      <w:r>
        <w:rPr>
          <w:rFonts w:hint="eastAsia" w:ascii="宋体" w:hAnsi="宋体"/>
          <w:color w:val="auto"/>
          <w:kern w:val="2"/>
          <w:highlight w:val="none"/>
          <w:u w:val="single"/>
        </w:rPr>
        <w:t xml:space="preserve">    </w:t>
      </w:r>
      <w:r>
        <w:rPr>
          <w:rFonts w:hint="eastAsia" w:ascii="宋体" w:hAnsi="宋体"/>
          <w:color w:val="auto"/>
          <w:kern w:val="2"/>
          <w:highlight w:val="none"/>
          <w:u w:val="none"/>
        </w:rPr>
        <w:t>（盖章）</w:t>
      </w:r>
    </w:p>
    <w:p w14:paraId="44511336">
      <w:pPr>
        <w:pStyle w:val="85"/>
        <w:spacing w:before="0" w:after="0" w:line="480" w:lineRule="auto"/>
        <w:ind w:firstLine="1920" w:firstLineChars="800"/>
        <w:outlineLvl w:val="9"/>
        <w:rPr>
          <w:rFonts w:hint="eastAsia" w:ascii="宋体" w:hAnsi="宋体"/>
          <w:color w:val="auto"/>
          <w:kern w:val="2"/>
          <w:highlight w:val="none"/>
          <w:u w:val="single"/>
        </w:rPr>
      </w:pPr>
      <w:r>
        <w:rPr>
          <w:rFonts w:hint="eastAsia" w:ascii="宋体" w:hAnsi="宋体"/>
          <w:color w:val="auto"/>
          <w:kern w:val="2"/>
          <w:highlight w:val="none"/>
        </w:rPr>
        <w:t>法定代表人：</w:t>
      </w:r>
      <w:r>
        <w:rPr>
          <w:rFonts w:hint="eastAsia" w:ascii="宋体" w:hAnsi="宋体"/>
          <w:color w:val="auto"/>
          <w:kern w:val="2"/>
          <w:highlight w:val="none"/>
          <w:u w:val="single"/>
        </w:rPr>
        <w:t xml:space="preserve">                       </w:t>
      </w:r>
      <w:r>
        <w:rPr>
          <w:rFonts w:hint="eastAsia" w:ascii="宋体" w:hAnsi="宋体"/>
          <w:color w:val="auto"/>
          <w:kern w:val="2"/>
          <w:highlight w:val="none"/>
          <w:u w:val="single"/>
          <w:lang w:val="en-US" w:eastAsia="zh-CN"/>
        </w:rPr>
        <w:t xml:space="preserve">  </w:t>
      </w:r>
      <w:r>
        <w:rPr>
          <w:rFonts w:hint="eastAsia" w:ascii="宋体" w:hAnsi="宋体"/>
          <w:color w:val="auto"/>
          <w:kern w:val="2"/>
          <w:highlight w:val="none"/>
          <w:u w:val="single"/>
        </w:rPr>
        <w:t xml:space="preserve"> </w:t>
      </w:r>
      <w:r>
        <w:rPr>
          <w:rFonts w:hint="eastAsia" w:ascii="宋体" w:hAnsi="宋体"/>
          <w:color w:val="auto"/>
          <w:kern w:val="2"/>
          <w:highlight w:val="none"/>
          <w:u w:val="none"/>
        </w:rPr>
        <w:t>（签字或盖章）</w:t>
      </w:r>
    </w:p>
    <w:p w14:paraId="4D316658">
      <w:pPr>
        <w:pStyle w:val="85"/>
        <w:spacing w:before="0" w:after="0" w:line="480" w:lineRule="auto"/>
        <w:ind w:firstLine="1920" w:firstLineChars="800"/>
        <w:outlineLvl w:val="9"/>
        <w:rPr>
          <w:rFonts w:hint="eastAsia" w:ascii="宋体" w:hAnsi="宋体"/>
          <w:color w:val="auto"/>
          <w:kern w:val="2"/>
          <w:highlight w:val="none"/>
        </w:rPr>
      </w:pPr>
      <w:r>
        <w:rPr>
          <w:rFonts w:hint="eastAsia" w:ascii="宋体" w:hAnsi="宋体"/>
          <w:color w:val="auto"/>
          <w:kern w:val="2"/>
          <w:highlight w:val="none"/>
        </w:rPr>
        <w:t>日</w:t>
      </w:r>
      <w:r>
        <w:rPr>
          <w:rFonts w:hint="eastAsia" w:ascii="宋体" w:hAnsi="宋体"/>
          <w:color w:val="auto"/>
          <w:kern w:val="2"/>
          <w:highlight w:val="none"/>
          <w:lang w:val="en-US" w:eastAsia="zh-CN"/>
        </w:rPr>
        <w:t xml:space="preserve">      </w:t>
      </w:r>
      <w:r>
        <w:rPr>
          <w:rFonts w:hint="eastAsia" w:ascii="宋体" w:hAnsi="宋体"/>
          <w:color w:val="auto"/>
          <w:kern w:val="2"/>
          <w:highlight w:val="none"/>
        </w:rPr>
        <w:t>期：</w:t>
      </w:r>
      <w:r>
        <w:rPr>
          <w:rFonts w:hint="eastAsia" w:ascii="宋体" w:hAnsi="宋体"/>
          <w:color w:val="auto"/>
          <w:kern w:val="2"/>
          <w:highlight w:val="none"/>
          <w:u w:val="single"/>
        </w:rPr>
        <w:t xml:space="preserve">       </w:t>
      </w:r>
      <w:r>
        <w:rPr>
          <w:rFonts w:hint="eastAsia" w:ascii="宋体" w:hAnsi="宋体"/>
          <w:color w:val="auto"/>
          <w:kern w:val="2"/>
          <w:highlight w:val="none"/>
          <w:u w:val="single"/>
          <w:lang w:val="en-US" w:eastAsia="zh-CN"/>
        </w:rPr>
        <w:t xml:space="preserve"> </w:t>
      </w:r>
      <w:r>
        <w:rPr>
          <w:rFonts w:hint="eastAsia" w:ascii="宋体" w:hAnsi="宋体"/>
          <w:color w:val="auto"/>
          <w:kern w:val="2"/>
          <w:highlight w:val="none"/>
          <w:u w:val="single"/>
        </w:rPr>
        <w:t xml:space="preserve">   </w:t>
      </w:r>
      <w:r>
        <w:rPr>
          <w:rFonts w:hint="eastAsia" w:ascii="宋体" w:hAnsi="宋体"/>
          <w:color w:val="auto"/>
          <w:kern w:val="2"/>
          <w:highlight w:val="none"/>
        </w:rPr>
        <w:t>年</w:t>
      </w:r>
      <w:r>
        <w:rPr>
          <w:rFonts w:hint="eastAsia" w:ascii="宋体" w:hAnsi="宋体"/>
          <w:color w:val="auto"/>
          <w:kern w:val="2"/>
          <w:highlight w:val="none"/>
          <w:u w:val="single"/>
        </w:rPr>
        <w:t xml:space="preserve">     </w:t>
      </w:r>
      <w:r>
        <w:rPr>
          <w:rFonts w:hint="eastAsia" w:ascii="宋体" w:hAnsi="宋体"/>
          <w:color w:val="auto"/>
          <w:kern w:val="2"/>
          <w:highlight w:val="none"/>
          <w:u w:val="single"/>
          <w:lang w:val="en-US" w:eastAsia="zh-CN"/>
        </w:rPr>
        <w:t xml:space="preserve"> </w:t>
      </w:r>
      <w:r>
        <w:rPr>
          <w:rFonts w:hint="eastAsia" w:ascii="宋体" w:hAnsi="宋体"/>
          <w:color w:val="auto"/>
          <w:kern w:val="2"/>
          <w:highlight w:val="none"/>
          <w:u w:val="single"/>
        </w:rPr>
        <w:t xml:space="preserve">    </w:t>
      </w:r>
      <w:r>
        <w:rPr>
          <w:rFonts w:hint="eastAsia" w:ascii="宋体" w:hAnsi="宋体"/>
          <w:color w:val="auto"/>
          <w:kern w:val="2"/>
          <w:highlight w:val="none"/>
        </w:rPr>
        <w:t>月</w:t>
      </w:r>
      <w:r>
        <w:rPr>
          <w:rFonts w:hint="eastAsia" w:ascii="宋体" w:hAnsi="宋体"/>
          <w:color w:val="auto"/>
          <w:kern w:val="2"/>
          <w:highlight w:val="none"/>
          <w:u w:val="single"/>
        </w:rPr>
        <w:t xml:space="preserve">        </w:t>
      </w:r>
      <w:r>
        <w:rPr>
          <w:rFonts w:hint="eastAsia" w:ascii="宋体" w:hAnsi="宋体"/>
          <w:color w:val="auto"/>
          <w:kern w:val="2"/>
          <w:highlight w:val="none"/>
          <w:u w:val="single"/>
          <w:lang w:val="en-US" w:eastAsia="zh-CN"/>
        </w:rPr>
        <w:t xml:space="preserve"> </w:t>
      </w:r>
      <w:r>
        <w:rPr>
          <w:rFonts w:hint="eastAsia" w:ascii="宋体" w:hAnsi="宋体"/>
          <w:color w:val="auto"/>
          <w:kern w:val="2"/>
          <w:highlight w:val="none"/>
          <w:u w:val="single"/>
        </w:rPr>
        <w:t xml:space="preserve">   </w:t>
      </w:r>
      <w:r>
        <w:rPr>
          <w:rFonts w:hint="eastAsia" w:ascii="宋体" w:hAnsi="宋体"/>
          <w:color w:val="auto"/>
          <w:kern w:val="2"/>
          <w:highlight w:val="none"/>
        </w:rPr>
        <w:t>日</w:t>
      </w:r>
    </w:p>
    <w:tbl>
      <w:tblPr>
        <w:tblStyle w:val="25"/>
        <w:tblpPr w:leftFromText="180" w:rightFromText="180" w:vertAnchor="text" w:horzAnchor="page" w:tblpX="2255" w:tblpY="2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5"/>
      </w:tblGrid>
      <w:tr w14:paraId="0F36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trPr>
        <w:tc>
          <w:tcPr>
            <w:tcW w:w="7635" w:type="dxa"/>
            <w:tcBorders>
              <w:top w:val="single" w:color="auto" w:sz="4" w:space="0"/>
              <w:left w:val="single" w:color="auto" w:sz="4" w:space="0"/>
              <w:bottom w:val="single" w:color="auto" w:sz="4" w:space="0"/>
              <w:right w:val="single" w:color="auto" w:sz="4" w:space="0"/>
            </w:tcBorders>
            <w:noWrap w:val="0"/>
            <w:vAlign w:val="center"/>
          </w:tcPr>
          <w:p w14:paraId="6C3DCC49">
            <w:pPr>
              <w:spacing w:line="400" w:lineRule="exact"/>
              <w:ind w:firstLine="480" w:firstLineChars="200"/>
              <w:outlineLvl w:val="9"/>
              <w:rPr>
                <w:rFonts w:hint="default" w:ascii="宋体" w:hAnsi="宋体" w:eastAsia="宋体" w:cs="宋体"/>
                <w:b w:val="0"/>
                <w:bCs/>
                <w:color w:val="auto"/>
                <w:kern w:val="1"/>
                <w:sz w:val="24"/>
                <w:highlight w:val="none"/>
                <w:lang w:val="en-US"/>
              </w:rPr>
            </w:pPr>
            <w:r>
              <w:rPr>
                <w:rFonts w:hint="eastAsia" w:ascii="宋体" w:hAnsi="宋体" w:eastAsia="宋体" w:cs="宋体"/>
                <w:b/>
                <w:color w:val="auto"/>
                <w:sz w:val="24"/>
                <w:szCs w:val="22"/>
                <w:highlight w:val="none"/>
                <w:lang w:val="en-US" w:eastAsia="zh-CN"/>
              </w:rPr>
              <w:t>附：法定代表人、被授权人身份证复印件或扫描件正、反面</w:t>
            </w:r>
          </w:p>
          <w:p w14:paraId="53D1992F">
            <w:pPr>
              <w:spacing w:line="400" w:lineRule="exact"/>
              <w:jc w:val="center"/>
              <w:outlineLvl w:val="9"/>
              <w:rPr>
                <w:rFonts w:hint="eastAsia" w:ascii="宋体" w:hAnsi="宋体" w:cs="宋体"/>
                <w:b/>
                <w:color w:val="auto"/>
                <w:kern w:val="1"/>
                <w:sz w:val="24"/>
                <w:highlight w:val="none"/>
              </w:rPr>
            </w:pPr>
          </w:p>
        </w:tc>
      </w:tr>
    </w:tbl>
    <w:p w14:paraId="43BFECCA">
      <w:pPr>
        <w:pStyle w:val="85"/>
        <w:spacing w:before="0" w:after="0"/>
        <w:ind w:firstLine="1440" w:firstLineChars="600"/>
        <w:outlineLvl w:val="9"/>
        <w:rPr>
          <w:rFonts w:hint="eastAsia" w:ascii="宋体" w:hAnsi="宋体"/>
          <w:color w:val="auto"/>
          <w:highlight w:val="none"/>
        </w:rPr>
      </w:pPr>
    </w:p>
    <w:p w14:paraId="5B5EC120">
      <w:pPr>
        <w:spacing w:line="400" w:lineRule="exact"/>
        <w:outlineLvl w:val="9"/>
        <w:rPr>
          <w:rFonts w:hint="eastAsia" w:ascii="宋体" w:hAnsi="宋体" w:cs="宋体"/>
          <w:b/>
          <w:bCs/>
          <w:color w:val="auto"/>
          <w:sz w:val="24"/>
          <w:highlight w:val="none"/>
        </w:rPr>
      </w:pPr>
    </w:p>
    <w:p w14:paraId="59C82AAE">
      <w:pPr>
        <w:spacing w:line="400" w:lineRule="exact"/>
        <w:outlineLvl w:val="9"/>
        <w:rPr>
          <w:rFonts w:hint="eastAsia" w:ascii="宋体" w:hAnsi="宋体" w:cs="宋体"/>
          <w:b/>
          <w:bCs/>
          <w:color w:val="auto"/>
          <w:sz w:val="24"/>
          <w:highlight w:val="none"/>
        </w:rPr>
      </w:pPr>
    </w:p>
    <w:p w14:paraId="2BC16C04">
      <w:pPr>
        <w:spacing w:line="400" w:lineRule="exact"/>
        <w:outlineLvl w:val="9"/>
        <w:rPr>
          <w:rFonts w:hint="eastAsia" w:ascii="宋体" w:hAnsi="宋体" w:cs="宋体"/>
          <w:b/>
          <w:bCs/>
          <w:color w:val="auto"/>
          <w:sz w:val="24"/>
          <w:highlight w:val="none"/>
        </w:rPr>
      </w:pPr>
    </w:p>
    <w:p w14:paraId="76DE8B69">
      <w:pPr>
        <w:spacing w:line="400" w:lineRule="exact"/>
        <w:outlineLvl w:val="9"/>
        <w:rPr>
          <w:rFonts w:hint="eastAsia" w:ascii="宋体" w:hAnsi="宋体" w:cs="宋体"/>
          <w:b/>
          <w:bCs/>
          <w:color w:val="auto"/>
          <w:sz w:val="24"/>
          <w:highlight w:val="none"/>
        </w:rPr>
      </w:pPr>
    </w:p>
    <w:p w14:paraId="22B20882">
      <w:pPr>
        <w:spacing w:line="400" w:lineRule="exact"/>
        <w:outlineLvl w:val="9"/>
        <w:rPr>
          <w:rFonts w:hint="eastAsia" w:ascii="宋体" w:hAnsi="宋体" w:cs="宋体"/>
          <w:b/>
          <w:bCs/>
          <w:color w:val="auto"/>
          <w:sz w:val="24"/>
          <w:highlight w:val="none"/>
        </w:rPr>
      </w:pPr>
    </w:p>
    <w:p w14:paraId="2F352D6C">
      <w:pPr>
        <w:spacing w:line="400" w:lineRule="exact"/>
        <w:outlineLvl w:val="9"/>
        <w:rPr>
          <w:rFonts w:hint="eastAsia" w:ascii="宋体" w:hAnsi="宋体" w:cs="宋体"/>
          <w:b/>
          <w:bCs/>
          <w:color w:val="auto"/>
          <w:sz w:val="24"/>
          <w:highlight w:val="none"/>
        </w:rPr>
      </w:pPr>
    </w:p>
    <w:p w14:paraId="1BDB6A2B">
      <w:pPr>
        <w:spacing w:line="400" w:lineRule="exact"/>
        <w:outlineLvl w:val="9"/>
        <w:rPr>
          <w:rFonts w:hint="eastAsia" w:ascii="宋体" w:hAnsi="宋体" w:cs="宋体"/>
          <w:b/>
          <w:bCs/>
          <w:color w:val="auto"/>
          <w:sz w:val="24"/>
          <w:highlight w:val="none"/>
        </w:rPr>
      </w:pPr>
    </w:p>
    <w:p w14:paraId="44D67F3B">
      <w:pPr>
        <w:spacing w:line="400" w:lineRule="exact"/>
        <w:outlineLvl w:val="9"/>
        <w:rPr>
          <w:rFonts w:hint="eastAsia" w:ascii="宋体" w:hAnsi="宋体" w:cs="宋体"/>
          <w:b/>
          <w:bCs/>
          <w:color w:val="auto"/>
          <w:sz w:val="24"/>
          <w:highlight w:val="none"/>
        </w:rPr>
      </w:pPr>
    </w:p>
    <w:p w14:paraId="4D9114F5">
      <w:pPr>
        <w:spacing w:line="400" w:lineRule="exact"/>
        <w:outlineLvl w:val="9"/>
        <w:rPr>
          <w:rFonts w:hint="eastAsia" w:ascii="宋体" w:hAnsi="宋体" w:cs="宋体"/>
          <w:b/>
          <w:bCs/>
          <w:color w:val="auto"/>
          <w:sz w:val="24"/>
          <w:highlight w:val="none"/>
        </w:rPr>
      </w:pPr>
    </w:p>
    <w:p w14:paraId="63D24315">
      <w:pPr>
        <w:spacing w:line="400" w:lineRule="exact"/>
        <w:outlineLvl w:val="9"/>
        <w:rPr>
          <w:rFonts w:hint="eastAsia" w:ascii="宋体" w:hAnsi="宋体" w:cs="宋体"/>
          <w:b/>
          <w:bCs/>
          <w:color w:val="auto"/>
          <w:sz w:val="24"/>
          <w:highlight w:val="none"/>
        </w:rPr>
      </w:pPr>
    </w:p>
    <w:p w14:paraId="29BB127E">
      <w:pPr>
        <w:pStyle w:val="85"/>
        <w:spacing w:before="0" w:after="0"/>
        <w:ind w:firstLine="1440" w:firstLineChars="600"/>
        <w:outlineLvl w:val="9"/>
        <w:rPr>
          <w:rFonts w:hint="eastAsia" w:ascii="宋体" w:hAnsi="宋体"/>
          <w:color w:val="auto"/>
          <w:highlight w:val="none"/>
        </w:rPr>
      </w:pPr>
    </w:p>
    <w:p w14:paraId="5C078977">
      <w:pPr>
        <w:spacing w:line="400" w:lineRule="exact"/>
        <w:outlineLvl w:val="9"/>
        <w:rPr>
          <w:rFonts w:hint="eastAsia" w:ascii="宋体" w:hAnsi="宋体" w:cs="宋体"/>
          <w:b/>
          <w:bCs/>
          <w:color w:val="auto"/>
          <w:sz w:val="24"/>
          <w:highlight w:val="none"/>
        </w:rPr>
      </w:pPr>
    </w:p>
    <w:p w14:paraId="4E332312">
      <w:pPr>
        <w:spacing w:line="400" w:lineRule="exact"/>
        <w:outlineLvl w:val="9"/>
        <w:rPr>
          <w:rFonts w:hint="eastAsia" w:ascii="宋体" w:hAnsi="宋体" w:cs="宋体"/>
          <w:b/>
          <w:bCs/>
          <w:color w:val="auto"/>
          <w:sz w:val="24"/>
          <w:highlight w:val="none"/>
        </w:rPr>
      </w:pPr>
    </w:p>
    <w:p w14:paraId="3B4EF18E">
      <w:pPr>
        <w:spacing w:line="400" w:lineRule="exact"/>
        <w:outlineLvl w:val="9"/>
        <w:rPr>
          <w:rFonts w:hint="eastAsia" w:ascii="宋体" w:hAnsi="宋体" w:cs="宋体"/>
          <w:b/>
          <w:bCs/>
          <w:color w:val="auto"/>
          <w:sz w:val="24"/>
          <w:highlight w:val="none"/>
        </w:rPr>
      </w:pPr>
    </w:p>
    <w:p w14:paraId="283E1A60">
      <w:pPr>
        <w:spacing w:line="400" w:lineRule="exact"/>
        <w:outlineLvl w:val="9"/>
        <w:rPr>
          <w:rFonts w:hint="eastAsia" w:ascii="宋体" w:hAnsi="宋体" w:cs="宋体"/>
          <w:b/>
          <w:bCs/>
          <w:color w:val="auto"/>
          <w:sz w:val="24"/>
          <w:highlight w:val="none"/>
        </w:rPr>
      </w:pPr>
    </w:p>
    <w:p w14:paraId="7ACBFC4D">
      <w:pPr>
        <w:pStyle w:val="67"/>
        <w:jc w:val="center"/>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t>三、</w:t>
      </w:r>
      <w:r>
        <w:rPr>
          <w:rFonts w:hint="eastAsia" w:ascii="宋体" w:hAnsi="宋体"/>
          <w:b/>
          <w:bCs/>
          <w:color w:val="auto"/>
          <w:sz w:val="32"/>
          <w:szCs w:val="32"/>
          <w:highlight w:val="none"/>
          <w:lang w:val="en-US" w:eastAsia="zh-CN"/>
        </w:rPr>
        <w:t>供应商</w:t>
      </w:r>
      <w:r>
        <w:rPr>
          <w:rFonts w:hint="eastAsia" w:ascii="宋体" w:hAnsi="宋体"/>
          <w:b/>
          <w:bCs/>
          <w:color w:val="auto"/>
          <w:sz w:val="32"/>
          <w:szCs w:val="32"/>
          <w:highlight w:val="none"/>
        </w:rPr>
        <w:t>基本情况表</w:t>
      </w:r>
    </w:p>
    <w:tbl>
      <w:tblPr>
        <w:tblStyle w:val="25"/>
        <w:tblpPr w:leftFromText="180" w:rightFromText="180" w:vertAnchor="text" w:horzAnchor="page" w:tblpX="1690" w:tblpY="185"/>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24503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372641D">
            <w:pPr>
              <w:topLinePunct/>
              <w:spacing w:line="440" w:lineRule="exact"/>
              <w:jc w:val="center"/>
              <w:outlineLvl w:val="9"/>
              <w:rPr>
                <w:rFonts w:ascii="宋体" w:hAnsi="宋体"/>
                <w:color w:val="auto"/>
                <w:szCs w:val="21"/>
                <w:highlight w:val="none"/>
              </w:rPr>
            </w:pPr>
            <w:r>
              <w:rPr>
                <w:rFonts w:hint="eastAsia" w:ascii="宋体" w:hAnsi="宋体"/>
                <w:color w:val="auto"/>
                <w:szCs w:val="21"/>
                <w:highlight w:val="none"/>
                <w:lang w:val="en-US" w:eastAsia="zh-CN"/>
              </w:rPr>
              <w:t>供应商</w:t>
            </w:r>
            <w:r>
              <w:rPr>
                <w:rFonts w:ascii="宋体" w:hAnsi="宋体"/>
                <w:color w:val="auto"/>
                <w:szCs w:val="21"/>
                <w:highlight w:val="none"/>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9A2BDFD">
            <w:pPr>
              <w:topLinePunct/>
              <w:spacing w:line="440" w:lineRule="exact"/>
              <w:jc w:val="center"/>
              <w:outlineLvl w:val="9"/>
              <w:rPr>
                <w:rFonts w:ascii="宋体" w:hAnsi="宋体"/>
                <w:color w:val="auto"/>
                <w:szCs w:val="21"/>
                <w:highlight w:val="none"/>
              </w:rPr>
            </w:pPr>
          </w:p>
        </w:tc>
      </w:tr>
      <w:tr w14:paraId="62F82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D8BD63">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46109CB1">
            <w:pPr>
              <w:topLinePunct/>
              <w:spacing w:line="440" w:lineRule="exact"/>
              <w:jc w:val="center"/>
              <w:outlineLvl w:val="9"/>
              <w:rPr>
                <w:rFonts w:ascii="宋体" w:hAns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CBCDDC6">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28491C4">
            <w:pPr>
              <w:topLinePunct/>
              <w:spacing w:line="440" w:lineRule="exact"/>
              <w:jc w:val="center"/>
              <w:outlineLvl w:val="9"/>
              <w:rPr>
                <w:rFonts w:ascii="宋体" w:hAnsi="宋体"/>
                <w:color w:val="auto"/>
                <w:szCs w:val="21"/>
                <w:highlight w:val="none"/>
              </w:rPr>
            </w:pPr>
          </w:p>
        </w:tc>
      </w:tr>
      <w:tr w14:paraId="1A212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6321E973">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80EE9A5">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16C11971">
            <w:pPr>
              <w:topLinePunct/>
              <w:spacing w:line="440" w:lineRule="exact"/>
              <w:jc w:val="center"/>
              <w:outlineLvl w:val="9"/>
              <w:rPr>
                <w:rFonts w:ascii="宋体" w:hAns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3A3E29A">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69D2B47">
            <w:pPr>
              <w:topLinePunct/>
              <w:spacing w:line="440" w:lineRule="exact"/>
              <w:jc w:val="center"/>
              <w:outlineLvl w:val="9"/>
              <w:rPr>
                <w:rFonts w:ascii="宋体" w:hAnsi="宋体"/>
                <w:color w:val="auto"/>
                <w:szCs w:val="21"/>
                <w:highlight w:val="none"/>
              </w:rPr>
            </w:pPr>
          </w:p>
        </w:tc>
      </w:tr>
      <w:tr w14:paraId="7710F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2450AD75">
            <w:pPr>
              <w:topLinePunct/>
              <w:spacing w:line="440" w:lineRule="exact"/>
              <w:jc w:val="center"/>
              <w:outlineLvl w:val="9"/>
              <w:rPr>
                <w:rFonts w:ascii="宋体" w:hAnsi="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2E48BA22">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9FF3500">
            <w:pPr>
              <w:topLinePunct/>
              <w:spacing w:line="440" w:lineRule="exact"/>
              <w:jc w:val="center"/>
              <w:outlineLvl w:val="9"/>
              <w:rPr>
                <w:rFonts w:ascii="宋体" w:hAns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D67B305">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F992262">
            <w:pPr>
              <w:topLinePunct/>
              <w:spacing w:line="440" w:lineRule="exact"/>
              <w:jc w:val="center"/>
              <w:outlineLvl w:val="9"/>
              <w:rPr>
                <w:rFonts w:ascii="宋体" w:hAnsi="宋体"/>
                <w:color w:val="auto"/>
                <w:szCs w:val="21"/>
                <w:highlight w:val="none"/>
              </w:rPr>
            </w:pPr>
          </w:p>
        </w:tc>
      </w:tr>
      <w:tr w14:paraId="5E67E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4B65435">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0847E97">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8E3DA1E">
            <w:pPr>
              <w:topLinePunct/>
              <w:spacing w:line="440" w:lineRule="exact"/>
              <w:jc w:val="center"/>
              <w:outlineLvl w:val="9"/>
              <w:rPr>
                <w:rFonts w:ascii="宋体" w:hAnsi="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93E52C6">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172A9A55">
            <w:pPr>
              <w:topLinePunct/>
              <w:spacing w:line="440" w:lineRule="exact"/>
              <w:jc w:val="center"/>
              <w:outlineLvl w:val="9"/>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1013319A">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E9A8FE3">
            <w:pPr>
              <w:topLinePunct/>
              <w:spacing w:line="440" w:lineRule="exact"/>
              <w:jc w:val="center"/>
              <w:outlineLvl w:val="9"/>
              <w:rPr>
                <w:rFonts w:ascii="宋体" w:hAnsi="宋体"/>
                <w:color w:val="auto"/>
                <w:szCs w:val="21"/>
                <w:highlight w:val="none"/>
              </w:rPr>
            </w:pPr>
          </w:p>
        </w:tc>
      </w:tr>
      <w:tr w14:paraId="45B3B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5AB6017">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B672C75">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DD8A67D">
            <w:pPr>
              <w:topLinePunct/>
              <w:spacing w:line="440" w:lineRule="exact"/>
              <w:jc w:val="center"/>
              <w:outlineLvl w:val="9"/>
              <w:rPr>
                <w:rFonts w:ascii="宋体" w:hAnsi="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78052A8">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719DB005">
            <w:pPr>
              <w:topLinePunct/>
              <w:spacing w:line="440" w:lineRule="exact"/>
              <w:jc w:val="center"/>
              <w:outlineLvl w:val="9"/>
              <w:rPr>
                <w:rFonts w:ascii="宋体"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47E76376">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268335B">
            <w:pPr>
              <w:topLinePunct/>
              <w:spacing w:line="440" w:lineRule="exact"/>
              <w:jc w:val="center"/>
              <w:outlineLvl w:val="9"/>
              <w:rPr>
                <w:rFonts w:ascii="宋体" w:hAnsi="宋体"/>
                <w:color w:val="auto"/>
                <w:szCs w:val="21"/>
                <w:highlight w:val="none"/>
              </w:rPr>
            </w:pPr>
          </w:p>
        </w:tc>
      </w:tr>
      <w:tr w14:paraId="7A09E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856F5F">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F9EC6C0">
            <w:pPr>
              <w:topLinePunct/>
              <w:spacing w:line="440" w:lineRule="exact"/>
              <w:jc w:val="center"/>
              <w:outlineLvl w:val="9"/>
              <w:rPr>
                <w:rFonts w:ascii="宋体" w:hAnsi="宋体"/>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6C91E197">
            <w:pPr>
              <w:topLinePunct/>
              <w:spacing w:line="440" w:lineRule="exact"/>
              <w:ind w:firstLine="1050" w:firstLineChars="500"/>
              <w:outlineLvl w:val="9"/>
              <w:rPr>
                <w:rFonts w:ascii="宋体" w:hAnsi="宋体"/>
                <w:color w:val="auto"/>
                <w:szCs w:val="21"/>
                <w:highlight w:val="none"/>
              </w:rPr>
            </w:pPr>
            <w:r>
              <w:rPr>
                <w:rFonts w:ascii="宋体" w:hAnsi="宋体"/>
                <w:color w:val="auto"/>
                <w:szCs w:val="21"/>
                <w:highlight w:val="none"/>
              </w:rPr>
              <w:t>员工总人数：</w:t>
            </w:r>
          </w:p>
        </w:tc>
      </w:tr>
      <w:tr w14:paraId="340F6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B3A5BCF">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F043D64">
            <w:pPr>
              <w:topLinePunct/>
              <w:spacing w:line="440" w:lineRule="exact"/>
              <w:jc w:val="center"/>
              <w:outlineLvl w:val="9"/>
              <w:rPr>
                <w:rFonts w:ascii="宋体" w:hAnsi="宋体"/>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26CDCB4C">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E5B7AAA">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553E6D3">
            <w:pPr>
              <w:topLinePunct/>
              <w:spacing w:line="440" w:lineRule="exact"/>
              <w:jc w:val="center"/>
              <w:outlineLvl w:val="9"/>
              <w:rPr>
                <w:rFonts w:ascii="宋体" w:hAnsi="宋体"/>
                <w:color w:val="auto"/>
                <w:szCs w:val="21"/>
                <w:highlight w:val="none"/>
              </w:rPr>
            </w:pPr>
          </w:p>
        </w:tc>
      </w:tr>
      <w:tr w14:paraId="43FDA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5D751B4">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E97A3D6">
            <w:pPr>
              <w:topLinePunct/>
              <w:spacing w:line="440" w:lineRule="exact"/>
              <w:jc w:val="center"/>
              <w:outlineLvl w:val="9"/>
              <w:rPr>
                <w:rFonts w:ascii="宋体" w:hAns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7675141">
            <w:pPr>
              <w:topLinePunct/>
              <w:spacing w:line="440" w:lineRule="exact"/>
              <w:jc w:val="center"/>
              <w:outlineLvl w:val="9"/>
              <w:rPr>
                <w:rFonts w:ascii="宋体" w:hAns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6C72E26">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C955EC4">
            <w:pPr>
              <w:topLinePunct/>
              <w:spacing w:line="440" w:lineRule="exact"/>
              <w:jc w:val="center"/>
              <w:outlineLvl w:val="9"/>
              <w:rPr>
                <w:rFonts w:ascii="宋体" w:hAnsi="宋体"/>
                <w:color w:val="auto"/>
                <w:szCs w:val="21"/>
                <w:highlight w:val="none"/>
              </w:rPr>
            </w:pPr>
          </w:p>
        </w:tc>
      </w:tr>
      <w:tr w14:paraId="2A32A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ED95157">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3C2A944">
            <w:pPr>
              <w:topLinePunct/>
              <w:spacing w:line="440" w:lineRule="exact"/>
              <w:jc w:val="center"/>
              <w:outlineLvl w:val="9"/>
              <w:rPr>
                <w:rFonts w:ascii="宋体" w:hAns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63DFC60">
            <w:pPr>
              <w:topLinePunct/>
              <w:spacing w:line="440" w:lineRule="exact"/>
              <w:jc w:val="center"/>
              <w:outlineLvl w:val="9"/>
              <w:rPr>
                <w:rFonts w:ascii="宋体" w:hAns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8D0040">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0779F933">
            <w:pPr>
              <w:topLinePunct/>
              <w:spacing w:line="440" w:lineRule="exact"/>
              <w:jc w:val="center"/>
              <w:outlineLvl w:val="9"/>
              <w:rPr>
                <w:rFonts w:ascii="宋体" w:hAnsi="宋体"/>
                <w:color w:val="auto"/>
                <w:szCs w:val="21"/>
                <w:highlight w:val="none"/>
              </w:rPr>
            </w:pPr>
          </w:p>
        </w:tc>
      </w:tr>
      <w:tr w14:paraId="6B4FA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EA32B12">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830D9E5">
            <w:pPr>
              <w:topLinePunct/>
              <w:spacing w:line="440" w:lineRule="exact"/>
              <w:jc w:val="center"/>
              <w:outlineLvl w:val="9"/>
              <w:rPr>
                <w:rFonts w:ascii="宋体" w:hAns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0BA2D4E5">
            <w:pPr>
              <w:topLinePunct/>
              <w:spacing w:line="440" w:lineRule="exact"/>
              <w:jc w:val="center"/>
              <w:outlineLvl w:val="9"/>
              <w:rPr>
                <w:rFonts w:ascii="宋体" w:hAns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A775CDB">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A47FC79">
            <w:pPr>
              <w:topLinePunct/>
              <w:spacing w:line="440" w:lineRule="exact"/>
              <w:jc w:val="center"/>
              <w:outlineLvl w:val="9"/>
              <w:rPr>
                <w:rFonts w:ascii="宋体" w:hAnsi="宋体"/>
                <w:color w:val="auto"/>
                <w:szCs w:val="21"/>
                <w:highlight w:val="none"/>
              </w:rPr>
            </w:pPr>
          </w:p>
        </w:tc>
      </w:tr>
      <w:tr w14:paraId="32033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805210E">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070012D">
            <w:pPr>
              <w:topLinePunct/>
              <w:spacing w:line="440" w:lineRule="exact"/>
              <w:jc w:val="center"/>
              <w:outlineLvl w:val="9"/>
              <w:rPr>
                <w:rFonts w:ascii="宋体" w:hAns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DFC6CA3">
            <w:pPr>
              <w:topLinePunct/>
              <w:spacing w:line="440" w:lineRule="exact"/>
              <w:jc w:val="center"/>
              <w:outlineLvl w:val="9"/>
              <w:rPr>
                <w:rFonts w:ascii="宋体" w:hAns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3E0BA3D">
            <w:pPr>
              <w:jc w:val="center"/>
              <w:outlineLvl w:val="9"/>
              <w:rPr>
                <w:rFonts w:ascii="宋体" w:hAnsi="宋体"/>
                <w:color w:val="auto"/>
                <w:highlight w:val="none"/>
              </w:rPr>
            </w:pPr>
            <w:r>
              <w:rPr>
                <w:rFonts w:ascii="宋体" w:hAnsi="宋体"/>
                <w:color w:val="auto"/>
                <w:highlight w:val="none"/>
              </w:rPr>
              <w:t>技</w:t>
            </w:r>
            <w:r>
              <w:rPr>
                <w:rFonts w:hint="eastAsia" w:ascii="宋体" w:hAnsi="宋体"/>
                <w:color w:val="auto"/>
                <w:highlight w:val="none"/>
              </w:rPr>
              <w:t xml:space="preserve">  </w:t>
            </w:r>
            <w:r>
              <w:rPr>
                <w:rFonts w:ascii="宋体" w:hAnsi="宋体"/>
                <w:color w:val="auto"/>
                <w:highlight w:val="none"/>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97FD180">
            <w:pPr>
              <w:topLinePunct/>
              <w:spacing w:line="440" w:lineRule="exact"/>
              <w:jc w:val="center"/>
              <w:outlineLvl w:val="9"/>
              <w:rPr>
                <w:rFonts w:ascii="宋体" w:hAnsi="宋体"/>
                <w:color w:val="auto"/>
                <w:szCs w:val="21"/>
                <w:highlight w:val="none"/>
              </w:rPr>
            </w:pPr>
          </w:p>
        </w:tc>
      </w:tr>
      <w:tr w14:paraId="69E8D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172939CB">
            <w:pPr>
              <w:topLinePunct/>
              <w:spacing w:line="440" w:lineRule="exact"/>
              <w:ind w:firstLine="210" w:firstLineChars="100"/>
              <w:jc w:val="center"/>
              <w:outlineLvl w:val="9"/>
              <w:rPr>
                <w:rFonts w:ascii="宋体" w:hAnsi="宋体"/>
                <w:color w:val="auto"/>
                <w:szCs w:val="21"/>
                <w:highlight w:val="none"/>
              </w:rPr>
            </w:pPr>
            <w:r>
              <w:rPr>
                <w:rFonts w:ascii="宋体" w:hAnsi="宋体"/>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14:paraId="13E85180">
            <w:pPr>
              <w:topLinePunct/>
              <w:spacing w:line="440" w:lineRule="exact"/>
              <w:jc w:val="center"/>
              <w:outlineLvl w:val="9"/>
              <w:rPr>
                <w:rFonts w:ascii="宋体" w:hAnsi="宋体"/>
                <w:color w:val="auto"/>
                <w:szCs w:val="21"/>
                <w:highlight w:val="none"/>
              </w:rPr>
            </w:pPr>
          </w:p>
          <w:p w14:paraId="2098B488">
            <w:pPr>
              <w:topLinePunct/>
              <w:spacing w:line="440" w:lineRule="exact"/>
              <w:jc w:val="center"/>
              <w:outlineLvl w:val="9"/>
              <w:rPr>
                <w:rFonts w:ascii="宋体" w:hAnsi="宋体"/>
                <w:color w:val="auto"/>
                <w:szCs w:val="21"/>
                <w:highlight w:val="none"/>
              </w:rPr>
            </w:pPr>
          </w:p>
          <w:p w14:paraId="026F1FD9">
            <w:pPr>
              <w:topLinePunct/>
              <w:spacing w:line="440" w:lineRule="exact"/>
              <w:jc w:val="center"/>
              <w:outlineLvl w:val="9"/>
              <w:rPr>
                <w:rFonts w:ascii="宋体" w:hAnsi="宋体"/>
                <w:color w:val="auto"/>
                <w:szCs w:val="21"/>
                <w:highlight w:val="none"/>
              </w:rPr>
            </w:pPr>
          </w:p>
          <w:p w14:paraId="719165D1">
            <w:pPr>
              <w:topLinePunct/>
              <w:spacing w:line="440" w:lineRule="exact"/>
              <w:jc w:val="center"/>
              <w:outlineLvl w:val="9"/>
              <w:rPr>
                <w:rFonts w:ascii="宋体" w:hAnsi="宋体"/>
                <w:color w:val="auto"/>
                <w:szCs w:val="21"/>
                <w:highlight w:val="none"/>
              </w:rPr>
            </w:pPr>
          </w:p>
          <w:p w14:paraId="378D1F2D">
            <w:pPr>
              <w:topLinePunct/>
              <w:spacing w:line="440" w:lineRule="exact"/>
              <w:jc w:val="center"/>
              <w:outlineLvl w:val="9"/>
              <w:rPr>
                <w:rFonts w:ascii="宋体" w:hAnsi="宋体"/>
                <w:color w:val="auto"/>
                <w:szCs w:val="21"/>
                <w:highlight w:val="none"/>
              </w:rPr>
            </w:pPr>
          </w:p>
          <w:p w14:paraId="650B17EB">
            <w:pPr>
              <w:topLinePunct/>
              <w:spacing w:line="440" w:lineRule="exact"/>
              <w:jc w:val="center"/>
              <w:outlineLvl w:val="9"/>
              <w:rPr>
                <w:rFonts w:ascii="宋体" w:hAnsi="宋体"/>
                <w:color w:val="auto"/>
                <w:szCs w:val="21"/>
                <w:highlight w:val="none"/>
              </w:rPr>
            </w:pPr>
          </w:p>
          <w:p w14:paraId="1C3F59EB">
            <w:pPr>
              <w:topLinePunct/>
              <w:spacing w:line="440" w:lineRule="exact"/>
              <w:jc w:val="center"/>
              <w:outlineLvl w:val="9"/>
              <w:rPr>
                <w:rFonts w:ascii="宋体" w:hAnsi="宋体"/>
                <w:color w:val="auto"/>
                <w:szCs w:val="21"/>
                <w:highlight w:val="none"/>
              </w:rPr>
            </w:pPr>
          </w:p>
          <w:p w14:paraId="4E8DA0B7">
            <w:pPr>
              <w:topLinePunct/>
              <w:spacing w:line="440" w:lineRule="exact"/>
              <w:jc w:val="center"/>
              <w:outlineLvl w:val="9"/>
              <w:rPr>
                <w:rFonts w:ascii="宋体" w:hAnsi="宋体"/>
                <w:color w:val="auto"/>
                <w:szCs w:val="21"/>
                <w:highlight w:val="none"/>
              </w:rPr>
            </w:pPr>
          </w:p>
        </w:tc>
      </w:tr>
      <w:tr w14:paraId="27B55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E482ED0">
            <w:pPr>
              <w:topLinePunct/>
              <w:spacing w:line="440" w:lineRule="exact"/>
              <w:jc w:val="center"/>
              <w:outlineLvl w:val="9"/>
              <w:rPr>
                <w:rFonts w:ascii="宋体" w:hAnsi="宋体"/>
                <w:color w:val="auto"/>
                <w:szCs w:val="21"/>
                <w:highlight w:val="none"/>
              </w:rPr>
            </w:pPr>
            <w:r>
              <w:rPr>
                <w:rFonts w:ascii="宋体" w:hAnsi="宋体"/>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77F06D67">
            <w:pPr>
              <w:topLinePunct/>
              <w:spacing w:line="440" w:lineRule="exact"/>
              <w:outlineLvl w:val="9"/>
              <w:rPr>
                <w:rFonts w:ascii="宋体" w:hAnsi="宋体"/>
                <w:color w:val="auto"/>
                <w:szCs w:val="21"/>
                <w:highlight w:val="none"/>
              </w:rPr>
            </w:pPr>
          </w:p>
        </w:tc>
      </w:tr>
    </w:tbl>
    <w:p w14:paraId="07A246FE">
      <w:pPr>
        <w:pStyle w:val="11"/>
        <w:spacing w:line="440" w:lineRule="exact"/>
        <w:jc w:val="center"/>
        <w:outlineLvl w:val="9"/>
        <w:rPr>
          <w:rFonts w:hint="eastAsia" w:ascii="宋体" w:hAnsi="宋体"/>
          <w:b/>
          <w:bCs/>
          <w:color w:val="auto"/>
          <w:sz w:val="32"/>
          <w:szCs w:val="32"/>
          <w:highlight w:val="none"/>
          <w:lang w:val="en-US" w:eastAsia="zh-CN"/>
        </w:rPr>
      </w:pPr>
      <w:bookmarkStart w:id="1082" w:name="_Toc356155575"/>
    </w:p>
    <w:p w14:paraId="7C24B68B">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b/>
          <w:color w:val="auto"/>
          <w:sz w:val="10"/>
          <w:szCs w:val="10"/>
          <w:highlight w:val="none"/>
        </w:rPr>
      </w:pPr>
    </w:p>
    <w:p w14:paraId="5BF3C01A">
      <w:pPr>
        <w:pStyle w:val="11"/>
        <w:spacing w:line="440" w:lineRule="exact"/>
        <w:jc w:val="center"/>
        <w:outlineLvl w:val="9"/>
        <w:rPr>
          <w:rFonts w:hint="eastAsia" w:ascii="宋体" w:hAnsi="宋体"/>
          <w:b/>
          <w:bCs/>
          <w:color w:val="auto"/>
          <w:sz w:val="32"/>
          <w:szCs w:val="32"/>
          <w:highlight w:val="none"/>
          <w:lang w:val="en-US" w:eastAsia="zh-CN"/>
        </w:rPr>
      </w:pPr>
    </w:p>
    <w:p w14:paraId="010EDDFB">
      <w:pPr>
        <w:pStyle w:val="11"/>
        <w:spacing w:line="440" w:lineRule="exact"/>
        <w:jc w:val="center"/>
        <w:outlineLvl w:val="9"/>
        <w:rPr>
          <w:rFonts w:hint="eastAsia" w:ascii="宋体" w:hAnsi="宋体" w:cs="仿宋"/>
          <w:color w:val="auto"/>
          <w:sz w:val="24"/>
          <w:highlight w:val="none"/>
        </w:rPr>
      </w:pPr>
      <w:r>
        <w:rPr>
          <w:rFonts w:hint="eastAsia" w:ascii="宋体" w:hAnsi="宋体"/>
          <w:b/>
          <w:bCs/>
          <w:color w:val="auto"/>
          <w:sz w:val="32"/>
          <w:szCs w:val="32"/>
          <w:highlight w:val="none"/>
          <w:lang w:val="en-US" w:eastAsia="zh-CN"/>
        </w:rPr>
        <w:t>四</w:t>
      </w:r>
      <w:r>
        <w:rPr>
          <w:rFonts w:hint="eastAsia" w:ascii="宋体" w:hAnsi="宋体"/>
          <w:b/>
          <w:bCs/>
          <w:color w:val="auto"/>
          <w:sz w:val="32"/>
          <w:szCs w:val="32"/>
          <w:highlight w:val="none"/>
        </w:rPr>
        <w:t>、</w:t>
      </w:r>
      <w:bookmarkEnd w:id="1082"/>
      <w:r>
        <w:rPr>
          <w:rFonts w:hint="eastAsia" w:ascii="宋体" w:hAnsi="宋体"/>
          <w:b/>
          <w:bCs/>
          <w:color w:val="auto"/>
          <w:sz w:val="32"/>
          <w:szCs w:val="32"/>
          <w:highlight w:val="none"/>
        </w:rPr>
        <w:t>磋商响应函</w:t>
      </w:r>
      <w:r>
        <w:rPr>
          <w:rFonts w:hint="eastAsia" w:ascii="宋体" w:hAnsi="宋体" w:cs="仿宋"/>
          <w:b/>
          <w:bCs/>
          <w:color w:val="auto"/>
          <w:sz w:val="32"/>
          <w:szCs w:val="32"/>
          <w:highlight w:val="none"/>
          <w:lang w:val="en-US" w:eastAsia="zh-CN"/>
        </w:rPr>
        <w:t>及</w:t>
      </w:r>
      <w:r>
        <w:rPr>
          <w:rFonts w:hint="eastAsia" w:ascii="宋体" w:hAnsi="宋体" w:cs="仿宋"/>
          <w:b/>
          <w:bCs/>
          <w:color w:val="auto"/>
          <w:sz w:val="32"/>
          <w:szCs w:val="32"/>
          <w:highlight w:val="none"/>
        </w:rPr>
        <w:t>磋商报价表</w:t>
      </w:r>
    </w:p>
    <w:p w14:paraId="55B15850">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致：</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（采购人）</w:t>
      </w:r>
    </w:p>
    <w:p w14:paraId="2D20CC99">
      <w:pPr>
        <w:pStyle w:val="74"/>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b/>
          <w:color w:val="auto"/>
          <w:sz w:val="24"/>
          <w:szCs w:val="24"/>
          <w:highlight w:val="none"/>
        </w:rPr>
      </w:pPr>
      <w:r>
        <w:rPr>
          <w:rFonts w:hint="eastAsia" w:ascii="宋体" w:hAnsi="宋体" w:cs="仿宋"/>
          <w:color w:val="auto"/>
          <w:sz w:val="24"/>
          <w:szCs w:val="24"/>
          <w:highlight w:val="none"/>
        </w:rPr>
        <w:t>根据贵方为</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lang w:val="en-US" w:eastAsia="zh-CN"/>
        </w:rPr>
        <w:t xml:space="preserve"> </w:t>
      </w:r>
      <w:r>
        <w:rPr>
          <w:rFonts w:hint="eastAsia" w:ascii="宋体" w:hAnsi="宋体" w:cs="宋体"/>
          <w:color w:val="auto"/>
          <w:kern w:val="24"/>
          <w:sz w:val="24"/>
          <w:highlight w:val="none"/>
          <w:u w:val="none"/>
          <w:lang w:val="en-US" w:eastAsia="zh-CN"/>
        </w:rPr>
        <w:t>（项目名称）</w:t>
      </w:r>
      <w:r>
        <w:rPr>
          <w:rFonts w:ascii="宋体" w:hAnsi="宋体" w:cs="宋体"/>
          <w:color w:val="auto"/>
          <w:kern w:val="1"/>
          <w:sz w:val="24"/>
          <w:highlight w:val="none"/>
        </w:rPr>
        <w:t>（</w:t>
      </w:r>
      <w:r>
        <w:rPr>
          <w:rFonts w:hint="eastAsia" w:ascii="宋体" w:hAnsi="宋体" w:cs="宋体"/>
          <w:color w:val="auto"/>
          <w:kern w:val="1"/>
          <w:sz w:val="24"/>
          <w:highlight w:val="none"/>
          <w:lang w:val="en-US" w:eastAsia="zh-CN"/>
        </w:rPr>
        <w:t>项目编号</w:t>
      </w:r>
      <w:r>
        <w:rPr>
          <w:rFonts w:ascii="宋体" w:hAnsi="宋体" w:cs="宋体"/>
          <w:color w:val="auto"/>
          <w:kern w:val="1"/>
          <w:sz w:val="24"/>
          <w:highlight w:val="none"/>
        </w:rPr>
        <w:t>：</w:t>
      </w:r>
      <w:r>
        <w:rPr>
          <w:rFonts w:ascii="宋体" w:hAnsi="宋体" w:cs="宋体"/>
          <w:color w:val="auto"/>
          <w:kern w:val="1"/>
          <w:sz w:val="24"/>
          <w:highlight w:val="none"/>
          <w:u w:val="single"/>
        </w:rPr>
        <w:t xml:space="preserve"> </w:t>
      </w:r>
      <w:r>
        <w:rPr>
          <w:rFonts w:hint="eastAsia" w:ascii="宋体" w:hAnsi="宋体" w:cs="宋体"/>
          <w:color w:val="auto"/>
          <w:kern w:val="1"/>
          <w:sz w:val="24"/>
          <w:highlight w:val="none"/>
          <w:u w:val="single"/>
          <w:lang w:val="en-US" w:eastAsia="zh-CN"/>
        </w:rPr>
        <w:t xml:space="preserve">     </w:t>
      </w:r>
      <w:r>
        <w:rPr>
          <w:rFonts w:ascii="宋体" w:hAnsi="宋体" w:cs="宋体"/>
          <w:color w:val="auto"/>
          <w:kern w:val="1"/>
          <w:sz w:val="24"/>
          <w:highlight w:val="none"/>
          <w:u w:val="single"/>
        </w:rPr>
        <w:t xml:space="preserve"> </w:t>
      </w:r>
      <w:r>
        <w:rPr>
          <w:rFonts w:ascii="宋体" w:hAnsi="宋体" w:cs="宋体"/>
          <w:color w:val="auto"/>
          <w:kern w:val="1"/>
          <w:sz w:val="24"/>
          <w:highlight w:val="none"/>
        </w:rPr>
        <w:t>）</w:t>
      </w:r>
      <w:r>
        <w:rPr>
          <w:rFonts w:hint="eastAsia" w:ascii="宋体" w:hAnsi="宋体" w:cs="仿宋"/>
          <w:color w:val="auto"/>
          <w:sz w:val="24"/>
          <w:szCs w:val="24"/>
          <w:highlight w:val="none"/>
        </w:rPr>
        <w:t>的竞争性磋商文件，正式授权</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(姓名、职务)代表</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(供应商名称)提交</w:t>
      </w:r>
      <w:r>
        <w:rPr>
          <w:rFonts w:hint="eastAsia" w:ascii="宋体" w:hAnsi="宋体" w:cs="仿宋"/>
          <w:color w:val="auto"/>
          <w:sz w:val="24"/>
          <w:szCs w:val="24"/>
          <w:highlight w:val="none"/>
          <w:lang w:val="en-US" w:eastAsia="zh-CN"/>
        </w:rPr>
        <w:t>磋商</w:t>
      </w:r>
      <w:r>
        <w:rPr>
          <w:rFonts w:hint="eastAsia" w:ascii="宋体" w:hAnsi="宋体" w:cs="仿宋"/>
          <w:color w:val="auto"/>
          <w:sz w:val="24"/>
          <w:szCs w:val="24"/>
          <w:highlight w:val="none"/>
        </w:rPr>
        <w:t>响应文件正本</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份、副本</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份、电子U盘</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rPr>
        <w:t>份。</w:t>
      </w:r>
    </w:p>
    <w:p w14:paraId="0035AD9B">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(1) 磋商响应函；</w:t>
      </w:r>
    </w:p>
    <w:p w14:paraId="1BE830A3">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(2) 磋商报价表；</w:t>
      </w:r>
    </w:p>
    <w:p w14:paraId="27E9B74E">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(3) 按磋商须知要求提供的全部文件和磋商文件要求的响应文件；</w:t>
      </w:r>
    </w:p>
    <w:p w14:paraId="2A379D5A">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(4) 供应商资格证明文件；</w:t>
      </w:r>
    </w:p>
    <w:p w14:paraId="47EDD681">
      <w:pPr>
        <w:spacing w:line="460" w:lineRule="exact"/>
        <w:ind w:firstLine="480"/>
        <w:outlineLvl w:val="9"/>
        <w:rPr>
          <w:rFonts w:hint="eastAsia" w:ascii="宋体" w:hAnsi="宋体" w:cs="仿宋"/>
          <w:color w:val="auto"/>
          <w:sz w:val="24"/>
          <w:highlight w:val="none"/>
          <w:lang w:val="en-US" w:eastAsia="zh-CN"/>
        </w:rPr>
      </w:pPr>
      <w:r>
        <w:rPr>
          <w:rFonts w:hint="eastAsia" w:ascii="宋体" w:hAnsi="宋体" w:cs="仿宋"/>
          <w:color w:val="auto"/>
          <w:sz w:val="24"/>
          <w:highlight w:val="none"/>
        </w:rPr>
        <w:t>(5) 我公司已</w:t>
      </w:r>
      <w:r>
        <w:rPr>
          <w:rFonts w:hint="eastAsia" w:ascii="宋体" w:hAnsi="宋体" w:cs="仿宋"/>
          <w:color w:val="auto"/>
          <w:sz w:val="24"/>
          <w:highlight w:val="none"/>
          <w:lang w:val="en-US" w:eastAsia="zh-CN"/>
        </w:rPr>
        <w:t>缴</w:t>
      </w:r>
      <w:r>
        <w:rPr>
          <w:rFonts w:hint="eastAsia" w:ascii="宋体" w:hAnsi="宋体" w:cs="仿宋"/>
          <w:color w:val="auto"/>
          <w:sz w:val="24"/>
          <w:highlight w:val="none"/>
        </w:rPr>
        <w:t>纳</w:t>
      </w:r>
      <w:r>
        <w:rPr>
          <w:rFonts w:hint="eastAsia" w:ascii="宋体" w:hAnsi="宋体" w:cs="仿宋"/>
          <w:color w:val="auto"/>
          <w:sz w:val="24"/>
          <w:highlight w:val="none"/>
          <w:lang w:eastAsia="zh-CN"/>
        </w:rPr>
        <w:t>磋商保证金</w:t>
      </w:r>
      <w:r>
        <w:rPr>
          <w:rFonts w:hint="eastAsia" w:ascii="宋体" w:hAnsi="宋体" w:cs="仿宋"/>
          <w:color w:val="auto"/>
          <w:sz w:val="24"/>
          <w:highlight w:val="none"/>
        </w:rPr>
        <w:t>，</w:t>
      </w:r>
      <w:r>
        <w:rPr>
          <w:rFonts w:hint="eastAsia" w:ascii="宋体" w:hAnsi="宋体" w:cs="仿宋"/>
          <w:color w:val="auto"/>
          <w:sz w:val="24"/>
          <w:highlight w:val="none"/>
          <w:lang w:val="en-US" w:eastAsia="zh-CN"/>
        </w:rPr>
        <w:t>缴纳形式为以下第</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none"/>
          <w:lang w:val="en-US" w:eastAsia="zh-CN"/>
        </w:rPr>
        <w:t>种</w:t>
      </w:r>
      <w:r>
        <w:rPr>
          <w:rFonts w:hint="eastAsia" w:ascii="宋体" w:hAnsi="宋体" w:cs="仿宋"/>
          <w:color w:val="auto"/>
          <w:sz w:val="24"/>
          <w:highlight w:val="none"/>
          <w:lang w:val="en-US" w:eastAsia="zh-CN"/>
        </w:rPr>
        <w:t>：</w:t>
      </w:r>
    </w:p>
    <w:p w14:paraId="0A34E51B">
      <w:pPr>
        <w:spacing w:line="460" w:lineRule="exact"/>
        <w:ind w:firstLine="480"/>
        <w:outlineLvl w:val="9"/>
        <w:rPr>
          <w:rFonts w:hint="eastAsia" w:ascii="宋体" w:hAnsi="宋体" w:cs="仿宋"/>
          <w:color w:val="auto"/>
          <w:sz w:val="24"/>
          <w:highlight w:val="none"/>
          <w:lang w:eastAsia="zh-CN"/>
        </w:rPr>
      </w:pP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val="en-US" w:eastAsia="zh-CN"/>
        </w:rPr>
        <w:t>以银行转账形式，</w:t>
      </w:r>
      <w:r>
        <w:rPr>
          <w:rFonts w:hint="eastAsia" w:ascii="宋体" w:hAnsi="宋体" w:cs="仿宋"/>
          <w:color w:val="auto"/>
          <w:sz w:val="24"/>
          <w:highlight w:val="none"/>
        </w:rPr>
        <w:t>金额为</w:t>
      </w:r>
      <w:r>
        <w:rPr>
          <w:rFonts w:hint="eastAsia" w:ascii="宋体" w:hAnsi="宋体" w:cs="仿宋"/>
          <w:color w:val="auto"/>
          <w:sz w:val="24"/>
          <w:highlight w:val="none"/>
          <w:u w:val="single"/>
        </w:rPr>
        <w:t xml:space="preserve">                  </w:t>
      </w:r>
      <w:r>
        <w:rPr>
          <w:rFonts w:hint="eastAsia" w:ascii="宋体" w:hAnsi="宋体" w:cs="仿宋"/>
          <w:color w:val="auto"/>
          <w:sz w:val="24"/>
          <w:highlight w:val="none"/>
          <w:lang w:eastAsia="zh-CN"/>
        </w:rPr>
        <w:t>；</w:t>
      </w:r>
    </w:p>
    <w:p w14:paraId="12806C4C">
      <w:pPr>
        <w:spacing w:line="460" w:lineRule="exact"/>
        <w:ind w:firstLine="480"/>
        <w:outlineLvl w:val="9"/>
        <w:rPr>
          <w:rFonts w:hint="default" w:ascii="宋体" w:hAnsi="宋体" w:eastAsia="宋体" w:cs="仿宋"/>
          <w:color w:val="auto"/>
          <w:sz w:val="24"/>
          <w:highlight w:val="none"/>
          <w:lang w:val="en-US" w:eastAsia="zh-CN"/>
        </w:rPr>
      </w:pPr>
      <w:r>
        <w:rPr>
          <w:rFonts w:hint="eastAsia" w:ascii="宋体" w:hAnsi="宋体" w:eastAsia="宋体" w:cs="宋体"/>
          <w:color w:val="auto"/>
          <w:sz w:val="24"/>
          <w:highlight w:val="none"/>
        </w:rPr>
        <w:t>②</w:t>
      </w:r>
      <w:r>
        <w:rPr>
          <w:rFonts w:hint="eastAsia" w:ascii="宋体" w:hAnsi="宋体" w:cs="宋体"/>
          <w:color w:val="auto"/>
          <w:sz w:val="24"/>
          <w:highlight w:val="none"/>
          <w:lang w:val="en-US" w:eastAsia="zh-CN"/>
        </w:rPr>
        <w:t>以保函形式，且保函原件已提交至代理机构备案。</w:t>
      </w:r>
    </w:p>
    <w:p w14:paraId="7A65E66E">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ab/>
      </w:r>
      <w:r>
        <w:rPr>
          <w:rFonts w:hint="eastAsia" w:ascii="宋体" w:hAnsi="宋体" w:cs="仿宋"/>
          <w:color w:val="auto"/>
          <w:sz w:val="24"/>
          <w:highlight w:val="none"/>
        </w:rPr>
        <w:t>据此函，签字代表宣布同意如下：</w:t>
      </w:r>
    </w:p>
    <w:p w14:paraId="3E7D6466">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供应商将按磋商文件的规定履行合同责任和义务；</w:t>
      </w:r>
    </w:p>
    <w:p w14:paraId="3A8DBA2E">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供应商已详细审查全部磋商文件，包括修改文件（如有的话）以及全部参考资料和有关附件。我们完全理解并同意放弃对这方面有不明及误解的权利；</w:t>
      </w:r>
    </w:p>
    <w:p w14:paraId="516752ED">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color w:val="auto"/>
          <w:sz w:val="24"/>
          <w:highlight w:val="none"/>
          <w:lang w:val="en-US" w:eastAsia="zh-CN"/>
        </w:rPr>
      </w:pPr>
      <w:r>
        <w:rPr>
          <w:rFonts w:hint="eastAsia" w:ascii="宋体" w:hAnsi="宋体" w:cs="仿宋"/>
          <w:color w:val="auto"/>
          <w:sz w:val="24"/>
          <w:highlight w:val="none"/>
          <w:lang w:val="en-US" w:eastAsia="zh-CN"/>
        </w:rPr>
        <w:t>磋商有效期为自磋商响应文件递交截止之日起</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lang w:val="en-US" w:eastAsia="zh-CN"/>
        </w:rPr>
        <w:t>日历天；</w:t>
      </w:r>
    </w:p>
    <w:p w14:paraId="1C8E3E8F">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color w:val="auto"/>
          <w:sz w:val="24"/>
          <w:highlight w:val="none"/>
          <w:u w:val="none"/>
        </w:rPr>
      </w:pPr>
      <w:r>
        <w:rPr>
          <w:rFonts w:hint="eastAsia" w:ascii="宋体" w:hAnsi="宋体" w:cs="仿宋"/>
          <w:color w:val="auto"/>
          <w:sz w:val="24"/>
          <w:highlight w:val="none"/>
          <w:lang w:val="en-US" w:eastAsia="zh-CN"/>
        </w:rPr>
        <w:t>质量标准：</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none"/>
          <w:lang w:val="en-US" w:eastAsia="zh-CN"/>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none"/>
          <w:lang w:val="en-US" w:eastAsia="zh-CN"/>
        </w:rPr>
        <w:t xml:space="preserve">      </w:t>
      </w:r>
    </w:p>
    <w:p w14:paraId="0EA03EB1">
      <w:pPr>
        <w:keepNext w:val="0"/>
        <w:keepLines w:val="0"/>
        <w:pageBreakBefore w:val="0"/>
        <w:widowControl w:val="0"/>
        <w:numPr>
          <w:ilvl w:val="0"/>
          <w:numId w:val="3"/>
        </w:numPr>
        <w:kinsoku/>
        <w:wordWrap/>
        <w:overflowPunct/>
        <w:topLinePunct w:val="0"/>
        <w:autoSpaceDE/>
        <w:autoSpaceDN/>
        <w:bidi w:val="0"/>
        <w:adjustRightInd/>
        <w:snapToGrid/>
        <w:spacing w:line="456" w:lineRule="exact"/>
        <w:ind w:firstLine="420"/>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如果在规定的宣读磋商报价时间后，供应商在磋商有效期内撤回磋商报价；或成交后未按磋商文件中磋商须知规定的向采购代理机构</w:t>
      </w:r>
      <w:r>
        <w:rPr>
          <w:rFonts w:hint="eastAsia" w:ascii="宋体" w:hAnsi="宋体" w:cs="仿宋"/>
          <w:color w:val="auto"/>
          <w:sz w:val="24"/>
          <w:highlight w:val="none"/>
          <w:lang w:eastAsia="zh-CN"/>
        </w:rPr>
        <w:t>缴</w:t>
      </w:r>
      <w:r>
        <w:rPr>
          <w:rFonts w:hint="eastAsia" w:ascii="宋体" w:hAnsi="宋体" w:cs="仿宋"/>
          <w:color w:val="auto"/>
          <w:sz w:val="24"/>
          <w:highlight w:val="none"/>
        </w:rPr>
        <w:t>纳足额的招标代理服务费，其</w:t>
      </w:r>
      <w:r>
        <w:rPr>
          <w:rFonts w:hint="eastAsia" w:ascii="宋体" w:hAnsi="宋体" w:cs="仿宋"/>
          <w:color w:val="auto"/>
          <w:sz w:val="24"/>
          <w:highlight w:val="none"/>
          <w:lang w:eastAsia="zh-CN"/>
        </w:rPr>
        <w:t>磋商保证金</w:t>
      </w:r>
      <w:r>
        <w:rPr>
          <w:rFonts w:hint="eastAsia" w:ascii="宋体" w:hAnsi="宋体" w:cs="仿宋"/>
          <w:color w:val="auto"/>
          <w:sz w:val="24"/>
          <w:highlight w:val="none"/>
        </w:rPr>
        <w:t>将被贵方没收；</w:t>
      </w:r>
    </w:p>
    <w:p w14:paraId="34A91920">
      <w:pPr>
        <w:keepNext w:val="0"/>
        <w:keepLines w:val="0"/>
        <w:pageBreakBefore w:val="0"/>
        <w:widowControl w:val="0"/>
        <w:kinsoku/>
        <w:wordWrap/>
        <w:overflowPunct/>
        <w:topLinePunct w:val="0"/>
        <w:autoSpaceDE/>
        <w:autoSpaceDN/>
        <w:bidi w:val="0"/>
        <w:adjustRightInd/>
        <w:snapToGrid/>
        <w:spacing w:line="456" w:lineRule="exact"/>
        <w:ind w:firstLine="420"/>
        <w:textAlignment w:val="auto"/>
        <w:outlineLvl w:val="9"/>
        <w:rPr>
          <w:rFonts w:hint="eastAsia" w:ascii="宋体" w:hAnsi="宋体" w:cs="仿宋"/>
          <w:color w:val="auto"/>
          <w:sz w:val="24"/>
          <w:highlight w:val="none"/>
        </w:rPr>
      </w:pPr>
      <w:r>
        <w:rPr>
          <w:rFonts w:hint="eastAsia" w:ascii="宋体" w:hAnsi="宋体" w:cs="仿宋"/>
          <w:color w:val="auto"/>
          <w:sz w:val="24"/>
          <w:highlight w:val="none"/>
          <w:lang w:val="en-US" w:eastAsia="zh-CN"/>
        </w:rPr>
        <w:t>6</w:t>
      </w:r>
      <w:r>
        <w:rPr>
          <w:rFonts w:hint="eastAsia" w:ascii="宋体" w:hAnsi="宋体" w:cs="仿宋"/>
          <w:color w:val="auto"/>
          <w:sz w:val="24"/>
          <w:highlight w:val="none"/>
        </w:rPr>
        <w:t>、 供应商同意提供按照贵方可能要求的与其报价有关的一切数据或资料，完全理解贵方不一定要接受最低价的磋商报价或收到的任何磋商报价。</w:t>
      </w:r>
    </w:p>
    <w:p w14:paraId="09244329">
      <w:pPr>
        <w:keepNext w:val="0"/>
        <w:keepLines w:val="0"/>
        <w:pageBreakBefore w:val="0"/>
        <w:widowControl w:val="0"/>
        <w:kinsoku/>
        <w:wordWrap/>
        <w:overflowPunct/>
        <w:topLinePunct w:val="0"/>
        <w:autoSpaceDE/>
        <w:autoSpaceDN/>
        <w:bidi w:val="0"/>
        <w:adjustRightInd/>
        <w:snapToGrid/>
        <w:spacing w:line="456" w:lineRule="exact"/>
        <w:ind w:firstLine="420"/>
        <w:textAlignment w:val="auto"/>
        <w:outlineLvl w:val="9"/>
        <w:rPr>
          <w:rFonts w:hint="eastAsia" w:ascii="宋体" w:hAnsi="宋体" w:cs="仿宋"/>
          <w:color w:val="auto"/>
          <w:sz w:val="24"/>
          <w:highlight w:val="none"/>
        </w:rPr>
      </w:pPr>
      <w:r>
        <w:rPr>
          <w:rFonts w:hint="eastAsia" w:ascii="宋体" w:hAnsi="宋体" w:cs="仿宋"/>
          <w:color w:val="auto"/>
          <w:sz w:val="24"/>
          <w:highlight w:val="none"/>
          <w:lang w:val="en-US" w:eastAsia="zh-CN"/>
        </w:rPr>
        <w:t>7</w:t>
      </w:r>
      <w:r>
        <w:rPr>
          <w:rFonts w:hint="eastAsia" w:ascii="宋体" w:hAnsi="宋体" w:cs="仿宋"/>
          <w:color w:val="auto"/>
          <w:sz w:val="24"/>
          <w:highlight w:val="none"/>
        </w:rPr>
        <w:t>、与本磋商有关的一切正式往来通讯请寄：</w:t>
      </w:r>
    </w:p>
    <w:p w14:paraId="6D1B0D3A">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ab/>
      </w:r>
      <w:r>
        <w:rPr>
          <w:rFonts w:hint="eastAsia" w:ascii="宋体" w:hAnsi="宋体" w:cs="仿宋"/>
          <w:color w:val="auto"/>
          <w:sz w:val="24"/>
          <w:highlight w:val="none"/>
        </w:rPr>
        <w:t>地址：</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 xml:space="preserve"> 邮编：</w:t>
      </w:r>
      <w:r>
        <w:rPr>
          <w:rFonts w:hint="eastAsia" w:ascii="宋体" w:hAnsi="宋体" w:cs="仿宋"/>
          <w:color w:val="auto"/>
          <w:sz w:val="24"/>
          <w:highlight w:val="none"/>
          <w:u w:val="single"/>
        </w:rPr>
        <w:t xml:space="preserve">                       .</w:t>
      </w:r>
    </w:p>
    <w:p w14:paraId="334FE47A">
      <w:pPr>
        <w:keepNext w:val="0"/>
        <w:keepLines w:val="0"/>
        <w:pageBreakBefore w:val="0"/>
        <w:widowControl w:val="0"/>
        <w:kinsoku/>
        <w:wordWrap/>
        <w:overflowPunct/>
        <w:topLinePunct w:val="0"/>
        <w:autoSpaceDE/>
        <w:autoSpaceDN/>
        <w:bidi w:val="0"/>
        <w:adjustRightInd/>
        <w:snapToGrid/>
        <w:spacing w:line="456" w:lineRule="exact"/>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tab/>
      </w:r>
      <w:r>
        <w:rPr>
          <w:rFonts w:hint="eastAsia" w:ascii="宋体" w:hAnsi="宋体" w:cs="仿宋"/>
          <w:color w:val="auto"/>
          <w:sz w:val="24"/>
          <w:highlight w:val="none"/>
        </w:rPr>
        <w:t>电话：</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 xml:space="preserve"> 传真：</w:t>
      </w:r>
      <w:r>
        <w:rPr>
          <w:rFonts w:hint="eastAsia" w:ascii="宋体" w:hAnsi="宋体" w:cs="仿宋"/>
          <w:color w:val="auto"/>
          <w:sz w:val="24"/>
          <w:highlight w:val="none"/>
          <w:u w:val="single"/>
        </w:rPr>
        <w:t xml:space="preserve">                       .</w:t>
      </w:r>
    </w:p>
    <w:p w14:paraId="72FD2FC3">
      <w:pPr>
        <w:keepNext w:val="0"/>
        <w:keepLines w:val="0"/>
        <w:pageBreakBefore w:val="0"/>
        <w:widowControl w:val="0"/>
        <w:kinsoku/>
        <w:wordWrap/>
        <w:overflowPunct/>
        <w:topLinePunct w:val="0"/>
        <w:autoSpaceDE/>
        <w:autoSpaceDN/>
        <w:bidi w:val="0"/>
        <w:adjustRightInd/>
        <w:snapToGrid/>
        <w:spacing w:line="456" w:lineRule="exact"/>
        <w:ind w:right="-161"/>
        <w:textAlignment w:val="auto"/>
        <w:outlineLvl w:val="9"/>
        <w:rPr>
          <w:rFonts w:hint="eastAsia" w:ascii="宋体" w:hAnsi="宋体" w:cs="仿宋"/>
          <w:color w:val="auto"/>
          <w:sz w:val="24"/>
          <w:highlight w:val="none"/>
        </w:rPr>
      </w:pPr>
      <w:r>
        <w:rPr>
          <w:rFonts w:hint="eastAsia" w:ascii="宋体" w:hAnsi="宋体" w:cs="仿宋"/>
          <w:color w:val="auto"/>
          <w:sz w:val="24"/>
          <w:highlight w:val="none"/>
        </w:rPr>
        <w:br w:type="textWrapping"/>
      </w:r>
      <w:r>
        <w:rPr>
          <w:rFonts w:hint="eastAsia" w:ascii="宋体" w:hAnsi="宋体" w:cs="仿宋"/>
          <w:color w:val="auto"/>
          <w:sz w:val="24"/>
          <w:highlight w:val="none"/>
        </w:rPr>
        <w:tab/>
      </w:r>
      <w:bookmarkStart w:id="1083" w:name="OLE_LINK50"/>
      <w:r>
        <w:rPr>
          <w:rFonts w:hint="eastAsia" w:ascii="宋体" w:hAnsi="宋体" w:cs="仿宋"/>
          <w:color w:val="auto"/>
          <w:sz w:val="24"/>
          <w:highlight w:val="none"/>
        </w:rPr>
        <w:t>供应商</w:t>
      </w:r>
      <w:r>
        <w:rPr>
          <w:rFonts w:hint="eastAsia" w:ascii="宋体" w:hAnsi="宋体" w:cs="仿宋"/>
          <w:color w:val="auto"/>
          <w:sz w:val="24"/>
          <w:highlight w:val="none"/>
          <w:lang w:val="en-US" w:eastAsia="zh-CN"/>
        </w:rPr>
        <w:t>全称</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（盖章）</w:t>
      </w:r>
    </w:p>
    <w:p w14:paraId="7DE64C0A">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color w:val="auto"/>
          <w:sz w:val="24"/>
          <w:highlight w:val="none"/>
          <w:u w:val="none"/>
          <w:lang w:eastAsia="zh-CN"/>
        </w:rPr>
      </w:pPr>
      <w:r>
        <w:rPr>
          <w:rFonts w:hint="eastAsia" w:ascii="宋体" w:hAnsi="宋体" w:cs="仿宋"/>
          <w:color w:val="auto"/>
          <w:sz w:val="24"/>
          <w:highlight w:val="none"/>
        </w:rPr>
        <w:t>法定代表人或被授权</w:t>
      </w:r>
      <w:r>
        <w:rPr>
          <w:rFonts w:hint="eastAsia" w:ascii="宋体" w:hAnsi="宋体" w:cs="仿宋"/>
          <w:color w:val="auto"/>
          <w:sz w:val="24"/>
          <w:highlight w:val="none"/>
          <w:lang w:val="en-US" w:eastAsia="zh-CN"/>
        </w:rPr>
        <w:t>人</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none"/>
          <w:lang w:eastAsia="zh-CN"/>
        </w:rPr>
        <w:t>（</w:t>
      </w:r>
      <w:r>
        <w:rPr>
          <w:rFonts w:hint="eastAsia" w:ascii="宋体" w:hAnsi="宋体" w:cs="仿宋"/>
          <w:color w:val="auto"/>
          <w:sz w:val="24"/>
          <w:highlight w:val="none"/>
          <w:u w:val="none"/>
        </w:rPr>
        <w:t>签字</w:t>
      </w:r>
      <w:r>
        <w:rPr>
          <w:rFonts w:hint="eastAsia" w:ascii="宋体" w:hAnsi="宋体" w:cs="仿宋"/>
          <w:color w:val="auto"/>
          <w:sz w:val="24"/>
          <w:highlight w:val="none"/>
          <w:lang w:val="en-US" w:eastAsia="zh-CN"/>
        </w:rPr>
        <w:t>或盖章</w:t>
      </w:r>
      <w:r>
        <w:rPr>
          <w:rFonts w:hint="eastAsia" w:ascii="宋体" w:hAnsi="宋体" w:cs="仿宋"/>
          <w:color w:val="auto"/>
          <w:sz w:val="24"/>
          <w:highlight w:val="none"/>
          <w:u w:val="none"/>
          <w:lang w:eastAsia="zh-CN"/>
        </w:rPr>
        <w:t>）</w:t>
      </w:r>
    </w:p>
    <w:p w14:paraId="6DEFB3E6">
      <w:pPr>
        <w:keepNext w:val="0"/>
        <w:keepLines w:val="0"/>
        <w:pageBreakBefore w:val="0"/>
        <w:widowControl w:val="0"/>
        <w:kinsoku/>
        <w:wordWrap/>
        <w:overflowPunct/>
        <w:topLinePunct w:val="0"/>
        <w:autoSpaceDE/>
        <w:autoSpaceDN/>
        <w:bidi w:val="0"/>
        <w:adjustRightInd/>
        <w:snapToGrid/>
        <w:spacing w:line="456" w:lineRule="exact"/>
        <w:ind w:firstLine="480"/>
        <w:textAlignment w:val="auto"/>
        <w:outlineLvl w:val="9"/>
        <w:rPr>
          <w:rFonts w:hint="eastAsia" w:ascii="宋体" w:hAnsi="宋体" w:cs="仿宋"/>
          <w:b/>
          <w:bCs/>
          <w:color w:val="auto"/>
          <w:sz w:val="32"/>
          <w:szCs w:val="32"/>
          <w:highlight w:val="none"/>
        </w:rPr>
      </w:pPr>
      <w:r>
        <w:rPr>
          <w:rFonts w:hint="eastAsia" w:ascii="宋体" w:hAnsi="宋体" w:cs="仿宋"/>
          <w:color w:val="auto"/>
          <w:sz w:val="24"/>
          <w:highlight w:val="none"/>
        </w:rPr>
        <w:t>日</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期：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w:t>
      </w:r>
      <w:bookmarkEnd w:id="1083"/>
      <w:bookmarkStart w:id="1084" w:name="_Toc2261"/>
    </w:p>
    <w:p w14:paraId="276DA8E6">
      <w:pPr>
        <w:adjustRightInd w:val="0"/>
        <w:spacing w:line="480" w:lineRule="auto"/>
        <w:jc w:val="center"/>
        <w:textAlignment w:val="baseline"/>
        <w:outlineLvl w:val="9"/>
        <w:rPr>
          <w:rFonts w:hint="eastAsia" w:ascii="宋体" w:hAnsi="宋体" w:cs="仿宋"/>
          <w:b/>
          <w:bCs/>
          <w:color w:val="auto"/>
          <w:sz w:val="32"/>
          <w:szCs w:val="32"/>
          <w:highlight w:val="none"/>
        </w:rPr>
      </w:pPr>
    </w:p>
    <w:p w14:paraId="678C876D">
      <w:pPr>
        <w:adjustRightInd w:val="0"/>
        <w:spacing w:line="480" w:lineRule="auto"/>
        <w:jc w:val="center"/>
        <w:textAlignment w:val="baseline"/>
        <w:outlineLvl w:val="9"/>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 xml:space="preserve"> </w:t>
      </w:r>
      <w:bookmarkStart w:id="1085" w:name="OLE_LINK42"/>
      <w:r>
        <w:rPr>
          <w:rFonts w:hint="eastAsia" w:ascii="宋体" w:hAnsi="宋体" w:cs="仿宋"/>
          <w:b/>
          <w:bCs/>
          <w:color w:val="auto"/>
          <w:sz w:val="32"/>
          <w:szCs w:val="32"/>
          <w:highlight w:val="none"/>
        </w:rPr>
        <w:t>磋商报价表</w:t>
      </w:r>
      <w:bookmarkEnd w:id="1084"/>
    </w:p>
    <w:bookmarkEnd w:id="1085"/>
    <w:tbl>
      <w:tblPr>
        <w:tblStyle w:val="25"/>
        <w:tblW w:w="0" w:type="auto"/>
        <w:tblInd w:w="43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10"/>
        <w:gridCol w:w="6780"/>
      </w:tblGrid>
      <w:tr w14:paraId="4938FE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11" w:hRule="atLeast"/>
        </w:trPr>
        <w:tc>
          <w:tcPr>
            <w:tcW w:w="2010" w:type="dxa"/>
            <w:tcBorders>
              <w:bottom w:val="single" w:color="auto" w:sz="4" w:space="0"/>
            </w:tcBorders>
            <w:noWrap w:val="0"/>
            <w:vAlign w:val="bottom"/>
          </w:tcPr>
          <w:p w14:paraId="28DBEEBC">
            <w:pPr>
              <w:spacing w:line="480" w:lineRule="auto"/>
              <w:jc w:val="center"/>
              <w:outlineLvl w:val="9"/>
              <w:rPr>
                <w:rFonts w:hint="eastAsia" w:ascii="宋体" w:hAnsi="宋体" w:cs="仿宋"/>
                <w:caps/>
                <w:color w:val="auto"/>
                <w:sz w:val="24"/>
                <w:highlight w:val="none"/>
              </w:rPr>
            </w:pPr>
            <w:bookmarkStart w:id="1086" w:name="_Toc497712138"/>
            <w:bookmarkStart w:id="1087" w:name="_Toc385992405"/>
            <w:bookmarkStart w:id="1088" w:name="_Toc389620245"/>
            <w:bookmarkStart w:id="1089" w:name="_Toc492955464"/>
            <w:bookmarkStart w:id="1090" w:name="_Hlt491766443"/>
            <w:bookmarkStart w:id="1091" w:name="_Toc497546923"/>
            <w:bookmarkStart w:id="1092" w:name="_Toc497711590"/>
            <w:bookmarkStart w:id="1093" w:name="_Toc246928964"/>
            <w:bookmarkStart w:id="1094" w:name="_Toc497551825"/>
            <w:r>
              <w:rPr>
                <w:rFonts w:hint="eastAsia" w:ascii="宋体" w:hAnsi="宋体" w:cs="仿宋"/>
                <w:color w:val="auto"/>
                <w:sz w:val="24"/>
                <w:highlight w:val="none"/>
              </w:rPr>
              <w:t>采购</w:t>
            </w:r>
            <w:r>
              <w:rPr>
                <w:rFonts w:hint="eastAsia" w:ascii="宋体" w:hAnsi="宋体" w:cs="仿宋"/>
                <w:color w:val="auto"/>
                <w:sz w:val="24"/>
                <w:highlight w:val="none"/>
                <w:lang w:val="en-US" w:eastAsia="zh-CN"/>
              </w:rPr>
              <w:t>项目名称</w:t>
            </w:r>
          </w:p>
        </w:tc>
        <w:tc>
          <w:tcPr>
            <w:tcW w:w="6780" w:type="dxa"/>
            <w:noWrap w:val="0"/>
            <w:vAlign w:val="center"/>
          </w:tcPr>
          <w:p w14:paraId="000303F0">
            <w:pPr>
              <w:spacing w:line="480" w:lineRule="auto"/>
              <w:jc w:val="center"/>
              <w:outlineLvl w:val="9"/>
              <w:rPr>
                <w:rFonts w:hint="eastAsia" w:ascii="宋体" w:hAnsi="宋体" w:cs="仿宋"/>
                <w:caps/>
                <w:color w:val="auto"/>
                <w:sz w:val="24"/>
                <w:highlight w:val="none"/>
              </w:rPr>
            </w:pPr>
          </w:p>
        </w:tc>
      </w:tr>
      <w:tr w14:paraId="1F96FD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010" w:type="dxa"/>
            <w:tcBorders>
              <w:bottom w:val="single" w:color="auto" w:sz="4" w:space="0"/>
            </w:tcBorders>
            <w:noWrap w:val="0"/>
            <w:vAlign w:val="bottom"/>
          </w:tcPr>
          <w:p w14:paraId="16014719">
            <w:pPr>
              <w:spacing w:line="480" w:lineRule="auto"/>
              <w:jc w:val="center"/>
              <w:outlineLvl w:val="9"/>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项目编号</w:t>
            </w:r>
          </w:p>
        </w:tc>
        <w:tc>
          <w:tcPr>
            <w:tcW w:w="6780" w:type="dxa"/>
            <w:tcBorders>
              <w:bottom w:val="single" w:color="auto" w:sz="4" w:space="0"/>
            </w:tcBorders>
            <w:noWrap w:val="0"/>
            <w:vAlign w:val="center"/>
          </w:tcPr>
          <w:p w14:paraId="4353EF10">
            <w:pPr>
              <w:spacing w:line="480" w:lineRule="auto"/>
              <w:jc w:val="center"/>
              <w:outlineLvl w:val="9"/>
              <w:rPr>
                <w:rFonts w:hint="eastAsia" w:ascii="宋体" w:hAnsi="宋体" w:cs="仿宋"/>
                <w:caps/>
                <w:color w:val="auto"/>
                <w:sz w:val="24"/>
                <w:highlight w:val="none"/>
              </w:rPr>
            </w:pPr>
          </w:p>
        </w:tc>
      </w:tr>
      <w:tr w14:paraId="3E4388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14:paraId="150DC91D">
            <w:pPr>
              <w:spacing w:line="480" w:lineRule="auto"/>
              <w:jc w:val="center"/>
              <w:outlineLvl w:val="9"/>
              <w:rPr>
                <w:rFonts w:hint="eastAsia" w:ascii="宋体" w:hAnsi="宋体" w:eastAsia="宋体" w:cs="仿宋"/>
                <w:color w:val="auto"/>
                <w:sz w:val="24"/>
                <w:highlight w:val="none"/>
                <w:lang w:val="en-US" w:eastAsia="zh-CN"/>
              </w:rPr>
            </w:pPr>
            <w:r>
              <w:rPr>
                <w:rFonts w:hint="eastAsia" w:ascii="宋体" w:hAnsi="宋体" w:cs="仿宋"/>
                <w:color w:val="auto"/>
                <w:sz w:val="24"/>
                <w:highlight w:val="none"/>
              </w:rPr>
              <w:t>供应商</w:t>
            </w:r>
            <w:r>
              <w:rPr>
                <w:rFonts w:hint="eastAsia" w:ascii="宋体" w:hAnsi="宋体" w:cs="仿宋"/>
                <w:color w:val="auto"/>
                <w:sz w:val="24"/>
                <w:highlight w:val="none"/>
                <w:lang w:val="en-US" w:eastAsia="zh-CN"/>
              </w:rPr>
              <w:t>名称</w:t>
            </w:r>
          </w:p>
        </w:tc>
        <w:tc>
          <w:tcPr>
            <w:tcW w:w="6780" w:type="dxa"/>
            <w:noWrap w:val="0"/>
            <w:vAlign w:val="center"/>
          </w:tcPr>
          <w:p w14:paraId="61E46441">
            <w:pPr>
              <w:spacing w:line="480" w:lineRule="auto"/>
              <w:jc w:val="center"/>
              <w:outlineLvl w:val="9"/>
              <w:rPr>
                <w:rFonts w:hint="eastAsia" w:ascii="宋体" w:hAnsi="宋体" w:cs="仿宋"/>
                <w:color w:val="auto"/>
                <w:sz w:val="24"/>
                <w:highlight w:val="none"/>
              </w:rPr>
            </w:pPr>
          </w:p>
        </w:tc>
      </w:tr>
      <w:tr w14:paraId="0C31CE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14:paraId="2D711E8C">
            <w:pPr>
              <w:spacing w:line="480" w:lineRule="auto"/>
              <w:jc w:val="center"/>
              <w:outlineLvl w:val="9"/>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项目经理</w:t>
            </w:r>
          </w:p>
        </w:tc>
        <w:tc>
          <w:tcPr>
            <w:tcW w:w="6780" w:type="dxa"/>
            <w:noWrap w:val="0"/>
            <w:vAlign w:val="center"/>
          </w:tcPr>
          <w:p w14:paraId="39E61370">
            <w:pPr>
              <w:spacing w:line="480" w:lineRule="auto"/>
              <w:jc w:val="center"/>
              <w:outlineLvl w:val="9"/>
              <w:rPr>
                <w:rFonts w:hint="eastAsia" w:ascii="宋体" w:hAnsi="宋体" w:cs="仿宋"/>
                <w:color w:val="auto"/>
                <w:sz w:val="24"/>
                <w:highlight w:val="none"/>
              </w:rPr>
            </w:pPr>
          </w:p>
        </w:tc>
      </w:tr>
      <w:tr w14:paraId="3C31CF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bottom"/>
          </w:tcPr>
          <w:p w14:paraId="0B18DCBC">
            <w:pPr>
              <w:spacing w:line="480" w:lineRule="auto"/>
              <w:jc w:val="center"/>
              <w:outlineLvl w:val="9"/>
              <w:rPr>
                <w:rFonts w:hint="eastAsia" w:ascii="宋体" w:hAnsi="宋体" w:cs="仿宋"/>
                <w:color w:val="auto"/>
                <w:sz w:val="24"/>
                <w:highlight w:val="none"/>
                <w:lang w:val="en-US" w:eastAsia="zh-CN"/>
              </w:rPr>
            </w:pPr>
            <w:r>
              <w:rPr>
                <w:rFonts w:hint="eastAsia" w:ascii="宋体" w:hAnsi="宋体" w:cs="仿宋"/>
                <w:color w:val="auto"/>
                <w:sz w:val="24"/>
                <w:highlight w:val="none"/>
                <w:lang w:val="en-US" w:eastAsia="zh-CN"/>
              </w:rPr>
              <w:t>质量标准</w:t>
            </w:r>
          </w:p>
        </w:tc>
        <w:tc>
          <w:tcPr>
            <w:tcW w:w="6780" w:type="dxa"/>
            <w:noWrap w:val="0"/>
            <w:vAlign w:val="center"/>
          </w:tcPr>
          <w:p w14:paraId="58CD692F">
            <w:pPr>
              <w:spacing w:line="480" w:lineRule="auto"/>
              <w:jc w:val="center"/>
              <w:outlineLvl w:val="9"/>
              <w:rPr>
                <w:rFonts w:hint="eastAsia" w:ascii="宋体" w:hAnsi="宋体" w:cs="仿宋"/>
                <w:color w:val="auto"/>
                <w:sz w:val="24"/>
                <w:highlight w:val="none"/>
              </w:rPr>
            </w:pPr>
          </w:p>
        </w:tc>
      </w:tr>
      <w:tr w14:paraId="33FBE6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trPr>
        <w:tc>
          <w:tcPr>
            <w:tcW w:w="2010" w:type="dxa"/>
            <w:noWrap w:val="0"/>
            <w:vAlign w:val="center"/>
          </w:tcPr>
          <w:p w14:paraId="355D1A4C">
            <w:pPr>
              <w:spacing w:line="480" w:lineRule="auto"/>
              <w:jc w:val="center"/>
              <w:outlineLvl w:val="9"/>
              <w:rPr>
                <w:rFonts w:hint="eastAsia" w:ascii="宋体" w:hAnsi="宋体" w:cs="仿宋"/>
                <w:color w:val="auto"/>
                <w:sz w:val="24"/>
                <w:highlight w:val="none"/>
              </w:rPr>
            </w:pPr>
            <w:r>
              <w:rPr>
                <w:rFonts w:hint="eastAsia" w:ascii="宋体" w:hAnsi="宋体" w:cs="仿宋"/>
                <w:color w:val="auto"/>
                <w:sz w:val="24"/>
                <w:highlight w:val="none"/>
              </w:rPr>
              <w:t>磋商报价（元）</w:t>
            </w:r>
          </w:p>
        </w:tc>
        <w:tc>
          <w:tcPr>
            <w:tcW w:w="6780" w:type="dxa"/>
            <w:noWrap w:val="0"/>
            <w:vAlign w:val="center"/>
          </w:tcPr>
          <w:p w14:paraId="68FC7980">
            <w:pPr>
              <w:spacing w:before="100" w:beforeAutospacing="1" w:after="100" w:afterAutospacing="1" w:line="480" w:lineRule="auto"/>
              <w:jc w:val="left"/>
              <w:outlineLvl w:val="9"/>
              <w:rPr>
                <w:rFonts w:hint="eastAsia" w:ascii="宋体" w:hAnsi="宋体" w:cs="仿宋"/>
                <w:color w:val="auto"/>
                <w:sz w:val="24"/>
                <w:highlight w:val="none"/>
              </w:rPr>
            </w:pPr>
            <w:r>
              <w:rPr>
                <w:rFonts w:hint="eastAsia" w:ascii="宋体" w:hAnsi="宋体" w:cs="仿宋"/>
                <w:color w:val="auto"/>
                <w:sz w:val="24"/>
                <w:highlight w:val="none"/>
              </w:rPr>
              <w:t>大写：</w:t>
            </w:r>
          </w:p>
          <w:p w14:paraId="2C646D2B">
            <w:pPr>
              <w:spacing w:before="100" w:beforeAutospacing="1" w:after="100" w:afterAutospacing="1" w:line="480" w:lineRule="auto"/>
              <w:jc w:val="left"/>
              <w:outlineLvl w:val="9"/>
              <w:rPr>
                <w:rFonts w:hint="eastAsia" w:ascii="宋体" w:hAnsi="宋体" w:cs="仿宋"/>
                <w:color w:val="auto"/>
                <w:sz w:val="24"/>
                <w:highlight w:val="none"/>
              </w:rPr>
            </w:pPr>
            <w:r>
              <w:rPr>
                <w:rFonts w:hint="eastAsia" w:ascii="宋体" w:hAnsi="宋体" w:cs="仿宋"/>
                <w:color w:val="auto"/>
                <w:sz w:val="24"/>
                <w:highlight w:val="none"/>
              </w:rPr>
              <w:t>小写：</w:t>
            </w:r>
          </w:p>
        </w:tc>
      </w:tr>
      <w:tr w14:paraId="04A3F7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90" w:type="dxa"/>
            <w:gridSpan w:val="2"/>
            <w:noWrap w:val="0"/>
            <w:vAlign w:val="center"/>
          </w:tcPr>
          <w:p w14:paraId="7637DD57">
            <w:pPr>
              <w:spacing w:line="480" w:lineRule="auto"/>
              <w:ind w:firstLine="480" w:firstLineChars="200"/>
              <w:jc w:val="left"/>
              <w:outlineLvl w:val="9"/>
              <w:rPr>
                <w:rFonts w:hint="eastAsia" w:ascii="宋体" w:hAnsi="宋体" w:cs="仿宋"/>
                <w:color w:val="auto"/>
                <w:sz w:val="24"/>
                <w:highlight w:val="none"/>
              </w:rPr>
            </w:pPr>
            <w:r>
              <w:rPr>
                <w:rFonts w:hint="eastAsia" w:ascii="宋体" w:hAnsi="宋体" w:cs="仿宋"/>
                <w:color w:val="auto"/>
                <w:sz w:val="24"/>
                <w:highlight w:val="none"/>
                <w:lang w:val="en-US" w:eastAsia="zh-CN"/>
              </w:rPr>
              <w:t>工  期</w:t>
            </w:r>
            <w:r>
              <w:rPr>
                <w:rFonts w:hint="eastAsia" w:ascii="宋体" w:hAnsi="宋体" w:cs="仿宋"/>
                <w:color w:val="auto"/>
                <w:sz w:val="24"/>
                <w:highlight w:val="none"/>
              </w:rPr>
              <w:t>：</w:t>
            </w:r>
          </w:p>
        </w:tc>
      </w:tr>
    </w:tbl>
    <w:p w14:paraId="66A4D5CE">
      <w:pPr>
        <w:numPr>
          <w:ilvl w:val="0"/>
          <w:numId w:val="0"/>
        </w:numPr>
        <w:kinsoku w:val="0"/>
        <w:topLinePunct w:val="0"/>
        <w:bidi w:val="0"/>
        <w:spacing w:line="360" w:lineRule="auto"/>
        <w:ind w:firstLine="480" w:firstLineChars="200"/>
        <w:jc w:val="left"/>
        <w:outlineLvl w:val="9"/>
        <w:rPr>
          <w:rFonts w:hint="eastAsia" w:ascii="宋体" w:hAnsi="宋体" w:eastAsia="宋体" w:cs="宋体"/>
          <w:color w:val="auto"/>
          <w:sz w:val="24"/>
          <w:szCs w:val="24"/>
          <w:highlight w:val="none"/>
        </w:rPr>
      </w:pPr>
      <w:r>
        <w:rPr>
          <w:rFonts w:ascii="宋体" w:hAnsi="宋体" w:cs="宋体"/>
          <w:b/>
          <w:bCs/>
          <w:color w:val="auto"/>
          <w:kern w:val="0"/>
          <w:sz w:val="24"/>
          <w:highlight w:val="none"/>
          <w:lang w:bidi="ar"/>
        </w:rPr>
        <w:t>注：</w:t>
      </w:r>
      <w:r>
        <w:rPr>
          <w:rFonts w:hint="eastAsia" w:ascii="宋体" w:hAnsi="宋体" w:eastAsia="宋体" w:cs="宋体"/>
          <w:color w:val="auto"/>
          <w:sz w:val="24"/>
          <w:szCs w:val="24"/>
          <w:highlight w:val="none"/>
        </w:rPr>
        <w:t>1.表内报价内容以元为单位，精确到小数点后两位</w:t>
      </w:r>
      <w:r>
        <w:rPr>
          <w:rFonts w:hint="eastAsia" w:ascii="宋体" w:hAnsi="宋体" w:eastAsia="宋体" w:cs="宋体"/>
          <w:color w:val="auto"/>
          <w:sz w:val="24"/>
          <w:szCs w:val="24"/>
          <w:highlight w:val="none"/>
          <w:lang w:eastAsia="zh-CN"/>
        </w:rPr>
        <w:t>（四舍五入）</w:t>
      </w:r>
      <w:r>
        <w:rPr>
          <w:rFonts w:hint="eastAsia" w:ascii="宋体" w:hAnsi="宋体" w:eastAsia="宋体" w:cs="宋体"/>
          <w:color w:val="auto"/>
          <w:sz w:val="24"/>
          <w:szCs w:val="24"/>
          <w:highlight w:val="none"/>
        </w:rPr>
        <w:t>；</w:t>
      </w:r>
    </w:p>
    <w:p w14:paraId="0BC72A07">
      <w:pPr>
        <w:spacing w:line="380" w:lineRule="exact"/>
        <w:ind w:left="2" w:firstLine="960" w:firstLineChars="400"/>
        <w:outlineLvl w:val="9"/>
        <w:rPr>
          <w:rFonts w:hint="eastAsia" w:ascii="宋体" w:hAnsi="宋体" w:cs="宋体"/>
          <w:color w:val="auto"/>
          <w:sz w:val="24"/>
          <w:highlight w:val="none"/>
          <w:lang w:val="zh-CN"/>
        </w:rPr>
      </w:pPr>
      <w:r>
        <w:rPr>
          <w:rFonts w:hint="eastAsia" w:ascii="宋体" w:hAnsi="宋体" w:cs="宋体"/>
          <w:color w:val="auto"/>
          <w:sz w:val="24"/>
          <w:szCs w:val="24"/>
          <w:highlight w:val="none"/>
          <w:lang w:val="en-US" w:eastAsia="zh-CN"/>
        </w:rPr>
        <w:t>2.报价应包含供应商需缴纳的</w:t>
      </w:r>
      <w:r>
        <w:rPr>
          <w:rFonts w:hint="eastAsia" w:ascii="宋体" w:hAnsi="宋体" w:eastAsia="宋体" w:cs="宋体"/>
          <w:color w:val="auto"/>
          <w:sz w:val="24"/>
          <w:szCs w:val="24"/>
          <w:highlight w:val="none"/>
          <w:lang w:val="zh-CN"/>
        </w:rPr>
        <w:t>所有费用</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含税费</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eastAsia="zh-CN"/>
        </w:rPr>
        <w:t>。</w:t>
      </w:r>
    </w:p>
    <w:p w14:paraId="0FF94B9B">
      <w:pPr>
        <w:spacing w:line="480" w:lineRule="auto"/>
        <w:ind w:right="-161"/>
        <w:outlineLvl w:val="9"/>
        <w:rPr>
          <w:rFonts w:hint="eastAsia" w:ascii="宋体" w:hAnsi="宋体" w:cs="仿宋"/>
          <w:color w:val="auto"/>
          <w:sz w:val="28"/>
          <w:szCs w:val="28"/>
          <w:highlight w:val="none"/>
        </w:rPr>
      </w:pPr>
      <w:r>
        <w:rPr>
          <w:rFonts w:hint="eastAsia" w:ascii="宋体" w:hAnsi="宋体" w:cs="仿宋"/>
          <w:color w:val="auto"/>
          <w:sz w:val="28"/>
          <w:szCs w:val="28"/>
          <w:highlight w:val="none"/>
        </w:rPr>
        <w:t xml:space="preserve">            </w:t>
      </w:r>
    </w:p>
    <w:p w14:paraId="350B96A5">
      <w:pPr>
        <w:spacing w:line="480" w:lineRule="auto"/>
        <w:ind w:right="-161"/>
        <w:outlineLvl w:val="9"/>
        <w:rPr>
          <w:rFonts w:hint="eastAsia" w:ascii="宋体" w:hAnsi="宋体" w:cs="仿宋"/>
          <w:color w:val="auto"/>
          <w:sz w:val="28"/>
          <w:szCs w:val="28"/>
          <w:highlight w:val="none"/>
        </w:rPr>
      </w:pPr>
    </w:p>
    <w:p w14:paraId="5D1E28E9">
      <w:pPr>
        <w:spacing w:line="480" w:lineRule="auto"/>
        <w:ind w:right="-161"/>
        <w:outlineLvl w:val="9"/>
        <w:rPr>
          <w:rFonts w:hint="eastAsia" w:ascii="宋体" w:hAnsi="宋体" w:cs="仿宋"/>
          <w:color w:val="auto"/>
          <w:sz w:val="24"/>
          <w:highlight w:val="none"/>
          <w:u w:val="single"/>
        </w:rPr>
      </w:pPr>
      <w:r>
        <w:rPr>
          <w:rFonts w:hint="eastAsia" w:ascii="宋体" w:hAnsi="宋体" w:cs="仿宋"/>
          <w:color w:val="auto"/>
          <w:sz w:val="28"/>
          <w:szCs w:val="28"/>
          <w:highlight w:val="none"/>
        </w:rPr>
        <w:t xml:space="preserve">          </w:t>
      </w:r>
      <w:r>
        <w:rPr>
          <w:rFonts w:hint="eastAsia" w:ascii="宋体" w:hAnsi="宋体" w:cs="仿宋"/>
          <w:color w:val="auto"/>
          <w:sz w:val="24"/>
          <w:highlight w:val="none"/>
        </w:rPr>
        <w:t xml:space="preserve"> </w:t>
      </w:r>
    </w:p>
    <w:p w14:paraId="7D3CF205">
      <w:pPr>
        <w:spacing w:line="480" w:lineRule="auto"/>
        <w:ind w:right="-161"/>
        <w:outlineLvl w:val="9"/>
        <w:rPr>
          <w:rFonts w:hint="eastAsia"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供应商</w:t>
      </w:r>
      <w:r>
        <w:rPr>
          <w:rFonts w:hint="eastAsia" w:ascii="宋体" w:hAnsi="宋体" w:cs="仿宋"/>
          <w:color w:val="auto"/>
          <w:sz w:val="24"/>
          <w:highlight w:val="none"/>
          <w:lang w:val="en-US" w:eastAsia="zh-CN"/>
        </w:rPr>
        <w:t>全称</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（盖章）</w:t>
      </w:r>
    </w:p>
    <w:p w14:paraId="5A19D772">
      <w:pPr>
        <w:spacing w:line="480" w:lineRule="auto"/>
        <w:outlineLvl w:val="9"/>
        <w:rPr>
          <w:rFonts w:hint="eastAsia" w:ascii="宋体" w:hAnsi="宋体" w:cs="仿宋"/>
          <w:color w:val="auto"/>
          <w:sz w:val="24"/>
          <w:highlight w:val="none"/>
          <w:u w:val="none"/>
          <w:lang w:eastAsia="zh-CN"/>
        </w:rPr>
      </w:pPr>
      <w:r>
        <w:rPr>
          <w:rFonts w:hint="eastAsia" w:ascii="宋体" w:hAnsi="宋体" w:cs="仿宋"/>
          <w:color w:val="auto"/>
          <w:sz w:val="24"/>
          <w:highlight w:val="none"/>
        </w:rPr>
        <w:t xml:space="preserve">              法定代表人或被授权</w:t>
      </w:r>
      <w:r>
        <w:rPr>
          <w:rFonts w:hint="eastAsia" w:ascii="宋体" w:hAnsi="宋体" w:cs="仿宋"/>
          <w:color w:val="auto"/>
          <w:sz w:val="24"/>
          <w:highlight w:val="none"/>
          <w:lang w:val="en-US" w:eastAsia="zh-CN"/>
        </w:rPr>
        <w:t>人</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none"/>
          <w:lang w:eastAsia="zh-CN"/>
        </w:rPr>
        <w:t>（</w:t>
      </w:r>
      <w:r>
        <w:rPr>
          <w:rFonts w:hint="eastAsia" w:ascii="宋体" w:hAnsi="宋体" w:cs="仿宋"/>
          <w:color w:val="auto"/>
          <w:sz w:val="24"/>
          <w:highlight w:val="none"/>
          <w:u w:val="none"/>
        </w:rPr>
        <w:t>签字</w:t>
      </w:r>
      <w:r>
        <w:rPr>
          <w:rFonts w:hint="eastAsia" w:ascii="宋体" w:hAnsi="宋体" w:cs="仿宋"/>
          <w:color w:val="auto"/>
          <w:sz w:val="24"/>
          <w:highlight w:val="none"/>
          <w:lang w:val="en-US" w:eastAsia="zh-CN"/>
        </w:rPr>
        <w:t>或盖章</w:t>
      </w:r>
      <w:r>
        <w:rPr>
          <w:rFonts w:hint="eastAsia" w:ascii="宋体" w:hAnsi="宋体" w:cs="仿宋"/>
          <w:color w:val="auto"/>
          <w:sz w:val="24"/>
          <w:highlight w:val="none"/>
          <w:u w:val="none"/>
          <w:lang w:eastAsia="zh-CN"/>
        </w:rPr>
        <w:t>）</w:t>
      </w:r>
    </w:p>
    <w:p w14:paraId="3347FC59">
      <w:pPr>
        <w:spacing w:line="480" w:lineRule="auto"/>
        <w:ind w:firstLine="1680" w:firstLineChars="700"/>
        <w:outlineLvl w:val="9"/>
        <w:rPr>
          <w:rFonts w:hint="eastAsia" w:ascii="宋体" w:hAnsi="宋体" w:cs="仿宋"/>
          <w:color w:val="auto"/>
          <w:sz w:val="24"/>
          <w:highlight w:val="none"/>
        </w:rPr>
      </w:pPr>
      <w:r>
        <w:rPr>
          <w:rFonts w:hint="eastAsia" w:ascii="宋体" w:hAnsi="宋体" w:cs="仿宋"/>
          <w:color w:val="auto"/>
          <w:sz w:val="24"/>
          <w:highlight w:val="none"/>
        </w:rPr>
        <w:t>日</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期：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w:t>
      </w:r>
    </w:p>
    <w:p w14:paraId="4E3816A7">
      <w:pPr>
        <w:outlineLvl w:val="9"/>
        <w:rPr>
          <w:rFonts w:hint="eastAsia" w:ascii="宋体" w:hAnsi="宋体" w:cs="仿宋"/>
          <w:color w:val="auto"/>
          <w:sz w:val="28"/>
          <w:szCs w:val="28"/>
          <w:highlight w:val="none"/>
          <w:u w:val="single"/>
        </w:rPr>
      </w:pPr>
    </w:p>
    <w:bookmarkEnd w:id="1086"/>
    <w:bookmarkEnd w:id="1087"/>
    <w:bookmarkEnd w:id="1088"/>
    <w:bookmarkEnd w:id="1089"/>
    <w:bookmarkEnd w:id="1090"/>
    <w:bookmarkEnd w:id="1091"/>
    <w:bookmarkEnd w:id="1092"/>
    <w:bookmarkEnd w:id="1093"/>
    <w:bookmarkEnd w:id="1094"/>
    <w:p w14:paraId="18D3D655">
      <w:pPr>
        <w:spacing w:line="360" w:lineRule="auto"/>
        <w:outlineLvl w:val="9"/>
        <w:rPr>
          <w:rFonts w:hint="eastAsia" w:ascii="宋体" w:hAnsi="宋体" w:cs="仿宋"/>
          <w:color w:val="auto"/>
          <w:sz w:val="28"/>
          <w:szCs w:val="28"/>
          <w:highlight w:val="none"/>
        </w:rPr>
      </w:pPr>
      <w:bookmarkStart w:id="1095" w:name="_Toc323734129"/>
    </w:p>
    <w:p w14:paraId="7B0D5F80">
      <w:pPr>
        <w:spacing w:line="360" w:lineRule="auto"/>
        <w:outlineLvl w:val="9"/>
        <w:rPr>
          <w:rFonts w:hint="eastAsia" w:ascii="宋体" w:hAnsi="宋体" w:cs="仿宋"/>
          <w:color w:val="auto"/>
          <w:sz w:val="28"/>
          <w:szCs w:val="28"/>
          <w:highlight w:val="none"/>
        </w:rPr>
      </w:pPr>
    </w:p>
    <w:bookmarkEnd w:id="1095"/>
    <w:p w14:paraId="65932B10">
      <w:pPr>
        <w:numPr>
          <w:ilvl w:val="0"/>
          <w:numId w:val="0"/>
        </w:numPr>
        <w:spacing w:line="360" w:lineRule="auto"/>
        <w:jc w:val="center"/>
        <w:outlineLvl w:val="9"/>
        <w:rPr>
          <w:rFonts w:hint="eastAsia"/>
          <w:color w:val="auto"/>
          <w:highlight w:val="none"/>
        </w:rPr>
      </w:pPr>
      <w:r>
        <w:rPr>
          <w:rFonts w:hint="eastAsia" w:ascii="宋体" w:hAnsi="宋体" w:cs="仿宋"/>
          <w:b/>
          <w:color w:val="auto"/>
          <w:sz w:val="30"/>
          <w:szCs w:val="30"/>
          <w:highlight w:val="none"/>
          <w:lang w:val="en-US" w:eastAsia="zh-CN"/>
        </w:rPr>
        <w:t>五、</w:t>
      </w:r>
      <w:r>
        <w:rPr>
          <w:rFonts w:hint="eastAsia" w:ascii="宋体" w:hAnsi="宋体" w:cs="仿宋"/>
          <w:b/>
          <w:color w:val="auto"/>
          <w:sz w:val="30"/>
          <w:szCs w:val="30"/>
          <w:highlight w:val="none"/>
        </w:rPr>
        <w:t>资格审查资料</w:t>
      </w:r>
    </w:p>
    <w:p w14:paraId="1CD6E4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（1）具有独立承担民事责任能力的法人、其他组织或自然人，提供合法有效年报合格的统一社会信用代码营业执照或事业单位法人证书等国家规定的相关证明，自然人参与的提供其身份证明；</w:t>
      </w:r>
    </w:p>
    <w:p w14:paraId="4C6A68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（2）提供法定代表人授权委托书原件（附法定代表人、被授权人身份证复印件）及被授权人身份证原件（法定代表人参会只须提供其身份证原件）； </w:t>
      </w:r>
    </w:p>
    <w:p w14:paraId="75F8A60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sz w:val="24"/>
          <w:szCs w:val="24"/>
          <w:highlight w:val="none"/>
          <w:lang w:val="en-US" w:eastAsia="zh-CN"/>
        </w:rPr>
        <w:t xml:space="preserve">须具备水利水电工程施工总承包三级及以上资质； </w:t>
      </w:r>
    </w:p>
    <w:p w14:paraId="0D96281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val="0"/>
          <w:bCs w:val="0"/>
          <w:sz w:val="24"/>
          <w:szCs w:val="24"/>
          <w:highlight w:val="none"/>
          <w:lang w:val="en-US" w:eastAsia="zh-CN"/>
        </w:rPr>
        <w:t>须具有建设行政主管部门核发有效的安全生产许可证；</w:t>
      </w:r>
    </w:p>
    <w:p w14:paraId="2C9F9B9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lang w:val="en-US" w:eastAsia="zh-CN"/>
        </w:rPr>
        <w:t>（5）拟派项目经理须具备水利水电工程注册建造师二级及以上资格和有效的安全生产考核证书，须提供项目经理无在建工程的相关证明材料或承诺书</w:t>
      </w:r>
      <w:r>
        <w:rPr>
          <w:rFonts w:hint="eastAsia" w:ascii="宋体" w:hAnsi="宋体" w:eastAsia="宋体" w:cs="宋体"/>
          <w:b w:val="0"/>
          <w:bCs w:val="0"/>
          <w:sz w:val="24"/>
          <w:szCs w:val="24"/>
          <w:highlight w:val="none"/>
          <w:lang w:val="en-US" w:eastAsia="zh-CN"/>
        </w:rPr>
        <w:t>；</w:t>
      </w:r>
    </w:p>
    <w:p w14:paraId="323E33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ascii="宋体" w:hAnsi="宋体" w:eastAsia="宋体" w:cs="宋体"/>
          <w:sz w:val="24"/>
          <w:szCs w:val="24"/>
        </w:rPr>
        <w:t>须提供</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w:t>
      </w:r>
      <w:r>
        <w:rPr>
          <w:rFonts w:hint="eastAsia" w:ascii="宋体" w:hAnsi="宋体" w:cs="宋体"/>
          <w:sz w:val="24"/>
          <w:szCs w:val="24"/>
          <w:lang w:val="en-US" w:eastAsia="zh-CN"/>
        </w:rPr>
        <w:t>至今任意一年</w:t>
      </w:r>
      <w:r>
        <w:rPr>
          <w:rFonts w:ascii="宋体" w:hAnsi="宋体" w:eastAsia="宋体" w:cs="宋体"/>
          <w:sz w:val="24"/>
          <w:szCs w:val="24"/>
        </w:rPr>
        <w:t>经审计的财务报告（成立时间至提交</w:t>
      </w:r>
      <w:r>
        <w:rPr>
          <w:rFonts w:hint="eastAsia" w:cs="宋体"/>
          <w:sz w:val="24"/>
          <w:szCs w:val="24"/>
          <w:lang w:val="en-US" w:eastAsia="zh-CN"/>
        </w:rPr>
        <w:t>磋商</w:t>
      </w:r>
      <w:r>
        <w:rPr>
          <w:rFonts w:hint="eastAsia" w:eastAsia="宋体" w:cs="宋体"/>
          <w:sz w:val="24"/>
          <w:szCs w:val="24"/>
          <w:lang w:val="en-US" w:eastAsia="zh-CN"/>
        </w:rPr>
        <w:t>响应文件</w:t>
      </w:r>
      <w:r>
        <w:rPr>
          <w:rFonts w:ascii="宋体" w:hAnsi="宋体" w:eastAsia="宋体" w:cs="宋体"/>
          <w:sz w:val="24"/>
          <w:szCs w:val="24"/>
        </w:rPr>
        <w:t>截止时间不足一年的可提供成立后任意时段的财务报表）</w:t>
      </w:r>
      <w:r>
        <w:rPr>
          <w:rFonts w:hint="eastAsia" w:ascii="宋体" w:hAnsi="宋体" w:eastAsia="宋体" w:cs="宋体"/>
          <w:color w:val="auto"/>
          <w:sz w:val="24"/>
          <w:szCs w:val="24"/>
          <w:highlight w:val="none"/>
          <w:lang w:eastAsia="zh-CN"/>
        </w:rPr>
        <w:t xml:space="preserve">； </w:t>
      </w:r>
    </w:p>
    <w:p w14:paraId="0F745B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）须提供依法缴纳税收的良好记录（提供磋商响应文件递交截止时间前六个月内任意一个月份的缴纳凭据复印件并加盖单位公章。依法免税或开标前一年内零申报的供应商应提供相关证明文件）；</w:t>
      </w:r>
    </w:p>
    <w:p w14:paraId="77B75D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）须提供依法缴纳社会保障资金的良好记录（提供磋商响应文件递交截止时间前六个月内任意一个月份的缴纳凭据复印件并加盖单位公章。依法不需要缴纳社会保障资金的供应商应提供相关证明文件）； </w:t>
      </w:r>
    </w:p>
    <w:p w14:paraId="386096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投标截止日前不得为“信用中国”网站（www.creditchina.gov.cn）中列入失信被执行人、重大税收违法失信主体和政府采购严重违法失信行为记录名单的供应商；不得为“中国政府采购网”（www.ccgp.gov.cn）政府采购严重违法失信行为信息记录</w:t>
      </w:r>
      <w:r>
        <w:rPr>
          <w:rFonts w:hint="eastAsia" w:ascii="宋体" w:hAnsi="宋体" w:cs="宋体"/>
          <w:color w:val="auto"/>
          <w:sz w:val="24"/>
          <w:szCs w:val="24"/>
          <w:highlight w:val="none"/>
          <w:lang w:val="en-US" w:eastAsia="zh-CN"/>
        </w:rPr>
        <w:t>名单</w:t>
      </w:r>
      <w:r>
        <w:rPr>
          <w:rFonts w:hint="eastAsia" w:ascii="宋体" w:hAnsi="宋体" w:eastAsia="宋体" w:cs="宋体"/>
          <w:color w:val="auto"/>
          <w:sz w:val="24"/>
          <w:szCs w:val="24"/>
          <w:highlight w:val="none"/>
          <w:lang w:val="en-US" w:eastAsia="zh-CN"/>
        </w:rPr>
        <w:t>中被财政部门禁止参加政府采购活动的供应商（最终以采购代理机构评审现场查询结果为准）；</w:t>
      </w:r>
    </w:p>
    <w:p w14:paraId="3C658F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磋商保证金</w:t>
      </w:r>
      <w:r>
        <w:rPr>
          <w:rFonts w:hint="eastAsia" w:ascii="宋体" w:hAnsi="宋体" w:eastAsia="宋体" w:cs="宋体"/>
          <w:color w:val="auto"/>
          <w:sz w:val="24"/>
          <w:szCs w:val="24"/>
          <w:highlight w:val="none"/>
        </w:rPr>
        <w:t>银行转账凭证</w:t>
      </w:r>
      <w:r>
        <w:rPr>
          <w:rFonts w:hint="eastAsia" w:ascii="宋体" w:hAnsi="宋体" w:eastAsia="宋体" w:cs="宋体"/>
          <w:b w:val="0"/>
          <w:bCs w:val="0"/>
          <w:sz w:val="24"/>
          <w:szCs w:val="24"/>
          <w:highlight w:val="none"/>
          <w:lang w:val="en-US" w:eastAsia="zh-CN" w:bidi="ar-SA"/>
        </w:rPr>
        <w:t>及基本存款账户信息</w:t>
      </w:r>
      <w:r>
        <w:rPr>
          <w:rFonts w:hint="eastAsia" w:ascii="宋体" w:hAnsi="宋体" w:eastAsia="宋体" w:cs="宋体"/>
          <w:color w:val="auto"/>
          <w:sz w:val="24"/>
          <w:szCs w:val="24"/>
          <w:highlight w:val="none"/>
        </w:rPr>
        <w:t>复印件或</w:t>
      </w:r>
      <w:r>
        <w:rPr>
          <w:rFonts w:hint="eastAsia" w:ascii="宋体" w:hAnsi="宋体" w:eastAsia="宋体" w:cs="宋体"/>
          <w:color w:val="auto"/>
          <w:sz w:val="24"/>
          <w:szCs w:val="24"/>
          <w:highlight w:val="none"/>
          <w:lang w:val="en-US" w:eastAsia="zh-CN"/>
        </w:rPr>
        <w:t>金融机构、担保机构</w:t>
      </w:r>
      <w:r>
        <w:rPr>
          <w:rFonts w:hint="eastAsia" w:ascii="宋体" w:hAnsi="宋体" w:eastAsia="宋体" w:cs="宋体"/>
          <w:color w:val="auto"/>
          <w:sz w:val="24"/>
          <w:szCs w:val="24"/>
          <w:highlight w:val="none"/>
        </w:rPr>
        <w:t>出具的保函</w:t>
      </w:r>
      <w:r>
        <w:rPr>
          <w:rFonts w:hint="eastAsia" w:ascii="宋体" w:hAnsi="宋体" w:eastAsia="宋体" w:cs="宋体"/>
          <w:color w:val="auto"/>
          <w:sz w:val="24"/>
          <w:szCs w:val="24"/>
          <w:highlight w:val="none"/>
          <w:lang w:eastAsia="zh-CN"/>
        </w:rPr>
        <w:t>复印件，</w:t>
      </w:r>
      <w:r>
        <w:rPr>
          <w:rFonts w:hint="eastAsia" w:ascii="宋体" w:hAnsi="宋体" w:eastAsia="宋体" w:cs="宋体"/>
          <w:color w:val="auto"/>
          <w:sz w:val="24"/>
          <w:szCs w:val="24"/>
          <w:highlight w:val="none"/>
          <w:lang w:val="en-US" w:eastAsia="zh-CN"/>
        </w:rPr>
        <w:t>复印件均须加盖公章</w:t>
      </w:r>
      <w:r>
        <w:rPr>
          <w:rFonts w:hint="eastAsia" w:ascii="宋体" w:hAnsi="宋体" w:eastAsia="宋体" w:cs="宋体"/>
          <w:color w:val="auto"/>
          <w:sz w:val="24"/>
          <w:szCs w:val="24"/>
          <w:highlight w:val="none"/>
        </w:rPr>
        <w:t xml:space="preserve">； </w:t>
      </w:r>
    </w:p>
    <w:p w14:paraId="5916BC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）提供近三年内在经营活动中无重大违法记录的书面声明；</w:t>
      </w:r>
      <w:r>
        <w:rPr>
          <w:rFonts w:hint="eastAsia" w:ascii="宋体" w:hAnsi="宋体" w:eastAsia="宋体" w:cs="宋体"/>
          <w:color w:val="auto"/>
          <w:sz w:val="24"/>
          <w:szCs w:val="24"/>
          <w:highlight w:val="none"/>
        </w:rPr>
        <w:t xml:space="preserve"> </w:t>
      </w:r>
    </w:p>
    <w:p w14:paraId="68E4A1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）提供单位负责人为同一人或者存在直接控股、管理关系的不同供应商，不得参加同一合同项下的政府采购活动的书面声明； </w:t>
      </w:r>
      <w:r>
        <w:rPr>
          <w:rFonts w:hint="eastAsia" w:ascii="宋体" w:hAnsi="宋体" w:eastAsia="宋体" w:cs="宋体"/>
          <w:color w:val="auto"/>
          <w:sz w:val="24"/>
          <w:szCs w:val="24"/>
          <w:highlight w:val="none"/>
        </w:rPr>
        <w:t xml:space="preserve"> </w:t>
      </w:r>
    </w:p>
    <w:p w14:paraId="405A6D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提供具有履行本合同所必需的设备和专业技术能力的说明及承诺</w:t>
      </w:r>
      <w:r>
        <w:rPr>
          <w:rFonts w:hint="eastAsia" w:ascii="宋体" w:hAnsi="宋体" w:eastAsia="宋体" w:cs="宋体"/>
          <w:color w:val="auto"/>
          <w:sz w:val="24"/>
          <w:szCs w:val="24"/>
          <w:highlight w:val="none"/>
          <w:lang w:eastAsia="zh-CN"/>
        </w:rPr>
        <w:t>；</w:t>
      </w:r>
    </w:p>
    <w:p w14:paraId="6C5E142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val="en-US" w:eastAsia="zh-CN"/>
        </w:rPr>
        <w:t>本项目专门面向中小企业采购，供应商须提供《中小企业声明函》</w:t>
      </w:r>
      <w:r>
        <w:rPr>
          <w:rFonts w:hint="eastAsia" w:ascii="宋体" w:hAnsi="宋体" w:eastAsia="宋体" w:cs="宋体"/>
          <w:i w:val="0"/>
          <w:iCs w:val="0"/>
          <w:caps w:val="0"/>
          <w:color w:val="auto"/>
          <w:spacing w:val="0"/>
          <w:sz w:val="24"/>
          <w:szCs w:val="24"/>
          <w:shd w:val="clear" w:fill="FFFFFF"/>
          <w:lang w:eastAsia="zh-CN"/>
        </w:rPr>
        <w:t>。</w:t>
      </w:r>
    </w:p>
    <w:p w14:paraId="675133CD">
      <w:pPr>
        <w:keepNext w:val="0"/>
        <w:keepLines w:val="0"/>
        <w:pageBreakBefore w:val="0"/>
        <w:kinsoku/>
        <w:wordWrap/>
        <w:overflowPunct/>
        <w:topLinePunct w:val="0"/>
        <w:autoSpaceDE w:val="0"/>
        <w:autoSpaceDN/>
        <w:bidi w:val="0"/>
        <w:adjustRightInd/>
        <w:snapToGrid/>
        <w:spacing w:line="440" w:lineRule="exact"/>
        <w:ind w:left="-67" w:leftChars="-32" w:firstLine="588" w:firstLineChars="245"/>
        <w:textAlignment w:val="auto"/>
        <w:outlineLvl w:val="9"/>
        <w:rPr>
          <w:rFonts w:hint="eastAsia" w:ascii="宋体" w:hAnsi="宋体"/>
          <w:b/>
          <w:bCs/>
          <w:color w:val="auto"/>
          <w:sz w:val="24"/>
          <w:highlight w:val="none"/>
        </w:rPr>
      </w:pPr>
      <w:r>
        <w:rPr>
          <w:rFonts w:hint="eastAsia" w:ascii="宋体" w:hAnsi="宋体"/>
          <w:b/>
          <w:bCs/>
          <w:color w:val="auto"/>
          <w:sz w:val="24"/>
          <w:highlight w:val="none"/>
        </w:rPr>
        <w:t>注：磋商</w:t>
      </w:r>
      <w:r>
        <w:rPr>
          <w:rFonts w:hint="eastAsia" w:ascii="宋体" w:hAnsi="宋体"/>
          <w:b/>
          <w:bCs/>
          <w:color w:val="auto"/>
          <w:sz w:val="24"/>
          <w:highlight w:val="none"/>
          <w:lang w:eastAsia="zh-CN"/>
        </w:rPr>
        <w:t>响应</w:t>
      </w:r>
      <w:r>
        <w:rPr>
          <w:rFonts w:hint="eastAsia" w:ascii="宋体" w:hAnsi="宋体"/>
          <w:b/>
          <w:bCs/>
          <w:color w:val="auto"/>
          <w:sz w:val="24"/>
          <w:highlight w:val="none"/>
        </w:rPr>
        <w:t>文件中附以上</w:t>
      </w:r>
      <w:r>
        <w:rPr>
          <w:rFonts w:hint="eastAsia" w:ascii="宋体" w:hAnsi="宋体"/>
          <w:b/>
          <w:bCs/>
          <w:color w:val="auto"/>
          <w:sz w:val="24"/>
          <w:highlight w:val="none"/>
          <w:lang w:val="en-US" w:eastAsia="zh-CN"/>
        </w:rPr>
        <w:t>资料</w:t>
      </w:r>
      <w:r>
        <w:rPr>
          <w:rFonts w:hint="eastAsia" w:ascii="宋体" w:hAnsi="宋体"/>
          <w:b/>
          <w:bCs/>
          <w:color w:val="auto"/>
          <w:sz w:val="24"/>
          <w:highlight w:val="none"/>
        </w:rPr>
        <w:t>的复印件（或扫描件）并加盖</w:t>
      </w:r>
      <w:r>
        <w:rPr>
          <w:rFonts w:hint="eastAsia" w:ascii="宋体" w:hAnsi="宋体"/>
          <w:b/>
          <w:bCs/>
          <w:color w:val="auto"/>
          <w:sz w:val="24"/>
          <w:highlight w:val="none"/>
          <w:lang w:eastAsia="zh-CN"/>
        </w:rPr>
        <w:t>公</w:t>
      </w:r>
      <w:r>
        <w:rPr>
          <w:rFonts w:hint="eastAsia" w:ascii="宋体" w:hAnsi="宋体"/>
          <w:b/>
          <w:bCs/>
          <w:color w:val="auto"/>
          <w:sz w:val="24"/>
          <w:highlight w:val="none"/>
        </w:rPr>
        <w:t>章。</w:t>
      </w:r>
    </w:p>
    <w:p w14:paraId="7577E61B">
      <w:pPr>
        <w:pStyle w:val="16"/>
        <w:outlineLvl w:val="9"/>
        <w:rPr>
          <w:color w:val="auto"/>
        </w:rPr>
      </w:pPr>
    </w:p>
    <w:p w14:paraId="17804506">
      <w:pPr>
        <w:spacing w:line="360" w:lineRule="auto"/>
        <w:jc w:val="left"/>
        <w:outlineLvl w:val="9"/>
        <w:rPr>
          <w:rFonts w:hint="eastAsia" w:ascii="宋体" w:hAnsi="宋体"/>
          <w:b/>
          <w:bCs/>
          <w:color w:val="auto"/>
          <w:kern w:val="2"/>
          <w:sz w:val="32"/>
          <w:szCs w:val="32"/>
          <w:highlight w:val="none"/>
          <w:lang w:val="en-US" w:eastAsia="zh-CN" w:bidi="ar-SA"/>
        </w:rPr>
      </w:pPr>
      <w:r>
        <w:rPr>
          <w:rFonts w:hint="eastAsia" w:ascii="宋体" w:hAnsi="宋体"/>
          <w:b w:val="0"/>
          <w:bCs w:val="0"/>
          <w:color w:val="auto"/>
          <w:kern w:val="2"/>
          <w:sz w:val="32"/>
          <w:szCs w:val="32"/>
          <w:highlight w:val="none"/>
          <w:lang w:val="en-US" w:eastAsia="zh-CN" w:bidi="ar-SA"/>
        </w:rPr>
        <w:t>格式1：</w:t>
      </w:r>
    </w:p>
    <w:p w14:paraId="4967B456">
      <w:pPr>
        <w:spacing w:line="360" w:lineRule="auto"/>
        <w:jc w:val="center"/>
        <w:outlineLvl w:val="9"/>
        <w:rPr>
          <w:rFonts w:hint="eastAsia" w:ascii="宋体" w:hAnsi="宋体"/>
          <w:b/>
          <w:bCs/>
          <w:color w:val="auto"/>
          <w:kern w:val="2"/>
          <w:sz w:val="32"/>
          <w:szCs w:val="32"/>
          <w:highlight w:val="none"/>
          <w:lang w:val="en-US" w:eastAsia="zh-CN" w:bidi="ar-SA"/>
        </w:rPr>
      </w:pPr>
      <w:r>
        <w:rPr>
          <w:rFonts w:hint="eastAsia" w:ascii="宋体" w:hAnsi="宋体"/>
          <w:b/>
          <w:bCs/>
          <w:color w:val="auto"/>
          <w:kern w:val="2"/>
          <w:sz w:val="32"/>
          <w:szCs w:val="32"/>
          <w:highlight w:val="none"/>
          <w:lang w:val="en-US" w:eastAsia="zh-CN" w:bidi="ar-SA"/>
        </w:rPr>
        <w:t>近三年内在经营活动中无重大违法记录的书面声明</w:t>
      </w:r>
    </w:p>
    <w:p w14:paraId="1E67CB0D">
      <w:pPr>
        <w:outlineLvl w:val="9"/>
        <w:rPr>
          <w:rFonts w:hint="eastAsia"/>
          <w:color w:val="auto"/>
          <w:highlight w:val="none"/>
        </w:rPr>
      </w:pPr>
    </w:p>
    <w:p w14:paraId="587FDB26">
      <w:pPr>
        <w:spacing w:line="360" w:lineRule="auto"/>
        <w:outlineLvl w:val="9"/>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（采购人名称）：</w:t>
      </w:r>
    </w:p>
    <w:p w14:paraId="19E2512D">
      <w:pPr>
        <w:widowControl/>
        <w:spacing w:line="700" w:lineRule="exact"/>
        <w:ind w:firstLine="480"/>
        <w:jc w:val="left"/>
        <w:outlineLvl w:val="9"/>
        <w:rPr>
          <w:rFonts w:hint="eastAsia" w:ascii="宋体" w:hAnsi="宋体"/>
          <w:color w:val="auto"/>
          <w:sz w:val="24"/>
          <w:highlight w:val="none"/>
        </w:rPr>
      </w:pPr>
      <w:r>
        <w:rPr>
          <w:rFonts w:hint="eastAsia" w:ascii="宋体" w:hAnsi="宋体"/>
          <w:color w:val="auto"/>
          <w:sz w:val="24"/>
          <w:highlight w:val="none"/>
        </w:rPr>
        <w:t>我方参加贵单位</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项目名称</w:t>
      </w:r>
      <w:r>
        <w:rPr>
          <w:rFonts w:hint="eastAsia" w:ascii="宋体" w:hAnsi="宋体"/>
          <w:color w:val="auto"/>
          <w:sz w:val="24"/>
          <w:highlight w:val="none"/>
        </w:rPr>
        <w:t>）投标的申请，现我方向你方慎重承诺：</w:t>
      </w:r>
    </w:p>
    <w:p w14:paraId="13C4A7D7">
      <w:pPr>
        <w:widowControl/>
        <w:spacing w:line="700" w:lineRule="exact"/>
        <w:ind w:firstLine="480"/>
        <w:jc w:val="left"/>
        <w:outlineLvl w:val="9"/>
        <w:rPr>
          <w:rFonts w:hint="eastAsia" w:ascii="宋体" w:hAnsi="宋体"/>
          <w:color w:val="auto"/>
          <w:sz w:val="24"/>
          <w:highlight w:val="none"/>
        </w:rPr>
      </w:pPr>
      <w:r>
        <w:rPr>
          <w:rFonts w:hint="eastAsia" w:ascii="宋体" w:hAnsi="宋体"/>
          <w:color w:val="auto"/>
          <w:sz w:val="24"/>
          <w:highlight w:val="none"/>
        </w:rPr>
        <w:t>近三年公司企业财务和经营状况良好，具备履行合同能力，无不良经营行为，无重大违法记录，未处于被责令停业、投标资格被取消或者财产被接管、冻结和破产状态，无因</w:t>
      </w:r>
      <w:r>
        <w:rPr>
          <w:rFonts w:hint="eastAsia" w:ascii="宋体" w:hAnsi="宋体"/>
          <w:color w:val="auto"/>
          <w:sz w:val="24"/>
          <w:highlight w:val="none"/>
          <w:lang w:val="en-US" w:eastAsia="zh-CN"/>
        </w:rPr>
        <w:t>供应商</w:t>
      </w:r>
      <w:r>
        <w:rPr>
          <w:rFonts w:hint="eastAsia" w:ascii="宋体" w:hAnsi="宋体"/>
          <w:color w:val="auto"/>
          <w:sz w:val="24"/>
          <w:highlight w:val="none"/>
        </w:rPr>
        <w:t>违约或不恰当履约引起的合同争议纠纷及仲裁和诉讼记录。如果我方经本工程</w:t>
      </w:r>
      <w:r>
        <w:rPr>
          <w:rFonts w:hint="eastAsia" w:ascii="宋体" w:hAnsi="宋体"/>
          <w:color w:val="auto"/>
          <w:sz w:val="24"/>
          <w:highlight w:val="none"/>
          <w:lang w:eastAsia="zh-CN"/>
        </w:rPr>
        <w:t>磋商小组</w:t>
      </w:r>
      <w:r>
        <w:rPr>
          <w:rFonts w:hint="eastAsia" w:ascii="宋体" w:hAnsi="宋体"/>
          <w:color w:val="auto"/>
          <w:sz w:val="24"/>
          <w:highlight w:val="none"/>
        </w:rPr>
        <w:t>评定为第一成交候选</w:t>
      </w:r>
      <w:r>
        <w:rPr>
          <w:rFonts w:hint="eastAsia" w:ascii="宋体" w:hAnsi="宋体"/>
          <w:color w:val="auto"/>
          <w:sz w:val="24"/>
          <w:highlight w:val="none"/>
          <w:lang w:val="en-US" w:eastAsia="zh-CN"/>
        </w:rPr>
        <w:t>供应商</w:t>
      </w:r>
      <w:r>
        <w:rPr>
          <w:rFonts w:hint="eastAsia" w:ascii="宋体" w:hAnsi="宋体"/>
          <w:color w:val="auto"/>
          <w:sz w:val="24"/>
          <w:highlight w:val="none"/>
        </w:rPr>
        <w:t>，在公示期间被他人举报并经招标投标监管机构核实，确认存在上述不良记录，你方即可取消我方第一成交候选</w:t>
      </w:r>
      <w:r>
        <w:rPr>
          <w:rFonts w:hint="eastAsia" w:ascii="宋体" w:hAnsi="宋体"/>
          <w:color w:val="auto"/>
          <w:sz w:val="24"/>
          <w:highlight w:val="none"/>
          <w:lang w:val="en-US" w:eastAsia="zh-CN"/>
        </w:rPr>
        <w:t>供应商</w:t>
      </w:r>
      <w:r>
        <w:rPr>
          <w:rFonts w:hint="eastAsia" w:ascii="宋体" w:hAnsi="宋体"/>
          <w:color w:val="auto"/>
          <w:sz w:val="24"/>
          <w:highlight w:val="none"/>
        </w:rPr>
        <w:t>资格，并同意</w:t>
      </w:r>
      <w:r>
        <w:rPr>
          <w:rFonts w:hint="eastAsia" w:ascii="宋体" w:hAnsi="宋体"/>
          <w:color w:val="auto"/>
          <w:sz w:val="24"/>
          <w:highlight w:val="none"/>
          <w:lang w:eastAsia="zh-CN"/>
        </w:rPr>
        <w:t>磋商保证金</w:t>
      </w:r>
      <w:r>
        <w:rPr>
          <w:rFonts w:hint="eastAsia" w:ascii="宋体" w:hAnsi="宋体"/>
          <w:color w:val="auto"/>
          <w:sz w:val="24"/>
          <w:highlight w:val="none"/>
        </w:rPr>
        <w:t>不予退还。</w:t>
      </w:r>
    </w:p>
    <w:p w14:paraId="56853CA4">
      <w:pPr>
        <w:spacing w:line="360" w:lineRule="auto"/>
        <w:ind w:firstLine="480"/>
        <w:outlineLvl w:val="9"/>
        <w:rPr>
          <w:rFonts w:hint="eastAsia" w:ascii="宋体" w:hAnsi="宋体"/>
          <w:color w:val="auto"/>
          <w:sz w:val="24"/>
          <w:highlight w:val="none"/>
        </w:rPr>
      </w:pPr>
    </w:p>
    <w:p w14:paraId="71948180">
      <w:pPr>
        <w:spacing w:line="360" w:lineRule="auto"/>
        <w:ind w:firstLine="480"/>
        <w:outlineLvl w:val="9"/>
        <w:rPr>
          <w:rFonts w:hint="eastAsia" w:ascii="宋体" w:hAnsi="宋体"/>
          <w:color w:val="auto"/>
          <w:sz w:val="24"/>
          <w:highlight w:val="none"/>
        </w:rPr>
      </w:pPr>
    </w:p>
    <w:p w14:paraId="11BFB20F">
      <w:pPr>
        <w:spacing w:line="360" w:lineRule="auto"/>
        <w:ind w:firstLine="480"/>
        <w:outlineLvl w:val="9"/>
        <w:rPr>
          <w:rFonts w:hint="eastAsia" w:ascii="宋体" w:hAnsi="宋体"/>
          <w:color w:val="auto"/>
          <w:sz w:val="24"/>
          <w:highlight w:val="none"/>
        </w:rPr>
      </w:pPr>
    </w:p>
    <w:p w14:paraId="3CF56720">
      <w:pPr>
        <w:spacing w:line="480" w:lineRule="auto"/>
        <w:ind w:right="-161"/>
        <w:outlineLvl w:val="9"/>
        <w:rPr>
          <w:rFonts w:hint="eastAsia" w:ascii="宋体" w:hAnsi="宋体" w:cs="仿宋"/>
          <w:color w:val="auto"/>
          <w:sz w:val="24"/>
          <w:highlight w:val="none"/>
        </w:rPr>
      </w:pPr>
      <w:r>
        <w:rPr>
          <w:rFonts w:hint="eastAsia" w:ascii="宋体" w:hAnsi="宋体"/>
          <w:color w:val="auto"/>
          <w:sz w:val="24"/>
          <w:highlight w:val="none"/>
        </w:rPr>
        <w:t xml:space="preserve">              </w:t>
      </w:r>
      <w:r>
        <w:rPr>
          <w:rFonts w:hint="eastAsia" w:ascii="宋体" w:hAnsi="宋体" w:cs="仿宋"/>
          <w:color w:val="auto"/>
          <w:sz w:val="24"/>
          <w:highlight w:val="none"/>
        </w:rPr>
        <w:t>供应商</w:t>
      </w:r>
      <w:r>
        <w:rPr>
          <w:rFonts w:hint="eastAsia" w:ascii="宋体" w:hAnsi="宋体" w:cs="仿宋"/>
          <w:color w:val="auto"/>
          <w:sz w:val="24"/>
          <w:highlight w:val="none"/>
          <w:lang w:val="en-US" w:eastAsia="zh-CN"/>
        </w:rPr>
        <w:t>全称</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（盖章）</w:t>
      </w:r>
    </w:p>
    <w:p w14:paraId="3A243893">
      <w:pPr>
        <w:spacing w:line="480" w:lineRule="auto"/>
        <w:outlineLvl w:val="9"/>
        <w:rPr>
          <w:rFonts w:hint="eastAsia" w:ascii="宋体" w:hAnsi="宋体" w:cs="仿宋"/>
          <w:color w:val="auto"/>
          <w:sz w:val="24"/>
          <w:highlight w:val="none"/>
          <w:u w:val="none"/>
          <w:lang w:eastAsia="zh-CN"/>
        </w:rPr>
      </w:pPr>
      <w:r>
        <w:rPr>
          <w:rFonts w:hint="eastAsia" w:ascii="宋体" w:hAnsi="宋体" w:cs="仿宋"/>
          <w:color w:val="auto"/>
          <w:sz w:val="24"/>
          <w:highlight w:val="none"/>
        </w:rPr>
        <w:t xml:space="preserve">              法定代表人或被授权</w:t>
      </w:r>
      <w:r>
        <w:rPr>
          <w:rFonts w:hint="eastAsia" w:ascii="宋体" w:hAnsi="宋体" w:cs="仿宋"/>
          <w:color w:val="auto"/>
          <w:sz w:val="24"/>
          <w:highlight w:val="none"/>
          <w:lang w:val="en-US" w:eastAsia="zh-CN"/>
        </w:rPr>
        <w:t>人</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none"/>
          <w:lang w:eastAsia="zh-CN"/>
        </w:rPr>
        <w:t>（</w:t>
      </w:r>
      <w:r>
        <w:rPr>
          <w:rFonts w:hint="eastAsia" w:ascii="宋体" w:hAnsi="宋体" w:cs="仿宋"/>
          <w:color w:val="auto"/>
          <w:sz w:val="24"/>
          <w:highlight w:val="none"/>
          <w:u w:val="none"/>
        </w:rPr>
        <w:t>签字</w:t>
      </w:r>
      <w:r>
        <w:rPr>
          <w:rFonts w:hint="eastAsia" w:ascii="宋体" w:hAnsi="宋体" w:cs="仿宋"/>
          <w:color w:val="auto"/>
          <w:sz w:val="24"/>
          <w:highlight w:val="none"/>
          <w:lang w:val="en-US" w:eastAsia="zh-CN"/>
        </w:rPr>
        <w:t>或盖章</w:t>
      </w:r>
      <w:r>
        <w:rPr>
          <w:rFonts w:hint="eastAsia" w:ascii="宋体" w:hAnsi="宋体" w:cs="仿宋"/>
          <w:color w:val="auto"/>
          <w:sz w:val="24"/>
          <w:highlight w:val="none"/>
          <w:u w:val="none"/>
          <w:lang w:eastAsia="zh-CN"/>
        </w:rPr>
        <w:t>）</w:t>
      </w:r>
    </w:p>
    <w:p w14:paraId="1BF4FDC6">
      <w:pPr>
        <w:spacing w:line="480" w:lineRule="auto"/>
        <w:ind w:firstLine="1680" w:firstLineChars="700"/>
        <w:outlineLvl w:val="9"/>
        <w:rPr>
          <w:rFonts w:hint="eastAsia" w:ascii="宋体" w:hAnsi="宋体" w:cs="仿宋"/>
          <w:color w:val="auto"/>
          <w:sz w:val="24"/>
          <w:highlight w:val="none"/>
        </w:rPr>
      </w:pPr>
      <w:r>
        <w:rPr>
          <w:rFonts w:hint="eastAsia" w:ascii="宋体" w:hAnsi="宋体" w:cs="仿宋"/>
          <w:color w:val="auto"/>
          <w:sz w:val="24"/>
          <w:highlight w:val="none"/>
        </w:rPr>
        <w:t>日</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期：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w:t>
      </w:r>
    </w:p>
    <w:p w14:paraId="36787F40">
      <w:pPr>
        <w:spacing w:line="360" w:lineRule="auto"/>
        <w:ind w:firstLine="480"/>
        <w:outlineLvl w:val="9"/>
        <w:rPr>
          <w:rFonts w:hint="eastAsia" w:ascii="宋体" w:hAnsi="宋体"/>
          <w:color w:val="auto"/>
          <w:sz w:val="24"/>
          <w:highlight w:val="none"/>
        </w:rPr>
      </w:pPr>
    </w:p>
    <w:p w14:paraId="5D205898">
      <w:pPr>
        <w:outlineLvl w:val="9"/>
        <w:rPr>
          <w:rFonts w:hint="eastAsia"/>
          <w:color w:val="auto"/>
          <w:kern w:val="1"/>
          <w:sz w:val="36"/>
          <w:szCs w:val="36"/>
          <w:highlight w:val="none"/>
        </w:rPr>
      </w:pPr>
    </w:p>
    <w:p w14:paraId="75E51948">
      <w:pPr>
        <w:pStyle w:val="11"/>
        <w:outlineLvl w:val="9"/>
        <w:rPr>
          <w:rFonts w:hint="eastAsia" w:ascii="宋体" w:hAnsi="宋体" w:eastAsia="宋体" w:cs="宋体"/>
          <w:b w:val="0"/>
          <w:bCs/>
          <w:color w:val="auto"/>
          <w:highlight w:val="none"/>
        </w:rPr>
      </w:pPr>
    </w:p>
    <w:p w14:paraId="56BD87C4">
      <w:pPr>
        <w:pStyle w:val="11"/>
        <w:outlineLvl w:val="9"/>
        <w:rPr>
          <w:rFonts w:hint="eastAsia" w:ascii="宋体" w:hAnsi="宋体" w:eastAsia="宋体" w:cs="宋体"/>
          <w:b w:val="0"/>
          <w:bCs/>
          <w:color w:val="auto"/>
          <w:highlight w:val="none"/>
        </w:rPr>
      </w:pPr>
    </w:p>
    <w:p w14:paraId="77BCF7B9">
      <w:pPr>
        <w:pStyle w:val="20"/>
        <w:outlineLvl w:val="9"/>
        <w:rPr>
          <w:rFonts w:hint="eastAsia" w:ascii="宋体" w:hAnsi="宋体" w:eastAsia="宋体" w:cs="宋体"/>
          <w:b w:val="0"/>
          <w:bCs/>
          <w:color w:val="auto"/>
          <w:highlight w:val="none"/>
        </w:rPr>
      </w:pPr>
    </w:p>
    <w:p w14:paraId="2C7A04AA">
      <w:pPr>
        <w:pStyle w:val="20"/>
        <w:outlineLvl w:val="9"/>
        <w:rPr>
          <w:rFonts w:hint="eastAsia" w:ascii="宋体" w:hAnsi="宋体" w:eastAsia="宋体" w:cs="宋体"/>
          <w:b w:val="0"/>
          <w:bCs/>
          <w:color w:val="auto"/>
          <w:highlight w:val="none"/>
        </w:rPr>
      </w:pPr>
    </w:p>
    <w:p w14:paraId="36EAEF4B">
      <w:pPr>
        <w:pStyle w:val="11"/>
        <w:outlineLvl w:val="9"/>
        <w:rPr>
          <w:rFonts w:hint="eastAsia" w:ascii="宋体" w:hAnsi="宋体"/>
          <w:b/>
          <w:bCs/>
          <w:color w:val="auto"/>
          <w:kern w:val="2"/>
          <w:sz w:val="24"/>
          <w:szCs w:val="24"/>
          <w:highlight w:val="none"/>
          <w:lang w:val="en-US" w:eastAsia="zh-CN" w:bidi="ar-SA"/>
        </w:rPr>
      </w:pPr>
    </w:p>
    <w:p w14:paraId="3A2721E5">
      <w:pPr>
        <w:spacing w:line="360" w:lineRule="auto"/>
        <w:jc w:val="left"/>
        <w:outlineLvl w:val="9"/>
        <w:rPr>
          <w:rFonts w:hint="eastAsia" w:ascii="宋体" w:hAnsi="宋体"/>
          <w:b/>
          <w:bCs/>
          <w:color w:val="auto"/>
          <w:kern w:val="2"/>
          <w:sz w:val="32"/>
          <w:szCs w:val="32"/>
          <w:highlight w:val="none"/>
          <w:lang w:val="en-US" w:eastAsia="zh-CN" w:bidi="ar-SA"/>
        </w:rPr>
      </w:pPr>
      <w:r>
        <w:rPr>
          <w:rFonts w:hint="eastAsia" w:ascii="宋体" w:hAnsi="宋体"/>
          <w:b w:val="0"/>
          <w:bCs w:val="0"/>
          <w:color w:val="auto"/>
          <w:kern w:val="2"/>
          <w:sz w:val="32"/>
          <w:szCs w:val="32"/>
          <w:highlight w:val="none"/>
          <w:lang w:val="en-US" w:eastAsia="zh-CN" w:bidi="ar-SA"/>
        </w:rPr>
        <w:t>格式2：</w:t>
      </w:r>
    </w:p>
    <w:p w14:paraId="2FA75BE8">
      <w:pPr>
        <w:spacing w:line="360" w:lineRule="auto"/>
        <w:jc w:val="center"/>
        <w:outlineLvl w:val="9"/>
        <w:rPr>
          <w:rFonts w:hint="eastAsia" w:ascii="宋体" w:hAnsi="宋体"/>
          <w:b/>
          <w:bCs/>
          <w:color w:val="auto"/>
          <w:kern w:val="2"/>
          <w:sz w:val="32"/>
          <w:szCs w:val="32"/>
          <w:highlight w:val="none"/>
          <w:lang w:val="en-US" w:eastAsia="zh-CN" w:bidi="ar-SA"/>
        </w:rPr>
      </w:pPr>
      <w:r>
        <w:rPr>
          <w:rFonts w:hint="eastAsia" w:ascii="宋体" w:hAnsi="宋体"/>
          <w:b/>
          <w:bCs/>
          <w:color w:val="auto"/>
          <w:kern w:val="2"/>
          <w:sz w:val="32"/>
          <w:szCs w:val="32"/>
          <w:highlight w:val="none"/>
          <w:lang w:val="en-US" w:eastAsia="zh-CN" w:bidi="ar-SA"/>
        </w:rPr>
        <w:t>单位负责人为同一人或者存在直接控股、管理关系的不同供应商，不得参加同一合同项下的政府采购活动的书面声明</w:t>
      </w:r>
    </w:p>
    <w:p w14:paraId="30495E51">
      <w:pPr>
        <w:spacing w:line="360" w:lineRule="auto"/>
        <w:jc w:val="center"/>
        <w:outlineLvl w:val="9"/>
        <w:rPr>
          <w:rFonts w:hint="eastAsia" w:ascii="宋体" w:hAnsi="宋体"/>
          <w:b/>
          <w:bCs/>
          <w:color w:val="auto"/>
          <w:kern w:val="2"/>
          <w:sz w:val="32"/>
          <w:szCs w:val="32"/>
          <w:highlight w:val="none"/>
          <w:lang w:val="en-US" w:eastAsia="zh-CN" w:bidi="ar-SA"/>
        </w:rPr>
      </w:pPr>
    </w:p>
    <w:p w14:paraId="33BAC59E">
      <w:pPr>
        <w:keepNext w:val="0"/>
        <w:keepLines w:val="0"/>
        <w:pageBreakBefore w:val="0"/>
        <w:widowControl/>
        <w:kinsoku/>
        <w:wordWrap/>
        <w:overflowPunct/>
        <w:topLinePunct w:val="0"/>
        <w:autoSpaceDE/>
        <w:autoSpaceDN/>
        <w:bidi w:val="0"/>
        <w:adjustRightInd/>
        <w:spacing w:line="700" w:lineRule="exact"/>
        <w:jc w:val="left"/>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val="en-US" w:eastAsia="zh-CN"/>
        </w:rPr>
        <w:t>(采购人名称)</w:t>
      </w:r>
      <w:r>
        <w:rPr>
          <w:rFonts w:hint="eastAsia" w:ascii="宋体" w:hAnsi="宋体" w:cs="宋体"/>
          <w:color w:val="auto"/>
          <w:kern w:val="0"/>
          <w:sz w:val="24"/>
          <w:szCs w:val="24"/>
          <w:highlight w:val="none"/>
        </w:rPr>
        <w:t>:</w:t>
      </w:r>
    </w:p>
    <w:p w14:paraId="04AD8466">
      <w:pPr>
        <w:keepNext w:val="0"/>
        <w:keepLines w:val="0"/>
        <w:pageBreakBefore w:val="0"/>
        <w:widowControl/>
        <w:kinsoku/>
        <w:wordWrap/>
        <w:overflowPunct/>
        <w:topLinePunct w:val="0"/>
        <w:autoSpaceDE/>
        <w:autoSpaceDN/>
        <w:bidi w:val="0"/>
        <w:adjustRightInd/>
        <w:snapToGrid w:val="0"/>
        <w:spacing w:line="700" w:lineRule="exact"/>
        <w:textAlignment w:val="auto"/>
        <w:outlineLvl w:val="9"/>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我</w:t>
      </w:r>
      <w:r>
        <w:rPr>
          <w:rFonts w:hint="eastAsia" w:ascii="宋体" w:hAnsi="宋体" w:cs="宋体"/>
          <w:color w:val="auto"/>
          <w:kern w:val="0"/>
          <w:sz w:val="24"/>
          <w:szCs w:val="24"/>
          <w:highlight w:val="none"/>
          <w:lang w:eastAsia="zh-CN"/>
        </w:rPr>
        <w:t>方</w:t>
      </w:r>
      <w:r>
        <w:rPr>
          <w:rFonts w:ascii="宋体" w:hAnsi="宋体" w:cs="宋体"/>
          <w:color w:val="auto"/>
          <w:kern w:val="0"/>
          <w:sz w:val="24"/>
          <w:szCs w:val="24"/>
          <w:highlight w:val="none"/>
        </w:rPr>
        <w:t>参加贵</w:t>
      </w:r>
      <w:r>
        <w:rPr>
          <w:rFonts w:hint="eastAsia" w:ascii="宋体" w:hAnsi="宋体" w:cs="宋体"/>
          <w:color w:val="auto"/>
          <w:kern w:val="0"/>
          <w:sz w:val="24"/>
          <w:szCs w:val="24"/>
          <w:highlight w:val="none"/>
          <w:lang w:val="en-US" w:eastAsia="zh-CN"/>
        </w:rPr>
        <w:t>方</w:t>
      </w:r>
      <w:r>
        <w:rPr>
          <w:rFonts w:ascii="宋体" w:hAnsi="宋体" w:cs="宋体"/>
          <w:color w:val="auto"/>
          <w:kern w:val="0"/>
          <w:sz w:val="24"/>
          <w:szCs w:val="24"/>
          <w:highlight w:val="none"/>
        </w:rPr>
        <w:t>组织的</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项目名称</w:t>
      </w:r>
      <w:r>
        <w:rPr>
          <w:rFonts w:hint="eastAsia" w:ascii="宋体" w:hAnsi="宋体"/>
          <w:color w:val="auto"/>
          <w:sz w:val="24"/>
          <w:highlight w:val="none"/>
        </w:rPr>
        <w:t>）</w:t>
      </w:r>
      <w:r>
        <w:rPr>
          <w:rFonts w:hint="eastAsia" w:ascii="宋体" w:hAnsi="宋体" w:cs="宋体"/>
          <w:color w:val="auto"/>
          <w:kern w:val="0"/>
          <w:sz w:val="24"/>
          <w:szCs w:val="24"/>
          <w:highlight w:val="none"/>
        </w:rPr>
        <w:t>招标</w:t>
      </w:r>
      <w:r>
        <w:rPr>
          <w:rFonts w:ascii="宋体" w:hAnsi="宋体" w:cs="宋体"/>
          <w:color w:val="auto"/>
          <w:kern w:val="0"/>
          <w:sz w:val="24"/>
          <w:szCs w:val="24"/>
          <w:highlight w:val="none"/>
        </w:rPr>
        <w:t>活动，</w:t>
      </w:r>
      <w:r>
        <w:rPr>
          <w:rFonts w:hint="eastAsia" w:ascii="宋体" w:hAnsi="宋体" w:cs="宋体"/>
          <w:color w:val="auto"/>
          <w:kern w:val="0"/>
          <w:sz w:val="24"/>
          <w:szCs w:val="24"/>
          <w:highlight w:val="none"/>
        </w:rPr>
        <w:t>郑重承诺</w:t>
      </w:r>
      <w:r>
        <w:rPr>
          <w:rFonts w:ascii="宋体" w:hAnsi="宋体" w:cs="宋体"/>
          <w:color w:val="auto"/>
          <w:kern w:val="0"/>
          <w:sz w:val="24"/>
          <w:szCs w:val="24"/>
          <w:highlight w:val="none"/>
        </w:rPr>
        <w:t>：</w:t>
      </w:r>
    </w:p>
    <w:p w14:paraId="656F66F0">
      <w:pPr>
        <w:keepNext w:val="0"/>
        <w:keepLines w:val="0"/>
        <w:pageBreakBefore w:val="0"/>
        <w:widowControl/>
        <w:kinsoku/>
        <w:wordWrap/>
        <w:overflowPunct/>
        <w:topLinePunct w:val="0"/>
        <w:autoSpaceDE/>
        <w:autoSpaceDN/>
        <w:bidi w:val="0"/>
        <w:adjustRightInd/>
        <w:snapToGrid w:val="0"/>
        <w:spacing w:line="700" w:lineRule="exact"/>
        <w:ind w:firstLine="480" w:firstLineChars="200"/>
        <w:textAlignment w:val="auto"/>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在参加本次政府采购活动</w:t>
      </w:r>
      <w:r>
        <w:rPr>
          <w:rFonts w:hint="eastAsia" w:ascii="宋体" w:hAnsi="宋体" w:cs="宋体"/>
          <w:color w:val="auto"/>
          <w:kern w:val="0"/>
          <w:sz w:val="24"/>
          <w:szCs w:val="24"/>
          <w:highlight w:val="none"/>
          <w:lang w:eastAsia="zh-CN"/>
        </w:rPr>
        <w:t>中</w:t>
      </w:r>
      <w:r>
        <w:rPr>
          <w:rFonts w:hint="eastAsia" w:ascii="宋体" w:hAnsi="宋体" w:cs="宋体"/>
          <w:color w:val="auto"/>
          <w:kern w:val="0"/>
          <w:sz w:val="24"/>
          <w:szCs w:val="24"/>
          <w:highlight w:val="none"/>
        </w:rPr>
        <w:t>不存在与参加本项目的其它供应商单位负责人为同一人或者存在</w:t>
      </w:r>
      <w:r>
        <w:rPr>
          <w:rFonts w:hint="eastAsia" w:ascii="宋体" w:hAnsi="宋体" w:cs="宋体"/>
          <w:color w:val="auto"/>
          <w:kern w:val="0"/>
          <w:sz w:val="24"/>
          <w:szCs w:val="24"/>
          <w:highlight w:val="none"/>
          <w:lang w:val="en-US" w:eastAsia="zh-CN"/>
        </w:rPr>
        <w:t>直接控股</w:t>
      </w:r>
      <w:r>
        <w:rPr>
          <w:rFonts w:hint="eastAsia" w:ascii="宋体" w:hAnsi="宋体" w:cs="宋体"/>
          <w:color w:val="auto"/>
          <w:kern w:val="0"/>
          <w:sz w:val="24"/>
          <w:szCs w:val="24"/>
          <w:highlight w:val="none"/>
        </w:rPr>
        <w:t>、管理关系。本公司对上述承诺的真实性负责。如有虚假，将依法承担相应责任。</w:t>
      </w:r>
    </w:p>
    <w:p w14:paraId="7284B6F7">
      <w:pPr>
        <w:keepNext w:val="0"/>
        <w:keepLines w:val="0"/>
        <w:pageBreakBefore w:val="0"/>
        <w:widowControl/>
        <w:kinsoku/>
        <w:wordWrap/>
        <w:overflowPunct/>
        <w:topLinePunct w:val="0"/>
        <w:autoSpaceDE/>
        <w:autoSpaceDN/>
        <w:bidi w:val="0"/>
        <w:adjustRightInd/>
        <w:snapToGrid w:val="0"/>
        <w:spacing w:line="700" w:lineRule="exact"/>
        <w:textAlignment w:val="auto"/>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特</w:t>
      </w:r>
      <w:r>
        <w:rPr>
          <w:rFonts w:ascii="宋体" w:hAnsi="宋体" w:cs="宋体"/>
          <w:color w:val="auto"/>
          <w:kern w:val="0"/>
          <w:sz w:val="24"/>
          <w:szCs w:val="24"/>
          <w:highlight w:val="none"/>
        </w:rPr>
        <w:t>此</w:t>
      </w:r>
      <w:r>
        <w:rPr>
          <w:rFonts w:hint="eastAsia" w:ascii="宋体" w:hAnsi="宋体" w:cs="宋体"/>
          <w:color w:val="auto"/>
          <w:kern w:val="0"/>
          <w:sz w:val="24"/>
          <w:szCs w:val="24"/>
          <w:highlight w:val="none"/>
        </w:rPr>
        <w:t>承诺</w:t>
      </w:r>
    </w:p>
    <w:p w14:paraId="4C4D8015">
      <w:pPr>
        <w:pStyle w:val="11"/>
        <w:outlineLvl w:val="9"/>
        <w:rPr>
          <w:rFonts w:hint="eastAsia" w:ascii="宋体" w:hAnsi="宋体" w:cs="宋体"/>
          <w:color w:val="auto"/>
          <w:kern w:val="0"/>
          <w:sz w:val="24"/>
          <w:szCs w:val="24"/>
          <w:highlight w:val="none"/>
        </w:rPr>
      </w:pPr>
    </w:p>
    <w:p w14:paraId="69FC8340">
      <w:pPr>
        <w:pStyle w:val="11"/>
        <w:outlineLvl w:val="9"/>
        <w:rPr>
          <w:rFonts w:hint="eastAsia" w:ascii="宋体" w:hAnsi="宋体" w:cs="宋体"/>
          <w:color w:val="auto"/>
          <w:kern w:val="0"/>
          <w:sz w:val="24"/>
          <w:szCs w:val="24"/>
          <w:highlight w:val="none"/>
        </w:rPr>
      </w:pPr>
    </w:p>
    <w:p w14:paraId="593DC62F">
      <w:pPr>
        <w:pStyle w:val="11"/>
        <w:outlineLvl w:val="9"/>
        <w:rPr>
          <w:rFonts w:hint="eastAsia" w:ascii="宋体" w:hAnsi="宋体" w:cs="宋体"/>
          <w:color w:val="auto"/>
          <w:kern w:val="0"/>
          <w:sz w:val="24"/>
          <w:szCs w:val="24"/>
          <w:highlight w:val="none"/>
        </w:rPr>
      </w:pPr>
    </w:p>
    <w:p w14:paraId="509ED04D">
      <w:pPr>
        <w:outlineLvl w:val="9"/>
        <w:rPr>
          <w:rFonts w:hint="eastAsia"/>
          <w:color w:val="auto"/>
          <w:highlight w:val="none"/>
        </w:rPr>
      </w:pPr>
    </w:p>
    <w:p w14:paraId="4595AFC3">
      <w:pPr>
        <w:spacing w:line="480" w:lineRule="auto"/>
        <w:ind w:right="-161" w:firstLine="1680" w:firstLineChars="700"/>
        <w:outlineLvl w:val="9"/>
        <w:rPr>
          <w:rFonts w:hint="eastAsia" w:ascii="宋体" w:hAnsi="宋体" w:cs="仿宋"/>
          <w:color w:val="auto"/>
          <w:sz w:val="24"/>
          <w:highlight w:val="none"/>
        </w:rPr>
      </w:pPr>
      <w:r>
        <w:rPr>
          <w:rFonts w:hint="eastAsia" w:ascii="宋体" w:hAnsi="宋体" w:cs="仿宋"/>
          <w:color w:val="auto"/>
          <w:sz w:val="24"/>
          <w:highlight w:val="none"/>
        </w:rPr>
        <w:t>供应商</w:t>
      </w:r>
      <w:r>
        <w:rPr>
          <w:rFonts w:hint="eastAsia" w:ascii="宋体" w:hAnsi="宋体" w:cs="仿宋"/>
          <w:color w:val="auto"/>
          <w:sz w:val="24"/>
          <w:highlight w:val="none"/>
          <w:lang w:val="en-US" w:eastAsia="zh-CN"/>
        </w:rPr>
        <w:t>全称</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（盖章）</w:t>
      </w:r>
    </w:p>
    <w:p w14:paraId="34063E22">
      <w:pPr>
        <w:spacing w:line="480" w:lineRule="auto"/>
        <w:outlineLvl w:val="9"/>
        <w:rPr>
          <w:rFonts w:hint="eastAsia" w:ascii="宋体" w:hAnsi="宋体" w:cs="仿宋"/>
          <w:color w:val="auto"/>
          <w:sz w:val="24"/>
          <w:highlight w:val="none"/>
          <w:u w:val="none"/>
          <w:lang w:eastAsia="zh-CN"/>
        </w:rPr>
      </w:pPr>
      <w:r>
        <w:rPr>
          <w:rFonts w:hint="eastAsia" w:ascii="宋体" w:hAnsi="宋体" w:cs="仿宋"/>
          <w:color w:val="auto"/>
          <w:sz w:val="24"/>
          <w:highlight w:val="none"/>
        </w:rPr>
        <w:t xml:space="preserve">              法定代表人或被授权</w:t>
      </w:r>
      <w:r>
        <w:rPr>
          <w:rFonts w:hint="eastAsia" w:ascii="宋体" w:hAnsi="宋体" w:cs="仿宋"/>
          <w:color w:val="auto"/>
          <w:sz w:val="24"/>
          <w:highlight w:val="none"/>
          <w:lang w:val="en-US" w:eastAsia="zh-CN"/>
        </w:rPr>
        <w:t>人</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none"/>
          <w:lang w:eastAsia="zh-CN"/>
        </w:rPr>
        <w:t>（</w:t>
      </w:r>
      <w:r>
        <w:rPr>
          <w:rFonts w:hint="eastAsia" w:ascii="宋体" w:hAnsi="宋体" w:cs="仿宋"/>
          <w:color w:val="auto"/>
          <w:sz w:val="24"/>
          <w:highlight w:val="none"/>
          <w:u w:val="none"/>
        </w:rPr>
        <w:t>签字</w:t>
      </w:r>
      <w:r>
        <w:rPr>
          <w:rFonts w:hint="eastAsia" w:ascii="宋体" w:hAnsi="宋体" w:cs="仿宋"/>
          <w:color w:val="auto"/>
          <w:sz w:val="24"/>
          <w:highlight w:val="none"/>
          <w:lang w:val="en-US" w:eastAsia="zh-CN"/>
        </w:rPr>
        <w:t>或盖章</w:t>
      </w:r>
      <w:r>
        <w:rPr>
          <w:rFonts w:hint="eastAsia" w:ascii="宋体" w:hAnsi="宋体" w:cs="仿宋"/>
          <w:color w:val="auto"/>
          <w:sz w:val="24"/>
          <w:highlight w:val="none"/>
          <w:u w:val="none"/>
          <w:lang w:eastAsia="zh-CN"/>
        </w:rPr>
        <w:t>）</w:t>
      </w:r>
    </w:p>
    <w:p w14:paraId="26F0ED1E">
      <w:pPr>
        <w:keepNext w:val="0"/>
        <w:keepLines w:val="0"/>
        <w:pageBreakBefore w:val="0"/>
        <w:widowControl/>
        <w:kinsoku/>
        <w:wordWrap/>
        <w:overflowPunct/>
        <w:topLinePunct w:val="0"/>
        <w:autoSpaceDE/>
        <w:autoSpaceDN/>
        <w:bidi w:val="0"/>
        <w:adjustRightInd/>
        <w:spacing w:line="700" w:lineRule="exact"/>
        <w:ind w:firstLine="1670" w:firstLineChars="696"/>
        <w:jc w:val="left"/>
        <w:textAlignment w:val="auto"/>
        <w:outlineLvl w:val="9"/>
        <w:rPr>
          <w:rFonts w:hint="eastAsia" w:ascii="宋体"/>
          <w:color w:val="auto"/>
          <w:sz w:val="24"/>
          <w:szCs w:val="24"/>
          <w:highlight w:val="none"/>
        </w:rPr>
      </w:pPr>
      <w:r>
        <w:rPr>
          <w:rFonts w:hint="eastAsia" w:ascii="宋体" w:hAnsi="宋体" w:cs="仿宋"/>
          <w:color w:val="auto"/>
          <w:sz w:val="24"/>
          <w:highlight w:val="none"/>
        </w:rPr>
        <w:t>日</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期：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w:t>
      </w:r>
    </w:p>
    <w:p w14:paraId="0CCC46CB">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b/>
          <w:bCs/>
          <w:color w:val="auto"/>
          <w:kern w:val="2"/>
          <w:sz w:val="24"/>
          <w:szCs w:val="24"/>
          <w:highlight w:val="none"/>
          <w:lang w:val="en-US" w:eastAsia="zh-CN" w:bidi="ar-SA"/>
        </w:rPr>
      </w:pPr>
    </w:p>
    <w:p w14:paraId="3F371841">
      <w:pPr>
        <w:spacing w:line="360" w:lineRule="auto"/>
        <w:jc w:val="center"/>
        <w:outlineLvl w:val="9"/>
        <w:rPr>
          <w:rFonts w:hint="eastAsia" w:ascii="宋体" w:hAnsi="宋体"/>
          <w:b/>
          <w:bCs/>
          <w:color w:val="auto"/>
          <w:kern w:val="2"/>
          <w:sz w:val="32"/>
          <w:szCs w:val="32"/>
          <w:highlight w:val="none"/>
          <w:lang w:val="en-US" w:eastAsia="zh-CN" w:bidi="ar-SA"/>
        </w:rPr>
      </w:pPr>
    </w:p>
    <w:p w14:paraId="131B134D">
      <w:pPr>
        <w:spacing w:line="360" w:lineRule="auto"/>
        <w:jc w:val="center"/>
        <w:outlineLvl w:val="9"/>
        <w:rPr>
          <w:rFonts w:hint="eastAsia" w:ascii="宋体" w:hAnsi="宋体"/>
          <w:b/>
          <w:bCs/>
          <w:color w:val="auto"/>
          <w:kern w:val="2"/>
          <w:sz w:val="32"/>
          <w:szCs w:val="32"/>
          <w:highlight w:val="none"/>
          <w:lang w:val="en-US" w:eastAsia="zh-CN" w:bidi="ar-SA"/>
        </w:rPr>
      </w:pPr>
    </w:p>
    <w:p w14:paraId="69FCB9B8">
      <w:pPr>
        <w:spacing w:line="360" w:lineRule="auto"/>
        <w:jc w:val="center"/>
        <w:outlineLvl w:val="9"/>
        <w:rPr>
          <w:rFonts w:hint="eastAsia" w:ascii="宋体" w:hAnsi="宋体"/>
          <w:b/>
          <w:bCs/>
          <w:color w:val="auto"/>
          <w:kern w:val="2"/>
          <w:sz w:val="32"/>
          <w:szCs w:val="32"/>
          <w:highlight w:val="none"/>
          <w:lang w:val="en-US" w:eastAsia="zh-CN" w:bidi="ar-SA"/>
        </w:rPr>
      </w:pPr>
    </w:p>
    <w:p w14:paraId="4F900885">
      <w:pPr>
        <w:pStyle w:val="16"/>
        <w:outlineLvl w:val="9"/>
        <w:rPr>
          <w:rFonts w:hint="eastAsia" w:ascii="宋体" w:hAnsi="宋体"/>
          <w:b/>
          <w:bCs/>
          <w:color w:val="auto"/>
          <w:kern w:val="2"/>
          <w:sz w:val="32"/>
          <w:szCs w:val="32"/>
          <w:highlight w:val="none"/>
          <w:lang w:val="en-US" w:eastAsia="zh-CN" w:bidi="ar-SA"/>
        </w:rPr>
      </w:pPr>
    </w:p>
    <w:p w14:paraId="4F9F4F87">
      <w:pPr>
        <w:pStyle w:val="16"/>
        <w:outlineLvl w:val="9"/>
        <w:rPr>
          <w:rFonts w:hint="eastAsia" w:ascii="宋体" w:hAnsi="宋体"/>
          <w:b/>
          <w:bCs/>
          <w:color w:val="auto"/>
          <w:kern w:val="2"/>
          <w:sz w:val="32"/>
          <w:szCs w:val="32"/>
          <w:highlight w:val="none"/>
          <w:lang w:val="en-US" w:eastAsia="zh-CN" w:bidi="ar-SA"/>
        </w:rPr>
      </w:pPr>
    </w:p>
    <w:p w14:paraId="1E00D4F8">
      <w:pPr>
        <w:pStyle w:val="16"/>
        <w:outlineLvl w:val="9"/>
        <w:rPr>
          <w:rFonts w:hint="eastAsia" w:ascii="宋体" w:hAnsi="宋体"/>
          <w:b/>
          <w:bCs/>
          <w:color w:val="auto"/>
          <w:kern w:val="2"/>
          <w:sz w:val="32"/>
          <w:szCs w:val="32"/>
          <w:highlight w:val="none"/>
          <w:lang w:val="en-US" w:eastAsia="zh-CN" w:bidi="ar-SA"/>
        </w:rPr>
      </w:pPr>
    </w:p>
    <w:p w14:paraId="7F63B7D7">
      <w:pPr>
        <w:pStyle w:val="16"/>
        <w:outlineLvl w:val="9"/>
        <w:rPr>
          <w:rFonts w:hint="eastAsia"/>
          <w:color w:val="auto"/>
          <w:highlight w:val="none"/>
          <w:lang w:val="en-US" w:eastAsia="zh-CN"/>
        </w:rPr>
      </w:pPr>
    </w:p>
    <w:p w14:paraId="425F88A2">
      <w:pPr>
        <w:outlineLvl w:val="9"/>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格式3：</w:t>
      </w:r>
    </w:p>
    <w:p w14:paraId="30CCCCBF">
      <w:pPr>
        <w:spacing w:line="360" w:lineRule="auto"/>
        <w:jc w:val="center"/>
        <w:outlineLvl w:val="9"/>
        <w:rPr>
          <w:rFonts w:hint="eastAsia" w:ascii="宋体" w:hAnsi="宋体"/>
          <w:b/>
          <w:bCs/>
          <w:color w:val="auto"/>
          <w:kern w:val="2"/>
          <w:sz w:val="32"/>
          <w:szCs w:val="32"/>
          <w:highlight w:val="none"/>
          <w:lang w:val="en-US" w:eastAsia="zh-CN" w:bidi="ar-SA"/>
        </w:rPr>
      </w:pPr>
      <w:bookmarkStart w:id="1096" w:name="_Toc20550"/>
      <w:bookmarkStart w:id="1097" w:name="_Toc15853"/>
      <w:r>
        <w:rPr>
          <w:rFonts w:hint="eastAsia" w:ascii="宋体" w:hAnsi="宋体"/>
          <w:b/>
          <w:bCs/>
          <w:color w:val="auto"/>
          <w:kern w:val="2"/>
          <w:sz w:val="32"/>
          <w:szCs w:val="32"/>
          <w:highlight w:val="none"/>
          <w:lang w:val="en-US" w:eastAsia="zh-CN" w:bidi="ar-SA"/>
        </w:rPr>
        <w:t>具备履行合同所必需的设备和专业技术能力的说明及承诺书</w:t>
      </w:r>
      <w:bookmarkEnd w:id="1096"/>
      <w:bookmarkEnd w:id="1097"/>
    </w:p>
    <w:p w14:paraId="3A5C5185">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65F4667D">
      <w:pPr>
        <w:pStyle w:val="79"/>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我公司参加贵方组织的</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项目名称</w:t>
      </w:r>
      <w:r>
        <w:rPr>
          <w:rFonts w:hint="eastAsia" w:ascii="宋体" w:hAnsi="宋体"/>
          <w:color w:val="auto"/>
          <w:sz w:val="24"/>
          <w:highlight w:val="none"/>
        </w:rPr>
        <w:t>）</w:t>
      </w:r>
      <w:r>
        <w:rPr>
          <w:rFonts w:hint="eastAsia" w:ascii="宋体" w:hAnsi="宋体" w:eastAsia="宋体" w:cs="宋体"/>
          <w:color w:val="auto"/>
          <w:sz w:val="24"/>
          <w:szCs w:val="24"/>
          <w:highlight w:val="none"/>
        </w:rPr>
        <w:t>投标活动，如我方获得</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资格，我方保证具备履行合同所必需的设备和专业技术能力：并承诺如下：</w:t>
      </w:r>
    </w:p>
    <w:p w14:paraId="45449901">
      <w:pPr>
        <w:pStyle w:val="79"/>
        <w:keepNext w:val="0"/>
        <w:keepLines w:val="0"/>
        <w:pageBreakBefore w:val="0"/>
        <w:kinsoku/>
        <w:wordWrap/>
        <w:overflowPunct/>
        <w:topLinePunct w:val="0"/>
        <w:autoSpaceDE/>
        <w:autoSpaceDN/>
        <w:bidi w:val="0"/>
        <w:adjustRightInd/>
        <w:snapToGrid/>
        <w:spacing w:line="56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u w:val="single"/>
        </w:rPr>
        <w:t xml:space="preserve">                   </w:t>
      </w:r>
      <w:r>
        <w:rPr>
          <w:rFonts w:hint="eastAsia" w:ascii="宋体" w:hAnsi="宋体" w:eastAsia="宋体" w:cs="宋体"/>
          <w:color w:val="auto"/>
          <w:sz w:val="24"/>
          <w:szCs w:val="24"/>
          <w:highlight w:val="none"/>
        </w:rPr>
        <w:t>（供应商名称）于</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在中华人民共和国境内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（详细注册地址）合法注册并经营，公司主营业务为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，营业（生产经营）面积为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，现有员工数量为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 ，其中与履行本合同相关的专业技术人员数量有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与履行本合同</w:t>
      </w:r>
      <w:r>
        <w:rPr>
          <w:rFonts w:hint="eastAsia" w:ascii="宋体" w:hAnsi="宋体" w:eastAsia="宋体" w:cs="宋体"/>
          <w:color w:val="auto"/>
          <w:sz w:val="24"/>
          <w:szCs w:val="24"/>
          <w:highlight w:val="none"/>
          <w:lang w:val="en-US" w:eastAsia="zh-CN"/>
        </w:rPr>
        <w:t>所需的设备</w:t>
      </w:r>
      <w:r>
        <w:rPr>
          <w:rFonts w:hint="eastAsia" w:ascii="宋体" w:hAnsi="宋体" w:eastAsia="宋体" w:cs="宋体"/>
          <w:color w:val="auto"/>
          <w:sz w:val="24"/>
          <w:szCs w:val="24"/>
          <w:highlight w:val="none"/>
        </w:rPr>
        <w:t>数量有</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本公司郑重承诺，具有履行本合同所必需的设备和专业技术能力。</w:t>
      </w:r>
    </w:p>
    <w:p w14:paraId="5A78047C">
      <w:pPr>
        <w:pStyle w:val="79"/>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如违反以上承诺，本公司愿承担</w:t>
      </w:r>
      <w:r>
        <w:rPr>
          <w:rFonts w:hint="eastAsia" w:ascii="宋体" w:hAnsi="宋体" w:eastAsia="宋体" w:cs="宋体"/>
          <w:color w:val="auto"/>
          <w:sz w:val="24"/>
          <w:szCs w:val="24"/>
          <w:highlight w:val="none"/>
          <w:lang w:val="en-US" w:eastAsia="zh-CN" w:bidi="en-US"/>
        </w:rPr>
        <w:t>一切</w:t>
      </w:r>
      <w:r>
        <w:rPr>
          <w:rFonts w:hint="eastAsia" w:ascii="宋体" w:hAnsi="宋体" w:eastAsia="宋体" w:cs="宋体"/>
          <w:color w:val="auto"/>
          <w:sz w:val="24"/>
          <w:szCs w:val="24"/>
          <w:highlight w:val="none"/>
        </w:rPr>
        <w:t>法律责任。</w:t>
      </w:r>
    </w:p>
    <w:p w14:paraId="53D262CC">
      <w:pPr>
        <w:pStyle w:val="16"/>
        <w:spacing w:line="360" w:lineRule="auto"/>
        <w:outlineLvl w:val="9"/>
        <w:rPr>
          <w:rFonts w:hint="eastAsia" w:ascii="宋体" w:hAnsi="宋体" w:cs="宋体"/>
          <w:color w:val="auto"/>
          <w:sz w:val="24"/>
          <w:szCs w:val="24"/>
          <w:highlight w:val="none"/>
        </w:rPr>
      </w:pPr>
    </w:p>
    <w:p w14:paraId="041BEFDE">
      <w:pPr>
        <w:pStyle w:val="16"/>
        <w:spacing w:line="360" w:lineRule="auto"/>
        <w:outlineLvl w:val="9"/>
        <w:rPr>
          <w:rFonts w:hint="eastAsia" w:ascii="宋体" w:hAnsi="宋体" w:cs="宋体"/>
          <w:color w:val="auto"/>
          <w:sz w:val="24"/>
          <w:szCs w:val="24"/>
          <w:highlight w:val="none"/>
        </w:rPr>
      </w:pPr>
    </w:p>
    <w:p w14:paraId="46337710">
      <w:pPr>
        <w:pStyle w:val="16"/>
        <w:outlineLvl w:val="9"/>
        <w:rPr>
          <w:rFonts w:hint="eastAsia"/>
          <w:color w:val="auto"/>
          <w:highlight w:val="none"/>
        </w:rPr>
      </w:pPr>
    </w:p>
    <w:p w14:paraId="00B11352">
      <w:pPr>
        <w:pStyle w:val="11"/>
        <w:keepNext w:val="0"/>
        <w:keepLines w:val="0"/>
        <w:pageBreakBefore w:val="0"/>
        <w:widowControl w:val="0"/>
        <w:kinsoku/>
        <w:wordWrap/>
        <w:overflowPunct/>
        <w:topLinePunct w:val="0"/>
        <w:autoSpaceDE/>
        <w:autoSpaceDN/>
        <w:bidi w:val="0"/>
        <w:adjustRightInd/>
        <w:snapToGrid/>
        <w:spacing w:line="400" w:lineRule="exact"/>
        <w:ind w:firstLine="2160"/>
        <w:textAlignment w:val="auto"/>
        <w:outlineLvl w:val="9"/>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s="仿宋"/>
          <w:color w:val="auto"/>
          <w:sz w:val="24"/>
          <w:highlight w:val="none"/>
          <w:lang w:val="en-US" w:eastAsia="zh-CN"/>
        </w:rPr>
        <w:t>全称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（盖章）</w:t>
      </w:r>
    </w:p>
    <w:p w14:paraId="3D6ADC64">
      <w:pPr>
        <w:keepNext w:val="0"/>
        <w:keepLines w:val="0"/>
        <w:pageBreakBefore w:val="0"/>
        <w:widowControl w:val="0"/>
        <w:kinsoku/>
        <w:wordWrap/>
        <w:overflowPunct/>
        <w:topLinePunct w:val="0"/>
        <w:autoSpaceDE/>
        <w:autoSpaceDN/>
        <w:bidi w:val="0"/>
        <w:adjustRightInd/>
        <w:snapToGrid/>
        <w:spacing w:line="400" w:lineRule="exact"/>
        <w:ind w:firstLine="1200"/>
        <w:textAlignment w:val="auto"/>
        <w:outlineLvl w:val="9"/>
        <w:rPr>
          <w:rFonts w:hint="eastAsia" w:ascii="宋体" w:hAnsi="宋体" w:cs="宋体"/>
          <w:color w:val="auto"/>
          <w:kern w:val="1"/>
          <w:sz w:val="24"/>
          <w:szCs w:val="36"/>
          <w:highlight w:val="none"/>
        </w:rPr>
      </w:pPr>
    </w:p>
    <w:p w14:paraId="09F94850">
      <w:pPr>
        <w:pStyle w:val="11"/>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cs="宋体"/>
          <w:color w:val="auto"/>
          <w:sz w:val="24"/>
          <w:highlight w:val="none"/>
          <w:u w:val="singl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法定代表人或</w:t>
      </w:r>
      <w:r>
        <w:rPr>
          <w:rFonts w:hint="eastAsia" w:ascii="宋体" w:hAnsi="宋体" w:cs="仿宋"/>
          <w:color w:val="auto"/>
          <w:sz w:val="24"/>
          <w:highlight w:val="none"/>
          <w:lang w:eastAsia="zh-CN"/>
        </w:rPr>
        <w:t>被授权</w:t>
      </w:r>
      <w:r>
        <w:rPr>
          <w:rFonts w:hint="eastAsia" w:ascii="宋体" w:hAnsi="宋体" w:cs="仿宋"/>
          <w:color w:val="auto"/>
          <w:sz w:val="24"/>
          <w:highlight w:val="none"/>
          <w:lang w:val="en-US" w:eastAsia="zh-CN"/>
        </w:rPr>
        <w:t>人</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（签字或盖章）</w:t>
      </w:r>
    </w:p>
    <w:p w14:paraId="74ACE24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eastAsia="宋体"/>
          <w:color w:val="auto"/>
          <w:highlight w:val="none"/>
          <w:lang w:val="en-US" w:eastAsia="zh-CN"/>
        </w:rPr>
      </w:pPr>
      <w:r>
        <w:rPr>
          <w:rFonts w:hint="eastAsia"/>
          <w:color w:val="auto"/>
          <w:highlight w:val="none"/>
          <w:lang w:val="en-US" w:eastAsia="zh-CN"/>
        </w:rPr>
        <w:t xml:space="preserve">  </w:t>
      </w:r>
    </w:p>
    <w:p w14:paraId="7A4C1D77">
      <w:pPr>
        <w:pStyle w:val="11"/>
        <w:keepNext w:val="0"/>
        <w:keepLines w:val="0"/>
        <w:pageBreakBefore w:val="0"/>
        <w:widowControl w:val="0"/>
        <w:kinsoku/>
        <w:wordWrap/>
        <w:overflowPunct/>
        <w:topLinePunct w:val="0"/>
        <w:autoSpaceDE/>
        <w:autoSpaceDN/>
        <w:bidi w:val="0"/>
        <w:adjustRightInd/>
        <w:snapToGrid/>
        <w:spacing w:line="400" w:lineRule="exact"/>
        <w:ind w:firstLine="2160" w:firstLineChars="900"/>
        <w:textAlignment w:val="auto"/>
        <w:outlineLvl w:val="9"/>
        <w:rPr>
          <w:rFonts w:hint="eastAsia"/>
          <w:color w:val="auto"/>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947F123">
      <w:pPr>
        <w:pStyle w:val="11"/>
        <w:ind w:firstLine="2520" w:firstLineChars="900"/>
        <w:outlineLvl w:val="9"/>
        <w:rPr>
          <w:rFonts w:hint="eastAsia"/>
          <w:color w:val="auto"/>
          <w:highlight w:val="none"/>
          <w:lang w:eastAsia="zh-CN"/>
        </w:rPr>
      </w:pPr>
    </w:p>
    <w:p w14:paraId="122AFC31">
      <w:pPr>
        <w:spacing w:line="360" w:lineRule="auto"/>
        <w:jc w:val="center"/>
        <w:outlineLvl w:val="9"/>
        <w:rPr>
          <w:rFonts w:hint="eastAsia" w:ascii="宋体" w:hAnsi="宋体"/>
          <w:b/>
          <w:bCs/>
          <w:color w:val="auto"/>
          <w:kern w:val="2"/>
          <w:sz w:val="32"/>
          <w:szCs w:val="32"/>
          <w:highlight w:val="none"/>
          <w:lang w:val="en-US" w:eastAsia="zh-CN" w:bidi="ar-SA"/>
        </w:rPr>
      </w:pPr>
    </w:p>
    <w:p w14:paraId="60BBBE98">
      <w:pPr>
        <w:pStyle w:val="11"/>
        <w:outlineLvl w:val="9"/>
        <w:rPr>
          <w:rFonts w:hint="eastAsia"/>
          <w:color w:val="auto"/>
          <w:highlight w:val="none"/>
          <w:lang w:val="en-US" w:eastAsia="zh-CN"/>
        </w:rPr>
      </w:pPr>
    </w:p>
    <w:p w14:paraId="63AD1BC0">
      <w:pPr>
        <w:pStyle w:val="16"/>
        <w:outlineLvl w:val="9"/>
        <w:rPr>
          <w:rFonts w:hint="eastAsia"/>
          <w:color w:val="auto"/>
          <w:highlight w:val="none"/>
          <w:lang w:val="en-US" w:eastAsia="zh-CN"/>
        </w:rPr>
      </w:pPr>
    </w:p>
    <w:p w14:paraId="2C33C32A">
      <w:pPr>
        <w:pStyle w:val="16"/>
        <w:outlineLvl w:val="9"/>
        <w:rPr>
          <w:rFonts w:hint="eastAsia"/>
          <w:color w:val="auto"/>
          <w:highlight w:val="none"/>
          <w:lang w:val="en-US" w:eastAsia="zh-CN"/>
        </w:rPr>
      </w:pPr>
    </w:p>
    <w:p w14:paraId="11F7139B">
      <w:pPr>
        <w:pStyle w:val="16"/>
        <w:outlineLvl w:val="9"/>
        <w:rPr>
          <w:rFonts w:hint="eastAsia"/>
          <w:color w:val="auto"/>
          <w:highlight w:val="none"/>
          <w:lang w:val="en-US" w:eastAsia="zh-CN"/>
        </w:rPr>
      </w:pPr>
    </w:p>
    <w:p w14:paraId="6358997A">
      <w:pPr>
        <w:pStyle w:val="16"/>
        <w:outlineLvl w:val="9"/>
        <w:rPr>
          <w:rFonts w:hint="eastAsia" w:ascii="宋体" w:hAnsi="宋体"/>
          <w:b/>
          <w:bCs/>
          <w:color w:val="auto"/>
          <w:kern w:val="2"/>
          <w:sz w:val="32"/>
          <w:szCs w:val="32"/>
          <w:highlight w:val="none"/>
          <w:lang w:val="en-US" w:eastAsia="zh-CN" w:bidi="ar-SA"/>
        </w:rPr>
      </w:pPr>
    </w:p>
    <w:p w14:paraId="5E193C4A">
      <w:pPr>
        <w:pStyle w:val="16"/>
        <w:outlineLvl w:val="9"/>
        <w:rPr>
          <w:rFonts w:hint="eastAsia" w:ascii="宋体" w:hAnsi="宋体"/>
          <w:b/>
          <w:bCs/>
          <w:color w:val="auto"/>
          <w:kern w:val="2"/>
          <w:sz w:val="32"/>
          <w:szCs w:val="32"/>
          <w:highlight w:val="none"/>
          <w:lang w:val="en-US" w:eastAsia="zh-CN" w:bidi="ar-SA"/>
        </w:rPr>
      </w:pPr>
    </w:p>
    <w:p w14:paraId="379B268E">
      <w:pPr>
        <w:outlineLvl w:val="9"/>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格式4：</w:t>
      </w:r>
    </w:p>
    <w:p w14:paraId="73F34C9D">
      <w:pPr>
        <w:spacing w:line="360" w:lineRule="auto"/>
        <w:jc w:val="center"/>
        <w:outlineLvl w:val="9"/>
        <w:rPr>
          <w:rFonts w:hint="eastAsia" w:ascii="宋体" w:hAnsi="宋体" w:eastAsia="宋体"/>
          <w:b/>
          <w:bCs/>
          <w:color w:val="auto"/>
          <w:kern w:val="2"/>
          <w:sz w:val="32"/>
          <w:szCs w:val="32"/>
          <w:highlight w:val="none"/>
          <w:lang w:val="en-US" w:eastAsia="zh-CN" w:bidi="ar-SA"/>
        </w:rPr>
      </w:pPr>
      <w:r>
        <w:rPr>
          <w:rFonts w:hint="eastAsia" w:ascii="宋体" w:hAnsi="宋体" w:eastAsia="宋体"/>
          <w:b/>
          <w:bCs/>
          <w:color w:val="auto"/>
          <w:kern w:val="2"/>
          <w:sz w:val="32"/>
          <w:szCs w:val="32"/>
          <w:highlight w:val="none"/>
          <w:lang w:val="en-US" w:eastAsia="zh-CN" w:bidi="ar-SA"/>
        </w:rPr>
        <w:t>中小企业声明函</w:t>
      </w:r>
    </w:p>
    <w:p w14:paraId="337C76BD">
      <w:pPr>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本公司（联合体）郑重声明，根据《政府采购促进中小企业发展管理办法》（财库</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lang w:val="en-US" w:eastAsia="zh-CN"/>
        </w:rPr>
        <w:t>46号）的规定，本公司（联合体）参加</w:t>
      </w:r>
      <w:r>
        <w:rPr>
          <w:rFonts w:hint="eastAsia" w:ascii="宋体" w:hAnsi="宋体" w:eastAsia="宋体" w:cs="宋体"/>
          <w:color w:val="auto"/>
          <w:sz w:val="24"/>
          <w:szCs w:val="18"/>
          <w:highlight w:val="none"/>
          <w:u w:val="single"/>
          <w:lang w:val="en-US" w:eastAsia="zh-CN"/>
        </w:rPr>
        <w:t>（单位名称）</w:t>
      </w:r>
      <w:r>
        <w:rPr>
          <w:rFonts w:hint="eastAsia" w:ascii="宋体" w:hAnsi="宋体" w:eastAsia="宋体" w:cs="宋体"/>
          <w:color w:val="auto"/>
          <w:sz w:val="24"/>
          <w:szCs w:val="18"/>
          <w:highlight w:val="none"/>
          <w:lang w:val="en-US" w:eastAsia="zh-CN"/>
        </w:rPr>
        <w:t>的</w:t>
      </w:r>
      <w:r>
        <w:rPr>
          <w:rFonts w:hint="eastAsia" w:ascii="宋体" w:hAnsi="宋体" w:eastAsia="宋体" w:cs="宋体"/>
          <w:color w:val="auto"/>
          <w:sz w:val="24"/>
          <w:szCs w:val="18"/>
          <w:highlight w:val="none"/>
          <w:u w:val="single"/>
          <w:lang w:val="en-US" w:eastAsia="zh-CN"/>
        </w:rPr>
        <w:t>（项目名称）</w:t>
      </w:r>
      <w:r>
        <w:rPr>
          <w:rFonts w:hint="eastAsia" w:ascii="宋体" w:hAnsi="宋体" w:eastAsia="宋体" w:cs="宋体"/>
          <w:color w:val="auto"/>
          <w:sz w:val="24"/>
          <w:szCs w:val="18"/>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9B75DF1">
      <w:pPr>
        <w:pStyle w:val="82"/>
        <w:keepNext w:val="0"/>
        <w:keepLines w:val="0"/>
        <w:pageBreakBefore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60" w:lineRule="exact"/>
        <w:ind w:right="169" w:rightChars="0" w:firstLine="480" w:firstLineChars="200"/>
        <w:jc w:val="left"/>
        <w:textAlignment w:val="auto"/>
        <w:outlineLvl w:val="9"/>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1、</w:t>
      </w:r>
      <w:r>
        <w:rPr>
          <w:rFonts w:hint="eastAsia" w:ascii="宋体" w:hAnsi="宋体" w:eastAsia="宋体" w:cs="宋体"/>
          <w:color w:val="auto"/>
          <w:kern w:val="2"/>
          <w:sz w:val="24"/>
          <w:szCs w:val="18"/>
          <w:highlight w:val="none"/>
          <w:u w:val="single"/>
          <w:lang w:val="en-US" w:eastAsia="zh-CN" w:bidi="ar-SA"/>
        </w:rPr>
        <w:t>（标的名称）</w:t>
      </w:r>
      <w:r>
        <w:rPr>
          <w:rFonts w:hint="eastAsia" w:ascii="宋体" w:hAnsi="宋体" w:eastAsia="宋体" w:cs="宋体"/>
          <w:color w:val="auto"/>
          <w:kern w:val="2"/>
          <w:sz w:val="24"/>
          <w:szCs w:val="18"/>
          <w:highlight w:val="none"/>
          <w:lang w:val="en-US" w:eastAsia="zh-CN" w:bidi="ar-SA"/>
        </w:rPr>
        <w:t>，属于</w:t>
      </w:r>
      <w:r>
        <w:rPr>
          <w:rFonts w:hint="eastAsia" w:ascii="宋体" w:hAnsi="宋体" w:eastAsia="宋体" w:cs="宋体"/>
          <w:color w:val="auto"/>
          <w:kern w:val="2"/>
          <w:sz w:val="24"/>
          <w:szCs w:val="18"/>
          <w:highlight w:val="none"/>
          <w:u w:val="single"/>
          <w:lang w:val="en-US" w:eastAsia="zh-CN" w:bidi="ar-SA"/>
        </w:rPr>
        <w:t>（采购文件中明确的所属行业）</w:t>
      </w:r>
      <w:r>
        <w:rPr>
          <w:rFonts w:hint="eastAsia" w:ascii="宋体" w:hAnsi="宋体" w:eastAsia="宋体" w:cs="宋体"/>
          <w:color w:val="auto"/>
          <w:kern w:val="2"/>
          <w:sz w:val="24"/>
          <w:szCs w:val="18"/>
          <w:highlight w:val="none"/>
          <w:lang w:val="en-US" w:eastAsia="zh-CN" w:bidi="ar-SA"/>
        </w:rPr>
        <w:t>；承建（承接）企业为</w:t>
      </w:r>
      <w:r>
        <w:rPr>
          <w:rFonts w:hint="eastAsia" w:ascii="宋体" w:hAnsi="宋体" w:eastAsia="宋体" w:cs="宋体"/>
          <w:color w:val="auto"/>
          <w:kern w:val="2"/>
          <w:sz w:val="24"/>
          <w:szCs w:val="18"/>
          <w:highlight w:val="none"/>
          <w:u w:val="single"/>
          <w:lang w:val="en-US" w:eastAsia="zh-CN" w:bidi="ar-SA"/>
        </w:rPr>
        <w:t>（企业名称）</w:t>
      </w:r>
      <w:r>
        <w:rPr>
          <w:rFonts w:hint="eastAsia" w:ascii="宋体" w:hAnsi="宋体" w:eastAsia="宋体" w:cs="宋体"/>
          <w:color w:val="auto"/>
          <w:kern w:val="2"/>
          <w:sz w:val="24"/>
          <w:szCs w:val="18"/>
          <w:highlight w:val="none"/>
          <w:lang w:val="en-US" w:eastAsia="zh-CN" w:bidi="ar-SA"/>
        </w:rPr>
        <w:t>，从业人员</w:t>
      </w:r>
      <w:r>
        <w:rPr>
          <w:rFonts w:hint="eastAsia" w:ascii="宋体" w:hAnsi="宋体" w:eastAsia="宋体" w:cs="宋体"/>
          <w:color w:val="auto"/>
          <w:kern w:val="2"/>
          <w:sz w:val="24"/>
          <w:szCs w:val="18"/>
          <w:highlight w:val="none"/>
          <w:u w:val="single"/>
          <w:lang w:val="en-US" w:eastAsia="zh-CN" w:bidi="ar-SA"/>
        </w:rPr>
        <w:t xml:space="preserve">    </w:t>
      </w:r>
      <w:r>
        <w:rPr>
          <w:rFonts w:hint="eastAsia" w:ascii="宋体" w:hAnsi="宋体" w:eastAsia="宋体" w:cs="宋体"/>
          <w:color w:val="auto"/>
          <w:kern w:val="2"/>
          <w:sz w:val="24"/>
          <w:szCs w:val="18"/>
          <w:highlight w:val="none"/>
          <w:lang w:val="en-US" w:eastAsia="zh-CN" w:bidi="ar-SA"/>
        </w:rPr>
        <w:t>人，营业收入为</w:t>
      </w:r>
      <w:r>
        <w:rPr>
          <w:rFonts w:hint="eastAsia" w:ascii="宋体" w:hAnsi="宋体" w:eastAsia="宋体" w:cs="宋体"/>
          <w:color w:val="auto"/>
          <w:kern w:val="2"/>
          <w:sz w:val="24"/>
          <w:szCs w:val="18"/>
          <w:highlight w:val="none"/>
          <w:u w:val="single"/>
          <w:lang w:val="en-US" w:eastAsia="zh-CN" w:bidi="ar-SA"/>
        </w:rPr>
        <w:t xml:space="preserve">    </w:t>
      </w:r>
      <w:r>
        <w:rPr>
          <w:rFonts w:hint="eastAsia" w:ascii="宋体" w:hAnsi="宋体" w:eastAsia="宋体" w:cs="宋体"/>
          <w:color w:val="auto"/>
          <w:kern w:val="2"/>
          <w:sz w:val="24"/>
          <w:szCs w:val="18"/>
          <w:highlight w:val="none"/>
          <w:lang w:val="en-US" w:eastAsia="zh-CN" w:bidi="ar-SA"/>
        </w:rPr>
        <w:t>万元，资产总额为</w:t>
      </w:r>
      <w:r>
        <w:rPr>
          <w:rFonts w:hint="eastAsia" w:ascii="宋体" w:hAnsi="宋体" w:eastAsia="宋体" w:cs="宋体"/>
          <w:color w:val="auto"/>
          <w:kern w:val="2"/>
          <w:sz w:val="24"/>
          <w:szCs w:val="18"/>
          <w:highlight w:val="none"/>
          <w:u w:val="single"/>
          <w:lang w:val="en-US" w:eastAsia="zh-CN" w:bidi="ar-SA"/>
        </w:rPr>
        <w:t xml:space="preserve">    </w:t>
      </w:r>
      <w:r>
        <w:rPr>
          <w:rFonts w:hint="eastAsia" w:ascii="宋体" w:hAnsi="宋体" w:eastAsia="宋体" w:cs="宋体"/>
          <w:color w:val="auto"/>
          <w:kern w:val="2"/>
          <w:sz w:val="24"/>
          <w:szCs w:val="18"/>
          <w:highlight w:val="none"/>
          <w:lang w:val="en-US" w:eastAsia="zh-CN" w:bidi="ar-SA"/>
        </w:rPr>
        <w:t>万元，属于</w:t>
      </w:r>
      <w:r>
        <w:rPr>
          <w:rFonts w:hint="eastAsia" w:ascii="宋体" w:hAnsi="宋体" w:eastAsia="宋体" w:cs="宋体"/>
          <w:color w:val="auto"/>
          <w:kern w:val="2"/>
          <w:sz w:val="24"/>
          <w:szCs w:val="18"/>
          <w:highlight w:val="none"/>
          <w:u w:val="single"/>
          <w:lang w:val="en-US" w:eastAsia="zh-CN" w:bidi="ar-SA"/>
        </w:rPr>
        <w:t>（中型企业、小型企业、微型企业）</w:t>
      </w:r>
      <w:r>
        <w:rPr>
          <w:rFonts w:hint="eastAsia" w:ascii="宋体" w:hAnsi="宋体" w:eastAsia="宋体" w:cs="宋体"/>
          <w:color w:val="auto"/>
          <w:kern w:val="2"/>
          <w:sz w:val="24"/>
          <w:szCs w:val="18"/>
          <w:highlight w:val="none"/>
          <w:lang w:val="en-US" w:eastAsia="zh-CN" w:bidi="ar-SA"/>
        </w:rPr>
        <w:t>；</w:t>
      </w:r>
    </w:p>
    <w:p w14:paraId="6430DC99">
      <w:pPr>
        <w:pStyle w:val="82"/>
        <w:keepNext w:val="0"/>
        <w:keepLines w:val="0"/>
        <w:pageBreakBefore w:val="0"/>
        <w:numPr>
          <w:ilvl w:val="0"/>
          <w:numId w:val="0"/>
        </w:numPr>
        <w:tabs>
          <w:tab w:val="left" w:pos="1165"/>
          <w:tab w:val="left" w:pos="1183"/>
          <w:tab w:val="left" w:pos="4362"/>
          <w:tab w:val="left" w:pos="6577"/>
        </w:tabs>
        <w:kinsoku/>
        <w:wordWrap/>
        <w:overflowPunct/>
        <w:topLinePunct w:val="0"/>
        <w:autoSpaceDE/>
        <w:autoSpaceDN/>
        <w:bidi w:val="0"/>
        <w:adjustRightInd/>
        <w:snapToGrid/>
        <w:spacing w:before="0" w:after="0" w:line="460" w:lineRule="exact"/>
        <w:ind w:right="169" w:rightChars="0" w:firstLine="480" w:firstLineChars="200"/>
        <w:jc w:val="left"/>
        <w:textAlignment w:val="auto"/>
        <w:outlineLvl w:val="9"/>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2、</w:t>
      </w:r>
      <w:r>
        <w:rPr>
          <w:rFonts w:hint="eastAsia" w:ascii="宋体" w:hAnsi="宋体" w:eastAsia="宋体" w:cs="宋体"/>
          <w:color w:val="auto"/>
          <w:kern w:val="2"/>
          <w:sz w:val="24"/>
          <w:szCs w:val="18"/>
          <w:highlight w:val="none"/>
          <w:u w:val="single"/>
          <w:lang w:val="en-US" w:eastAsia="zh-CN" w:bidi="ar-SA"/>
        </w:rPr>
        <w:t>（标的名称）</w:t>
      </w:r>
      <w:r>
        <w:rPr>
          <w:rFonts w:hint="eastAsia" w:ascii="宋体" w:hAnsi="宋体" w:eastAsia="宋体" w:cs="宋体"/>
          <w:color w:val="auto"/>
          <w:kern w:val="2"/>
          <w:sz w:val="24"/>
          <w:szCs w:val="18"/>
          <w:highlight w:val="none"/>
          <w:lang w:val="en-US" w:eastAsia="zh-CN" w:bidi="ar-SA"/>
        </w:rPr>
        <w:t>，属于</w:t>
      </w:r>
      <w:r>
        <w:rPr>
          <w:rFonts w:hint="eastAsia" w:ascii="宋体" w:hAnsi="宋体" w:eastAsia="宋体" w:cs="宋体"/>
          <w:color w:val="auto"/>
          <w:kern w:val="2"/>
          <w:sz w:val="24"/>
          <w:szCs w:val="18"/>
          <w:highlight w:val="none"/>
          <w:u w:val="single"/>
          <w:lang w:val="en-US" w:eastAsia="zh-CN" w:bidi="ar-SA"/>
        </w:rPr>
        <w:t>（采购文件中明确的所属行业）</w:t>
      </w:r>
      <w:r>
        <w:rPr>
          <w:rFonts w:hint="eastAsia" w:ascii="宋体" w:hAnsi="宋体" w:eastAsia="宋体" w:cs="宋体"/>
          <w:color w:val="auto"/>
          <w:kern w:val="2"/>
          <w:sz w:val="24"/>
          <w:szCs w:val="18"/>
          <w:highlight w:val="none"/>
          <w:lang w:val="en-US" w:eastAsia="zh-CN" w:bidi="ar-SA"/>
        </w:rPr>
        <w:t>；承建（承接）企业为</w:t>
      </w:r>
      <w:r>
        <w:rPr>
          <w:rFonts w:hint="eastAsia" w:ascii="宋体" w:hAnsi="宋体" w:eastAsia="宋体" w:cs="宋体"/>
          <w:color w:val="auto"/>
          <w:kern w:val="2"/>
          <w:sz w:val="24"/>
          <w:szCs w:val="18"/>
          <w:highlight w:val="none"/>
          <w:u w:val="single"/>
          <w:lang w:val="en-US" w:eastAsia="zh-CN" w:bidi="ar-SA"/>
        </w:rPr>
        <w:t>（企业名称）</w:t>
      </w:r>
      <w:r>
        <w:rPr>
          <w:rFonts w:hint="eastAsia" w:ascii="宋体" w:hAnsi="宋体" w:eastAsia="宋体" w:cs="宋体"/>
          <w:color w:val="auto"/>
          <w:kern w:val="2"/>
          <w:sz w:val="24"/>
          <w:szCs w:val="18"/>
          <w:highlight w:val="none"/>
          <w:lang w:val="en-US" w:eastAsia="zh-CN" w:bidi="ar-SA"/>
        </w:rPr>
        <w:t>，从业人员</w:t>
      </w:r>
      <w:r>
        <w:rPr>
          <w:rFonts w:hint="eastAsia" w:ascii="宋体" w:hAnsi="宋体" w:eastAsia="宋体" w:cs="宋体"/>
          <w:color w:val="auto"/>
          <w:kern w:val="2"/>
          <w:sz w:val="24"/>
          <w:szCs w:val="18"/>
          <w:highlight w:val="none"/>
          <w:u w:val="single"/>
          <w:lang w:val="en-US" w:eastAsia="zh-CN" w:bidi="ar-SA"/>
        </w:rPr>
        <w:t xml:space="preserve">    </w:t>
      </w:r>
      <w:r>
        <w:rPr>
          <w:rFonts w:hint="eastAsia" w:ascii="宋体" w:hAnsi="宋体" w:eastAsia="宋体" w:cs="宋体"/>
          <w:color w:val="auto"/>
          <w:kern w:val="2"/>
          <w:sz w:val="24"/>
          <w:szCs w:val="18"/>
          <w:highlight w:val="none"/>
          <w:lang w:val="en-US" w:eastAsia="zh-CN" w:bidi="ar-SA"/>
        </w:rPr>
        <w:t>人，营业收入为</w:t>
      </w:r>
      <w:r>
        <w:rPr>
          <w:rFonts w:hint="eastAsia" w:ascii="宋体" w:hAnsi="宋体" w:eastAsia="宋体" w:cs="宋体"/>
          <w:color w:val="auto"/>
          <w:kern w:val="2"/>
          <w:sz w:val="24"/>
          <w:szCs w:val="18"/>
          <w:highlight w:val="none"/>
          <w:u w:val="single"/>
          <w:lang w:val="en-US" w:eastAsia="zh-CN" w:bidi="ar-SA"/>
        </w:rPr>
        <w:t xml:space="preserve">    </w:t>
      </w:r>
      <w:r>
        <w:rPr>
          <w:rFonts w:hint="eastAsia" w:ascii="宋体" w:hAnsi="宋体" w:eastAsia="宋体" w:cs="宋体"/>
          <w:color w:val="auto"/>
          <w:kern w:val="2"/>
          <w:sz w:val="24"/>
          <w:szCs w:val="18"/>
          <w:highlight w:val="none"/>
          <w:lang w:val="en-US" w:eastAsia="zh-CN" w:bidi="ar-SA"/>
        </w:rPr>
        <w:t>万元，资产总额为</w:t>
      </w:r>
      <w:r>
        <w:rPr>
          <w:rFonts w:hint="eastAsia" w:ascii="宋体" w:hAnsi="宋体" w:eastAsia="宋体" w:cs="宋体"/>
          <w:color w:val="auto"/>
          <w:kern w:val="2"/>
          <w:sz w:val="24"/>
          <w:szCs w:val="18"/>
          <w:highlight w:val="none"/>
          <w:u w:val="single"/>
          <w:lang w:val="en-US" w:eastAsia="zh-CN" w:bidi="ar-SA"/>
        </w:rPr>
        <w:t xml:space="preserve">    </w:t>
      </w:r>
      <w:r>
        <w:rPr>
          <w:rFonts w:hint="eastAsia" w:ascii="宋体" w:hAnsi="宋体" w:eastAsia="宋体" w:cs="宋体"/>
          <w:color w:val="auto"/>
          <w:kern w:val="2"/>
          <w:sz w:val="24"/>
          <w:szCs w:val="18"/>
          <w:highlight w:val="none"/>
          <w:lang w:val="en-US" w:eastAsia="zh-CN" w:bidi="ar-SA"/>
        </w:rPr>
        <w:t>万元，属于</w:t>
      </w:r>
      <w:r>
        <w:rPr>
          <w:rFonts w:hint="eastAsia" w:ascii="宋体" w:hAnsi="宋体" w:eastAsia="宋体" w:cs="宋体"/>
          <w:color w:val="auto"/>
          <w:kern w:val="2"/>
          <w:sz w:val="24"/>
          <w:szCs w:val="18"/>
          <w:highlight w:val="none"/>
          <w:u w:val="single"/>
          <w:lang w:val="en-US" w:eastAsia="zh-CN" w:bidi="ar-SA"/>
        </w:rPr>
        <w:t>（中型企业、小型企业、微型企业）</w:t>
      </w:r>
      <w:r>
        <w:rPr>
          <w:rFonts w:hint="eastAsia" w:ascii="宋体" w:hAnsi="宋体" w:eastAsia="宋体" w:cs="宋体"/>
          <w:color w:val="auto"/>
          <w:kern w:val="2"/>
          <w:sz w:val="24"/>
          <w:szCs w:val="18"/>
          <w:highlight w:val="none"/>
          <w:lang w:val="en-US" w:eastAsia="zh-CN" w:bidi="ar-SA"/>
        </w:rPr>
        <w:t>；</w:t>
      </w:r>
    </w:p>
    <w:p w14:paraId="26DC7A98">
      <w:pPr>
        <w:pStyle w:val="11"/>
        <w:keepNext w:val="0"/>
        <w:keepLines w:val="0"/>
        <w:pageBreakBefore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w:t>
      </w:r>
    </w:p>
    <w:p w14:paraId="49D2A5FD">
      <w:pPr>
        <w:pStyle w:val="11"/>
        <w:keepNext w:val="0"/>
        <w:keepLines w:val="0"/>
        <w:pageBreakBefore w:val="0"/>
        <w:kinsoku/>
        <w:wordWrap/>
        <w:overflowPunct/>
        <w:topLinePunct w:val="0"/>
        <w:autoSpaceDE/>
        <w:autoSpaceDN/>
        <w:bidi w:val="0"/>
        <w:adjustRightInd/>
        <w:snapToGrid/>
        <w:spacing w:before="105" w:line="460" w:lineRule="exact"/>
        <w:ind w:right="417" w:firstLine="480" w:firstLineChars="200"/>
        <w:jc w:val="both"/>
        <w:textAlignment w:val="auto"/>
        <w:outlineLvl w:val="9"/>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以上企业，不属于大企业的分支机构，不存在控股股东为大企业的情形，也不存在与大企业的负责人为同一人的情形。</w:t>
      </w:r>
    </w:p>
    <w:p w14:paraId="16EEBEDB">
      <w:pPr>
        <w:pStyle w:val="11"/>
        <w:keepNext w:val="0"/>
        <w:keepLines w:val="0"/>
        <w:pageBreakBefore w:val="0"/>
        <w:kinsoku/>
        <w:wordWrap/>
        <w:overflowPunct/>
        <w:topLinePunct w:val="0"/>
        <w:autoSpaceDE/>
        <w:autoSpaceDN/>
        <w:bidi w:val="0"/>
        <w:adjustRightInd/>
        <w:snapToGrid/>
        <w:spacing w:line="460" w:lineRule="exact"/>
        <w:ind w:right="372" w:firstLine="480" w:firstLineChars="200"/>
        <w:textAlignment w:val="auto"/>
        <w:outlineLvl w:val="9"/>
        <w:rPr>
          <w:color w:val="auto"/>
          <w:highlight w:val="none"/>
        </w:rPr>
      </w:pPr>
      <w:r>
        <w:rPr>
          <w:rFonts w:hint="eastAsia" w:ascii="宋体" w:hAnsi="宋体" w:eastAsia="宋体" w:cs="宋体"/>
          <w:color w:val="auto"/>
          <w:kern w:val="2"/>
          <w:sz w:val="24"/>
          <w:szCs w:val="18"/>
          <w:highlight w:val="none"/>
          <w:lang w:val="en-US" w:eastAsia="zh-CN" w:bidi="ar-SA"/>
        </w:rPr>
        <w:t>本企业对上述声明内容的真实性负责。如有虚假，将依法承担相应责任。</w:t>
      </w:r>
    </w:p>
    <w:p w14:paraId="114811BC">
      <w:pPr>
        <w:tabs>
          <w:tab w:val="left" w:pos="465"/>
          <w:tab w:val="left" w:pos="780"/>
        </w:tabs>
        <w:spacing w:line="360" w:lineRule="auto"/>
        <w:ind w:firstLine="480" w:firstLineChars="200"/>
        <w:outlineLvl w:val="9"/>
        <w:rPr>
          <w:rFonts w:hint="eastAsia" w:ascii="宋体" w:hAnsi="宋体" w:eastAsia="宋体"/>
          <w:color w:val="auto"/>
          <w:sz w:val="24"/>
          <w:highlight w:val="none"/>
          <w:lang w:eastAsia="zh-CN"/>
        </w:rPr>
      </w:pPr>
    </w:p>
    <w:p w14:paraId="0D83C414">
      <w:pPr>
        <w:tabs>
          <w:tab w:val="left" w:pos="465"/>
          <w:tab w:val="left" w:pos="780"/>
        </w:tabs>
        <w:spacing w:line="360" w:lineRule="auto"/>
        <w:ind w:firstLine="480" w:firstLineChars="200"/>
        <w:outlineLvl w:val="9"/>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注：从业人员、营业收入、资产总额填报上一年度数据，无上一年度数据的新成立企业可不填报。</w:t>
      </w:r>
      <w:r>
        <w:rPr>
          <w:rFonts w:hint="eastAsia" w:ascii="宋体" w:hAnsi="宋体" w:eastAsia="宋体"/>
          <w:color w:val="auto"/>
          <w:sz w:val="24"/>
          <w:highlight w:val="none"/>
          <w:lang w:eastAsia="zh-CN"/>
        </w:rPr>
        <w:t>）</w:t>
      </w:r>
    </w:p>
    <w:p w14:paraId="396BA333">
      <w:pPr>
        <w:pStyle w:val="16"/>
        <w:outlineLvl w:val="9"/>
        <w:rPr>
          <w:rFonts w:hint="eastAsia" w:ascii="宋体" w:hAnsi="宋体" w:eastAsia="宋体"/>
          <w:color w:val="auto"/>
          <w:sz w:val="24"/>
          <w:highlight w:val="none"/>
          <w:lang w:eastAsia="zh-CN"/>
        </w:rPr>
      </w:pPr>
    </w:p>
    <w:p w14:paraId="15CA21EB">
      <w:pPr>
        <w:pStyle w:val="16"/>
        <w:outlineLvl w:val="9"/>
        <w:rPr>
          <w:rFonts w:hint="eastAsia" w:ascii="宋体" w:hAnsi="宋体" w:eastAsia="宋体"/>
          <w:color w:val="auto"/>
          <w:sz w:val="24"/>
          <w:highlight w:val="none"/>
          <w:lang w:val="en-US" w:eastAsia="zh-CN"/>
        </w:rPr>
      </w:pPr>
    </w:p>
    <w:p w14:paraId="4F3B715C">
      <w:pPr>
        <w:pStyle w:val="16"/>
        <w:outlineLvl w:val="9"/>
        <w:rPr>
          <w:rFonts w:hint="eastAsia" w:ascii="宋体" w:hAnsi="宋体" w:eastAsia="宋体"/>
          <w:color w:val="auto"/>
          <w:sz w:val="24"/>
          <w:highlight w:val="none"/>
          <w:lang w:val="en-US" w:eastAsia="zh-CN"/>
        </w:rPr>
      </w:pPr>
    </w:p>
    <w:p w14:paraId="7B9CABCA">
      <w:pPr>
        <w:tabs>
          <w:tab w:val="left" w:pos="465"/>
          <w:tab w:val="left" w:pos="780"/>
        </w:tabs>
        <w:spacing w:line="360" w:lineRule="auto"/>
        <w:jc w:val="center"/>
        <w:outlineLvl w:val="9"/>
        <w:rPr>
          <w:rFonts w:hint="eastAsia" w:ascii="宋体" w:hAnsi="宋体"/>
          <w:color w:val="FFFFFF" w:themeColor="background1"/>
          <w:sz w:val="24"/>
          <w:highlight w:val="none"/>
          <w14:textFill>
            <w14:solidFill>
              <w14:schemeClr w14:val="bg1"/>
            </w14:solidFill>
          </w14:textFill>
        </w:rPr>
      </w:pPr>
      <w:r>
        <w:rPr>
          <w:rFonts w:hint="eastAsia" w:ascii="宋体" w:hAnsi="宋体" w:eastAsia="宋体"/>
          <w:color w:val="auto"/>
          <w:sz w:val="24"/>
          <w:szCs w:val="24"/>
          <w:highlight w:val="none"/>
          <w:lang w:val="en-US" w:eastAsia="zh-CN"/>
        </w:rPr>
        <w:t xml:space="preserve">               企业名称（盖章）：</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FFFFFF" w:themeColor="background1"/>
          <w:sz w:val="24"/>
          <w:szCs w:val="24"/>
          <w:highlight w:val="none"/>
          <w:u w:val="single"/>
          <w:lang w:val="en-US" w:eastAsia="zh-CN"/>
          <w14:textFill>
            <w14:solidFill>
              <w14:schemeClr w14:val="bg1"/>
            </w14:solidFill>
          </w14:textFill>
        </w:rPr>
        <w:t xml:space="preserve"> 。</w:t>
      </w:r>
    </w:p>
    <w:p w14:paraId="1D138099">
      <w:pPr>
        <w:jc w:val="both"/>
        <w:outlineLvl w:val="9"/>
        <w:rPr>
          <w:rFonts w:hint="eastAsia" w:ascii="宋体" w:hAnsi="宋体"/>
          <w:color w:val="FFFFFF" w:themeColor="background1"/>
          <w:sz w:val="24"/>
          <w:highlight w:val="none"/>
          <w14:textFill>
            <w14:solidFill>
              <w14:schemeClr w14:val="bg1"/>
            </w14:solidFill>
          </w14:textFill>
        </w:rPr>
      </w:pPr>
    </w:p>
    <w:p w14:paraId="73792679">
      <w:pPr>
        <w:ind w:firstLine="3360" w:firstLineChars="1400"/>
        <w:jc w:val="both"/>
        <w:outlineLvl w:val="9"/>
        <w:rPr>
          <w:rFonts w:ascii="宋体" w:hAnsi="宋体"/>
          <w:color w:val="auto"/>
          <w:highlight w:val="none"/>
        </w:rPr>
      </w:pPr>
      <w:r>
        <w:rPr>
          <w:rFonts w:hint="eastAsia" w:ascii="宋体" w:hAnsi="宋体"/>
          <w:color w:val="auto"/>
          <w:sz w:val="24"/>
          <w:highlight w:val="none"/>
        </w:rPr>
        <w:t>日期：</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FFFFFF" w:themeColor="background1"/>
          <w:sz w:val="24"/>
          <w:szCs w:val="24"/>
          <w:highlight w:val="none"/>
          <w:u w:val="single"/>
          <w:lang w:val="en-US" w:eastAsia="zh-CN"/>
          <w14:textFill>
            <w14:solidFill>
              <w14:schemeClr w14:val="bg1"/>
            </w14:solidFill>
          </w14:textFill>
        </w:rPr>
        <w:t xml:space="preserve"> 。 </w:t>
      </w:r>
      <w:r>
        <w:rPr>
          <w:rFonts w:hint="eastAsia" w:ascii="宋体" w:hAnsi="宋体" w:eastAsia="宋体"/>
          <w:color w:val="auto"/>
          <w:sz w:val="24"/>
          <w:szCs w:val="24"/>
          <w:highlight w:val="none"/>
          <w:u w:val="single"/>
          <w:lang w:val="en-US" w:eastAsia="zh-CN"/>
        </w:rPr>
        <w:t xml:space="preserve">                             </w:t>
      </w:r>
      <w:r>
        <w:rPr>
          <w:rFonts w:hint="eastAsia" w:ascii="宋体" w:hAnsi="宋体"/>
          <w:color w:val="auto"/>
          <w:sz w:val="24"/>
          <w:highlight w:val="none"/>
        </w:rPr>
        <w:t xml:space="preserve"> </w:t>
      </w:r>
    </w:p>
    <w:p w14:paraId="74A37D81">
      <w:pPr>
        <w:pStyle w:val="16"/>
        <w:outlineLvl w:val="9"/>
        <w:rPr>
          <w:rFonts w:hint="eastAsia"/>
          <w:color w:val="auto"/>
          <w:lang w:val="en-US" w:eastAsia="zh-CN"/>
        </w:rPr>
      </w:pPr>
      <w:r>
        <w:rPr>
          <w:rFonts w:hint="eastAsia" w:ascii="宋体" w:hAnsi="宋体" w:eastAsia="宋体"/>
          <w:color w:val="auto"/>
          <w:sz w:val="24"/>
          <w:highlight w:val="none"/>
          <w:u w:val="single"/>
          <w:lang w:val="en-US" w:eastAsia="zh-CN"/>
        </w:rPr>
        <w:t xml:space="preserve">                      </w:t>
      </w:r>
      <w:r>
        <w:rPr>
          <w:rFonts w:hint="eastAsia" w:ascii="仿宋_GB2312" w:hAnsi="宋体" w:eastAsia="仿宋_GB2312"/>
          <w:color w:val="auto"/>
          <w:sz w:val="28"/>
          <w:szCs w:val="28"/>
          <w:highlight w:val="none"/>
          <w:u w:val="single"/>
        </w:rPr>
        <w:t xml:space="preserve">   </w:t>
      </w:r>
    </w:p>
    <w:p w14:paraId="379AA91F">
      <w:pPr>
        <w:spacing w:line="360" w:lineRule="auto"/>
        <w:jc w:val="center"/>
        <w:outlineLvl w:val="9"/>
        <w:rPr>
          <w:rFonts w:hint="eastAsia" w:ascii="宋体" w:hAnsi="宋体"/>
          <w:b/>
          <w:bCs/>
          <w:color w:val="auto"/>
          <w:sz w:val="32"/>
          <w:szCs w:val="32"/>
          <w:highlight w:val="none"/>
          <w:lang w:val="en-US" w:eastAsia="zh-CN"/>
        </w:rPr>
      </w:pPr>
      <w:bookmarkStart w:id="1098" w:name="OLE_LINK59"/>
      <w:bookmarkStart w:id="1099" w:name="_Toc29094"/>
    </w:p>
    <w:p w14:paraId="0FFCC38B">
      <w:pPr>
        <w:spacing w:line="360" w:lineRule="auto"/>
        <w:jc w:val="center"/>
        <w:outlineLvl w:val="9"/>
        <w:rPr>
          <w:rFonts w:hint="eastAsia" w:ascii="宋体" w:hAnsi="宋体"/>
          <w:b/>
          <w:bCs/>
          <w:color w:val="auto"/>
          <w:sz w:val="32"/>
          <w:szCs w:val="32"/>
          <w:highlight w:val="none"/>
          <w:lang w:val="en-US" w:eastAsia="zh-CN"/>
        </w:rPr>
      </w:pPr>
    </w:p>
    <w:p w14:paraId="7BCB4BE7">
      <w:pPr>
        <w:pStyle w:val="16"/>
        <w:outlineLvl w:val="9"/>
        <w:rPr>
          <w:rFonts w:hint="eastAsia"/>
          <w:color w:val="auto"/>
          <w:lang w:val="en-US" w:eastAsia="zh-CN"/>
        </w:rPr>
      </w:pPr>
    </w:p>
    <w:p w14:paraId="316D2ACD">
      <w:pPr>
        <w:spacing w:line="360" w:lineRule="auto"/>
        <w:jc w:val="center"/>
        <w:outlineLvl w:val="9"/>
        <w:rPr>
          <w:rFonts w:hint="eastAsia" w:ascii="宋体" w:hAnsi="宋体"/>
          <w:b/>
          <w:bCs/>
          <w:color w:val="auto"/>
          <w:sz w:val="32"/>
          <w:szCs w:val="32"/>
          <w:highlight w:val="none"/>
          <w:lang w:val="en-US" w:eastAsia="zh-CN"/>
        </w:rPr>
      </w:pPr>
    </w:p>
    <w:p w14:paraId="078B5792">
      <w:pPr>
        <w:pStyle w:val="11"/>
        <w:pageBreakBefore w:val="0"/>
        <w:numPr>
          <w:ilvl w:val="0"/>
          <w:numId w:val="0"/>
        </w:numPr>
        <w:kinsoku/>
        <w:wordWrap/>
        <w:bidi w:val="0"/>
        <w:adjustRightInd/>
        <w:spacing w:before="50" w:beforeLines="50" w:after="50" w:afterLines="50" w:line="440" w:lineRule="exact"/>
        <w:ind w:left="2" w:leftChars="0" w:firstLine="640" w:firstLineChars="200"/>
        <w:jc w:val="center"/>
        <w:textAlignment w:val="auto"/>
        <w:outlineLvl w:val="9"/>
        <w:rPr>
          <w:rFonts w:hint="eastAsia"/>
          <w:b/>
          <w:color w:val="auto"/>
          <w:kern w:val="1"/>
          <w:sz w:val="24"/>
          <w:highlight w:val="none"/>
        </w:rPr>
      </w:pPr>
      <w:r>
        <w:rPr>
          <w:rFonts w:hint="eastAsia" w:ascii="宋体" w:hAnsi="宋体" w:eastAsia="宋体" w:cs="Times New Roman"/>
          <w:b/>
          <w:bCs/>
          <w:color w:val="auto"/>
          <w:kern w:val="2"/>
          <w:sz w:val="32"/>
          <w:szCs w:val="32"/>
          <w:highlight w:val="none"/>
          <w:lang w:val="en-US" w:eastAsia="zh-CN" w:bidi="ar-SA"/>
        </w:rPr>
        <w:t>六、</w:t>
      </w:r>
      <w:bookmarkEnd w:id="1098"/>
      <w:bookmarkEnd w:id="1099"/>
      <w:r>
        <w:rPr>
          <w:rFonts w:hint="eastAsia" w:ascii="宋体" w:hAnsi="宋体" w:eastAsia="宋体" w:cs="Times New Roman"/>
          <w:b/>
          <w:bCs/>
          <w:color w:val="auto"/>
          <w:kern w:val="2"/>
          <w:sz w:val="32"/>
          <w:szCs w:val="32"/>
          <w:highlight w:val="none"/>
          <w:lang w:val="en-US" w:eastAsia="zh-CN" w:bidi="ar-SA"/>
        </w:rPr>
        <w:t>技术部分</w:t>
      </w:r>
    </w:p>
    <w:p w14:paraId="5F04084B">
      <w:pPr>
        <w:pageBreakBefore w:val="0"/>
        <w:kinsoku/>
        <w:wordWrap/>
        <w:bidi w:val="0"/>
        <w:adjustRightInd/>
        <w:spacing w:line="440" w:lineRule="exact"/>
        <w:ind w:firstLine="480" w:firstLineChars="200"/>
        <w:textAlignment w:val="auto"/>
        <w:outlineLvl w:val="9"/>
        <w:rPr>
          <w:rFonts w:hint="eastAsia" w:ascii="宋体" w:hAnsi="宋体"/>
          <w:color w:val="auto"/>
          <w:sz w:val="24"/>
        </w:rPr>
      </w:pPr>
      <w:r>
        <w:rPr>
          <w:rFonts w:hint="eastAsia" w:ascii="宋体" w:hAnsi="宋体"/>
          <w:color w:val="auto"/>
          <w:sz w:val="24"/>
          <w:lang w:eastAsia="zh-CN"/>
        </w:rPr>
        <w:t>供应商应编制施工组织设计，内容</w:t>
      </w:r>
      <w:r>
        <w:rPr>
          <w:rFonts w:hint="eastAsia" w:ascii="宋体" w:hAnsi="宋体"/>
          <w:color w:val="auto"/>
          <w:sz w:val="24"/>
        </w:rPr>
        <w:t>包括</w:t>
      </w:r>
      <w:r>
        <w:rPr>
          <w:rFonts w:hint="eastAsia" w:ascii="宋体" w:hAnsi="宋体"/>
          <w:color w:val="auto"/>
          <w:sz w:val="24"/>
          <w:lang w:val="en-US" w:eastAsia="zh-CN"/>
        </w:rPr>
        <w:t>但不限于</w:t>
      </w:r>
      <w:r>
        <w:rPr>
          <w:rFonts w:hint="eastAsia" w:ascii="宋体" w:hAnsi="宋体"/>
          <w:color w:val="auto"/>
          <w:sz w:val="24"/>
        </w:rPr>
        <w:t>以下几个方面</w:t>
      </w:r>
      <w:r>
        <w:rPr>
          <w:rFonts w:hint="eastAsia" w:ascii="宋体" w:hAnsi="宋体"/>
          <w:color w:val="auto"/>
          <w:sz w:val="24"/>
          <w:highlight w:val="none"/>
        </w:rPr>
        <w:t>（格式自拟）</w:t>
      </w:r>
      <w:r>
        <w:rPr>
          <w:rFonts w:hint="eastAsia" w:ascii="宋体" w:hAnsi="宋体"/>
          <w:color w:val="auto"/>
          <w:sz w:val="24"/>
        </w:rPr>
        <w:t>：</w:t>
      </w:r>
    </w:p>
    <w:p w14:paraId="51206526">
      <w:pPr>
        <w:pageBreakBefore w:val="0"/>
        <w:kinsoku/>
        <w:wordWrap/>
        <w:bidi w:val="0"/>
        <w:adjustRightInd/>
        <w:spacing w:line="440" w:lineRule="exact"/>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施工方案与技术措施；</w:t>
      </w:r>
    </w:p>
    <w:p w14:paraId="45FCFF3F">
      <w:pPr>
        <w:pageBreakBefore w:val="0"/>
        <w:kinsoku/>
        <w:wordWrap/>
        <w:bidi w:val="0"/>
        <w:adjustRightInd/>
        <w:spacing w:line="440" w:lineRule="exact"/>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质量管理体系与措施；</w:t>
      </w:r>
    </w:p>
    <w:p w14:paraId="29596EB4">
      <w:pPr>
        <w:pageBreakBefore w:val="0"/>
        <w:kinsoku/>
        <w:wordWrap/>
        <w:bidi w:val="0"/>
        <w:adjustRightInd/>
        <w:spacing w:line="440" w:lineRule="exact"/>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安全管理体系与措施；</w:t>
      </w:r>
    </w:p>
    <w:p w14:paraId="6F73C95E">
      <w:pPr>
        <w:pageBreakBefore w:val="0"/>
        <w:kinsoku/>
        <w:wordWrap/>
        <w:bidi w:val="0"/>
        <w:adjustRightInd/>
        <w:spacing w:line="440" w:lineRule="exact"/>
        <w:ind w:firstLine="480" w:firstLineChars="200"/>
        <w:textAlignment w:val="auto"/>
        <w:outlineLvl w:val="9"/>
        <w:rPr>
          <w:rFonts w:hint="eastAsia" w:ascii="宋体" w:hAnsi="宋体" w:eastAsia="宋体"/>
          <w:color w:val="auto"/>
          <w:sz w:val="24"/>
          <w:lang w:eastAsia="zh-CN"/>
        </w:rPr>
      </w:pPr>
      <w:r>
        <w:rPr>
          <w:rFonts w:hint="eastAsia" w:ascii="宋体" w:hAnsi="宋体" w:eastAsia="宋体"/>
          <w:color w:val="auto"/>
          <w:sz w:val="24"/>
          <w:lang w:val="en-US" w:eastAsia="zh-CN"/>
        </w:rPr>
        <w:t>4、文明施工、</w:t>
      </w:r>
      <w:r>
        <w:rPr>
          <w:rFonts w:hint="eastAsia" w:ascii="宋体" w:hAnsi="宋体" w:eastAsia="宋体"/>
          <w:color w:val="auto"/>
          <w:sz w:val="24"/>
        </w:rPr>
        <w:t>环境保护管理体系与措施</w:t>
      </w:r>
      <w:r>
        <w:rPr>
          <w:rFonts w:hint="eastAsia" w:ascii="宋体" w:hAnsi="宋体" w:eastAsia="宋体"/>
          <w:color w:val="auto"/>
          <w:sz w:val="24"/>
          <w:lang w:eastAsia="zh-CN"/>
        </w:rPr>
        <w:t>；</w:t>
      </w:r>
    </w:p>
    <w:p w14:paraId="0E2ED9E9">
      <w:pPr>
        <w:pageBreakBefore w:val="0"/>
        <w:kinsoku/>
        <w:wordWrap/>
        <w:bidi w:val="0"/>
        <w:adjustRightInd/>
        <w:spacing w:line="440" w:lineRule="exact"/>
        <w:ind w:firstLine="480" w:firstLineChars="200"/>
        <w:textAlignment w:val="auto"/>
        <w:outlineLvl w:val="9"/>
        <w:rPr>
          <w:rFonts w:hint="eastAsia" w:ascii="宋体" w:hAnsi="宋体" w:eastAsia="宋体"/>
          <w:color w:val="auto"/>
          <w:sz w:val="24"/>
        </w:rPr>
      </w:pPr>
      <w:r>
        <w:rPr>
          <w:rFonts w:hint="eastAsia" w:ascii="宋体" w:hAnsi="宋体" w:eastAsia="宋体"/>
          <w:color w:val="auto"/>
          <w:sz w:val="24"/>
          <w:lang w:val="en-US" w:eastAsia="zh-CN"/>
        </w:rPr>
        <w:t>5、</w:t>
      </w:r>
      <w:r>
        <w:rPr>
          <w:rFonts w:hint="eastAsia" w:ascii="宋体" w:hAnsi="宋体" w:eastAsia="宋体"/>
          <w:color w:val="auto"/>
          <w:sz w:val="24"/>
        </w:rPr>
        <w:t>施工进度计划及措施；</w:t>
      </w:r>
    </w:p>
    <w:p w14:paraId="4DF18B41">
      <w:pPr>
        <w:pageBreakBefore w:val="0"/>
        <w:kinsoku/>
        <w:wordWrap/>
        <w:bidi w:val="0"/>
        <w:adjustRightInd/>
        <w:spacing w:line="440" w:lineRule="exact"/>
        <w:ind w:firstLine="480" w:firstLineChars="200"/>
        <w:textAlignment w:val="auto"/>
        <w:outlineLvl w:val="9"/>
        <w:rPr>
          <w:rFonts w:hint="eastAsia" w:ascii="宋体" w:hAnsi="宋体"/>
          <w:color w:val="auto"/>
          <w:sz w:val="24"/>
          <w:lang w:eastAsia="zh-CN"/>
        </w:rPr>
      </w:pPr>
      <w:r>
        <w:rPr>
          <w:rFonts w:hint="eastAsia" w:ascii="宋体" w:hAnsi="宋体"/>
          <w:color w:val="auto"/>
          <w:sz w:val="24"/>
          <w:lang w:val="en-US" w:eastAsia="zh-CN"/>
        </w:rPr>
        <w:t>6、资源配备计划。</w:t>
      </w:r>
    </w:p>
    <w:p w14:paraId="0739C0C2">
      <w:pPr>
        <w:spacing w:line="360" w:lineRule="auto"/>
        <w:jc w:val="both"/>
        <w:outlineLvl w:val="9"/>
        <w:rPr>
          <w:rFonts w:hint="eastAsia" w:ascii="宋体" w:hAnsi="宋体"/>
          <w:b/>
          <w:bCs/>
          <w:color w:val="auto"/>
          <w:sz w:val="32"/>
          <w:szCs w:val="32"/>
          <w:highlight w:val="none"/>
        </w:rPr>
      </w:pPr>
      <w:bookmarkStart w:id="1100" w:name="_Toc356157331"/>
      <w:bookmarkStart w:id="1101" w:name="_Toc307819811"/>
      <w:bookmarkStart w:id="1102" w:name="_Toc245714180"/>
    </w:p>
    <w:p w14:paraId="79705A46">
      <w:pPr>
        <w:pStyle w:val="67"/>
        <w:outlineLvl w:val="9"/>
        <w:rPr>
          <w:rFonts w:hint="eastAsia" w:ascii="宋体" w:hAnsi="宋体" w:eastAsia="宋体" w:cs="宋体"/>
          <w:b w:val="0"/>
          <w:bCs/>
          <w:color w:val="auto"/>
          <w:sz w:val="21"/>
          <w:szCs w:val="21"/>
          <w:highlight w:val="none"/>
        </w:rPr>
      </w:pPr>
    </w:p>
    <w:p w14:paraId="2F872AEE">
      <w:pPr>
        <w:pStyle w:val="67"/>
        <w:outlineLvl w:val="9"/>
        <w:rPr>
          <w:rFonts w:hint="eastAsia" w:ascii="宋体" w:hAnsi="宋体" w:eastAsia="宋体" w:cs="宋体"/>
          <w:b w:val="0"/>
          <w:bCs/>
          <w:color w:val="auto"/>
          <w:sz w:val="21"/>
          <w:szCs w:val="21"/>
          <w:highlight w:val="none"/>
        </w:rPr>
      </w:pPr>
    </w:p>
    <w:p w14:paraId="564231D9">
      <w:pPr>
        <w:pStyle w:val="67"/>
        <w:outlineLvl w:val="9"/>
        <w:rPr>
          <w:rFonts w:hint="eastAsia" w:ascii="宋体" w:hAnsi="宋体" w:eastAsia="宋体" w:cs="宋体"/>
          <w:b w:val="0"/>
          <w:bCs/>
          <w:color w:val="auto"/>
          <w:sz w:val="21"/>
          <w:szCs w:val="21"/>
          <w:highlight w:val="none"/>
        </w:rPr>
      </w:pPr>
    </w:p>
    <w:p w14:paraId="22D7489F">
      <w:pPr>
        <w:pStyle w:val="67"/>
        <w:outlineLvl w:val="9"/>
        <w:rPr>
          <w:rFonts w:hint="eastAsia" w:ascii="宋体" w:hAnsi="宋体" w:eastAsia="宋体" w:cs="宋体"/>
          <w:b w:val="0"/>
          <w:bCs/>
          <w:color w:val="auto"/>
          <w:sz w:val="21"/>
          <w:szCs w:val="21"/>
          <w:highlight w:val="none"/>
        </w:rPr>
      </w:pPr>
    </w:p>
    <w:p w14:paraId="4443BEE8">
      <w:pPr>
        <w:pStyle w:val="67"/>
        <w:outlineLvl w:val="9"/>
        <w:rPr>
          <w:rFonts w:hint="eastAsia" w:ascii="宋体" w:hAnsi="宋体" w:eastAsia="宋体" w:cs="宋体"/>
          <w:b w:val="0"/>
          <w:bCs/>
          <w:color w:val="auto"/>
          <w:sz w:val="21"/>
          <w:szCs w:val="21"/>
          <w:highlight w:val="none"/>
        </w:rPr>
      </w:pPr>
    </w:p>
    <w:p w14:paraId="23E3B257">
      <w:pPr>
        <w:pStyle w:val="67"/>
        <w:outlineLvl w:val="9"/>
        <w:rPr>
          <w:rFonts w:hint="eastAsia" w:ascii="宋体" w:hAnsi="宋体" w:eastAsia="宋体" w:cs="宋体"/>
          <w:b w:val="0"/>
          <w:bCs/>
          <w:color w:val="auto"/>
          <w:sz w:val="21"/>
          <w:szCs w:val="21"/>
          <w:highlight w:val="none"/>
        </w:rPr>
      </w:pPr>
    </w:p>
    <w:p w14:paraId="7684C8C9">
      <w:pPr>
        <w:pStyle w:val="67"/>
        <w:outlineLvl w:val="9"/>
        <w:rPr>
          <w:rFonts w:hint="eastAsia" w:ascii="宋体" w:hAnsi="宋体" w:eastAsia="宋体" w:cs="宋体"/>
          <w:b w:val="0"/>
          <w:bCs/>
          <w:color w:val="auto"/>
          <w:sz w:val="21"/>
          <w:szCs w:val="21"/>
          <w:highlight w:val="none"/>
        </w:rPr>
      </w:pPr>
    </w:p>
    <w:p w14:paraId="619D720B">
      <w:pPr>
        <w:pStyle w:val="67"/>
        <w:outlineLvl w:val="9"/>
        <w:rPr>
          <w:rFonts w:hint="eastAsia" w:ascii="宋体" w:hAnsi="宋体" w:eastAsia="宋体" w:cs="宋体"/>
          <w:b w:val="0"/>
          <w:bCs/>
          <w:color w:val="auto"/>
          <w:sz w:val="21"/>
          <w:szCs w:val="21"/>
          <w:highlight w:val="none"/>
        </w:rPr>
      </w:pPr>
    </w:p>
    <w:p w14:paraId="004EE0B5">
      <w:pPr>
        <w:pStyle w:val="67"/>
        <w:outlineLvl w:val="9"/>
        <w:rPr>
          <w:rFonts w:hint="eastAsia" w:ascii="宋体" w:hAnsi="宋体" w:eastAsia="宋体" w:cs="宋体"/>
          <w:b w:val="0"/>
          <w:bCs/>
          <w:color w:val="auto"/>
          <w:sz w:val="21"/>
          <w:szCs w:val="21"/>
          <w:highlight w:val="none"/>
        </w:rPr>
      </w:pPr>
    </w:p>
    <w:p w14:paraId="620AAC28">
      <w:pPr>
        <w:pStyle w:val="67"/>
        <w:outlineLvl w:val="9"/>
        <w:rPr>
          <w:rFonts w:hint="eastAsia" w:ascii="宋体" w:hAnsi="宋体" w:eastAsia="宋体" w:cs="宋体"/>
          <w:b w:val="0"/>
          <w:bCs/>
          <w:color w:val="auto"/>
          <w:sz w:val="21"/>
          <w:szCs w:val="21"/>
          <w:highlight w:val="none"/>
        </w:rPr>
      </w:pPr>
    </w:p>
    <w:p w14:paraId="742B62F6">
      <w:pPr>
        <w:pStyle w:val="67"/>
        <w:outlineLvl w:val="9"/>
        <w:rPr>
          <w:rFonts w:hint="eastAsia" w:ascii="宋体" w:hAnsi="宋体" w:eastAsia="宋体" w:cs="宋体"/>
          <w:b w:val="0"/>
          <w:bCs/>
          <w:color w:val="auto"/>
          <w:sz w:val="21"/>
          <w:szCs w:val="21"/>
          <w:highlight w:val="none"/>
        </w:rPr>
      </w:pPr>
    </w:p>
    <w:p w14:paraId="3FA84371">
      <w:pPr>
        <w:pStyle w:val="67"/>
        <w:outlineLvl w:val="9"/>
        <w:rPr>
          <w:rFonts w:hint="eastAsia" w:ascii="宋体" w:hAnsi="宋体" w:eastAsia="宋体" w:cs="宋体"/>
          <w:b w:val="0"/>
          <w:bCs/>
          <w:color w:val="auto"/>
          <w:sz w:val="21"/>
          <w:szCs w:val="21"/>
          <w:highlight w:val="none"/>
        </w:rPr>
      </w:pPr>
    </w:p>
    <w:p w14:paraId="135DECD2">
      <w:pPr>
        <w:pStyle w:val="67"/>
        <w:outlineLvl w:val="9"/>
        <w:rPr>
          <w:rFonts w:hint="eastAsia" w:ascii="宋体" w:hAnsi="宋体" w:eastAsia="宋体" w:cs="宋体"/>
          <w:b w:val="0"/>
          <w:bCs/>
          <w:color w:val="auto"/>
          <w:sz w:val="21"/>
          <w:szCs w:val="21"/>
          <w:highlight w:val="none"/>
        </w:rPr>
      </w:pPr>
    </w:p>
    <w:p w14:paraId="72B5B89B">
      <w:pPr>
        <w:pStyle w:val="67"/>
        <w:outlineLvl w:val="9"/>
        <w:rPr>
          <w:rFonts w:hint="eastAsia" w:ascii="宋体" w:hAnsi="宋体" w:eastAsia="宋体" w:cs="宋体"/>
          <w:b w:val="0"/>
          <w:bCs/>
          <w:color w:val="auto"/>
          <w:sz w:val="21"/>
          <w:szCs w:val="21"/>
          <w:highlight w:val="none"/>
        </w:rPr>
      </w:pPr>
    </w:p>
    <w:p w14:paraId="169A8353">
      <w:pPr>
        <w:pStyle w:val="67"/>
        <w:outlineLvl w:val="9"/>
        <w:rPr>
          <w:rFonts w:hint="eastAsia" w:ascii="宋体" w:hAnsi="宋体" w:eastAsia="宋体" w:cs="宋体"/>
          <w:b w:val="0"/>
          <w:bCs/>
          <w:color w:val="auto"/>
          <w:sz w:val="21"/>
          <w:szCs w:val="21"/>
          <w:highlight w:val="none"/>
        </w:rPr>
      </w:pPr>
    </w:p>
    <w:p w14:paraId="5B58D6FB">
      <w:pPr>
        <w:pStyle w:val="67"/>
        <w:outlineLvl w:val="9"/>
        <w:rPr>
          <w:rFonts w:hint="eastAsia" w:ascii="宋体" w:hAnsi="宋体" w:eastAsia="宋体" w:cs="宋体"/>
          <w:b w:val="0"/>
          <w:bCs/>
          <w:color w:val="auto"/>
          <w:sz w:val="21"/>
          <w:szCs w:val="21"/>
          <w:highlight w:val="none"/>
        </w:rPr>
      </w:pPr>
    </w:p>
    <w:p w14:paraId="74286AA5">
      <w:pPr>
        <w:pStyle w:val="67"/>
        <w:outlineLvl w:val="9"/>
        <w:rPr>
          <w:rFonts w:hint="eastAsia" w:ascii="宋体" w:hAnsi="宋体" w:eastAsia="宋体" w:cs="宋体"/>
          <w:b w:val="0"/>
          <w:bCs/>
          <w:color w:val="auto"/>
          <w:sz w:val="21"/>
          <w:szCs w:val="21"/>
          <w:highlight w:val="none"/>
        </w:rPr>
      </w:pPr>
    </w:p>
    <w:p w14:paraId="2071C990">
      <w:pPr>
        <w:pStyle w:val="67"/>
        <w:outlineLvl w:val="9"/>
        <w:rPr>
          <w:rFonts w:hint="eastAsia" w:ascii="宋体" w:hAnsi="宋体" w:eastAsia="宋体" w:cs="宋体"/>
          <w:b w:val="0"/>
          <w:bCs/>
          <w:color w:val="auto"/>
          <w:sz w:val="21"/>
          <w:szCs w:val="21"/>
          <w:highlight w:val="none"/>
        </w:rPr>
      </w:pPr>
    </w:p>
    <w:p w14:paraId="7A1F230F">
      <w:pPr>
        <w:pStyle w:val="67"/>
        <w:outlineLvl w:val="9"/>
        <w:rPr>
          <w:rFonts w:hint="eastAsia" w:ascii="宋体" w:hAnsi="宋体" w:eastAsia="宋体" w:cs="宋体"/>
          <w:b w:val="0"/>
          <w:bCs/>
          <w:color w:val="auto"/>
          <w:sz w:val="21"/>
          <w:szCs w:val="21"/>
          <w:highlight w:val="none"/>
        </w:rPr>
      </w:pPr>
    </w:p>
    <w:p w14:paraId="4CDDF3D8">
      <w:pPr>
        <w:pStyle w:val="67"/>
        <w:outlineLvl w:val="9"/>
        <w:rPr>
          <w:rFonts w:hint="eastAsia" w:ascii="宋体" w:hAnsi="宋体" w:eastAsia="宋体" w:cs="宋体"/>
          <w:b w:val="0"/>
          <w:bCs/>
          <w:color w:val="auto"/>
          <w:sz w:val="21"/>
          <w:szCs w:val="21"/>
          <w:highlight w:val="none"/>
        </w:rPr>
      </w:pPr>
    </w:p>
    <w:p w14:paraId="7A0CA8C2">
      <w:pPr>
        <w:pStyle w:val="67"/>
        <w:outlineLvl w:val="9"/>
        <w:rPr>
          <w:rFonts w:hint="eastAsia" w:ascii="宋体" w:hAnsi="宋体" w:eastAsia="宋体" w:cs="宋体"/>
          <w:b w:val="0"/>
          <w:bCs/>
          <w:color w:val="auto"/>
          <w:sz w:val="21"/>
          <w:szCs w:val="21"/>
          <w:highlight w:val="none"/>
        </w:rPr>
      </w:pPr>
    </w:p>
    <w:p w14:paraId="55D834C6">
      <w:pPr>
        <w:pStyle w:val="67"/>
        <w:outlineLvl w:val="9"/>
        <w:rPr>
          <w:rFonts w:hint="eastAsia" w:ascii="宋体" w:hAnsi="宋体" w:eastAsia="宋体" w:cs="宋体"/>
          <w:b w:val="0"/>
          <w:bCs/>
          <w:color w:val="auto"/>
          <w:sz w:val="21"/>
          <w:szCs w:val="21"/>
          <w:highlight w:val="none"/>
        </w:rPr>
      </w:pPr>
    </w:p>
    <w:p w14:paraId="736745DB">
      <w:pPr>
        <w:pStyle w:val="67"/>
        <w:outlineLvl w:val="9"/>
        <w:rPr>
          <w:rFonts w:hint="eastAsia" w:ascii="宋体" w:hAnsi="宋体" w:eastAsia="宋体" w:cs="宋体"/>
          <w:b w:val="0"/>
          <w:bCs/>
          <w:color w:val="auto"/>
          <w:sz w:val="21"/>
          <w:szCs w:val="21"/>
          <w:highlight w:val="none"/>
        </w:rPr>
      </w:pPr>
    </w:p>
    <w:p w14:paraId="2CBBB78C">
      <w:pPr>
        <w:pStyle w:val="67"/>
        <w:outlineLvl w:val="9"/>
        <w:rPr>
          <w:rFonts w:hint="eastAsia" w:ascii="宋体" w:hAnsi="宋体" w:eastAsia="宋体" w:cs="宋体"/>
          <w:b w:val="0"/>
          <w:bCs/>
          <w:color w:val="auto"/>
          <w:sz w:val="21"/>
          <w:szCs w:val="21"/>
          <w:highlight w:val="none"/>
        </w:rPr>
      </w:pPr>
    </w:p>
    <w:p w14:paraId="1A2A3312">
      <w:pPr>
        <w:pStyle w:val="67"/>
        <w:outlineLvl w:val="9"/>
        <w:rPr>
          <w:rFonts w:hint="eastAsia" w:ascii="宋体" w:hAnsi="宋体" w:eastAsia="宋体" w:cs="宋体"/>
          <w:b w:val="0"/>
          <w:bCs/>
          <w:color w:val="auto"/>
          <w:sz w:val="21"/>
          <w:szCs w:val="21"/>
          <w:highlight w:val="none"/>
        </w:rPr>
      </w:pPr>
    </w:p>
    <w:p w14:paraId="71D76C78">
      <w:pPr>
        <w:pStyle w:val="67"/>
        <w:outlineLvl w:val="9"/>
        <w:rPr>
          <w:rFonts w:hint="eastAsia" w:ascii="宋体" w:hAnsi="宋体" w:eastAsia="宋体" w:cs="宋体"/>
          <w:b w:val="0"/>
          <w:bCs/>
          <w:color w:val="auto"/>
          <w:sz w:val="21"/>
          <w:szCs w:val="21"/>
          <w:highlight w:val="none"/>
        </w:rPr>
      </w:pPr>
    </w:p>
    <w:p w14:paraId="6C3780FE">
      <w:pPr>
        <w:pStyle w:val="67"/>
        <w:outlineLvl w:val="9"/>
        <w:rPr>
          <w:rFonts w:hint="eastAsia" w:ascii="宋体" w:hAnsi="宋体" w:eastAsia="宋体" w:cs="宋体"/>
          <w:b w:val="0"/>
          <w:bCs/>
          <w:color w:val="auto"/>
          <w:sz w:val="21"/>
          <w:szCs w:val="21"/>
          <w:highlight w:val="none"/>
        </w:rPr>
      </w:pPr>
    </w:p>
    <w:p w14:paraId="17F6A171">
      <w:pPr>
        <w:pStyle w:val="67"/>
        <w:outlineLvl w:val="9"/>
        <w:rPr>
          <w:rFonts w:hint="eastAsia" w:ascii="宋体" w:hAnsi="宋体" w:eastAsia="宋体" w:cs="宋体"/>
          <w:b w:val="0"/>
          <w:bCs/>
          <w:color w:val="auto"/>
          <w:sz w:val="21"/>
          <w:szCs w:val="21"/>
          <w:highlight w:val="none"/>
        </w:rPr>
      </w:pPr>
    </w:p>
    <w:p w14:paraId="4C4EE763">
      <w:pPr>
        <w:pStyle w:val="67"/>
        <w:outlineLvl w:val="9"/>
        <w:rPr>
          <w:rFonts w:hint="eastAsia" w:ascii="宋体" w:hAnsi="宋体" w:eastAsia="宋体" w:cs="宋体"/>
          <w:b w:val="0"/>
          <w:bCs/>
          <w:color w:val="auto"/>
          <w:sz w:val="21"/>
          <w:szCs w:val="21"/>
          <w:highlight w:val="none"/>
        </w:rPr>
      </w:pPr>
    </w:p>
    <w:p w14:paraId="54F65E7D">
      <w:pPr>
        <w:pStyle w:val="67"/>
        <w:outlineLvl w:val="9"/>
        <w:rPr>
          <w:rFonts w:hint="eastAsia" w:ascii="宋体" w:hAnsi="宋体" w:eastAsia="宋体" w:cs="宋体"/>
          <w:b w:val="0"/>
          <w:bCs/>
          <w:color w:val="auto"/>
          <w:sz w:val="21"/>
          <w:szCs w:val="21"/>
          <w:highlight w:val="none"/>
        </w:rPr>
      </w:pPr>
    </w:p>
    <w:p w14:paraId="004AD5E3">
      <w:pPr>
        <w:spacing w:before="280" w:after="290" w:line="360" w:lineRule="exact"/>
        <w:ind w:firstLine="480" w:firstLineChars="200"/>
        <w:jc w:val="both"/>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附表一：拟投入本工程的主要施工设备表</w:t>
      </w:r>
    </w:p>
    <w:tbl>
      <w:tblPr>
        <w:tblStyle w:val="25"/>
        <w:tblW w:w="0" w:type="auto"/>
        <w:jc w:val="center"/>
        <w:tblLayout w:type="fixed"/>
        <w:tblCellMar>
          <w:top w:w="0" w:type="dxa"/>
          <w:left w:w="108" w:type="dxa"/>
          <w:bottom w:w="0" w:type="dxa"/>
          <w:right w:w="108" w:type="dxa"/>
        </w:tblCellMar>
      </w:tblPr>
      <w:tblGrid>
        <w:gridCol w:w="717"/>
        <w:gridCol w:w="1176"/>
        <w:gridCol w:w="791"/>
        <w:gridCol w:w="812"/>
        <w:gridCol w:w="812"/>
        <w:gridCol w:w="1072"/>
        <w:gridCol w:w="936"/>
        <w:gridCol w:w="835"/>
        <w:gridCol w:w="939"/>
        <w:gridCol w:w="835"/>
      </w:tblGrid>
      <w:tr w14:paraId="556956E6">
        <w:tblPrEx>
          <w:tblCellMar>
            <w:top w:w="0" w:type="dxa"/>
            <w:left w:w="108" w:type="dxa"/>
            <w:bottom w:w="0" w:type="dxa"/>
            <w:right w:w="108" w:type="dxa"/>
          </w:tblCellMar>
        </w:tblPrEx>
        <w:trPr>
          <w:trHeight w:val="91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9C902E0">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序号</w:t>
            </w:r>
          </w:p>
        </w:tc>
        <w:tc>
          <w:tcPr>
            <w:tcW w:w="1176" w:type="dxa"/>
            <w:tcBorders>
              <w:top w:val="single" w:color="auto" w:sz="4" w:space="0"/>
              <w:left w:val="nil"/>
              <w:bottom w:val="single" w:color="auto" w:sz="4" w:space="0"/>
              <w:right w:val="single" w:color="auto" w:sz="4" w:space="0"/>
            </w:tcBorders>
            <w:noWrap w:val="0"/>
            <w:vAlign w:val="center"/>
          </w:tcPr>
          <w:p w14:paraId="4B53AFA5">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设备名称</w:t>
            </w:r>
          </w:p>
        </w:tc>
        <w:tc>
          <w:tcPr>
            <w:tcW w:w="791" w:type="dxa"/>
            <w:tcBorders>
              <w:top w:val="single" w:color="auto" w:sz="4" w:space="0"/>
              <w:left w:val="nil"/>
              <w:bottom w:val="single" w:color="auto" w:sz="4" w:space="0"/>
              <w:right w:val="single" w:color="auto" w:sz="4" w:space="0"/>
            </w:tcBorders>
            <w:noWrap w:val="0"/>
            <w:vAlign w:val="center"/>
          </w:tcPr>
          <w:p w14:paraId="496168C2">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型号</w:t>
            </w:r>
          </w:p>
          <w:p w14:paraId="7CBF0B67">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规格</w:t>
            </w:r>
          </w:p>
        </w:tc>
        <w:tc>
          <w:tcPr>
            <w:tcW w:w="812" w:type="dxa"/>
            <w:tcBorders>
              <w:top w:val="single" w:color="auto" w:sz="4" w:space="0"/>
              <w:left w:val="nil"/>
              <w:bottom w:val="single" w:color="auto" w:sz="4" w:space="0"/>
              <w:right w:val="single" w:color="auto" w:sz="4" w:space="0"/>
            </w:tcBorders>
            <w:noWrap w:val="0"/>
            <w:vAlign w:val="center"/>
          </w:tcPr>
          <w:p w14:paraId="1CEDA4E3">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数量</w:t>
            </w:r>
          </w:p>
        </w:tc>
        <w:tc>
          <w:tcPr>
            <w:tcW w:w="812" w:type="dxa"/>
            <w:tcBorders>
              <w:top w:val="single" w:color="auto" w:sz="4" w:space="0"/>
              <w:left w:val="nil"/>
              <w:bottom w:val="single" w:color="auto" w:sz="4" w:space="0"/>
              <w:right w:val="single" w:color="auto" w:sz="4" w:space="0"/>
            </w:tcBorders>
            <w:noWrap w:val="0"/>
            <w:vAlign w:val="center"/>
          </w:tcPr>
          <w:p w14:paraId="6B3FF907">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国别</w:t>
            </w:r>
          </w:p>
          <w:p w14:paraId="6DD9B932">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产地</w:t>
            </w:r>
          </w:p>
        </w:tc>
        <w:tc>
          <w:tcPr>
            <w:tcW w:w="1072" w:type="dxa"/>
            <w:tcBorders>
              <w:top w:val="single" w:color="auto" w:sz="4" w:space="0"/>
              <w:left w:val="nil"/>
              <w:bottom w:val="single" w:color="auto" w:sz="4" w:space="0"/>
              <w:right w:val="single" w:color="auto" w:sz="4" w:space="0"/>
            </w:tcBorders>
            <w:noWrap w:val="0"/>
            <w:vAlign w:val="center"/>
          </w:tcPr>
          <w:p w14:paraId="49B00868">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制造</w:t>
            </w:r>
          </w:p>
          <w:p w14:paraId="47CE3CEC">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年份</w:t>
            </w:r>
          </w:p>
        </w:tc>
        <w:tc>
          <w:tcPr>
            <w:tcW w:w="936" w:type="dxa"/>
            <w:tcBorders>
              <w:top w:val="single" w:color="auto" w:sz="4" w:space="0"/>
              <w:left w:val="nil"/>
              <w:bottom w:val="single" w:color="auto" w:sz="4" w:space="0"/>
              <w:right w:val="single" w:color="auto" w:sz="4" w:space="0"/>
            </w:tcBorders>
            <w:noWrap w:val="0"/>
            <w:vAlign w:val="center"/>
          </w:tcPr>
          <w:p w14:paraId="66BCB85E">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额定</w:t>
            </w:r>
          </w:p>
          <w:p w14:paraId="0C372C8D">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功率</w:t>
            </w:r>
          </w:p>
          <w:p w14:paraId="5B36FB4C">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KW )</w:t>
            </w:r>
          </w:p>
        </w:tc>
        <w:tc>
          <w:tcPr>
            <w:tcW w:w="835" w:type="dxa"/>
            <w:tcBorders>
              <w:top w:val="single" w:color="auto" w:sz="4" w:space="0"/>
              <w:left w:val="nil"/>
              <w:bottom w:val="single" w:color="auto" w:sz="4" w:space="0"/>
              <w:right w:val="single" w:color="auto" w:sz="4" w:space="0"/>
            </w:tcBorders>
            <w:noWrap w:val="0"/>
            <w:vAlign w:val="center"/>
          </w:tcPr>
          <w:p w14:paraId="491F96FF">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生产</w:t>
            </w:r>
          </w:p>
          <w:p w14:paraId="3D003DF6">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能力</w:t>
            </w:r>
          </w:p>
        </w:tc>
        <w:tc>
          <w:tcPr>
            <w:tcW w:w="939" w:type="dxa"/>
            <w:tcBorders>
              <w:top w:val="single" w:color="auto" w:sz="4" w:space="0"/>
              <w:left w:val="nil"/>
              <w:bottom w:val="single" w:color="auto" w:sz="4" w:space="0"/>
              <w:right w:val="single" w:color="auto" w:sz="4" w:space="0"/>
            </w:tcBorders>
            <w:noWrap w:val="0"/>
            <w:vAlign w:val="center"/>
          </w:tcPr>
          <w:p w14:paraId="22E3BD99">
            <w:pP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用于施</w:t>
            </w:r>
          </w:p>
          <w:p w14:paraId="4C6CA0B7">
            <w:pP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工部位</w:t>
            </w:r>
          </w:p>
        </w:tc>
        <w:tc>
          <w:tcPr>
            <w:tcW w:w="835" w:type="dxa"/>
            <w:tcBorders>
              <w:top w:val="single" w:color="auto" w:sz="4" w:space="0"/>
              <w:left w:val="nil"/>
              <w:bottom w:val="single" w:color="auto" w:sz="4" w:space="0"/>
              <w:right w:val="single" w:color="auto" w:sz="4" w:space="0"/>
            </w:tcBorders>
            <w:noWrap w:val="0"/>
            <w:vAlign w:val="center"/>
          </w:tcPr>
          <w:p w14:paraId="2AAE4939">
            <w:pPr>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备注</w:t>
            </w:r>
          </w:p>
        </w:tc>
      </w:tr>
      <w:tr w14:paraId="7ABD47E4">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291BCC63">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729EEA58">
            <w:pPr>
              <w:spacing w:line="360" w:lineRule="auto"/>
              <w:ind w:firstLine="480" w:firstLineChars="200"/>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725518D7">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4629A76D">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3B4E932E">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5486861E">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3A157516">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5A0B6C5E">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2E6C7D6C">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6C1460C5">
            <w:pPr>
              <w:spacing w:line="360" w:lineRule="auto"/>
              <w:outlineLvl w:val="9"/>
              <w:rPr>
                <w:rFonts w:hint="eastAsia" w:ascii="宋体" w:hAnsi="宋体" w:eastAsia="宋体" w:cs="宋体"/>
                <w:b w:val="0"/>
                <w:bCs/>
                <w:color w:val="auto"/>
                <w:sz w:val="24"/>
                <w:highlight w:val="none"/>
              </w:rPr>
            </w:pPr>
          </w:p>
        </w:tc>
      </w:tr>
      <w:tr w14:paraId="1A56A79C">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16742346">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31AC4B9A">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5F85D9BE">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0F75B845">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5C318E14">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1EE2E367">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68A0852B">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6FE943A5">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14757BC9">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0F02F4BA">
            <w:pPr>
              <w:spacing w:line="360" w:lineRule="auto"/>
              <w:outlineLvl w:val="9"/>
              <w:rPr>
                <w:rFonts w:hint="eastAsia" w:ascii="宋体" w:hAnsi="宋体" w:eastAsia="宋体" w:cs="宋体"/>
                <w:b w:val="0"/>
                <w:bCs/>
                <w:color w:val="auto"/>
                <w:sz w:val="24"/>
                <w:highlight w:val="none"/>
              </w:rPr>
            </w:pPr>
          </w:p>
        </w:tc>
      </w:tr>
      <w:tr w14:paraId="525F6234">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5710535B">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48683CCA">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09B2DB86">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730C33F5">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4030F5E5">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5A9F8CDC">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6312F529">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04F8BF51">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1608D6E5">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429945D2">
            <w:pPr>
              <w:spacing w:line="360" w:lineRule="auto"/>
              <w:outlineLvl w:val="9"/>
              <w:rPr>
                <w:rFonts w:hint="eastAsia" w:ascii="宋体" w:hAnsi="宋体" w:eastAsia="宋体" w:cs="宋体"/>
                <w:b w:val="0"/>
                <w:bCs/>
                <w:color w:val="auto"/>
                <w:sz w:val="24"/>
                <w:highlight w:val="none"/>
              </w:rPr>
            </w:pPr>
          </w:p>
        </w:tc>
      </w:tr>
      <w:tr w14:paraId="7F9360E7">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0BFBD028">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4115E795">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0D757E96">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085E4AFB">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4EBAE422">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638CCDB5">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5A750822">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45A43959">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233DAD33">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46A017CF">
            <w:pPr>
              <w:spacing w:line="360" w:lineRule="auto"/>
              <w:outlineLvl w:val="9"/>
              <w:rPr>
                <w:rFonts w:hint="eastAsia" w:ascii="宋体" w:hAnsi="宋体" w:eastAsia="宋体" w:cs="宋体"/>
                <w:b w:val="0"/>
                <w:bCs/>
                <w:color w:val="auto"/>
                <w:sz w:val="24"/>
                <w:highlight w:val="none"/>
              </w:rPr>
            </w:pPr>
          </w:p>
        </w:tc>
      </w:tr>
      <w:tr w14:paraId="0B501FAE">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08EE24EB">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0942DF9F">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6B21BF55">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6D4FCA65">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219A5AFE">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0383A138">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1E130D94">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4DA6C21A">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07960586">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3AF4792F">
            <w:pPr>
              <w:spacing w:line="360" w:lineRule="auto"/>
              <w:outlineLvl w:val="9"/>
              <w:rPr>
                <w:rFonts w:hint="eastAsia" w:ascii="宋体" w:hAnsi="宋体" w:eastAsia="宋体" w:cs="宋体"/>
                <w:b w:val="0"/>
                <w:bCs/>
                <w:color w:val="auto"/>
                <w:sz w:val="24"/>
                <w:highlight w:val="none"/>
              </w:rPr>
            </w:pPr>
          </w:p>
        </w:tc>
      </w:tr>
      <w:tr w14:paraId="08E738B4">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54E4516D">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24CB36A5">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0FA16BCB">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60355BF0">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24BC2A6D">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5BFECF2E">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7E57E00B">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35901122">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00EE410C">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700E3E0C">
            <w:pPr>
              <w:spacing w:line="360" w:lineRule="auto"/>
              <w:outlineLvl w:val="9"/>
              <w:rPr>
                <w:rFonts w:hint="eastAsia" w:ascii="宋体" w:hAnsi="宋体" w:eastAsia="宋体" w:cs="宋体"/>
                <w:b w:val="0"/>
                <w:bCs/>
                <w:color w:val="auto"/>
                <w:sz w:val="24"/>
                <w:highlight w:val="none"/>
              </w:rPr>
            </w:pPr>
          </w:p>
        </w:tc>
      </w:tr>
      <w:tr w14:paraId="5A1A3740">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1B8EBD18">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17F8B0DF">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06B85EE4">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5D41335F">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7E0C9910">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2172B9BD">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076FE4FD">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0B1C57A0">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62787554">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5AAB8A6E">
            <w:pPr>
              <w:spacing w:line="360" w:lineRule="auto"/>
              <w:outlineLvl w:val="9"/>
              <w:rPr>
                <w:rFonts w:hint="eastAsia" w:ascii="宋体" w:hAnsi="宋体" w:eastAsia="宋体" w:cs="宋体"/>
                <w:b w:val="0"/>
                <w:bCs/>
                <w:color w:val="auto"/>
                <w:sz w:val="24"/>
                <w:highlight w:val="none"/>
              </w:rPr>
            </w:pPr>
          </w:p>
        </w:tc>
      </w:tr>
      <w:tr w14:paraId="24E65AF7">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3DB81A02">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7E66E176">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4A539139">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190625EE">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3BAC6905">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69395EFE">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4E25AF38">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4A1BDC15">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410076C2">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24D1A5BD">
            <w:pPr>
              <w:spacing w:line="360" w:lineRule="auto"/>
              <w:outlineLvl w:val="9"/>
              <w:rPr>
                <w:rFonts w:hint="eastAsia" w:ascii="宋体" w:hAnsi="宋体" w:eastAsia="宋体" w:cs="宋体"/>
                <w:b w:val="0"/>
                <w:bCs/>
                <w:color w:val="auto"/>
                <w:sz w:val="24"/>
                <w:highlight w:val="none"/>
              </w:rPr>
            </w:pPr>
          </w:p>
        </w:tc>
      </w:tr>
      <w:tr w14:paraId="0ED3C012">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78D628DC">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25E50649">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11C8385A">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4B3DC9AB">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0A61142D">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063C859F">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1D48B3A1">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3F91FC35">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5E93B14B">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5B7A6BAC">
            <w:pPr>
              <w:spacing w:line="360" w:lineRule="auto"/>
              <w:outlineLvl w:val="9"/>
              <w:rPr>
                <w:rFonts w:hint="eastAsia" w:ascii="宋体" w:hAnsi="宋体" w:eastAsia="宋体" w:cs="宋体"/>
                <w:b w:val="0"/>
                <w:bCs/>
                <w:color w:val="auto"/>
                <w:sz w:val="24"/>
                <w:highlight w:val="none"/>
              </w:rPr>
            </w:pPr>
          </w:p>
        </w:tc>
      </w:tr>
      <w:tr w14:paraId="62D1A59F">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068763D1">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6682C777">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4FFDE0C4">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021C0B3C">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49FF708F">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768BD59D">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560BB230">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2C265896">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30D4E0CE">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42227397">
            <w:pPr>
              <w:spacing w:line="360" w:lineRule="auto"/>
              <w:outlineLvl w:val="9"/>
              <w:rPr>
                <w:rFonts w:hint="eastAsia" w:ascii="宋体" w:hAnsi="宋体" w:eastAsia="宋体" w:cs="宋体"/>
                <w:b w:val="0"/>
                <w:bCs/>
                <w:color w:val="auto"/>
                <w:sz w:val="24"/>
                <w:highlight w:val="none"/>
              </w:rPr>
            </w:pPr>
          </w:p>
        </w:tc>
      </w:tr>
      <w:tr w14:paraId="5CDFABA9">
        <w:tblPrEx>
          <w:tblCellMar>
            <w:top w:w="0" w:type="dxa"/>
            <w:left w:w="108" w:type="dxa"/>
            <w:bottom w:w="0" w:type="dxa"/>
            <w:right w:w="108" w:type="dxa"/>
          </w:tblCellMar>
        </w:tblPrEx>
        <w:trPr>
          <w:trHeight w:val="7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2201FDB4">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1F16B39C">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14D1296E">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3AB0FC1C">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7999F7A7">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790BC899">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71E59ADB">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66B4C67B">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264DB143">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3456B825">
            <w:pPr>
              <w:spacing w:line="360" w:lineRule="auto"/>
              <w:outlineLvl w:val="9"/>
              <w:rPr>
                <w:rFonts w:hint="eastAsia" w:ascii="宋体" w:hAnsi="宋体" w:eastAsia="宋体" w:cs="宋体"/>
                <w:b w:val="0"/>
                <w:bCs/>
                <w:color w:val="auto"/>
                <w:sz w:val="24"/>
                <w:highlight w:val="none"/>
              </w:rPr>
            </w:pPr>
          </w:p>
        </w:tc>
      </w:tr>
      <w:tr w14:paraId="6D41CC00">
        <w:tblPrEx>
          <w:tblCellMar>
            <w:top w:w="0" w:type="dxa"/>
            <w:left w:w="108" w:type="dxa"/>
            <w:bottom w:w="0" w:type="dxa"/>
            <w:right w:w="108" w:type="dxa"/>
          </w:tblCellMar>
        </w:tblPrEx>
        <w:trPr>
          <w:trHeight w:val="72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top"/>
          </w:tcPr>
          <w:p w14:paraId="79FC215F">
            <w:pPr>
              <w:spacing w:line="360" w:lineRule="auto"/>
              <w:outlineLvl w:val="9"/>
              <w:rPr>
                <w:rFonts w:hint="eastAsia" w:ascii="宋体" w:hAnsi="宋体" w:eastAsia="宋体" w:cs="宋体"/>
                <w:b w:val="0"/>
                <w:bCs/>
                <w:color w:val="auto"/>
                <w:sz w:val="24"/>
                <w:highlight w:val="none"/>
              </w:rPr>
            </w:pPr>
          </w:p>
        </w:tc>
        <w:tc>
          <w:tcPr>
            <w:tcW w:w="1176" w:type="dxa"/>
            <w:tcBorders>
              <w:top w:val="single" w:color="auto" w:sz="4" w:space="0"/>
              <w:left w:val="nil"/>
              <w:bottom w:val="single" w:color="auto" w:sz="4" w:space="0"/>
              <w:right w:val="single" w:color="auto" w:sz="4" w:space="0"/>
            </w:tcBorders>
            <w:noWrap w:val="0"/>
            <w:vAlign w:val="top"/>
          </w:tcPr>
          <w:p w14:paraId="5EB23575">
            <w:pPr>
              <w:spacing w:line="360" w:lineRule="auto"/>
              <w:outlineLvl w:val="9"/>
              <w:rPr>
                <w:rFonts w:hint="eastAsia" w:ascii="宋体" w:hAnsi="宋体" w:eastAsia="宋体" w:cs="宋体"/>
                <w:b w:val="0"/>
                <w:bCs/>
                <w:color w:val="auto"/>
                <w:sz w:val="24"/>
                <w:highlight w:val="none"/>
              </w:rPr>
            </w:pPr>
          </w:p>
        </w:tc>
        <w:tc>
          <w:tcPr>
            <w:tcW w:w="791" w:type="dxa"/>
            <w:tcBorders>
              <w:top w:val="single" w:color="auto" w:sz="4" w:space="0"/>
              <w:left w:val="nil"/>
              <w:bottom w:val="single" w:color="auto" w:sz="4" w:space="0"/>
              <w:right w:val="single" w:color="auto" w:sz="4" w:space="0"/>
            </w:tcBorders>
            <w:noWrap w:val="0"/>
            <w:vAlign w:val="top"/>
          </w:tcPr>
          <w:p w14:paraId="0779D013">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365EA4A0">
            <w:pPr>
              <w:spacing w:line="360" w:lineRule="auto"/>
              <w:outlineLvl w:val="9"/>
              <w:rPr>
                <w:rFonts w:hint="eastAsia" w:ascii="宋体" w:hAnsi="宋体" w:eastAsia="宋体" w:cs="宋体"/>
                <w:b w:val="0"/>
                <w:bCs/>
                <w:color w:val="auto"/>
                <w:sz w:val="24"/>
                <w:highlight w:val="none"/>
              </w:rPr>
            </w:pPr>
          </w:p>
        </w:tc>
        <w:tc>
          <w:tcPr>
            <w:tcW w:w="812" w:type="dxa"/>
            <w:tcBorders>
              <w:top w:val="single" w:color="auto" w:sz="4" w:space="0"/>
              <w:left w:val="nil"/>
              <w:bottom w:val="single" w:color="auto" w:sz="4" w:space="0"/>
              <w:right w:val="single" w:color="auto" w:sz="4" w:space="0"/>
            </w:tcBorders>
            <w:noWrap w:val="0"/>
            <w:vAlign w:val="top"/>
          </w:tcPr>
          <w:p w14:paraId="7E8F07DF">
            <w:pPr>
              <w:spacing w:line="360" w:lineRule="auto"/>
              <w:outlineLvl w:val="9"/>
              <w:rPr>
                <w:rFonts w:hint="eastAsia" w:ascii="宋体" w:hAnsi="宋体" w:eastAsia="宋体" w:cs="宋体"/>
                <w:b w:val="0"/>
                <w:bCs/>
                <w:color w:val="auto"/>
                <w:sz w:val="24"/>
                <w:highlight w:val="none"/>
              </w:rPr>
            </w:pPr>
          </w:p>
        </w:tc>
        <w:tc>
          <w:tcPr>
            <w:tcW w:w="1072" w:type="dxa"/>
            <w:tcBorders>
              <w:top w:val="single" w:color="auto" w:sz="4" w:space="0"/>
              <w:left w:val="nil"/>
              <w:bottom w:val="single" w:color="auto" w:sz="4" w:space="0"/>
              <w:right w:val="single" w:color="auto" w:sz="4" w:space="0"/>
            </w:tcBorders>
            <w:noWrap w:val="0"/>
            <w:vAlign w:val="top"/>
          </w:tcPr>
          <w:p w14:paraId="65043312">
            <w:pPr>
              <w:spacing w:line="360" w:lineRule="auto"/>
              <w:outlineLvl w:val="9"/>
              <w:rPr>
                <w:rFonts w:hint="eastAsia" w:ascii="宋体" w:hAnsi="宋体" w:eastAsia="宋体" w:cs="宋体"/>
                <w:b w:val="0"/>
                <w:bCs/>
                <w:color w:val="auto"/>
                <w:sz w:val="24"/>
                <w:highlight w:val="none"/>
              </w:rPr>
            </w:pPr>
          </w:p>
        </w:tc>
        <w:tc>
          <w:tcPr>
            <w:tcW w:w="936" w:type="dxa"/>
            <w:tcBorders>
              <w:top w:val="single" w:color="auto" w:sz="4" w:space="0"/>
              <w:left w:val="nil"/>
              <w:bottom w:val="single" w:color="auto" w:sz="4" w:space="0"/>
              <w:right w:val="single" w:color="auto" w:sz="4" w:space="0"/>
            </w:tcBorders>
            <w:noWrap w:val="0"/>
            <w:vAlign w:val="top"/>
          </w:tcPr>
          <w:p w14:paraId="668BF808">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6B9D9958">
            <w:pPr>
              <w:spacing w:line="360" w:lineRule="auto"/>
              <w:outlineLvl w:val="9"/>
              <w:rPr>
                <w:rFonts w:hint="eastAsia" w:ascii="宋体" w:hAnsi="宋体" w:eastAsia="宋体" w:cs="宋体"/>
                <w:b w:val="0"/>
                <w:bCs/>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top"/>
          </w:tcPr>
          <w:p w14:paraId="06C0D020">
            <w:pPr>
              <w:spacing w:line="360" w:lineRule="auto"/>
              <w:outlineLvl w:val="9"/>
              <w:rPr>
                <w:rFonts w:hint="eastAsia" w:ascii="宋体" w:hAnsi="宋体" w:eastAsia="宋体" w:cs="宋体"/>
                <w:b w:val="0"/>
                <w:bCs/>
                <w:color w:val="auto"/>
                <w:sz w:val="24"/>
                <w:highlight w:val="none"/>
              </w:rPr>
            </w:pPr>
          </w:p>
        </w:tc>
        <w:tc>
          <w:tcPr>
            <w:tcW w:w="835" w:type="dxa"/>
            <w:tcBorders>
              <w:top w:val="single" w:color="auto" w:sz="4" w:space="0"/>
              <w:left w:val="nil"/>
              <w:bottom w:val="single" w:color="auto" w:sz="4" w:space="0"/>
              <w:right w:val="single" w:color="auto" w:sz="4" w:space="0"/>
            </w:tcBorders>
            <w:noWrap w:val="0"/>
            <w:vAlign w:val="top"/>
          </w:tcPr>
          <w:p w14:paraId="2B0E7A3C">
            <w:pPr>
              <w:spacing w:line="360" w:lineRule="auto"/>
              <w:outlineLvl w:val="9"/>
              <w:rPr>
                <w:rFonts w:hint="eastAsia" w:ascii="宋体" w:hAnsi="宋体" w:eastAsia="宋体" w:cs="宋体"/>
                <w:b w:val="0"/>
                <w:bCs/>
                <w:color w:val="auto"/>
                <w:sz w:val="24"/>
                <w:highlight w:val="none"/>
              </w:rPr>
            </w:pPr>
          </w:p>
        </w:tc>
      </w:tr>
    </w:tbl>
    <w:p w14:paraId="6F57F3C2">
      <w:pP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w:t>
      </w:r>
    </w:p>
    <w:p w14:paraId="7A68045A">
      <w:pPr>
        <w:spacing w:before="280" w:after="290" w:line="40" w:lineRule="exact"/>
        <w:jc w:val="left"/>
        <w:outlineLvl w:val="9"/>
        <w:rPr>
          <w:rFonts w:hint="eastAsia" w:ascii="宋体" w:hAnsi="宋体" w:eastAsia="宋体" w:cs="宋体"/>
          <w:b w:val="0"/>
          <w:bCs/>
          <w:color w:val="auto"/>
          <w:szCs w:val="21"/>
          <w:highlight w:val="none"/>
        </w:rPr>
      </w:pPr>
    </w:p>
    <w:p w14:paraId="578AB0F3">
      <w:pPr>
        <w:pStyle w:val="11"/>
        <w:outlineLvl w:val="9"/>
        <w:rPr>
          <w:rFonts w:hint="eastAsia" w:ascii="宋体" w:hAnsi="宋体" w:eastAsia="宋体" w:cs="宋体"/>
          <w:b w:val="0"/>
          <w:bCs/>
          <w:color w:val="auto"/>
          <w:szCs w:val="21"/>
          <w:highlight w:val="none"/>
        </w:rPr>
      </w:pPr>
    </w:p>
    <w:p w14:paraId="6A3E95C5">
      <w:pPr>
        <w:outlineLvl w:val="9"/>
        <w:rPr>
          <w:rFonts w:hint="eastAsia"/>
          <w:color w:val="auto"/>
          <w:highlight w:val="none"/>
        </w:rPr>
      </w:pPr>
    </w:p>
    <w:p w14:paraId="3338E78F">
      <w:pPr>
        <w:pStyle w:val="11"/>
        <w:outlineLvl w:val="9"/>
        <w:rPr>
          <w:rFonts w:hint="eastAsia"/>
          <w:color w:val="auto"/>
          <w:highlight w:val="none"/>
        </w:rPr>
      </w:pPr>
    </w:p>
    <w:p w14:paraId="5F55FE6C">
      <w:pPr>
        <w:spacing w:before="280" w:after="290" w:line="360" w:lineRule="exact"/>
        <w:jc w:val="center"/>
        <w:outlineLvl w:val="9"/>
        <w:rPr>
          <w:rFonts w:hint="eastAsia" w:ascii="宋体" w:hAnsi="宋体" w:eastAsia="宋体" w:cs="宋体"/>
          <w:b w:val="0"/>
          <w:bCs/>
          <w:color w:val="auto"/>
          <w:sz w:val="24"/>
          <w:highlight w:val="none"/>
        </w:rPr>
      </w:pPr>
    </w:p>
    <w:p w14:paraId="03EDE6C7">
      <w:pPr>
        <w:spacing w:before="280" w:after="290" w:line="360" w:lineRule="exact"/>
        <w:jc w:val="both"/>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附表</w:t>
      </w: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rPr>
        <w:t>：劳动力计划表</w:t>
      </w:r>
    </w:p>
    <w:p w14:paraId="52DE9ECA">
      <w:pPr>
        <w:spacing w:line="360" w:lineRule="auto"/>
        <w:ind w:firstLine="7920" w:firstLineChars="3300"/>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单位：人</w:t>
      </w:r>
    </w:p>
    <w:tbl>
      <w:tblPr>
        <w:tblStyle w:val="25"/>
        <w:tblW w:w="0" w:type="auto"/>
        <w:tblInd w:w="0" w:type="dxa"/>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3E0DAF9A">
        <w:tblPrEx>
          <w:tblCellMar>
            <w:top w:w="0" w:type="dxa"/>
            <w:left w:w="108" w:type="dxa"/>
            <w:bottom w:w="0" w:type="dxa"/>
            <w:right w:w="108" w:type="dxa"/>
          </w:tblCellMar>
        </w:tblPrEx>
        <w:trPr>
          <w:trHeight w:val="907" w:hRule="atLeast"/>
        </w:trPr>
        <w:tc>
          <w:tcPr>
            <w:tcW w:w="846" w:type="dxa"/>
            <w:tcBorders>
              <w:top w:val="inset" w:color="auto" w:sz="6" w:space="0"/>
              <w:left w:val="inset" w:color="auto" w:sz="6" w:space="0"/>
              <w:bottom w:val="inset" w:color="auto" w:sz="6" w:space="0"/>
              <w:right w:val="inset" w:color="auto" w:sz="6" w:space="0"/>
            </w:tcBorders>
            <w:noWrap w:val="0"/>
            <w:vAlign w:val="center"/>
          </w:tcPr>
          <w:p w14:paraId="185CFFBB">
            <w:pPr>
              <w:spacing w:line="360" w:lineRule="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工种</w:t>
            </w:r>
          </w:p>
        </w:tc>
        <w:tc>
          <w:tcPr>
            <w:tcW w:w="8802" w:type="dxa"/>
            <w:gridSpan w:val="7"/>
            <w:tcBorders>
              <w:top w:val="inset" w:color="auto" w:sz="6" w:space="0"/>
              <w:left w:val="single" w:color="auto" w:sz="0" w:space="0"/>
              <w:bottom w:val="inset" w:color="auto" w:sz="6" w:space="0"/>
              <w:right w:val="inset" w:color="auto" w:sz="6" w:space="0"/>
            </w:tcBorders>
            <w:noWrap w:val="0"/>
            <w:vAlign w:val="center"/>
          </w:tcPr>
          <w:p w14:paraId="7A260A8D">
            <w:pPr>
              <w:spacing w:line="360" w:lineRule="auto"/>
              <w:ind w:firstLine="480" w:firstLineChars="200"/>
              <w:jc w:val="center"/>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按工程施工阶段投入劳动力情况</w:t>
            </w:r>
          </w:p>
        </w:tc>
      </w:tr>
      <w:tr w14:paraId="47CAC587">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504CC1D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95F7F7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CBC2441">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0B498F69">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482821F2">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3E23A428">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F3FF7E1">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76663616">
            <w:pPr>
              <w:spacing w:line="360" w:lineRule="auto"/>
              <w:ind w:firstLine="480" w:firstLineChars="200"/>
              <w:outlineLvl w:val="9"/>
              <w:rPr>
                <w:rFonts w:hint="eastAsia" w:ascii="宋体" w:hAnsi="宋体" w:eastAsia="宋体" w:cs="宋体"/>
                <w:b w:val="0"/>
                <w:bCs/>
                <w:color w:val="auto"/>
                <w:sz w:val="24"/>
                <w:highlight w:val="none"/>
              </w:rPr>
            </w:pPr>
          </w:p>
        </w:tc>
      </w:tr>
      <w:tr w14:paraId="7206D782">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1FDA072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1910DC4">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052CF7A">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B5873BA">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6693C31C">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1B9B214A">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0873D00">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2884C294">
            <w:pPr>
              <w:spacing w:line="360" w:lineRule="auto"/>
              <w:ind w:firstLine="480" w:firstLineChars="200"/>
              <w:outlineLvl w:val="9"/>
              <w:rPr>
                <w:rFonts w:hint="eastAsia" w:ascii="宋体" w:hAnsi="宋体" w:eastAsia="宋体" w:cs="宋体"/>
                <w:b w:val="0"/>
                <w:bCs/>
                <w:color w:val="auto"/>
                <w:sz w:val="24"/>
                <w:highlight w:val="none"/>
              </w:rPr>
            </w:pPr>
          </w:p>
        </w:tc>
      </w:tr>
      <w:tr w14:paraId="1744706B">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636B2095">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2EFE972">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48CC83D1">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7122D27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42FD3A6">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0741134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08E6340E">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7A61CB6A">
            <w:pPr>
              <w:spacing w:line="360" w:lineRule="auto"/>
              <w:ind w:firstLine="480" w:firstLineChars="200"/>
              <w:outlineLvl w:val="9"/>
              <w:rPr>
                <w:rFonts w:hint="eastAsia" w:ascii="宋体" w:hAnsi="宋体" w:eastAsia="宋体" w:cs="宋体"/>
                <w:b w:val="0"/>
                <w:bCs/>
                <w:color w:val="auto"/>
                <w:sz w:val="24"/>
                <w:highlight w:val="none"/>
              </w:rPr>
            </w:pPr>
          </w:p>
        </w:tc>
      </w:tr>
      <w:tr w14:paraId="177F5A25">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651CA344">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1FF3A9CC">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729B245">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47A131F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38AC0B9C">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29D3309">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EA865C0">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0EFA1C7A">
            <w:pPr>
              <w:spacing w:line="360" w:lineRule="auto"/>
              <w:ind w:firstLine="480" w:firstLineChars="200"/>
              <w:outlineLvl w:val="9"/>
              <w:rPr>
                <w:rFonts w:hint="eastAsia" w:ascii="宋体" w:hAnsi="宋体" w:eastAsia="宋体" w:cs="宋体"/>
                <w:b w:val="0"/>
                <w:bCs/>
                <w:color w:val="auto"/>
                <w:sz w:val="24"/>
                <w:highlight w:val="none"/>
              </w:rPr>
            </w:pPr>
          </w:p>
        </w:tc>
      </w:tr>
      <w:tr w14:paraId="01B9BC2D">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4329540E">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9A7D2F4">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6A34E002">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837698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5BD334E">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6533341">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5BF02E9">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20BD4473">
            <w:pPr>
              <w:spacing w:line="360" w:lineRule="auto"/>
              <w:ind w:firstLine="480" w:firstLineChars="200"/>
              <w:outlineLvl w:val="9"/>
              <w:rPr>
                <w:rFonts w:hint="eastAsia" w:ascii="宋体" w:hAnsi="宋体" w:eastAsia="宋体" w:cs="宋体"/>
                <w:b w:val="0"/>
                <w:bCs/>
                <w:color w:val="auto"/>
                <w:sz w:val="24"/>
                <w:highlight w:val="none"/>
              </w:rPr>
            </w:pPr>
          </w:p>
        </w:tc>
      </w:tr>
      <w:tr w14:paraId="09E9A9C5">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6C11721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F99C3B6">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2F5DFA6">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17F8429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0EF8B3B2">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E82DB1A">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1B0BEB45">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828A3CD">
            <w:pPr>
              <w:spacing w:line="360" w:lineRule="auto"/>
              <w:ind w:firstLine="480" w:firstLineChars="200"/>
              <w:outlineLvl w:val="9"/>
              <w:rPr>
                <w:rFonts w:hint="eastAsia" w:ascii="宋体" w:hAnsi="宋体" w:eastAsia="宋体" w:cs="宋体"/>
                <w:b w:val="0"/>
                <w:bCs/>
                <w:color w:val="auto"/>
                <w:sz w:val="24"/>
                <w:highlight w:val="none"/>
              </w:rPr>
            </w:pPr>
          </w:p>
        </w:tc>
      </w:tr>
      <w:tr w14:paraId="4DD5A0BC">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3F4102EA">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15DF9D92">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065C54B6">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C2E1178">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61787BB">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D5E4645">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C53FB39">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099A8FF2">
            <w:pPr>
              <w:spacing w:line="360" w:lineRule="auto"/>
              <w:ind w:firstLine="480" w:firstLineChars="200"/>
              <w:outlineLvl w:val="9"/>
              <w:rPr>
                <w:rFonts w:hint="eastAsia" w:ascii="宋体" w:hAnsi="宋体" w:eastAsia="宋体" w:cs="宋体"/>
                <w:b w:val="0"/>
                <w:bCs/>
                <w:color w:val="auto"/>
                <w:sz w:val="24"/>
                <w:highlight w:val="none"/>
              </w:rPr>
            </w:pPr>
          </w:p>
        </w:tc>
      </w:tr>
      <w:tr w14:paraId="577FC77B">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277C9B98">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46F31D2">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05278DD3">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B664FE9">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419A0BE9">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D82D803">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3F56566C">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03C48DB2">
            <w:pPr>
              <w:spacing w:line="360" w:lineRule="auto"/>
              <w:ind w:firstLine="480" w:firstLineChars="200"/>
              <w:outlineLvl w:val="9"/>
              <w:rPr>
                <w:rFonts w:hint="eastAsia" w:ascii="宋体" w:hAnsi="宋体" w:eastAsia="宋体" w:cs="宋体"/>
                <w:b w:val="0"/>
                <w:bCs/>
                <w:color w:val="auto"/>
                <w:sz w:val="24"/>
                <w:highlight w:val="none"/>
              </w:rPr>
            </w:pPr>
          </w:p>
        </w:tc>
      </w:tr>
      <w:tr w14:paraId="7454ADC9">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4D69FBD8">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500E7F6">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9B95247">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0E94897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12875669">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34485DD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103E8EC">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35DA01ED">
            <w:pPr>
              <w:spacing w:line="360" w:lineRule="auto"/>
              <w:ind w:firstLine="480" w:firstLineChars="200"/>
              <w:outlineLvl w:val="9"/>
              <w:rPr>
                <w:rFonts w:hint="eastAsia" w:ascii="宋体" w:hAnsi="宋体" w:eastAsia="宋体" w:cs="宋体"/>
                <w:b w:val="0"/>
                <w:bCs/>
                <w:color w:val="auto"/>
                <w:sz w:val="24"/>
                <w:highlight w:val="none"/>
              </w:rPr>
            </w:pPr>
          </w:p>
        </w:tc>
      </w:tr>
      <w:tr w14:paraId="0AB1935D">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5F6FB121">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6A4E7FA">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4F7FAE03">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7E1676EE">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3375B056">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3336E56">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6EC5DE3">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79ABCD90">
            <w:pPr>
              <w:spacing w:line="360" w:lineRule="auto"/>
              <w:ind w:firstLine="480" w:firstLineChars="200"/>
              <w:outlineLvl w:val="9"/>
              <w:rPr>
                <w:rFonts w:hint="eastAsia" w:ascii="宋体" w:hAnsi="宋体" w:eastAsia="宋体" w:cs="宋体"/>
                <w:b w:val="0"/>
                <w:bCs/>
                <w:color w:val="auto"/>
                <w:sz w:val="24"/>
                <w:highlight w:val="none"/>
              </w:rPr>
            </w:pPr>
          </w:p>
        </w:tc>
      </w:tr>
      <w:tr w14:paraId="64E2F651">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5AB1FF52">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8DB8FE9">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3AC5D15">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0CC0B1F7">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4A6FD344">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261B9B5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5FFBC1F">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7B8F61C">
            <w:pPr>
              <w:spacing w:line="360" w:lineRule="auto"/>
              <w:ind w:firstLine="480" w:firstLineChars="200"/>
              <w:outlineLvl w:val="9"/>
              <w:rPr>
                <w:rFonts w:hint="eastAsia" w:ascii="宋体" w:hAnsi="宋体" w:eastAsia="宋体" w:cs="宋体"/>
                <w:b w:val="0"/>
                <w:bCs/>
                <w:color w:val="auto"/>
                <w:sz w:val="24"/>
                <w:highlight w:val="none"/>
              </w:rPr>
            </w:pPr>
          </w:p>
        </w:tc>
      </w:tr>
      <w:tr w14:paraId="1C9EDAED">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6EFD7249">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1B2712D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6401BD66">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18FBB364">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0E594499">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1015B6C4">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CDD3C45">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4AB97AE7">
            <w:pPr>
              <w:spacing w:line="360" w:lineRule="auto"/>
              <w:ind w:firstLine="480" w:firstLineChars="200"/>
              <w:outlineLvl w:val="9"/>
              <w:rPr>
                <w:rFonts w:hint="eastAsia" w:ascii="宋体" w:hAnsi="宋体" w:eastAsia="宋体" w:cs="宋体"/>
                <w:b w:val="0"/>
                <w:bCs/>
                <w:color w:val="auto"/>
                <w:sz w:val="24"/>
                <w:highlight w:val="none"/>
              </w:rPr>
            </w:pPr>
          </w:p>
        </w:tc>
      </w:tr>
      <w:tr w14:paraId="33B6467A">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61ED6FC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6759CD56">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0B8F7D9E">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4BFB0817">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4CA79D9">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5F9BC0A">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15E25C74">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232DE302">
            <w:pPr>
              <w:spacing w:line="360" w:lineRule="auto"/>
              <w:ind w:firstLine="480" w:firstLineChars="200"/>
              <w:outlineLvl w:val="9"/>
              <w:rPr>
                <w:rFonts w:hint="eastAsia" w:ascii="宋体" w:hAnsi="宋体" w:eastAsia="宋体" w:cs="宋体"/>
                <w:b w:val="0"/>
                <w:bCs/>
                <w:color w:val="auto"/>
                <w:sz w:val="24"/>
                <w:highlight w:val="none"/>
              </w:rPr>
            </w:pPr>
          </w:p>
        </w:tc>
      </w:tr>
      <w:tr w14:paraId="5D64A07A">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4A1B9A91">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96F4A5F">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A0175A5">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43D98DF2">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01530C0D">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40FD61BA">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3C67CD6">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7A709E48">
            <w:pPr>
              <w:spacing w:line="360" w:lineRule="auto"/>
              <w:ind w:firstLine="480" w:firstLineChars="200"/>
              <w:outlineLvl w:val="9"/>
              <w:rPr>
                <w:rFonts w:hint="eastAsia" w:ascii="宋体" w:hAnsi="宋体" w:eastAsia="宋体" w:cs="宋体"/>
                <w:b w:val="0"/>
                <w:bCs/>
                <w:color w:val="auto"/>
                <w:sz w:val="24"/>
                <w:highlight w:val="none"/>
              </w:rPr>
            </w:pPr>
          </w:p>
        </w:tc>
      </w:tr>
      <w:tr w14:paraId="61D88621">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22166AD6">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1E12E91">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4526D630">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1851623">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1DB84BD">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7515D41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38C88431">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7B6F7164">
            <w:pPr>
              <w:spacing w:line="360" w:lineRule="auto"/>
              <w:ind w:firstLine="480" w:firstLineChars="200"/>
              <w:outlineLvl w:val="9"/>
              <w:rPr>
                <w:rFonts w:hint="eastAsia" w:ascii="宋体" w:hAnsi="宋体" w:eastAsia="宋体" w:cs="宋体"/>
                <w:b w:val="0"/>
                <w:bCs/>
                <w:color w:val="auto"/>
                <w:sz w:val="24"/>
                <w:highlight w:val="none"/>
              </w:rPr>
            </w:pPr>
          </w:p>
        </w:tc>
      </w:tr>
      <w:tr w14:paraId="630537EA">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6F4BC9D6">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1591E65F">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9C8CF86">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8B7B787">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5F43B3A">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3190691A">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6F10210">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169DF06C">
            <w:pPr>
              <w:spacing w:line="360" w:lineRule="auto"/>
              <w:ind w:firstLine="480" w:firstLineChars="200"/>
              <w:outlineLvl w:val="9"/>
              <w:rPr>
                <w:rFonts w:hint="eastAsia" w:ascii="宋体" w:hAnsi="宋体" w:eastAsia="宋体" w:cs="宋体"/>
                <w:b w:val="0"/>
                <w:bCs/>
                <w:color w:val="auto"/>
                <w:sz w:val="24"/>
                <w:highlight w:val="none"/>
              </w:rPr>
            </w:pPr>
          </w:p>
        </w:tc>
      </w:tr>
      <w:tr w14:paraId="7085D19E">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5A4C4278">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B666C81">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BBB852E">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869756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7E36486B">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84ACB7C">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48C0B030">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055C85A9">
            <w:pPr>
              <w:spacing w:line="360" w:lineRule="auto"/>
              <w:ind w:firstLine="480" w:firstLineChars="200"/>
              <w:outlineLvl w:val="9"/>
              <w:rPr>
                <w:rFonts w:hint="eastAsia" w:ascii="宋体" w:hAnsi="宋体" w:eastAsia="宋体" w:cs="宋体"/>
                <w:b w:val="0"/>
                <w:bCs/>
                <w:color w:val="auto"/>
                <w:sz w:val="24"/>
                <w:highlight w:val="none"/>
              </w:rPr>
            </w:pPr>
          </w:p>
        </w:tc>
      </w:tr>
      <w:tr w14:paraId="2131291E">
        <w:tblPrEx>
          <w:tblCellMar>
            <w:top w:w="0" w:type="dxa"/>
            <w:left w:w="108" w:type="dxa"/>
            <w:bottom w:w="0" w:type="dxa"/>
            <w:right w:w="108" w:type="dxa"/>
          </w:tblCellMar>
        </w:tblPrEx>
        <w:tc>
          <w:tcPr>
            <w:tcW w:w="846" w:type="dxa"/>
            <w:tcBorders>
              <w:top w:val="inset" w:color="auto" w:sz="6" w:space="0"/>
              <w:left w:val="inset" w:color="auto" w:sz="6" w:space="0"/>
              <w:bottom w:val="inset" w:color="auto" w:sz="6" w:space="0"/>
              <w:right w:val="inset" w:color="auto" w:sz="6" w:space="0"/>
            </w:tcBorders>
            <w:noWrap w:val="0"/>
            <w:vAlign w:val="center"/>
          </w:tcPr>
          <w:p w14:paraId="131BA12D">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3F359420">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9DCDB3E">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6BE28D81">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5379ECEB">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988407E">
            <w:pPr>
              <w:spacing w:line="360" w:lineRule="auto"/>
              <w:ind w:firstLine="480" w:firstLineChars="200"/>
              <w:outlineLvl w:val="9"/>
              <w:rPr>
                <w:rFonts w:hint="eastAsia" w:ascii="宋体" w:hAnsi="宋体" w:eastAsia="宋体" w:cs="宋体"/>
                <w:b w:val="0"/>
                <w:bCs/>
                <w:color w:val="auto"/>
                <w:sz w:val="24"/>
                <w:highlight w:val="none"/>
              </w:rPr>
            </w:pPr>
          </w:p>
        </w:tc>
        <w:tc>
          <w:tcPr>
            <w:tcW w:w="1257" w:type="dxa"/>
            <w:tcBorders>
              <w:top w:val="inset" w:color="auto" w:sz="6" w:space="0"/>
              <w:left w:val="single" w:color="auto" w:sz="0" w:space="0"/>
              <w:bottom w:val="inset" w:color="auto" w:sz="6" w:space="0"/>
              <w:right w:val="inset" w:color="auto" w:sz="6" w:space="0"/>
            </w:tcBorders>
            <w:noWrap w:val="0"/>
            <w:vAlign w:val="center"/>
          </w:tcPr>
          <w:p w14:paraId="208D2D16">
            <w:pPr>
              <w:spacing w:line="360" w:lineRule="auto"/>
              <w:ind w:firstLine="480" w:firstLineChars="200"/>
              <w:outlineLvl w:val="9"/>
              <w:rPr>
                <w:rFonts w:hint="eastAsia" w:ascii="宋体" w:hAnsi="宋体" w:eastAsia="宋体" w:cs="宋体"/>
                <w:b w:val="0"/>
                <w:bCs/>
                <w:color w:val="auto"/>
                <w:sz w:val="24"/>
                <w:highlight w:val="none"/>
              </w:rPr>
            </w:pPr>
          </w:p>
        </w:tc>
        <w:tc>
          <w:tcPr>
            <w:tcW w:w="1258" w:type="dxa"/>
            <w:tcBorders>
              <w:top w:val="inset" w:color="auto" w:sz="6" w:space="0"/>
              <w:left w:val="single" w:color="auto" w:sz="0" w:space="0"/>
              <w:bottom w:val="inset" w:color="auto" w:sz="6" w:space="0"/>
              <w:right w:val="inset" w:color="auto" w:sz="6" w:space="0"/>
            </w:tcBorders>
            <w:noWrap w:val="0"/>
            <w:vAlign w:val="center"/>
          </w:tcPr>
          <w:p w14:paraId="506EE163">
            <w:pPr>
              <w:spacing w:line="360" w:lineRule="auto"/>
              <w:ind w:firstLine="480" w:firstLineChars="200"/>
              <w:outlineLvl w:val="9"/>
              <w:rPr>
                <w:rFonts w:hint="eastAsia" w:ascii="宋体" w:hAnsi="宋体" w:eastAsia="宋体" w:cs="宋体"/>
                <w:b w:val="0"/>
                <w:bCs/>
                <w:color w:val="auto"/>
                <w:sz w:val="24"/>
                <w:highlight w:val="none"/>
              </w:rPr>
            </w:pPr>
          </w:p>
        </w:tc>
      </w:tr>
    </w:tbl>
    <w:p w14:paraId="7F0E4F07">
      <w:pPr>
        <w:pStyle w:val="67"/>
        <w:outlineLvl w:val="9"/>
        <w:rPr>
          <w:rFonts w:hint="eastAsia" w:ascii="宋体" w:hAnsi="宋体" w:eastAsia="宋体" w:cs="宋体"/>
          <w:b w:val="0"/>
          <w:bCs/>
          <w:color w:val="auto"/>
          <w:highlight w:val="none"/>
        </w:rPr>
      </w:pPr>
    </w:p>
    <w:p w14:paraId="486D3ED3">
      <w:pPr>
        <w:pStyle w:val="67"/>
        <w:outlineLvl w:val="9"/>
        <w:rPr>
          <w:rFonts w:hint="eastAsia" w:ascii="宋体" w:hAnsi="宋体" w:eastAsia="宋体" w:cs="宋体"/>
          <w:b w:val="0"/>
          <w:bCs/>
          <w:color w:val="auto"/>
          <w:highlight w:val="none"/>
        </w:rPr>
      </w:pPr>
    </w:p>
    <w:p w14:paraId="03EC510F">
      <w:pPr>
        <w:pStyle w:val="67"/>
        <w:outlineLvl w:val="9"/>
        <w:rPr>
          <w:rFonts w:hint="eastAsia" w:ascii="宋体" w:hAnsi="宋体" w:eastAsia="宋体" w:cs="宋体"/>
          <w:b w:val="0"/>
          <w:bCs/>
          <w:color w:val="auto"/>
          <w:highlight w:val="none"/>
        </w:rPr>
      </w:pPr>
    </w:p>
    <w:p w14:paraId="67D4F830">
      <w:pPr>
        <w:pStyle w:val="67"/>
        <w:jc w:val="both"/>
        <w:outlineLvl w:val="9"/>
        <w:rPr>
          <w:rFonts w:hint="eastAsia" w:ascii="宋体" w:hAnsi="宋体" w:eastAsia="宋体" w:cs="宋体"/>
          <w:b w:val="0"/>
          <w:bCs/>
          <w:color w:val="auto"/>
          <w:highlight w:val="none"/>
        </w:rPr>
      </w:pPr>
    </w:p>
    <w:p w14:paraId="752DDE38">
      <w:pPr>
        <w:pStyle w:val="67"/>
        <w:jc w:val="both"/>
        <w:outlineLvl w:val="9"/>
        <w:rPr>
          <w:rFonts w:hint="eastAsia" w:ascii="宋体" w:hAnsi="宋体" w:eastAsia="宋体" w:cs="宋体"/>
          <w:b w:val="0"/>
          <w:bCs/>
          <w:color w:val="auto"/>
          <w:highlight w:val="none"/>
        </w:rPr>
      </w:pPr>
    </w:p>
    <w:p w14:paraId="5EBF79EE">
      <w:pPr>
        <w:pStyle w:val="67"/>
        <w:outlineLvl w:val="9"/>
        <w:rPr>
          <w:rFonts w:hint="eastAsia" w:ascii="宋体" w:hAnsi="宋体"/>
          <w:b/>
          <w:bCs/>
          <w:color w:val="auto"/>
          <w:kern w:val="2"/>
          <w:sz w:val="32"/>
          <w:szCs w:val="32"/>
          <w:highlight w:val="none"/>
          <w:lang w:val="en-US" w:eastAsia="zh-CN" w:bidi="ar-SA"/>
        </w:rPr>
      </w:pPr>
      <w:r>
        <w:rPr>
          <w:rFonts w:hint="eastAsia" w:hAnsi="宋体"/>
          <w:b/>
          <w:bCs/>
          <w:color w:val="auto"/>
          <w:kern w:val="2"/>
          <w:sz w:val="32"/>
          <w:szCs w:val="32"/>
          <w:highlight w:val="none"/>
          <w:lang w:val="en-US" w:eastAsia="zh-CN" w:bidi="ar-SA"/>
        </w:rPr>
        <w:t>七、</w:t>
      </w:r>
      <w:r>
        <w:rPr>
          <w:rFonts w:hint="eastAsia" w:ascii="宋体" w:hAnsi="宋体"/>
          <w:b/>
          <w:bCs/>
          <w:color w:val="auto"/>
          <w:kern w:val="2"/>
          <w:sz w:val="32"/>
          <w:szCs w:val="32"/>
          <w:highlight w:val="none"/>
          <w:lang w:val="en-US" w:eastAsia="zh-CN" w:bidi="ar-SA"/>
        </w:rPr>
        <w:t>近年完成的类似项目情况表</w:t>
      </w:r>
    </w:p>
    <w:p w14:paraId="48A364B4">
      <w:pPr>
        <w:spacing w:before="280" w:after="290" w:line="360" w:lineRule="exact"/>
        <w:jc w:val="center"/>
        <w:outlineLvl w:val="9"/>
        <w:rPr>
          <w:rFonts w:hint="eastAsia"/>
          <w:color w:val="auto"/>
          <w:highlight w:val="none"/>
          <w:lang w:val="en-US" w:eastAsia="zh-CN"/>
        </w:rPr>
      </w:pPr>
      <w:r>
        <w:rPr>
          <w:rFonts w:hint="eastAsia" w:ascii="宋体" w:hAnsi="宋体" w:eastAsia="宋体" w:cs="宋体"/>
          <w:b w:val="0"/>
          <w:bCs/>
          <w:color w:val="auto"/>
          <w:sz w:val="24"/>
          <w:highlight w:val="none"/>
          <w:lang w:val="en-US" w:eastAsia="zh-CN"/>
        </w:rPr>
        <w:t>附表一：汇总表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594"/>
        <w:gridCol w:w="1539"/>
        <w:gridCol w:w="1963"/>
        <w:gridCol w:w="1963"/>
        <w:gridCol w:w="1960"/>
      </w:tblGrid>
      <w:tr w14:paraId="6AB6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810" w:type="dxa"/>
            <w:gridSpan w:val="6"/>
            <w:noWrap w:val="0"/>
            <w:vAlign w:val="center"/>
          </w:tcPr>
          <w:p w14:paraId="04C0B558">
            <w:pPr>
              <w:pStyle w:val="67"/>
              <w:widowControl/>
              <w:numPr>
                <w:ilvl w:val="0"/>
                <w:numId w:val="0"/>
              </w:numPr>
              <w:jc w:val="center"/>
              <w:outlineLvl w:val="9"/>
              <w:rPr>
                <w:rFonts w:hint="eastAsia" w:ascii="宋体" w:hAnsi="宋体" w:eastAsia="宋体" w:cs="宋体"/>
                <w:b w:val="0"/>
                <w:bCs/>
                <w:color w:val="auto"/>
                <w:sz w:val="28"/>
                <w:szCs w:val="28"/>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企业类似业绩</w:t>
            </w:r>
          </w:p>
        </w:tc>
      </w:tr>
      <w:tr w14:paraId="7C34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7371C359">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序号</w:t>
            </w:r>
          </w:p>
        </w:tc>
        <w:tc>
          <w:tcPr>
            <w:tcW w:w="1594" w:type="dxa"/>
            <w:noWrap w:val="0"/>
            <w:vAlign w:val="center"/>
          </w:tcPr>
          <w:p w14:paraId="577A7FB3">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r>
              <w:rPr>
                <w:rFonts w:hint="eastAsia" w:hAnsi="宋体" w:eastAsia="宋体" w:cs="宋体"/>
                <w:b w:val="0"/>
                <w:bCs/>
                <w:color w:val="auto"/>
                <w:sz w:val="24"/>
                <w:szCs w:val="24"/>
                <w:highlight w:val="none"/>
                <w:vertAlign w:val="baseline"/>
                <w:lang w:val="en-US" w:eastAsia="zh-CN"/>
              </w:rPr>
              <w:t>开、竣工时间</w:t>
            </w:r>
          </w:p>
        </w:tc>
        <w:tc>
          <w:tcPr>
            <w:tcW w:w="1539" w:type="dxa"/>
            <w:noWrap w:val="0"/>
            <w:vAlign w:val="center"/>
          </w:tcPr>
          <w:p w14:paraId="1CFA8C1A">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项目名称</w:t>
            </w:r>
          </w:p>
        </w:tc>
        <w:tc>
          <w:tcPr>
            <w:tcW w:w="1963" w:type="dxa"/>
            <w:noWrap w:val="0"/>
            <w:vAlign w:val="center"/>
          </w:tcPr>
          <w:p w14:paraId="124E3963">
            <w:pPr>
              <w:pStyle w:val="67"/>
              <w:widowControl/>
              <w:numPr>
                <w:ilvl w:val="0"/>
                <w:numId w:val="0"/>
              </w:numPr>
              <w:jc w:val="center"/>
              <w:outlineLvl w:val="9"/>
              <w:rPr>
                <w:rFonts w:hint="default" w:ascii="宋体" w:hAnsi="宋体" w:eastAsia="宋体" w:cs="宋体"/>
                <w:b w:val="0"/>
                <w:bCs/>
                <w:color w:val="auto"/>
                <w:sz w:val="24"/>
                <w:szCs w:val="24"/>
                <w:highlight w:val="none"/>
                <w:vertAlign w:val="baseline"/>
                <w:lang w:val="en-US" w:eastAsia="zh-CN"/>
              </w:rPr>
            </w:pPr>
            <w:r>
              <w:rPr>
                <w:rFonts w:hint="eastAsia" w:hAnsi="宋体" w:eastAsia="宋体" w:cs="宋体"/>
                <w:b w:val="0"/>
                <w:bCs/>
                <w:color w:val="auto"/>
                <w:sz w:val="24"/>
                <w:szCs w:val="24"/>
                <w:highlight w:val="none"/>
                <w:vertAlign w:val="baseline"/>
                <w:lang w:val="en-US" w:eastAsia="zh-CN"/>
              </w:rPr>
              <w:t>项目经理</w:t>
            </w:r>
          </w:p>
        </w:tc>
        <w:tc>
          <w:tcPr>
            <w:tcW w:w="1963" w:type="dxa"/>
            <w:noWrap w:val="0"/>
            <w:vAlign w:val="center"/>
          </w:tcPr>
          <w:p w14:paraId="2FE3694E">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中标金额</w:t>
            </w:r>
          </w:p>
        </w:tc>
        <w:tc>
          <w:tcPr>
            <w:tcW w:w="1960" w:type="dxa"/>
            <w:noWrap w:val="0"/>
            <w:vAlign w:val="center"/>
          </w:tcPr>
          <w:p w14:paraId="096C4A9A">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备注</w:t>
            </w:r>
          </w:p>
        </w:tc>
      </w:tr>
      <w:tr w14:paraId="767D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0369DDB5">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56C1F38A">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3C6EB451">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677F30E4">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1AC280D9">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73ABD76B">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4720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2E32A481">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78B66F18">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7EBB0909">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275BAF5A">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5A29146D">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0A58494C">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3804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1B3EF358">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1AC33FFC">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777E0F13">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20652115">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444FBC67">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29E756CE">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6460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6A49522F">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31C25E2C">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14A2CD47">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699FAFA3">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5A592C9A">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6B5593FD">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3B67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011478FF">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701E4515">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74E1F1F3">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11C15665">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7D68751E">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7302E0FE">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1A0A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660A58B9">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641339E3">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71CA1FDA">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1E70E256">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621CC30E">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3C9EA645">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7CE9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411B3943">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3A1CEC57">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2D5C00D5">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26C7D345">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0F9C8BB2">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21027C91">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3589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074B8EB7">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62A0DD1F">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4850AB58">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38BC5D6F">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0875D3A6">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69430D0E">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5218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78D890F7">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585900FF">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1DCCA36F">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3CF7DBD5">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55FA88AF">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63F13277">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r w14:paraId="5EDF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noWrap w:val="0"/>
            <w:vAlign w:val="center"/>
          </w:tcPr>
          <w:p w14:paraId="70F7FD9C">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94" w:type="dxa"/>
            <w:noWrap w:val="0"/>
            <w:vAlign w:val="center"/>
          </w:tcPr>
          <w:p w14:paraId="451C6F1C">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539" w:type="dxa"/>
            <w:noWrap w:val="0"/>
            <w:vAlign w:val="center"/>
          </w:tcPr>
          <w:p w14:paraId="54637F26">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6437BC1A">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3" w:type="dxa"/>
            <w:noWrap w:val="0"/>
            <w:vAlign w:val="center"/>
          </w:tcPr>
          <w:p w14:paraId="1A831264">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c>
          <w:tcPr>
            <w:tcW w:w="1960" w:type="dxa"/>
            <w:noWrap w:val="0"/>
            <w:vAlign w:val="center"/>
          </w:tcPr>
          <w:p w14:paraId="1DF9ECDE">
            <w:pPr>
              <w:pStyle w:val="67"/>
              <w:widowControl/>
              <w:numPr>
                <w:ilvl w:val="0"/>
                <w:numId w:val="0"/>
              </w:numPr>
              <w:jc w:val="center"/>
              <w:outlineLvl w:val="9"/>
              <w:rPr>
                <w:rFonts w:hint="eastAsia" w:ascii="宋体" w:hAnsi="宋体" w:eastAsia="宋体" w:cs="宋体"/>
                <w:b w:val="0"/>
                <w:bCs/>
                <w:color w:val="auto"/>
                <w:sz w:val="24"/>
                <w:szCs w:val="24"/>
                <w:highlight w:val="none"/>
                <w:vertAlign w:val="baseline"/>
                <w:lang w:val="en-US" w:eastAsia="zh-CN"/>
              </w:rPr>
            </w:pPr>
          </w:p>
        </w:tc>
      </w:tr>
    </w:tbl>
    <w:p w14:paraId="49180236">
      <w:pPr>
        <w:spacing w:before="280" w:after="290" w:line="360" w:lineRule="exact"/>
        <w:jc w:val="center"/>
        <w:outlineLvl w:val="9"/>
        <w:rPr>
          <w:rFonts w:hint="eastAsia" w:ascii="宋体" w:hAnsi="宋体" w:eastAsia="宋体" w:cs="宋体"/>
          <w:b w:val="0"/>
          <w:bCs/>
          <w:color w:val="auto"/>
          <w:highlight w:val="none"/>
          <w:lang w:val="en-US" w:eastAsia="zh-CN"/>
        </w:rPr>
      </w:pPr>
    </w:p>
    <w:p w14:paraId="047CF190">
      <w:pPr>
        <w:pStyle w:val="11"/>
        <w:outlineLvl w:val="9"/>
        <w:rPr>
          <w:rFonts w:hint="eastAsia" w:ascii="宋体" w:hAnsi="宋体" w:eastAsia="宋体" w:cs="宋体"/>
          <w:b w:val="0"/>
          <w:bCs/>
          <w:color w:val="auto"/>
          <w:highlight w:val="none"/>
          <w:lang w:val="en-US" w:eastAsia="zh-CN"/>
        </w:rPr>
      </w:pPr>
    </w:p>
    <w:p w14:paraId="12FABC2E">
      <w:pPr>
        <w:outlineLvl w:val="9"/>
        <w:rPr>
          <w:rFonts w:hint="eastAsia" w:ascii="宋体" w:hAnsi="宋体" w:eastAsia="宋体" w:cs="宋体"/>
          <w:b w:val="0"/>
          <w:bCs/>
          <w:color w:val="auto"/>
          <w:highlight w:val="none"/>
          <w:lang w:val="en-US" w:eastAsia="zh-CN"/>
        </w:rPr>
      </w:pPr>
    </w:p>
    <w:p w14:paraId="25F65DCD">
      <w:pPr>
        <w:pStyle w:val="11"/>
        <w:outlineLvl w:val="9"/>
        <w:rPr>
          <w:rFonts w:hint="eastAsia" w:ascii="宋体" w:hAnsi="宋体" w:eastAsia="宋体" w:cs="宋体"/>
          <w:b w:val="0"/>
          <w:bCs/>
          <w:color w:val="auto"/>
          <w:highlight w:val="none"/>
          <w:lang w:val="en-US" w:eastAsia="zh-CN"/>
        </w:rPr>
      </w:pPr>
    </w:p>
    <w:p w14:paraId="705259E8">
      <w:pPr>
        <w:outlineLvl w:val="9"/>
        <w:rPr>
          <w:rFonts w:hint="eastAsia" w:ascii="宋体" w:hAnsi="宋体" w:eastAsia="宋体" w:cs="宋体"/>
          <w:b w:val="0"/>
          <w:bCs/>
          <w:color w:val="auto"/>
          <w:highlight w:val="none"/>
          <w:lang w:val="en-US" w:eastAsia="zh-CN"/>
        </w:rPr>
      </w:pPr>
    </w:p>
    <w:p w14:paraId="7158F992">
      <w:pPr>
        <w:pStyle w:val="11"/>
        <w:outlineLvl w:val="9"/>
        <w:rPr>
          <w:rFonts w:hint="eastAsia" w:ascii="宋体" w:hAnsi="宋体" w:eastAsia="宋体" w:cs="宋体"/>
          <w:b w:val="0"/>
          <w:bCs/>
          <w:color w:val="auto"/>
          <w:highlight w:val="none"/>
          <w:lang w:val="en-US" w:eastAsia="zh-CN"/>
        </w:rPr>
      </w:pPr>
    </w:p>
    <w:p w14:paraId="71859F1B">
      <w:pPr>
        <w:outlineLvl w:val="9"/>
        <w:rPr>
          <w:rFonts w:hint="eastAsia"/>
          <w:color w:val="auto"/>
          <w:highlight w:val="none"/>
          <w:lang w:val="en-US" w:eastAsia="zh-CN"/>
        </w:rPr>
      </w:pPr>
    </w:p>
    <w:p w14:paraId="4D0350AE">
      <w:pPr>
        <w:outlineLvl w:val="9"/>
        <w:rPr>
          <w:rFonts w:hint="eastAsia"/>
          <w:color w:val="auto"/>
          <w:highlight w:val="none"/>
          <w:lang w:val="en-US" w:eastAsia="zh-CN"/>
        </w:rPr>
      </w:pPr>
    </w:p>
    <w:p w14:paraId="447FAFEF">
      <w:pPr>
        <w:pStyle w:val="11"/>
        <w:outlineLvl w:val="9"/>
        <w:rPr>
          <w:rFonts w:hint="eastAsia"/>
          <w:color w:val="auto"/>
          <w:highlight w:val="none"/>
          <w:lang w:val="en-US" w:eastAsia="zh-CN"/>
        </w:rPr>
      </w:pPr>
    </w:p>
    <w:p w14:paraId="7E740FE1">
      <w:pPr>
        <w:spacing w:before="280" w:after="290" w:line="360" w:lineRule="exact"/>
        <w:jc w:val="center"/>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附表二：</w:t>
      </w:r>
      <w:r>
        <w:rPr>
          <w:rFonts w:hint="eastAsia" w:ascii="宋体" w:hAnsi="宋体" w:eastAsia="宋体" w:cs="宋体"/>
          <w:b w:val="0"/>
          <w:bCs/>
          <w:color w:val="auto"/>
          <w:sz w:val="24"/>
          <w:szCs w:val="24"/>
          <w:highlight w:val="none"/>
        </w:rPr>
        <w:t>近年完成的类似项目情况表</w:t>
      </w:r>
    </w:p>
    <w:tbl>
      <w:tblPr>
        <w:tblStyle w:val="25"/>
        <w:tblpPr w:leftFromText="180" w:rightFromText="180" w:vertAnchor="text" w:horzAnchor="page" w:tblpX="1152"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7231"/>
      </w:tblGrid>
      <w:tr w14:paraId="7B53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623" w:type="dxa"/>
            <w:noWrap w:val="0"/>
            <w:vAlign w:val="center"/>
          </w:tcPr>
          <w:p w14:paraId="5516925B">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项目名称</w:t>
            </w:r>
          </w:p>
        </w:tc>
        <w:tc>
          <w:tcPr>
            <w:tcW w:w="7231" w:type="dxa"/>
            <w:noWrap w:val="0"/>
            <w:vAlign w:val="top"/>
          </w:tcPr>
          <w:p w14:paraId="0ABA5BE8">
            <w:pPr>
              <w:topLinePunct/>
              <w:spacing w:line="440" w:lineRule="exact"/>
              <w:outlineLvl w:val="9"/>
              <w:rPr>
                <w:rFonts w:hint="eastAsia" w:ascii="宋体" w:hAnsi="宋体" w:eastAsia="宋体" w:cs="宋体"/>
                <w:b w:val="0"/>
                <w:bCs/>
                <w:color w:val="auto"/>
                <w:szCs w:val="21"/>
                <w:highlight w:val="none"/>
              </w:rPr>
            </w:pPr>
          </w:p>
        </w:tc>
      </w:tr>
      <w:tr w14:paraId="6F1D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623" w:type="dxa"/>
            <w:noWrap w:val="0"/>
            <w:vAlign w:val="center"/>
          </w:tcPr>
          <w:p w14:paraId="4A1E66FC">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项目所在地</w:t>
            </w:r>
          </w:p>
        </w:tc>
        <w:tc>
          <w:tcPr>
            <w:tcW w:w="7231" w:type="dxa"/>
            <w:noWrap w:val="0"/>
            <w:vAlign w:val="top"/>
          </w:tcPr>
          <w:p w14:paraId="6C14F205">
            <w:pPr>
              <w:topLinePunct/>
              <w:spacing w:line="440" w:lineRule="exact"/>
              <w:outlineLvl w:val="9"/>
              <w:rPr>
                <w:rFonts w:hint="eastAsia" w:ascii="宋体" w:hAnsi="宋体" w:eastAsia="宋体" w:cs="宋体"/>
                <w:b w:val="0"/>
                <w:bCs/>
                <w:color w:val="auto"/>
                <w:szCs w:val="21"/>
                <w:highlight w:val="none"/>
              </w:rPr>
            </w:pPr>
          </w:p>
        </w:tc>
      </w:tr>
      <w:tr w14:paraId="0C03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23" w:type="dxa"/>
            <w:noWrap w:val="0"/>
            <w:vAlign w:val="center"/>
          </w:tcPr>
          <w:p w14:paraId="22CE1ADE">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发包人名称</w:t>
            </w:r>
          </w:p>
        </w:tc>
        <w:tc>
          <w:tcPr>
            <w:tcW w:w="7231" w:type="dxa"/>
            <w:noWrap w:val="0"/>
            <w:vAlign w:val="top"/>
          </w:tcPr>
          <w:p w14:paraId="3B5E9BC5">
            <w:pPr>
              <w:topLinePunct/>
              <w:spacing w:line="440" w:lineRule="exact"/>
              <w:outlineLvl w:val="9"/>
              <w:rPr>
                <w:rFonts w:hint="eastAsia" w:ascii="宋体" w:hAnsi="宋体" w:eastAsia="宋体" w:cs="宋体"/>
                <w:b w:val="0"/>
                <w:bCs/>
                <w:color w:val="auto"/>
                <w:szCs w:val="21"/>
                <w:highlight w:val="none"/>
              </w:rPr>
            </w:pPr>
          </w:p>
        </w:tc>
      </w:tr>
      <w:tr w14:paraId="268D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623" w:type="dxa"/>
            <w:noWrap w:val="0"/>
            <w:vAlign w:val="center"/>
          </w:tcPr>
          <w:p w14:paraId="74C8489F">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发包人地址</w:t>
            </w:r>
          </w:p>
        </w:tc>
        <w:tc>
          <w:tcPr>
            <w:tcW w:w="7231" w:type="dxa"/>
            <w:noWrap w:val="0"/>
            <w:vAlign w:val="top"/>
          </w:tcPr>
          <w:p w14:paraId="35B578FE">
            <w:pPr>
              <w:topLinePunct/>
              <w:spacing w:line="440" w:lineRule="exact"/>
              <w:outlineLvl w:val="9"/>
              <w:rPr>
                <w:rFonts w:hint="eastAsia" w:ascii="宋体" w:hAnsi="宋体" w:eastAsia="宋体" w:cs="宋体"/>
                <w:b w:val="0"/>
                <w:bCs/>
                <w:color w:val="auto"/>
                <w:szCs w:val="21"/>
                <w:highlight w:val="none"/>
              </w:rPr>
            </w:pPr>
          </w:p>
        </w:tc>
      </w:tr>
      <w:tr w14:paraId="477C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23" w:type="dxa"/>
            <w:noWrap w:val="0"/>
            <w:vAlign w:val="center"/>
          </w:tcPr>
          <w:p w14:paraId="1B88CE10">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发包人电话</w:t>
            </w:r>
          </w:p>
        </w:tc>
        <w:tc>
          <w:tcPr>
            <w:tcW w:w="7231" w:type="dxa"/>
            <w:noWrap w:val="0"/>
            <w:vAlign w:val="top"/>
          </w:tcPr>
          <w:p w14:paraId="14CEC9E1">
            <w:pPr>
              <w:topLinePunct/>
              <w:spacing w:line="440" w:lineRule="exact"/>
              <w:outlineLvl w:val="9"/>
              <w:rPr>
                <w:rFonts w:hint="eastAsia" w:ascii="宋体" w:hAnsi="宋体" w:eastAsia="宋体" w:cs="宋体"/>
                <w:b w:val="0"/>
                <w:bCs/>
                <w:color w:val="auto"/>
                <w:szCs w:val="21"/>
                <w:highlight w:val="none"/>
              </w:rPr>
            </w:pPr>
          </w:p>
        </w:tc>
      </w:tr>
      <w:tr w14:paraId="5262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623" w:type="dxa"/>
            <w:noWrap w:val="0"/>
            <w:vAlign w:val="center"/>
          </w:tcPr>
          <w:p w14:paraId="0CF4C368">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合同价格</w:t>
            </w:r>
          </w:p>
        </w:tc>
        <w:tc>
          <w:tcPr>
            <w:tcW w:w="7231" w:type="dxa"/>
            <w:noWrap w:val="0"/>
            <w:vAlign w:val="top"/>
          </w:tcPr>
          <w:p w14:paraId="68CD860A">
            <w:pPr>
              <w:topLinePunct/>
              <w:spacing w:line="440" w:lineRule="exact"/>
              <w:outlineLvl w:val="9"/>
              <w:rPr>
                <w:rFonts w:hint="eastAsia" w:ascii="宋体" w:hAnsi="宋体" w:eastAsia="宋体" w:cs="宋体"/>
                <w:b w:val="0"/>
                <w:bCs/>
                <w:color w:val="auto"/>
                <w:szCs w:val="21"/>
                <w:highlight w:val="none"/>
              </w:rPr>
            </w:pPr>
          </w:p>
        </w:tc>
      </w:tr>
      <w:tr w14:paraId="79BF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23" w:type="dxa"/>
            <w:noWrap w:val="0"/>
            <w:vAlign w:val="center"/>
          </w:tcPr>
          <w:p w14:paraId="5D8FD91F">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开工日期</w:t>
            </w:r>
          </w:p>
        </w:tc>
        <w:tc>
          <w:tcPr>
            <w:tcW w:w="7231" w:type="dxa"/>
            <w:noWrap w:val="0"/>
            <w:vAlign w:val="top"/>
          </w:tcPr>
          <w:p w14:paraId="72361CE7">
            <w:pPr>
              <w:topLinePunct/>
              <w:spacing w:line="440" w:lineRule="exact"/>
              <w:outlineLvl w:val="9"/>
              <w:rPr>
                <w:rFonts w:hint="eastAsia" w:ascii="宋体" w:hAnsi="宋体" w:eastAsia="宋体" w:cs="宋体"/>
                <w:b w:val="0"/>
                <w:bCs/>
                <w:color w:val="auto"/>
                <w:szCs w:val="21"/>
                <w:highlight w:val="none"/>
              </w:rPr>
            </w:pPr>
          </w:p>
        </w:tc>
      </w:tr>
      <w:tr w14:paraId="7ABB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623" w:type="dxa"/>
            <w:noWrap w:val="0"/>
            <w:vAlign w:val="center"/>
          </w:tcPr>
          <w:p w14:paraId="6878D939">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highlight w:val="none"/>
              </w:rPr>
              <w:t>竣工</w:t>
            </w:r>
            <w:r>
              <w:rPr>
                <w:rFonts w:hint="eastAsia" w:ascii="宋体" w:hAnsi="宋体" w:eastAsia="宋体" w:cs="宋体"/>
                <w:b w:val="0"/>
                <w:bCs/>
                <w:color w:val="auto"/>
                <w:szCs w:val="21"/>
                <w:highlight w:val="none"/>
              </w:rPr>
              <w:t>日期</w:t>
            </w:r>
          </w:p>
        </w:tc>
        <w:tc>
          <w:tcPr>
            <w:tcW w:w="7231" w:type="dxa"/>
            <w:noWrap w:val="0"/>
            <w:vAlign w:val="top"/>
          </w:tcPr>
          <w:p w14:paraId="3801BB2E">
            <w:pPr>
              <w:topLinePunct/>
              <w:spacing w:line="440" w:lineRule="exact"/>
              <w:outlineLvl w:val="9"/>
              <w:rPr>
                <w:rFonts w:hint="eastAsia" w:ascii="宋体" w:hAnsi="宋体" w:eastAsia="宋体" w:cs="宋体"/>
                <w:b w:val="0"/>
                <w:bCs/>
                <w:color w:val="auto"/>
                <w:szCs w:val="21"/>
                <w:highlight w:val="none"/>
              </w:rPr>
            </w:pPr>
          </w:p>
        </w:tc>
      </w:tr>
      <w:tr w14:paraId="4145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623" w:type="dxa"/>
            <w:noWrap w:val="0"/>
            <w:vAlign w:val="center"/>
          </w:tcPr>
          <w:p w14:paraId="2D6EE20D">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承担的工作</w:t>
            </w:r>
          </w:p>
        </w:tc>
        <w:tc>
          <w:tcPr>
            <w:tcW w:w="7231" w:type="dxa"/>
            <w:noWrap w:val="0"/>
            <w:vAlign w:val="top"/>
          </w:tcPr>
          <w:p w14:paraId="5C47AA59">
            <w:pPr>
              <w:topLinePunct/>
              <w:spacing w:line="440" w:lineRule="exact"/>
              <w:outlineLvl w:val="9"/>
              <w:rPr>
                <w:rFonts w:hint="eastAsia" w:ascii="宋体" w:hAnsi="宋体" w:eastAsia="宋体" w:cs="宋体"/>
                <w:b w:val="0"/>
                <w:bCs/>
                <w:color w:val="auto"/>
                <w:szCs w:val="21"/>
                <w:highlight w:val="none"/>
              </w:rPr>
            </w:pPr>
          </w:p>
        </w:tc>
      </w:tr>
      <w:tr w14:paraId="7E25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23" w:type="dxa"/>
            <w:noWrap w:val="0"/>
            <w:vAlign w:val="center"/>
          </w:tcPr>
          <w:p w14:paraId="2BDC0E02">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工程质量</w:t>
            </w:r>
          </w:p>
        </w:tc>
        <w:tc>
          <w:tcPr>
            <w:tcW w:w="7231" w:type="dxa"/>
            <w:noWrap w:val="0"/>
            <w:vAlign w:val="top"/>
          </w:tcPr>
          <w:p w14:paraId="69380FE1">
            <w:pPr>
              <w:topLinePunct/>
              <w:spacing w:line="440" w:lineRule="exact"/>
              <w:outlineLvl w:val="9"/>
              <w:rPr>
                <w:rFonts w:hint="eastAsia" w:ascii="宋体" w:hAnsi="宋体" w:eastAsia="宋体" w:cs="宋体"/>
                <w:b w:val="0"/>
                <w:bCs/>
                <w:color w:val="auto"/>
                <w:szCs w:val="21"/>
                <w:highlight w:val="none"/>
              </w:rPr>
            </w:pPr>
          </w:p>
        </w:tc>
      </w:tr>
      <w:tr w14:paraId="0FD3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623" w:type="dxa"/>
            <w:noWrap w:val="0"/>
            <w:vAlign w:val="center"/>
          </w:tcPr>
          <w:p w14:paraId="12A8370A">
            <w:pPr>
              <w:topLinePunct/>
              <w:spacing w:line="440" w:lineRule="exact"/>
              <w:jc w:val="center"/>
              <w:outlineLvl w:val="9"/>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项目</w:t>
            </w:r>
            <w:r>
              <w:rPr>
                <w:rFonts w:hint="eastAsia" w:ascii="宋体" w:hAnsi="宋体" w:eastAsia="宋体" w:cs="宋体"/>
                <w:b w:val="0"/>
                <w:bCs/>
                <w:color w:val="auto"/>
                <w:szCs w:val="21"/>
                <w:highlight w:val="none"/>
                <w:lang w:val="en-US" w:eastAsia="zh-CN"/>
              </w:rPr>
              <w:t>经理</w:t>
            </w:r>
          </w:p>
        </w:tc>
        <w:tc>
          <w:tcPr>
            <w:tcW w:w="7231" w:type="dxa"/>
            <w:noWrap w:val="0"/>
            <w:vAlign w:val="top"/>
          </w:tcPr>
          <w:p w14:paraId="05BFC621">
            <w:pPr>
              <w:topLinePunct/>
              <w:spacing w:line="440" w:lineRule="exact"/>
              <w:outlineLvl w:val="9"/>
              <w:rPr>
                <w:rFonts w:hint="eastAsia" w:ascii="宋体" w:hAnsi="宋体" w:eastAsia="宋体" w:cs="宋体"/>
                <w:b w:val="0"/>
                <w:bCs/>
                <w:color w:val="auto"/>
                <w:szCs w:val="21"/>
                <w:highlight w:val="none"/>
              </w:rPr>
            </w:pPr>
          </w:p>
        </w:tc>
      </w:tr>
      <w:tr w14:paraId="1F7E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623" w:type="dxa"/>
            <w:noWrap w:val="0"/>
            <w:vAlign w:val="center"/>
          </w:tcPr>
          <w:p w14:paraId="4F1EFC5D">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技术负责人</w:t>
            </w:r>
          </w:p>
        </w:tc>
        <w:tc>
          <w:tcPr>
            <w:tcW w:w="7231" w:type="dxa"/>
            <w:noWrap w:val="0"/>
            <w:vAlign w:val="top"/>
          </w:tcPr>
          <w:p w14:paraId="5CEF4ED2">
            <w:pPr>
              <w:topLinePunct/>
              <w:spacing w:line="440" w:lineRule="exact"/>
              <w:outlineLvl w:val="9"/>
              <w:rPr>
                <w:rFonts w:hint="eastAsia" w:ascii="宋体" w:hAnsi="宋体" w:eastAsia="宋体" w:cs="宋体"/>
                <w:b w:val="0"/>
                <w:bCs/>
                <w:color w:val="auto"/>
                <w:szCs w:val="21"/>
                <w:highlight w:val="none"/>
              </w:rPr>
            </w:pPr>
          </w:p>
        </w:tc>
      </w:tr>
      <w:tr w14:paraId="0CD7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623" w:type="dxa"/>
            <w:noWrap w:val="0"/>
            <w:vAlign w:val="center"/>
          </w:tcPr>
          <w:p w14:paraId="2B45EAF4">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总监理工程师及电话</w:t>
            </w:r>
          </w:p>
        </w:tc>
        <w:tc>
          <w:tcPr>
            <w:tcW w:w="7231" w:type="dxa"/>
            <w:noWrap w:val="0"/>
            <w:vAlign w:val="top"/>
          </w:tcPr>
          <w:p w14:paraId="00808981">
            <w:pPr>
              <w:topLinePunct/>
              <w:spacing w:line="440" w:lineRule="exact"/>
              <w:outlineLvl w:val="9"/>
              <w:rPr>
                <w:rFonts w:hint="eastAsia" w:ascii="宋体" w:hAnsi="宋体" w:eastAsia="宋体" w:cs="宋体"/>
                <w:b w:val="0"/>
                <w:bCs/>
                <w:color w:val="auto"/>
                <w:szCs w:val="21"/>
                <w:highlight w:val="none"/>
              </w:rPr>
            </w:pPr>
          </w:p>
        </w:tc>
      </w:tr>
      <w:tr w14:paraId="2923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623" w:type="dxa"/>
            <w:noWrap w:val="0"/>
            <w:vAlign w:val="center"/>
          </w:tcPr>
          <w:p w14:paraId="55CEB0F5">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项目描述</w:t>
            </w:r>
          </w:p>
        </w:tc>
        <w:tc>
          <w:tcPr>
            <w:tcW w:w="7231" w:type="dxa"/>
            <w:noWrap w:val="0"/>
            <w:vAlign w:val="top"/>
          </w:tcPr>
          <w:p w14:paraId="24C1A331">
            <w:pPr>
              <w:topLinePunct/>
              <w:spacing w:line="440" w:lineRule="exact"/>
              <w:outlineLvl w:val="9"/>
              <w:rPr>
                <w:rFonts w:hint="eastAsia" w:ascii="宋体" w:hAnsi="宋体" w:eastAsia="宋体" w:cs="宋体"/>
                <w:b w:val="0"/>
                <w:bCs/>
                <w:color w:val="auto"/>
                <w:szCs w:val="21"/>
                <w:highlight w:val="none"/>
              </w:rPr>
            </w:pPr>
          </w:p>
          <w:p w14:paraId="1DF49B97">
            <w:pPr>
              <w:topLinePunct/>
              <w:spacing w:line="440" w:lineRule="exact"/>
              <w:outlineLvl w:val="9"/>
              <w:rPr>
                <w:rFonts w:hint="eastAsia" w:ascii="宋体" w:hAnsi="宋体" w:eastAsia="宋体" w:cs="宋体"/>
                <w:b w:val="0"/>
                <w:bCs/>
                <w:color w:val="auto"/>
                <w:szCs w:val="21"/>
                <w:highlight w:val="none"/>
              </w:rPr>
            </w:pPr>
          </w:p>
          <w:p w14:paraId="0FF95C40">
            <w:pPr>
              <w:topLinePunct/>
              <w:spacing w:line="440" w:lineRule="exact"/>
              <w:outlineLvl w:val="9"/>
              <w:rPr>
                <w:rFonts w:hint="eastAsia" w:ascii="宋体" w:hAnsi="宋体" w:eastAsia="宋体" w:cs="宋体"/>
                <w:b w:val="0"/>
                <w:bCs/>
                <w:color w:val="auto"/>
                <w:szCs w:val="21"/>
                <w:highlight w:val="none"/>
              </w:rPr>
            </w:pPr>
          </w:p>
          <w:p w14:paraId="6E23D155">
            <w:pPr>
              <w:topLinePunct/>
              <w:spacing w:line="440" w:lineRule="exact"/>
              <w:outlineLvl w:val="9"/>
              <w:rPr>
                <w:rFonts w:hint="eastAsia" w:ascii="宋体" w:hAnsi="宋体" w:eastAsia="宋体" w:cs="宋体"/>
                <w:b w:val="0"/>
                <w:bCs/>
                <w:color w:val="auto"/>
                <w:szCs w:val="21"/>
                <w:highlight w:val="none"/>
              </w:rPr>
            </w:pPr>
          </w:p>
        </w:tc>
      </w:tr>
      <w:tr w14:paraId="0D93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23" w:type="dxa"/>
            <w:noWrap w:val="0"/>
            <w:vAlign w:val="center"/>
          </w:tcPr>
          <w:p w14:paraId="627DD8AF">
            <w:pPr>
              <w:topLinePunct/>
              <w:spacing w:line="440" w:lineRule="exact"/>
              <w:jc w:val="cente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备注</w:t>
            </w:r>
          </w:p>
        </w:tc>
        <w:tc>
          <w:tcPr>
            <w:tcW w:w="7231" w:type="dxa"/>
            <w:noWrap w:val="0"/>
            <w:vAlign w:val="top"/>
          </w:tcPr>
          <w:p w14:paraId="680F235C">
            <w:pPr>
              <w:topLinePunct/>
              <w:spacing w:line="440" w:lineRule="exact"/>
              <w:outlineLvl w:val="9"/>
              <w:rPr>
                <w:rFonts w:hint="eastAsia" w:ascii="宋体" w:hAnsi="宋体" w:eastAsia="宋体" w:cs="宋体"/>
                <w:b w:val="0"/>
                <w:bCs/>
                <w:color w:val="auto"/>
                <w:szCs w:val="21"/>
                <w:highlight w:val="none"/>
              </w:rPr>
            </w:pPr>
          </w:p>
        </w:tc>
      </w:tr>
    </w:tbl>
    <w:p w14:paraId="762DDB3C">
      <w:pPr>
        <w:spacing w:line="400" w:lineRule="exact"/>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w:t>
      </w:r>
    </w:p>
    <w:p w14:paraId="4485C992">
      <w:pPr>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注：1.每张表格只填写一个工程，并标明表序；</w:t>
      </w:r>
    </w:p>
    <w:p w14:paraId="70B847BE">
      <w:pPr>
        <w:numPr>
          <w:ilvl w:val="0"/>
          <w:numId w:val="4"/>
        </w:numPr>
        <w:ind w:left="630" w:leftChars="200" w:hanging="210" w:hangingChars="100"/>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类似项目业绩须附</w:t>
      </w:r>
      <w:r>
        <w:rPr>
          <w:rFonts w:hint="eastAsia" w:ascii="宋体" w:hAnsi="宋体" w:eastAsia="宋体" w:cs="宋体"/>
          <w:b w:val="0"/>
          <w:bCs/>
          <w:color w:val="auto"/>
          <w:szCs w:val="21"/>
          <w:highlight w:val="none"/>
          <w:lang w:val="en-US" w:eastAsia="zh-CN"/>
        </w:rPr>
        <w:t>中标（</w:t>
      </w:r>
      <w:r>
        <w:rPr>
          <w:rFonts w:hint="eastAsia" w:ascii="宋体" w:hAnsi="宋体" w:eastAsia="宋体" w:cs="宋体"/>
          <w:b w:val="0"/>
          <w:bCs/>
          <w:color w:val="auto"/>
          <w:szCs w:val="21"/>
          <w:highlight w:val="none"/>
          <w:lang w:eastAsia="zh-CN"/>
        </w:rPr>
        <w:t>成交</w:t>
      </w:r>
      <w:r>
        <w:rPr>
          <w:rFonts w:hint="eastAsia" w:ascii="宋体" w:hAnsi="宋体" w:eastAsia="宋体" w:cs="宋体"/>
          <w:b w:val="0"/>
          <w:bCs/>
          <w:color w:val="auto"/>
          <w:szCs w:val="21"/>
          <w:highlight w:val="none"/>
          <w:lang w:val="en-US" w:eastAsia="zh-CN"/>
        </w:rPr>
        <w:t>）</w:t>
      </w:r>
      <w:r>
        <w:rPr>
          <w:rFonts w:hint="eastAsia" w:ascii="宋体" w:hAnsi="宋体" w:eastAsia="宋体" w:cs="宋体"/>
          <w:b w:val="0"/>
          <w:bCs/>
          <w:color w:val="auto"/>
          <w:szCs w:val="21"/>
          <w:highlight w:val="none"/>
          <w:lang w:eastAsia="zh-CN"/>
        </w:rPr>
        <w:t>通知书</w:t>
      </w:r>
      <w:r>
        <w:rPr>
          <w:rFonts w:hint="eastAsia" w:ascii="宋体" w:hAnsi="宋体" w:eastAsia="宋体" w:cs="宋体"/>
          <w:b w:val="0"/>
          <w:bCs/>
          <w:color w:val="auto"/>
          <w:szCs w:val="21"/>
          <w:highlight w:val="none"/>
        </w:rPr>
        <w:t>或合同</w:t>
      </w:r>
      <w:r>
        <w:rPr>
          <w:rFonts w:hint="eastAsia" w:ascii="宋体" w:hAnsi="宋体" w:eastAsia="宋体" w:cs="宋体"/>
          <w:b w:val="0"/>
          <w:bCs/>
          <w:color w:val="auto"/>
          <w:szCs w:val="21"/>
          <w:highlight w:val="none"/>
          <w:lang w:val="en-US" w:eastAsia="zh-CN"/>
        </w:rPr>
        <w:t>或</w:t>
      </w:r>
      <w:r>
        <w:rPr>
          <w:rFonts w:hint="eastAsia" w:ascii="宋体" w:hAnsi="宋体" w:eastAsia="宋体" w:cs="宋体"/>
          <w:b w:val="0"/>
          <w:bCs/>
          <w:color w:val="auto"/>
          <w:szCs w:val="21"/>
          <w:highlight w:val="none"/>
        </w:rPr>
        <w:t>竣工验收证明材料的复印件或扫描件；</w:t>
      </w:r>
    </w:p>
    <w:p w14:paraId="57D5C39C">
      <w:pPr>
        <w:ind w:firstLine="420" w:firstLineChars="200"/>
        <w:outlineLvl w:val="9"/>
        <w:rPr>
          <w:rFonts w:hint="eastAsia" w:ascii="宋体" w:hAnsi="宋体" w:eastAsia="宋体" w:cs="宋体"/>
          <w:b w:val="0"/>
          <w:bCs/>
          <w:color w:val="auto"/>
          <w:szCs w:val="21"/>
          <w:highlight w:val="none"/>
        </w:rPr>
        <w:sectPr>
          <w:headerReference r:id="rId5" w:type="default"/>
          <w:footerReference r:id="rId6" w:type="default"/>
          <w:footerReference r:id="rId7" w:type="even"/>
          <w:pgSz w:w="11906" w:h="16838"/>
          <w:pgMar w:top="1418" w:right="1134" w:bottom="1418" w:left="1134" w:header="851" w:footer="992" w:gutter="0"/>
          <w:pgNumType w:fmt="decimal"/>
          <w:cols w:space="720" w:num="1"/>
          <w:docGrid w:type="linesAndChars" w:linePitch="312" w:charSpace="0"/>
        </w:sectPr>
      </w:pP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如近年来，投标申请人法人机构发生合法变更或重组或法人名称变更时，应提供相关部门的合法批件或其他相关证明材料来证明其所附业绩的继承性。</w:t>
      </w:r>
    </w:p>
    <w:p w14:paraId="2DDFA039">
      <w:pPr>
        <w:pStyle w:val="67"/>
        <w:outlineLvl w:val="9"/>
        <w:rPr>
          <w:rFonts w:hint="eastAsia" w:ascii="宋体" w:hAnsi="宋体"/>
          <w:b/>
          <w:bCs/>
          <w:color w:val="auto"/>
          <w:kern w:val="2"/>
          <w:sz w:val="32"/>
          <w:szCs w:val="32"/>
          <w:highlight w:val="none"/>
          <w:lang w:val="en-US" w:eastAsia="zh-CN" w:bidi="ar-SA"/>
        </w:rPr>
      </w:pPr>
      <w:r>
        <w:rPr>
          <w:rFonts w:hint="eastAsia" w:hAnsi="宋体"/>
          <w:b/>
          <w:bCs/>
          <w:color w:val="auto"/>
          <w:kern w:val="2"/>
          <w:sz w:val="32"/>
          <w:szCs w:val="32"/>
          <w:highlight w:val="none"/>
          <w:lang w:val="en-US" w:eastAsia="zh-CN" w:bidi="ar-SA"/>
        </w:rPr>
        <w:t>八</w:t>
      </w:r>
      <w:r>
        <w:rPr>
          <w:rFonts w:hint="eastAsia" w:ascii="宋体" w:hAnsi="宋体"/>
          <w:b/>
          <w:bCs/>
          <w:color w:val="auto"/>
          <w:kern w:val="2"/>
          <w:sz w:val="32"/>
          <w:szCs w:val="32"/>
          <w:highlight w:val="none"/>
          <w:lang w:val="en-US" w:eastAsia="zh-CN" w:bidi="ar-SA"/>
        </w:rPr>
        <w:t>、承诺书</w:t>
      </w:r>
    </w:p>
    <w:p w14:paraId="5598C4F5">
      <w:pPr>
        <w:pStyle w:val="67"/>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（格式自拟）</w:t>
      </w:r>
    </w:p>
    <w:p w14:paraId="07FFA84D">
      <w:pPr>
        <w:spacing w:line="560" w:lineRule="exact"/>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、对农民工工资支付方面的承诺；</w:t>
      </w:r>
    </w:p>
    <w:p w14:paraId="26D7417F">
      <w:pPr>
        <w:spacing w:line="560" w:lineRule="exact"/>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、不</w:t>
      </w:r>
      <w:r>
        <w:rPr>
          <w:rFonts w:hint="eastAsia" w:ascii="宋体" w:hAnsi="宋体" w:eastAsia="宋体" w:cs="宋体"/>
          <w:b w:val="0"/>
          <w:bCs/>
          <w:color w:val="auto"/>
          <w:sz w:val="24"/>
          <w:highlight w:val="none"/>
          <w:lang w:val="en-US" w:eastAsia="zh-CN"/>
        </w:rPr>
        <w:t>转包</w:t>
      </w:r>
      <w:r>
        <w:rPr>
          <w:rFonts w:hint="eastAsia" w:ascii="宋体" w:hAnsi="宋体" w:eastAsia="宋体" w:cs="宋体"/>
          <w:b w:val="0"/>
          <w:bCs/>
          <w:color w:val="auto"/>
          <w:sz w:val="24"/>
          <w:highlight w:val="none"/>
        </w:rPr>
        <w:t>、不分包的承诺；</w:t>
      </w:r>
    </w:p>
    <w:p w14:paraId="4AE2206A">
      <w:pPr>
        <w:spacing w:line="560" w:lineRule="exact"/>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对</w:t>
      </w:r>
      <w:r>
        <w:rPr>
          <w:rFonts w:hint="eastAsia" w:ascii="宋体" w:hAnsi="宋体" w:eastAsia="宋体" w:cs="宋体"/>
          <w:b w:val="0"/>
          <w:bCs/>
          <w:color w:val="auto"/>
          <w:spacing w:val="-6"/>
          <w:sz w:val="24"/>
          <w:highlight w:val="none"/>
          <w:lang w:val="en-US" w:eastAsia="zh-CN"/>
        </w:rPr>
        <w:t>工期、</w:t>
      </w:r>
      <w:r>
        <w:rPr>
          <w:rFonts w:hint="eastAsia" w:ascii="宋体" w:hAnsi="宋体" w:cs="宋体"/>
          <w:b w:val="0"/>
          <w:bCs/>
          <w:color w:val="auto"/>
          <w:spacing w:val="-6"/>
          <w:sz w:val="24"/>
          <w:highlight w:val="none"/>
          <w:lang w:val="en-US" w:eastAsia="zh-CN"/>
        </w:rPr>
        <w:t>质量标准、质量保修期（缺陷责任期）、磋商有效期</w:t>
      </w:r>
      <w:r>
        <w:rPr>
          <w:rFonts w:hint="eastAsia" w:ascii="宋体" w:hAnsi="宋体" w:eastAsia="宋体" w:cs="宋体"/>
          <w:b w:val="0"/>
          <w:bCs/>
          <w:color w:val="auto"/>
          <w:spacing w:val="-6"/>
          <w:sz w:val="24"/>
          <w:highlight w:val="none"/>
          <w:lang w:val="en-US" w:eastAsia="zh-CN"/>
        </w:rPr>
        <w:t>的承诺；</w:t>
      </w:r>
    </w:p>
    <w:p w14:paraId="45F5D62B">
      <w:pPr>
        <w:spacing w:line="560" w:lineRule="exact"/>
        <w:ind w:firstLine="432" w:firstLineChars="180"/>
        <w:outlineLvl w:val="9"/>
        <w:rPr>
          <w:rFonts w:hint="eastAsia" w:ascii="宋体" w:hAnsi="宋体" w:eastAsia="宋体" w:cs="宋体"/>
          <w:b w:val="0"/>
          <w:bCs/>
          <w:color w:val="auto"/>
          <w:sz w:val="24"/>
          <w:highlight w:val="none"/>
          <w:lang w:val="en-US" w:eastAsia="zh-CN"/>
        </w:rPr>
      </w:pPr>
    </w:p>
    <w:p w14:paraId="4B3E3EC0">
      <w:pPr>
        <w:spacing w:line="560" w:lineRule="exact"/>
        <w:ind w:firstLine="504" w:firstLineChars="180"/>
        <w:outlineLvl w:val="9"/>
        <w:rPr>
          <w:rFonts w:hint="eastAsia" w:ascii="宋体" w:hAnsi="宋体" w:eastAsia="宋体" w:cs="宋体"/>
          <w:b w:val="0"/>
          <w:bCs/>
          <w:color w:val="auto"/>
          <w:sz w:val="28"/>
          <w:highlight w:val="none"/>
        </w:rPr>
      </w:pPr>
    </w:p>
    <w:p w14:paraId="75BD8A59">
      <w:pPr>
        <w:spacing w:line="560" w:lineRule="exact"/>
        <w:ind w:firstLine="504" w:firstLineChars="180"/>
        <w:outlineLvl w:val="9"/>
        <w:rPr>
          <w:rFonts w:hint="eastAsia" w:ascii="宋体" w:hAnsi="宋体" w:eastAsia="宋体" w:cs="宋体"/>
          <w:b w:val="0"/>
          <w:bCs/>
          <w:color w:val="auto"/>
          <w:sz w:val="28"/>
          <w:highlight w:val="none"/>
        </w:rPr>
      </w:pPr>
    </w:p>
    <w:p w14:paraId="64217536">
      <w:pPr>
        <w:spacing w:line="360" w:lineRule="auto"/>
        <w:jc w:val="center"/>
        <w:outlineLvl w:val="9"/>
        <w:rPr>
          <w:rFonts w:hint="eastAsia" w:ascii="宋体" w:hAnsi="宋体" w:eastAsia="宋体" w:cs="宋体"/>
          <w:b w:val="0"/>
          <w:bCs/>
          <w:color w:val="auto"/>
          <w:kern w:val="1"/>
          <w:sz w:val="36"/>
          <w:szCs w:val="36"/>
          <w:highlight w:val="none"/>
        </w:rPr>
      </w:pPr>
    </w:p>
    <w:p w14:paraId="76920CAF">
      <w:pPr>
        <w:spacing w:line="360" w:lineRule="auto"/>
        <w:jc w:val="center"/>
        <w:outlineLvl w:val="9"/>
        <w:rPr>
          <w:rFonts w:hint="eastAsia" w:ascii="宋体" w:hAnsi="宋体" w:eastAsia="宋体" w:cs="宋体"/>
          <w:b w:val="0"/>
          <w:bCs/>
          <w:color w:val="auto"/>
          <w:kern w:val="1"/>
          <w:sz w:val="36"/>
          <w:szCs w:val="36"/>
          <w:highlight w:val="none"/>
        </w:rPr>
      </w:pPr>
    </w:p>
    <w:p w14:paraId="423EE36A">
      <w:pPr>
        <w:spacing w:line="360" w:lineRule="auto"/>
        <w:jc w:val="center"/>
        <w:outlineLvl w:val="9"/>
        <w:rPr>
          <w:rFonts w:hint="eastAsia" w:ascii="宋体" w:hAnsi="宋体" w:eastAsia="宋体" w:cs="宋体"/>
          <w:b w:val="0"/>
          <w:bCs/>
          <w:color w:val="auto"/>
          <w:kern w:val="1"/>
          <w:sz w:val="36"/>
          <w:szCs w:val="36"/>
          <w:highlight w:val="none"/>
        </w:rPr>
      </w:pPr>
    </w:p>
    <w:p w14:paraId="48BF3F4F">
      <w:pPr>
        <w:wordWrap w:val="0"/>
        <w:ind w:right="700"/>
        <w:outlineLvl w:val="9"/>
        <w:rPr>
          <w:rFonts w:hint="eastAsia" w:ascii="宋体" w:hAnsi="宋体" w:eastAsia="宋体" w:cs="宋体"/>
          <w:b w:val="0"/>
          <w:bCs/>
          <w:color w:val="auto"/>
          <w:sz w:val="28"/>
          <w:highlight w:val="none"/>
        </w:rPr>
      </w:pPr>
    </w:p>
    <w:p w14:paraId="2A399681">
      <w:pPr>
        <w:spacing w:line="480" w:lineRule="auto"/>
        <w:ind w:right="-161"/>
        <w:outlineLvl w:val="9"/>
        <w:rPr>
          <w:rFonts w:hint="eastAsia" w:ascii="宋体" w:hAnsi="宋体" w:cs="仿宋"/>
          <w:color w:val="auto"/>
          <w:sz w:val="24"/>
          <w:highlight w:val="none"/>
        </w:rPr>
      </w:pPr>
      <w:r>
        <w:rPr>
          <w:rFonts w:hint="eastAsia" w:ascii="宋体" w:hAnsi="宋体" w:eastAsia="宋体" w:cs="宋体"/>
          <w:b w:val="0"/>
          <w:bCs/>
          <w:color w:val="auto"/>
          <w:sz w:val="28"/>
          <w:highlight w:val="none"/>
        </w:rPr>
        <w:t xml:space="preserve">           </w:t>
      </w:r>
      <w:r>
        <w:rPr>
          <w:rFonts w:hint="eastAsia" w:ascii="宋体" w:hAnsi="宋体" w:eastAsia="宋体" w:cs="宋体"/>
          <w:b w:val="0"/>
          <w:bCs/>
          <w:color w:val="auto"/>
          <w:sz w:val="28"/>
          <w:highlight w:val="none"/>
          <w:lang w:val="en-US" w:eastAsia="zh-CN"/>
        </w:rPr>
        <w:t xml:space="preserve"> </w:t>
      </w:r>
      <w:r>
        <w:rPr>
          <w:rFonts w:hint="eastAsia" w:ascii="宋体" w:hAnsi="宋体" w:eastAsia="宋体" w:cs="宋体"/>
          <w:b w:val="0"/>
          <w:bCs/>
          <w:color w:val="auto"/>
          <w:sz w:val="24"/>
          <w:szCs w:val="24"/>
          <w:highlight w:val="none"/>
        </w:rPr>
        <w:t>供</w:t>
      </w:r>
      <w:r>
        <w:rPr>
          <w:rFonts w:hint="eastAsia" w:ascii="宋体" w:hAnsi="宋体" w:cs="仿宋"/>
          <w:color w:val="auto"/>
          <w:sz w:val="24"/>
          <w:highlight w:val="none"/>
        </w:rPr>
        <w:t>应商</w:t>
      </w:r>
      <w:r>
        <w:rPr>
          <w:rFonts w:hint="eastAsia" w:ascii="宋体" w:hAnsi="宋体" w:cs="仿宋"/>
          <w:color w:val="auto"/>
          <w:sz w:val="24"/>
          <w:highlight w:val="none"/>
          <w:lang w:val="en-US" w:eastAsia="zh-CN"/>
        </w:rPr>
        <w:t>全称</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（盖章）</w:t>
      </w:r>
    </w:p>
    <w:p w14:paraId="0361570D">
      <w:pPr>
        <w:spacing w:line="480" w:lineRule="auto"/>
        <w:outlineLvl w:val="9"/>
        <w:rPr>
          <w:rFonts w:hint="eastAsia" w:ascii="宋体" w:hAnsi="宋体" w:cs="仿宋"/>
          <w:color w:val="auto"/>
          <w:sz w:val="24"/>
          <w:highlight w:val="none"/>
          <w:u w:val="none"/>
          <w:lang w:eastAsia="zh-CN"/>
        </w:rPr>
      </w:pPr>
      <w:r>
        <w:rPr>
          <w:rFonts w:hint="eastAsia" w:ascii="宋体" w:hAnsi="宋体" w:cs="仿宋"/>
          <w:color w:val="auto"/>
          <w:sz w:val="24"/>
          <w:highlight w:val="none"/>
        </w:rPr>
        <w:t xml:space="preserve">              法定代表人或被</w:t>
      </w:r>
      <w:r>
        <w:rPr>
          <w:rFonts w:ascii="宋体" w:hAnsi="宋体"/>
          <w:color w:val="auto"/>
          <w:sz w:val="24"/>
          <w:highlight w:val="none"/>
        </w:rPr>
        <w:t>授权</w:t>
      </w:r>
      <w:r>
        <w:rPr>
          <w:rFonts w:hint="eastAsia" w:ascii="宋体" w:hAnsi="宋体"/>
          <w:color w:val="auto"/>
          <w:sz w:val="24"/>
          <w:highlight w:val="none"/>
          <w:lang w:val="en-US" w:eastAsia="zh-CN"/>
        </w:rPr>
        <w:t>人</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none"/>
          <w:lang w:eastAsia="zh-CN"/>
        </w:rPr>
        <w:t>（</w:t>
      </w:r>
      <w:r>
        <w:rPr>
          <w:rFonts w:hint="eastAsia" w:ascii="宋体" w:hAnsi="宋体" w:cs="仿宋"/>
          <w:color w:val="auto"/>
          <w:sz w:val="24"/>
          <w:highlight w:val="none"/>
          <w:u w:val="none"/>
        </w:rPr>
        <w:t>签字</w:t>
      </w:r>
      <w:r>
        <w:rPr>
          <w:rFonts w:hint="eastAsia" w:ascii="宋体" w:hAnsi="宋体" w:cs="仿宋"/>
          <w:color w:val="auto"/>
          <w:sz w:val="24"/>
          <w:highlight w:val="none"/>
          <w:lang w:val="en-US" w:eastAsia="zh-CN"/>
        </w:rPr>
        <w:t>或盖章</w:t>
      </w:r>
      <w:r>
        <w:rPr>
          <w:rFonts w:hint="eastAsia" w:ascii="宋体" w:hAnsi="宋体" w:cs="仿宋"/>
          <w:color w:val="auto"/>
          <w:sz w:val="24"/>
          <w:highlight w:val="none"/>
          <w:u w:val="none"/>
          <w:lang w:eastAsia="zh-CN"/>
        </w:rPr>
        <w:t>）</w:t>
      </w:r>
    </w:p>
    <w:p w14:paraId="762ED932">
      <w:pPr>
        <w:spacing w:line="560" w:lineRule="exact"/>
        <w:ind w:firstLine="1622" w:firstLineChars="676"/>
        <w:outlineLvl w:val="9"/>
        <w:rPr>
          <w:rFonts w:hint="eastAsia" w:ascii="宋体" w:hAnsi="宋体" w:eastAsia="宋体" w:cs="宋体"/>
          <w:b w:val="0"/>
          <w:bCs/>
          <w:color w:val="auto"/>
          <w:sz w:val="24"/>
          <w:szCs w:val="24"/>
          <w:highlight w:val="none"/>
        </w:rPr>
      </w:pPr>
      <w:r>
        <w:rPr>
          <w:rFonts w:hint="eastAsia" w:ascii="宋体" w:hAnsi="宋体" w:cs="仿宋"/>
          <w:color w:val="auto"/>
          <w:sz w:val="24"/>
          <w:highlight w:val="none"/>
        </w:rPr>
        <w:t>日</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期：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w:t>
      </w:r>
    </w:p>
    <w:p w14:paraId="3C2B8935">
      <w:pPr>
        <w:spacing w:line="360" w:lineRule="auto"/>
        <w:jc w:val="center"/>
        <w:outlineLvl w:val="9"/>
        <w:rPr>
          <w:rFonts w:hint="eastAsia" w:ascii="宋体" w:hAnsi="宋体" w:eastAsia="宋体" w:cs="宋体"/>
          <w:b w:val="0"/>
          <w:bCs/>
          <w:color w:val="auto"/>
          <w:kern w:val="1"/>
          <w:sz w:val="36"/>
          <w:szCs w:val="36"/>
          <w:highlight w:val="none"/>
        </w:rPr>
      </w:pPr>
      <w:r>
        <w:rPr>
          <w:rFonts w:hint="eastAsia" w:ascii="宋体" w:hAnsi="宋体" w:eastAsia="宋体" w:cs="宋体"/>
          <w:b w:val="0"/>
          <w:bCs/>
          <w:color w:val="auto"/>
          <w:kern w:val="1"/>
          <w:sz w:val="36"/>
          <w:szCs w:val="36"/>
          <w:highlight w:val="none"/>
        </w:rPr>
        <w:t xml:space="preserve"> </w:t>
      </w:r>
    </w:p>
    <w:p w14:paraId="0539DAC7">
      <w:pPr>
        <w:spacing w:line="360" w:lineRule="auto"/>
        <w:jc w:val="center"/>
        <w:outlineLvl w:val="9"/>
        <w:rPr>
          <w:rFonts w:hint="eastAsia" w:ascii="宋体" w:hAnsi="宋体" w:eastAsia="宋体" w:cs="宋体"/>
          <w:b w:val="0"/>
          <w:bCs/>
          <w:color w:val="auto"/>
          <w:kern w:val="1"/>
          <w:sz w:val="36"/>
          <w:szCs w:val="36"/>
          <w:highlight w:val="none"/>
        </w:rPr>
      </w:pPr>
    </w:p>
    <w:p w14:paraId="30B12909">
      <w:pPr>
        <w:pStyle w:val="11"/>
        <w:outlineLvl w:val="9"/>
        <w:rPr>
          <w:rFonts w:hint="eastAsia"/>
          <w:color w:val="auto"/>
          <w:highlight w:val="none"/>
        </w:rPr>
      </w:pPr>
    </w:p>
    <w:p w14:paraId="15BED794">
      <w:pPr>
        <w:pStyle w:val="20"/>
        <w:outlineLvl w:val="9"/>
        <w:rPr>
          <w:rFonts w:hint="eastAsia"/>
          <w:color w:val="auto"/>
        </w:rPr>
      </w:pPr>
    </w:p>
    <w:p w14:paraId="50A32FAA">
      <w:pPr>
        <w:spacing w:line="360" w:lineRule="auto"/>
        <w:jc w:val="center"/>
        <w:outlineLvl w:val="9"/>
        <w:rPr>
          <w:rFonts w:hint="eastAsia" w:ascii="宋体" w:hAnsi="宋体" w:eastAsia="宋体" w:cs="宋体"/>
          <w:b w:val="0"/>
          <w:bCs/>
          <w:color w:val="auto"/>
          <w:kern w:val="1"/>
          <w:sz w:val="36"/>
          <w:szCs w:val="36"/>
          <w:highlight w:val="none"/>
        </w:rPr>
      </w:pPr>
    </w:p>
    <w:p w14:paraId="6C2232DD">
      <w:pPr>
        <w:spacing w:line="360" w:lineRule="auto"/>
        <w:jc w:val="center"/>
        <w:outlineLvl w:val="9"/>
        <w:rPr>
          <w:rFonts w:hint="eastAsia" w:ascii="宋体" w:hAnsi="宋体" w:eastAsia="宋体" w:cs="宋体"/>
          <w:b w:val="0"/>
          <w:bCs/>
          <w:color w:val="auto"/>
          <w:kern w:val="1"/>
          <w:sz w:val="36"/>
          <w:szCs w:val="36"/>
          <w:highlight w:val="none"/>
        </w:rPr>
      </w:pPr>
    </w:p>
    <w:p w14:paraId="5467F72E">
      <w:pPr>
        <w:pStyle w:val="16"/>
        <w:outlineLvl w:val="9"/>
        <w:rPr>
          <w:rFonts w:hint="eastAsia"/>
          <w:color w:val="auto"/>
        </w:rPr>
      </w:pPr>
    </w:p>
    <w:p w14:paraId="0C782750">
      <w:pPr>
        <w:tabs>
          <w:tab w:val="left" w:pos="1245"/>
        </w:tabs>
        <w:spacing w:line="360" w:lineRule="auto"/>
        <w:ind w:firstLine="705" w:firstLineChars="294"/>
        <w:outlineLvl w:val="9"/>
        <w:rPr>
          <w:rFonts w:hint="eastAsia" w:ascii="宋体" w:hAnsi="宋体" w:eastAsia="宋体" w:cs="宋体"/>
          <w:b w:val="0"/>
          <w:bCs/>
          <w:color w:val="auto"/>
          <w:sz w:val="24"/>
          <w:highlight w:val="none"/>
        </w:rPr>
      </w:pPr>
    </w:p>
    <w:p w14:paraId="3E19598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color w:val="auto"/>
          <w:sz w:val="10"/>
          <w:szCs w:val="10"/>
          <w:highlight w:val="none"/>
        </w:rPr>
      </w:pPr>
    </w:p>
    <w:p w14:paraId="1BA32C4B">
      <w:pPr>
        <w:pStyle w:val="24"/>
        <w:outlineLvl w:val="9"/>
        <w:rPr>
          <w:rFonts w:hint="eastAsia"/>
          <w:color w:val="auto"/>
        </w:rPr>
      </w:pPr>
    </w:p>
    <w:p w14:paraId="57D98499">
      <w:pPr>
        <w:pStyle w:val="67"/>
        <w:jc w:val="both"/>
        <w:outlineLvl w:val="9"/>
        <w:rPr>
          <w:rFonts w:hint="eastAsia" w:ascii="宋体" w:hAnsi="宋体"/>
          <w:b/>
          <w:bCs/>
          <w:color w:val="auto"/>
          <w:kern w:val="2"/>
          <w:sz w:val="32"/>
          <w:szCs w:val="32"/>
          <w:highlight w:val="none"/>
          <w:lang w:val="en-US" w:eastAsia="zh-CN" w:bidi="ar-SA"/>
        </w:rPr>
      </w:pPr>
    </w:p>
    <w:p w14:paraId="160A61E1">
      <w:pPr>
        <w:pStyle w:val="67"/>
        <w:outlineLvl w:val="9"/>
        <w:rPr>
          <w:rFonts w:hint="eastAsia" w:ascii="宋体" w:hAnsi="宋体"/>
          <w:b/>
          <w:bCs/>
          <w:color w:val="auto"/>
          <w:kern w:val="2"/>
          <w:sz w:val="32"/>
          <w:szCs w:val="32"/>
          <w:highlight w:val="none"/>
          <w:lang w:val="en-US" w:eastAsia="zh-CN" w:bidi="ar-SA"/>
        </w:rPr>
      </w:pPr>
      <w:r>
        <w:rPr>
          <w:rFonts w:hint="eastAsia" w:hAnsi="宋体"/>
          <w:b/>
          <w:bCs/>
          <w:color w:val="auto"/>
          <w:kern w:val="2"/>
          <w:sz w:val="32"/>
          <w:szCs w:val="32"/>
          <w:highlight w:val="none"/>
          <w:lang w:val="en-US" w:eastAsia="zh-CN" w:bidi="ar-SA"/>
        </w:rPr>
        <w:t>九</w:t>
      </w:r>
      <w:r>
        <w:rPr>
          <w:rFonts w:hint="eastAsia" w:ascii="宋体" w:hAnsi="宋体"/>
          <w:b/>
          <w:bCs/>
          <w:color w:val="auto"/>
          <w:kern w:val="2"/>
          <w:sz w:val="32"/>
          <w:szCs w:val="32"/>
          <w:highlight w:val="none"/>
          <w:lang w:val="en-US" w:eastAsia="zh-CN" w:bidi="ar-SA"/>
        </w:rPr>
        <w:t>、项目机构组成</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84"/>
        <w:gridCol w:w="884"/>
        <w:gridCol w:w="1231"/>
        <w:gridCol w:w="1057"/>
        <w:gridCol w:w="1526"/>
        <w:gridCol w:w="2126"/>
      </w:tblGrid>
      <w:tr w14:paraId="09F44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4" w:type="dxa"/>
            <w:noWrap w:val="0"/>
            <w:vAlign w:val="center"/>
          </w:tcPr>
          <w:p w14:paraId="514CB75F">
            <w:pPr>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姓名</w:t>
            </w:r>
          </w:p>
        </w:tc>
        <w:tc>
          <w:tcPr>
            <w:tcW w:w="884" w:type="dxa"/>
            <w:noWrap w:val="0"/>
            <w:vAlign w:val="center"/>
          </w:tcPr>
          <w:p w14:paraId="3D1D32D3">
            <w:pPr>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性别</w:t>
            </w:r>
          </w:p>
        </w:tc>
        <w:tc>
          <w:tcPr>
            <w:tcW w:w="884" w:type="dxa"/>
            <w:noWrap w:val="0"/>
            <w:vAlign w:val="center"/>
          </w:tcPr>
          <w:p w14:paraId="748148E9">
            <w:pPr>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年龄</w:t>
            </w:r>
          </w:p>
        </w:tc>
        <w:tc>
          <w:tcPr>
            <w:tcW w:w="1231" w:type="dxa"/>
            <w:noWrap w:val="0"/>
            <w:vAlign w:val="center"/>
          </w:tcPr>
          <w:p w14:paraId="27F18C53">
            <w:pPr>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职称</w:t>
            </w:r>
          </w:p>
        </w:tc>
        <w:tc>
          <w:tcPr>
            <w:tcW w:w="1057" w:type="dxa"/>
            <w:noWrap w:val="0"/>
            <w:vAlign w:val="center"/>
          </w:tcPr>
          <w:p w14:paraId="0ED19D3F">
            <w:pPr>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专业</w:t>
            </w:r>
          </w:p>
        </w:tc>
        <w:tc>
          <w:tcPr>
            <w:tcW w:w="1526" w:type="dxa"/>
            <w:noWrap w:val="0"/>
            <w:vAlign w:val="center"/>
          </w:tcPr>
          <w:p w14:paraId="3844538E">
            <w:pPr>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证书编号</w:t>
            </w:r>
          </w:p>
        </w:tc>
        <w:tc>
          <w:tcPr>
            <w:tcW w:w="2126" w:type="dxa"/>
            <w:noWrap w:val="0"/>
            <w:vAlign w:val="center"/>
          </w:tcPr>
          <w:p w14:paraId="7B63D4E1">
            <w:pPr>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拟在本项目中</w:t>
            </w:r>
          </w:p>
          <w:p w14:paraId="6881703F">
            <w:pPr>
              <w:jc w:val="center"/>
              <w:outlineLvl w:val="9"/>
              <w:rPr>
                <w:rFonts w:hint="eastAsia" w:ascii="宋体" w:hAnsi="宋体" w:eastAsia="宋体" w:cs="宋体"/>
                <w:b w:val="0"/>
                <w:bCs/>
                <w:color w:val="auto"/>
                <w:highlight w:val="none"/>
              </w:rPr>
            </w:pPr>
            <w:r>
              <w:rPr>
                <w:rFonts w:hint="eastAsia" w:ascii="宋体" w:hAnsi="宋体" w:eastAsia="宋体" w:cs="宋体"/>
                <w:b w:val="0"/>
                <w:bCs/>
                <w:color w:val="auto"/>
                <w:highlight w:val="none"/>
              </w:rPr>
              <w:t>担任的工作或岗位</w:t>
            </w:r>
          </w:p>
        </w:tc>
      </w:tr>
      <w:tr w14:paraId="2165F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37C87924">
            <w:pPr>
              <w:jc w:val="center"/>
              <w:outlineLvl w:val="9"/>
              <w:rPr>
                <w:rFonts w:hint="eastAsia" w:ascii="宋体" w:hAnsi="宋体" w:eastAsia="宋体" w:cs="宋体"/>
                <w:b w:val="0"/>
                <w:bCs/>
                <w:color w:val="auto"/>
                <w:highlight w:val="none"/>
              </w:rPr>
            </w:pPr>
          </w:p>
        </w:tc>
        <w:tc>
          <w:tcPr>
            <w:tcW w:w="884" w:type="dxa"/>
            <w:noWrap w:val="0"/>
            <w:vAlign w:val="center"/>
          </w:tcPr>
          <w:p w14:paraId="2F05CEDE">
            <w:pPr>
              <w:jc w:val="center"/>
              <w:outlineLvl w:val="9"/>
              <w:rPr>
                <w:rFonts w:hint="eastAsia" w:ascii="宋体" w:hAnsi="宋体" w:eastAsia="宋体" w:cs="宋体"/>
                <w:b w:val="0"/>
                <w:bCs/>
                <w:color w:val="auto"/>
                <w:highlight w:val="none"/>
              </w:rPr>
            </w:pPr>
          </w:p>
        </w:tc>
        <w:tc>
          <w:tcPr>
            <w:tcW w:w="884" w:type="dxa"/>
            <w:noWrap w:val="0"/>
            <w:vAlign w:val="center"/>
          </w:tcPr>
          <w:p w14:paraId="6646EE5C">
            <w:pPr>
              <w:jc w:val="center"/>
              <w:outlineLvl w:val="9"/>
              <w:rPr>
                <w:rFonts w:hint="eastAsia" w:ascii="宋体" w:hAnsi="宋体" w:eastAsia="宋体" w:cs="宋体"/>
                <w:b w:val="0"/>
                <w:bCs/>
                <w:color w:val="auto"/>
                <w:highlight w:val="none"/>
              </w:rPr>
            </w:pPr>
          </w:p>
        </w:tc>
        <w:tc>
          <w:tcPr>
            <w:tcW w:w="1231" w:type="dxa"/>
            <w:noWrap w:val="0"/>
            <w:vAlign w:val="center"/>
          </w:tcPr>
          <w:p w14:paraId="3079F152">
            <w:pPr>
              <w:jc w:val="center"/>
              <w:outlineLvl w:val="9"/>
              <w:rPr>
                <w:rFonts w:hint="eastAsia" w:ascii="宋体" w:hAnsi="宋体" w:eastAsia="宋体" w:cs="宋体"/>
                <w:b w:val="0"/>
                <w:bCs/>
                <w:color w:val="auto"/>
                <w:highlight w:val="none"/>
              </w:rPr>
            </w:pPr>
          </w:p>
        </w:tc>
        <w:tc>
          <w:tcPr>
            <w:tcW w:w="1057" w:type="dxa"/>
            <w:noWrap w:val="0"/>
            <w:vAlign w:val="center"/>
          </w:tcPr>
          <w:p w14:paraId="5E43191B">
            <w:pPr>
              <w:jc w:val="center"/>
              <w:outlineLvl w:val="9"/>
              <w:rPr>
                <w:rFonts w:hint="eastAsia" w:ascii="宋体" w:hAnsi="宋体" w:eastAsia="宋体" w:cs="宋体"/>
                <w:b w:val="0"/>
                <w:bCs/>
                <w:color w:val="auto"/>
                <w:highlight w:val="none"/>
              </w:rPr>
            </w:pPr>
          </w:p>
        </w:tc>
        <w:tc>
          <w:tcPr>
            <w:tcW w:w="1526" w:type="dxa"/>
            <w:noWrap w:val="0"/>
            <w:vAlign w:val="center"/>
          </w:tcPr>
          <w:p w14:paraId="3D545547">
            <w:pPr>
              <w:jc w:val="center"/>
              <w:outlineLvl w:val="9"/>
              <w:rPr>
                <w:rFonts w:hint="eastAsia" w:ascii="宋体" w:hAnsi="宋体" w:eastAsia="宋体" w:cs="宋体"/>
                <w:b w:val="0"/>
                <w:bCs/>
                <w:color w:val="auto"/>
                <w:highlight w:val="none"/>
              </w:rPr>
            </w:pPr>
          </w:p>
        </w:tc>
        <w:tc>
          <w:tcPr>
            <w:tcW w:w="2126" w:type="dxa"/>
            <w:noWrap w:val="0"/>
            <w:vAlign w:val="center"/>
          </w:tcPr>
          <w:p w14:paraId="0FE149F2">
            <w:pPr>
              <w:jc w:val="center"/>
              <w:outlineLvl w:val="9"/>
              <w:rPr>
                <w:rFonts w:hint="eastAsia" w:ascii="宋体" w:hAnsi="宋体" w:eastAsia="宋体" w:cs="宋体"/>
                <w:b w:val="0"/>
                <w:bCs/>
                <w:color w:val="auto"/>
                <w:highlight w:val="none"/>
              </w:rPr>
            </w:pPr>
          </w:p>
        </w:tc>
      </w:tr>
      <w:tr w14:paraId="7C1CF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27D9D28B">
            <w:pPr>
              <w:jc w:val="center"/>
              <w:outlineLvl w:val="9"/>
              <w:rPr>
                <w:rFonts w:hint="eastAsia" w:ascii="宋体" w:hAnsi="宋体" w:eastAsia="宋体" w:cs="宋体"/>
                <w:b w:val="0"/>
                <w:bCs/>
                <w:color w:val="auto"/>
                <w:highlight w:val="none"/>
              </w:rPr>
            </w:pPr>
          </w:p>
        </w:tc>
        <w:tc>
          <w:tcPr>
            <w:tcW w:w="884" w:type="dxa"/>
            <w:noWrap w:val="0"/>
            <w:vAlign w:val="center"/>
          </w:tcPr>
          <w:p w14:paraId="5BAE8E5B">
            <w:pPr>
              <w:jc w:val="center"/>
              <w:outlineLvl w:val="9"/>
              <w:rPr>
                <w:rFonts w:hint="eastAsia" w:ascii="宋体" w:hAnsi="宋体" w:eastAsia="宋体" w:cs="宋体"/>
                <w:b w:val="0"/>
                <w:bCs/>
                <w:color w:val="auto"/>
                <w:highlight w:val="none"/>
              </w:rPr>
            </w:pPr>
          </w:p>
        </w:tc>
        <w:tc>
          <w:tcPr>
            <w:tcW w:w="884" w:type="dxa"/>
            <w:noWrap w:val="0"/>
            <w:vAlign w:val="center"/>
          </w:tcPr>
          <w:p w14:paraId="369B17F9">
            <w:pPr>
              <w:jc w:val="center"/>
              <w:outlineLvl w:val="9"/>
              <w:rPr>
                <w:rFonts w:hint="eastAsia" w:ascii="宋体" w:hAnsi="宋体" w:eastAsia="宋体" w:cs="宋体"/>
                <w:b w:val="0"/>
                <w:bCs/>
                <w:color w:val="auto"/>
                <w:highlight w:val="none"/>
              </w:rPr>
            </w:pPr>
          </w:p>
        </w:tc>
        <w:tc>
          <w:tcPr>
            <w:tcW w:w="1231" w:type="dxa"/>
            <w:noWrap w:val="0"/>
            <w:vAlign w:val="center"/>
          </w:tcPr>
          <w:p w14:paraId="13F42FA8">
            <w:pPr>
              <w:jc w:val="center"/>
              <w:outlineLvl w:val="9"/>
              <w:rPr>
                <w:rFonts w:hint="eastAsia" w:ascii="宋体" w:hAnsi="宋体" w:eastAsia="宋体" w:cs="宋体"/>
                <w:b w:val="0"/>
                <w:bCs/>
                <w:color w:val="auto"/>
                <w:highlight w:val="none"/>
              </w:rPr>
            </w:pPr>
          </w:p>
        </w:tc>
        <w:tc>
          <w:tcPr>
            <w:tcW w:w="1057" w:type="dxa"/>
            <w:noWrap w:val="0"/>
            <w:vAlign w:val="center"/>
          </w:tcPr>
          <w:p w14:paraId="4AC1C9DA">
            <w:pPr>
              <w:jc w:val="center"/>
              <w:outlineLvl w:val="9"/>
              <w:rPr>
                <w:rFonts w:hint="eastAsia" w:ascii="宋体" w:hAnsi="宋体" w:eastAsia="宋体" w:cs="宋体"/>
                <w:b w:val="0"/>
                <w:bCs/>
                <w:color w:val="auto"/>
                <w:highlight w:val="none"/>
              </w:rPr>
            </w:pPr>
          </w:p>
        </w:tc>
        <w:tc>
          <w:tcPr>
            <w:tcW w:w="1526" w:type="dxa"/>
            <w:noWrap w:val="0"/>
            <w:vAlign w:val="center"/>
          </w:tcPr>
          <w:p w14:paraId="6F136536">
            <w:pPr>
              <w:jc w:val="center"/>
              <w:outlineLvl w:val="9"/>
              <w:rPr>
                <w:rFonts w:hint="eastAsia" w:ascii="宋体" w:hAnsi="宋体" w:eastAsia="宋体" w:cs="宋体"/>
                <w:b w:val="0"/>
                <w:bCs/>
                <w:color w:val="auto"/>
                <w:highlight w:val="none"/>
              </w:rPr>
            </w:pPr>
          </w:p>
        </w:tc>
        <w:tc>
          <w:tcPr>
            <w:tcW w:w="2126" w:type="dxa"/>
            <w:noWrap w:val="0"/>
            <w:vAlign w:val="center"/>
          </w:tcPr>
          <w:p w14:paraId="52E36AFC">
            <w:pPr>
              <w:jc w:val="center"/>
              <w:outlineLvl w:val="9"/>
              <w:rPr>
                <w:rFonts w:hint="eastAsia" w:ascii="宋体" w:hAnsi="宋体" w:eastAsia="宋体" w:cs="宋体"/>
                <w:b w:val="0"/>
                <w:bCs/>
                <w:color w:val="auto"/>
                <w:highlight w:val="none"/>
              </w:rPr>
            </w:pPr>
          </w:p>
        </w:tc>
      </w:tr>
      <w:tr w14:paraId="0D3FD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4A996907">
            <w:pPr>
              <w:jc w:val="center"/>
              <w:outlineLvl w:val="9"/>
              <w:rPr>
                <w:rFonts w:hint="eastAsia" w:ascii="宋体" w:hAnsi="宋体" w:eastAsia="宋体" w:cs="宋体"/>
                <w:b w:val="0"/>
                <w:bCs/>
                <w:color w:val="auto"/>
                <w:highlight w:val="none"/>
              </w:rPr>
            </w:pPr>
          </w:p>
        </w:tc>
        <w:tc>
          <w:tcPr>
            <w:tcW w:w="884" w:type="dxa"/>
            <w:noWrap w:val="0"/>
            <w:vAlign w:val="center"/>
          </w:tcPr>
          <w:p w14:paraId="5E5CB7A3">
            <w:pPr>
              <w:jc w:val="center"/>
              <w:outlineLvl w:val="9"/>
              <w:rPr>
                <w:rFonts w:hint="eastAsia" w:ascii="宋体" w:hAnsi="宋体" w:eastAsia="宋体" w:cs="宋体"/>
                <w:b w:val="0"/>
                <w:bCs/>
                <w:color w:val="auto"/>
                <w:highlight w:val="none"/>
              </w:rPr>
            </w:pPr>
          </w:p>
        </w:tc>
        <w:tc>
          <w:tcPr>
            <w:tcW w:w="884" w:type="dxa"/>
            <w:noWrap w:val="0"/>
            <w:vAlign w:val="center"/>
          </w:tcPr>
          <w:p w14:paraId="3CED42FC">
            <w:pPr>
              <w:jc w:val="center"/>
              <w:outlineLvl w:val="9"/>
              <w:rPr>
                <w:rFonts w:hint="eastAsia" w:ascii="宋体" w:hAnsi="宋体" w:eastAsia="宋体" w:cs="宋体"/>
                <w:b w:val="0"/>
                <w:bCs/>
                <w:color w:val="auto"/>
                <w:highlight w:val="none"/>
              </w:rPr>
            </w:pPr>
          </w:p>
        </w:tc>
        <w:tc>
          <w:tcPr>
            <w:tcW w:w="1231" w:type="dxa"/>
            <w:noWrap w:val="0"/>
            <w:vAlign w:val="center"/>
          </w:tcPr>
          <w:p w14:paraId="49E5EAA2">
            <w:pPr>
              <w:jc w:val="center"/>
              <w:outlineLvl w:val="9"/>
              <w:rPr>
                <w:rFonts w:hint="eastAsia" w:ascii="宋体" w:hAnsi="宋体" w:eastAsia="宋体" w:cs="宋体"/>
                <w:b w:val="0"/>
                <w:bCs/>
                <w:color w:val="auto"/>
                <w:highlight w:val="none"/>
              </w:rPr>
            </w:pPr>
          </w:p>
        </w:tc>
        <w:tc>
          <w:tcPr>
            <w:tcW w:w="1057" w:type="dxa"/>
            <w:noWrap w:val="0"/>
            <w:vAlign w:val="center"/>
          </w:tcPr>
          <w:p w14:paraId="541A6919">
            <w:pPr>
              <w:jc w:val="center"/>
              <w:outlineLvl w:val="9"/>
              <w:rPr>
                <w:rFonts w:hint="eastAsia" w:ascii="宋体" w:hAnsi="宋体" w:eastAsia="宋体" w:cs="宋体"/>
                <w:b w:val="0"/>
                <w:bCs/>
                <w:color w:val="auto"/>
                <w:highlight w:val="none"/>
              </w:rPr>
            </w:pPr>
          </w:p>
        </w:tc>
        <w:tc>
          <w:tcPr>
            <w:tcW w:w="1526" w:type="dxa"/>
            <w:noWrap w:val="0"/>
            <w:vAlign w:val="center"/>
          </w:tcPr>
          <w:p w14:paraId="6099AEEF">
            <w:pPr>
              <w:jc w:val="center"/>
              <w:outlineLvl w:val="9"/>
              <w:rPr>
                <w:rFonts w:hint="eastAsia" w:ascii="宋体" w:hAnsi="宋体" w:eastAsia="宋体" w:cs="宋体"/>
                <w:b w:val="0"/>
                <w:bCs/>
                <w:color w:val="auto"/>
                <w:highlight w:val="none"/>
              </w:rPr>
            </w:pPr>
          </w:p>
        </w:tc>
        <w:tc>
          <w:tcPr>
            <w:tcW w:w="2126" w:type="dxa"/>
            <w:noWrap w:val="0"/>
            <w:vAlign w:val="center"/>
          </w:tcPr>
          <w:p w14:paraId="06987E82">
            <w:pPr>
              <w:jc w:val="center"/>
              <w:outlineLvl w:val="9"/>
              <w:rPr>
                <w:rFonts w:hint="eastAsia" w:ascii="宋体" w:hAnsi="宋体" w:eastAsia="宋体" w:cs="宋体"/>
                <w:b w:val="0"/>
                <w:bCs/>
                <w:color w:val="auto"/>
                <w:highlight w:val="none"/>
              </w:rPr>
            </w:pPr>
          </w:p>
        </w:tc>
      </w:tr>
      <w:tr w14:paraId="68905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44C36C02">
            <w:pPr>
              <w:jc w:val="center"/>
              <w:outlineLvl w:val="9"/>
              <w:rPr>
                <w:rFonts w:hint="eastAsia" w:ascii="宋体" w:hAnsi="宋体" w:eastAsia="宋体" w:cs="宋体"/>
                <w:b w:val="0"/>
                <w:bCs/>
                <w:color w:val="auto"/>
                <w:highlight w:val="none"/>
              </w:rPr>
            </w:pPr>
          </w:p>
        </w:tc>
        <w:tc>
          <w:tcPr>
            <w:tcW w:w="884" w:type="dxa"/>
            <w:noWrap w:val="0"/>
            <w:vAlign w:val="center"/>
          </w:tcPr>
          <w:p w14:paraId="0852D4F9">
            <w:pPr>
              <w:jc w:val="center"/>
              <w:outlineLvl w:val="9"/>
              <w:rPr>
                <w:rFonts w:hint="eastAsia" w:ascii="宋体" w:hAnsi="宋体" w:eastAsia="宋体" w:cs="宋体"/>
                <w:b w:val="0"/>
                <w:bCs/>
                <w:color w:val="auto"/>
                <w:highlight w:val="none"/>
              </w:rPr>
            </w:pPr>
          </w:p>
        </w:tc>
        <w:tc>
          <w:tcPr>
            <w:tcW w:w="884" w:type="dxa"/>
            <w:noWrap w:val="0"/>
            <w:vAlign w:val="center"/>
          </w:tcPr>
          <w:p w14:paraId="702E9158">
            <w:pPr>
              <w:jc w:val="center"/>
              <w:outlineLvl w:val="9"/>
              <w:rPr>
                <w:rFonts w:hint="eastAsia" w:ascii="宋体" w:hAnsi="宋体" w:eastAsia="宋体" w:cs="宋体"/>
                <w:b w:val="0"/>
                <w:bCs/>
                <w:color w:val="auto"/>
                <w:highlight w:val="none"/>
              </w:rPr>
            </w:pPr>
          </w:p>
        </w:tc>
        <w:tc>
          <w:tcPr>
            <w:tcW w:w="1231" w:type="dxa"/>
            <w:noWrap w:val="0"/>
            <w:vAlign w:val="center"/>
          </w:tcPr>
          <w:p w14:paraId="17E4A2FF">
            <w:pPr>
              <w:jc w:val="center"/>
              <w:outlineLvl w:val="9"/>
              <w:rPr>
                <w:rFonts w:hint="eastAsia" w:ascii="宋体" w:hAnsi="宋体" w:eastAsia="宋体" w:cs="宋体"/>
                <w:b w:val="0"/>
                <w:bCs/>
                <w:color w:val="auto"/>
                <w:highlight w:val="none"/>
              </w:rPr>
            </w:pPr>
          </w:p>
        </w:tc>
        <w:tc>
          <w:tcPr>
            <w:tcW w:w="1057" w:type="dxa"/>
            <w:noWrap w:val="0"/>
            <w:vAlign w:val="center"/>
          </w:tcPr>
          <w:p w14:paraId="2C1E0A2A">
            <w:pPr>
              <w:jc w:val="center"/>
              <w:outlineLvl w:val="9"/>
              <w:rPr>
                <w:rFonts w:hint="eastAsia" w:ascii="宋体" w:hAnsi="宋体" w:eastAsia="宋体" w:cs="宋体"/>
                <w:b w:val="0"/>
                <w:bCs/>
                <w:color w:val="auto"/>
                <w:highlight w:val="none"/>
              </w:rPr>
            </w:pPr>
          </w:p>
        </w:tc>
        <w:tc>
          <w:tcPr>
            <w:tcW w:w="1526" w:type="dxa"/>
            <w:noWrap w:val="0"/>
            <w:vAlign w:val="center"/>
          </w:tcPr>
          <w:p w14:paraId="568069E8">
            <w:pPr>
              <w:jc w:val="center"/>
              <w:outlineLvl w:val="9"/>
              <w:rPr>
                <w:rFonts w:hint="eastAsia" w:ascii="宋体" w:hAnsi="宋体" w:eastAsia="宋体" w:cs="宋体"/>
                <w:b w:val="0"/>
                <w:bCs/>
                <w:color w:val="auto"/>
                <w:highlight w:val="none"/>
              </w:rPr>
            </w:pPr>
          </w:p>
        </w:tc>
        <w:tc>
          <w:tcPr>
            <w:tcW w:w="2126" w:type="dxa"/>
            <w:noWrap w:val="0"/>
            <w:vAlign w:val="center"/>
          </w:tcPr>
          <w:p w14:paraId="470313C3">
            <w:pPr>
              <w:jc w:val="center"/>
              <w:outlineLvl w:val="9"/>
              <w:rPr>
                <w:rFonts w:hint="eastAsia" w:ascii="宋体" w:hAnsi="宋体" w:eastAsia="宋体" w:cs="宋体"/>
                <w:b w:val="0"/>
                <w:bCs/>
                <w:color w:val="auto"/>
                <w:highlight w:val="none"/>
              </w:rPr>
            </w:pPr>
          </w:p>
        </w:tc>
      </w:tr>
      <w:tr w14:paraId="0393F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09AC6688">
            <w:pPr>
              <w:jc w:val="center"/>
              <w:outlineLvl w:val="9"/>
              <w:rPr>
                <w:rFonts w:hint="eastAsia" w:ascii="宋体" w:hAnsi="宋体" w:eastAsia="宋体" w:cs="宋体"/>
                <w:b w:val="0"/>
                <w:bCs/>
                <w:color w:val="auto"/>
                <w:highlight w:val="none"/>
              </w:rPr>
            </w:pPr>
          </w:p>
        </w:tc>
        <w:tc>
          <w:tcPr>
            <w:tcW w:w="884" w:type="dxa"/>
            <w:noWrap w:val="0"/>
            <w:vAlign w:val="center"/>
          </w:tcPr>
          <w:p w14:paraId="37A551CF">
            <w:pPr>
              <w:jc w:val="center"/>
              <w:outlineLvl w:val="9"/>
              <w:rPr>
                <w:rFonts w:hint="eastAsia" w:ascii="宋体" w:hAnsi="宋体" w:eastAsia="宋体" w:cs="宋体"/>
                <w:b w:val="0"/>
                <w:bCs/>
                <w:color w:val="auto"/>
                <w:highlight w:val="none"/>
              </w:rPr>
            </w:pPr>
          </w:p>
        </w:tc>
        <w:tc>
          <w:tcPr>
            <w:tcW w:w="884" w:type="dxa"/>
            <w:noWrap w:val="0"/>
            <w:vAlign w:val="center"/>
          </w:tcPr>
          <w:p w14:paraId="2A3E5254">
            <w:pPr>
              <w:jc w:val="center"/>
              <w:outlineLvl w:val="9"/>
              <w:rPr>
                <w:rFonts w:hint="eastAsia" w:ascii="宋体" w:hAnsi="宋体" w:eastAsia="宋体" w:cs="宋体"/>
                <w:b w:val="0"/>
                <w:bCs/>
                <w:color w:val="auto"/>
                <w:highlight w:val="none"/>
              </w:rPr>
            </w:pPr>
          </w:p>
        </w:tc>
        <w:tc>
          <w:tcPr>
            <w:tcW w:w="1231" w:type="dxa"/>
            <w:noWrap w:val="0"/>
            <w:vAlign w:val="center"/>
          </w:tcPr>
          <w:p w14:paraId="4C529E56">
            <w:pPr>
              <w:jc w:val="center"/>
              <w:outlineLvl w:val="9"/>
              <w:rPr>
                <w:rFonts w:hint="eastAsia" w:ascii="宋体" w:hAnsi="宋体" w:eastAsia="宋体" w:cs="宋体"/>
                <w:b w:val="0"/>
                <w:bCs/>
                <w:color w:val="auto"/>
                <w:highlight w:val="none"/>
              </w:rPr>
            </w:pPr>
          </w:p>
        </w:tc>
        <w:tc>
          <w:tcPr>
            <w:tcW w:w="1057" w:type="dxa"/>
            <w:noWrap w:val="0"/>
            <w:vAlign w:val="center"/>
          </w:tcPr>
          <w:p w14:paraId="281FEDF2">
            <w:pPr>
              <w:jc w:val="center"/>
              <w:outlineLvl w:val="9"/>
              <w:rPr>
                <w:rFonts w:hint="eastAsia" w:ascii="宋体" w:hAnsi="宋体" w:eastAsia="宋体" w:cs="宋体"/>
                <w:b w:val="0"/>
                <w:bCs/>
                <w:color w:val="auto"/>
                <w:highlight w:val="none"/>
              </w:rPr>
            </w:pPr>
          </w:p>
        </w:tc>
        <w:tc>
          <w:tcPr>
            <w:tcW w:w="1526" w:type="dxa"/>
            <w:noWrap w:val="0"/>
            <w:vAlign w:val="center"/>
          </w:tcPr>
          <w:p w14:paraId="24AD2344">
            <w:pPr>
              <w:jc w:val="center"/>
              <w:outlineLvl w:val="9"/>
              <w:rPr>
                <w:rFonts w:hint="eastAsia" w:ascii="宋体" w:hAnsi="宋体" w:eastAsia="宋体" w:cs="宋体"/>
                <w:b w:val="0"/>
                <w:bCs/>
                <w:color w:val="auto"/>
                <w:highlight w:val="none"/>
              </w:rPr>
            </w:pPr>
          </w:p>
        </w:tc>
        <w:tc>
          <w:tcPr>
            <w:tcW w:w="2126" w:type="dxa"/>
            <w:noWrap w:val="0"/>
            <w:vAlign w:val="center"/>
          </w:tcPr>
          <w:p w14:paraId="01E6323F">
            <w:pPr>
              <w:jc w:val="center"/>
              <w:outlineLvl w:val="9"/>
              <w:rPr>
                <w:rFonts w:hint="eastAsia" w:ascii="宋体" w:hAnsi="宋体" w:eastAsia="宋体" w:cs="宋体"/>
                <w:b w:val="0"/>
                <w:bCs/>
                <w:color w:val="auto"/>
                <w:highlight w:val="none"/>
              </w:rPr>
            </w:pPr>
          </w:p>
        </w:tc>
      </w:tr>
      <w:tr w14:paraId="065862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3BA223F2">
            <w:pPr>
              <w:jc w:val="center"/>
              <w:outlineLvl w:val="9"/>
              <w:rPr>
                <w:rFonts w:hint="eastAsia" w:ascii="宋体" w:hAnsi="宋体" w:eastAsia="宋体" w:cs="宋体"/>
                <w:b w:val="0"/>
                <w:bCs/>
                <w:color w:val="auto"/>
                <w:highlight w:val="none"/>
              </w:rPr>
            </w:pPr>
          </w:p>
        </w:tc>
        <w:tc>
          <w:tcPr>
            <w:tcW w:w="884" w:type="dxa"/>
            <w:noWrap w:val="0"/>
            <w:vAlign w:val="center"/>
          </w:tcPr>
          <w:p w14:paraId="28562779">
            <w:pPr>
              <w:jc w:val="center"/>
              <w:outlineLvl w:val="9"/>
              <w:rPr>
                <w:rFonts w:hint="eastAsia" w:ascii="宋体" w:hAnsi="宋体" w:eastAsia="宋体" w:cs="宋体"/>
                <w:b w:val="0"/>
                <w:bCs/>
                <w:color w:val="auto"/>
                <w:highlight w:val="none"/>
              </w:rPr>
            </w:pPr>
          </w:p>
        </w:tc>
        <w:tc>
          <w:tcPr>
            <w:tcW w:w="884" w:type="dxa"/>
            <w:noWrap w:val="0"/>
            <w:vAlign w:val="center"/>
          </w:tcPr>
          <w:p w14:paraId="4976886E">
            <w:pPr>
              <w:jc w:val="center"/>
              <w:outlineLvl w:val="9"/>
              <w:rPr>
                <w:rFonts w:hint="eastAsia" w:ascii="宋体" w:hAnsi="宋体" w:eastAsia="宋体" w:cs="宋体"/>
                <w:b w:val="0"/>
                <w:bCs/>
                <w:color w:val="auto"/>
                <w:highlight w:val="none"/>
              </w:rPr>
            </w:pPr>
          </w:p>
        </w:tc>
        <w:tc>
          <w:tcPr>
            <w:tcW w:w="1231" w:type="dxa"/>
            <w:noWrap w:val="0"/>
            <w:vAlign w:val="center"/>
          </w:tcPr>
          <w:p w14:paraId="4321E83C">
            <w:pPr>
              <w:jc w:val="center"/>
              <w:outlineLvl w:val="9"/>
              <w:rPr>
                <w:rFonts w:hint="eastAsia" w:ascii="宋体" w:hAnsi="宋体" w:eastAsia="宋体" w:cs="宋体"/>
                <w:b w:val="0"/>
                <w:bCs/>
                <w:color w:val="auto"/>
                <w:highlight w:val="none"/>
              </w:rPr>
            </w:pPr>
          </w:p>
        </w:tc>
        <w:tc>
          <w:tcPr>
            <w:tcW w:w="1057" w:type="dxa"/>
            <w:noWrap w:val="0"/>
            <w:vAlign w:val="center"/>
          </w:tcPr>
          <w:p w14:paraId="04545E9A">
            <w:pPr>
              <w:jc w:val="center"/>
              <w:outlineLvl w:val="9"/>
              <w:rPr>
                <w:rFonts w:hint="eastAsia" w:ascii="宋体" w:hAnsi="宋体" w:eastAsia="宋体" w:cs="宋体"/>
                <w:b w:val="0"/>
                <w:bCs/>
                <w:color w:val="auto"/>
                <w:highlight w:val="none"/>
              </w:rPr>
            </w:pPr>
          </w:p>
        </w:tc>
        <w:tc>
          <w:tcPr>
            <w:tcW w:w="1526" w:type="dxa"/>
            <w:noWrap w:val="0"/>
            <w:vAlign w:val="center"/>
          </w:tcPr>
          <w:p w14:paraId="7EB8677A">
            <w:pPr>
              <w:jc w:val="center"/>
              <w:outlineLvl w:val="9"/>
              <w:rPr>
                <w:rFonts w:hint="eastAsia" w:ascii="宋体" w:hAnsi="宋体" w:eastAsia="宋体" w:cs="宋体"/>
                <w:b w:val="0"/>
                <w:bCs/>
                <w:color w:val="auto"/>
                <w:highlight w:val="none"/>
              </w:rPr>
            </w:pPr>
          </w:p>
        </w:tc>
        <w:tc>
          <w:tcPr>
            <w:tcW w:w="2126" w:type="dxa"/>
            <w:noWrap w:val="0"/>
            <w:vAlign w:val="center"/>
          </w:tcPr>
          <w:p w14:paraId="1EC9843C">
            <w:pPr>
              <w:jc w:val="center"/>
              <w:outlineLvl w:val="9"/>
              <w:rPr>
                <w:rFonts w:hint="eastAsia" w:ascii="宋体" w:hAnsi="宋体" w:eastAsia="宋体" w:cs="宋体"/>
                <w:b w:val="0"/>
                <w:bCs/>
                <w:color w:val="auto"/>
                <w:highlight w:val="none"/>
              </w:rPr>
            </w:pPr>
          </w:p>
        </w:tc>
      </w:tr>
      <w:tr w14:paraId="158B3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3A8E6073">
            <w:pPr>
              <w:jc w:val="center"/>
              <w:outlineLvl w:val="9"/>
              <w:rPr>
                <w:rFonts w:hint="eastAsia" w:ascii="宋体" w:hAnsi="宋体" w:eastAsia="宋体" w:cs="宋体"/>
                <w:b w:val="0"/>
                <w:bCs/>
                <w:color w:val="auto"/>
                <w:highlight w:val="none"/>
              </w:rPr>
            </w:pPr>
          </w:p>
        </w:tc>
        <w:tc>
          <w:tcPr>
            <w:tcW w:w="884" w:type="dxa"/>
            <w:noWrap w:val="0"/>
            <w:vAlign w:val="center"/>
          </w:tcPr>
          <w:p w14:paraId="0ED2BF97">
            <w:pPr>
              <w:jc w:val="center"/>
              <w:outlineLvl w:val="9"/>
              <w:rPr>
                <w:rFonts w:hint="eastAsia" w:ascii="宋体" w:hAnsi="宋体" w:eastAsia="宋体" w:cs="宋体"/>
                <w:b w:val="0"/>
                <w:bCs/>
                <w:color w:val="auto"/>
                <w:highlight w:val="none"/>
              </w:rPr>
            </w:pPr>
          </w:p>
        </w:tc>
        <w:tc>
          <w:tcPr>
            <w:tcW w:w="884" w:type="dxa"/>
            <w:noWrap w:val="0"/>
            <w:vAlign w:val="center"/>
          </w:tcPr>
          <w:p w14:paraId="1B6CCB21">
            <w:pPr>
              <w:jc w:val="center"/>
              <w:outlineLvl w:val="9"/>
              <w:rPr>
                <w:rFonts w:hint="eastAsia" w:ascii="宋体" w:hAnsi="宋体" w:eastAsia="宋体" w:cs="宋体"/>
                <w:b w:val="0"/>
                <w:bCs/>
                <w:color w:val="auto"/>
                <w:highlight w:val="none"/>
              </w:rPr>
            </w:pPr>
          </w:p>
        </w:tc>
        <w:tc>
          <w:tcPr>
            <w:tcW w:w="1231" w:type="dxa"/>
            <w:noWrap w:val="0"/>
            <w:vAlign w:val="center"/>
          </w:tcPr>
          <w:p w14:paraId="3E3CE428">
            <w:pPr>
              <w:jc w:val="center"/>
              <w:outlineLvl w:val="9"/>
              <w:rPr>
                <w:rFonts w:hint="eastAsia" w:ascii="宋体" w:hAnsi="宋体" w:eastAsia="宋体" w:cs="宋体"/>
                <w:b w:val="0"/>
                <w:bCs/>
                <w:color w:val="auto"/>
                <w:highlight w:val="none"/>
              </w:rPr>
            </w:pPr>
          </w:p>
        </w:tc>
        <w:tc>
          <w:tcPr>
            <w:tcW w:w="1057" w:type="dxa"/>
            <w:noWrap w:val="0"/>
            <w:vAlign w:val="center"/>
          </w:tcPr>
          <w:p w14:paraId="41BB941D">
            <w:pPr>
              <w:jc w:val="center"/>
              <w:outlineLvl w:val="9"/>
              <w:rPr>
                <w:rFonts w:hint="eastAsia" w:ascii="宋体" w:hAnsi="宋体" w:eastAsia="宋体" w:cs="宋体"/>
                <w:b w:val="0"/>
                <w:bCs/>
                <w:color w:val="auto"/>
                <w:highlight w:val="none"/>
              </w:rPr>
            </w:pPr>
          </w:p>
        </w:tc>
        <w:tc>
          <w:tcPr>
            <w:tcW w:w="1526" w:type="dxa"/>
            <w:noWrap w:val="0"/>
            <w:vAlign w:val="center"/>
          </w:tcPr>
          <w:p w14:paraId="2F7FAD95">
            <w:pPr>
              <w:jc w:val="center"/>
              <w:outlineLvl w:val="9"/>
              <w:rPr>
                <w:rFonts w:hint="eastAsia" w:ascii="宋体" w:hAnsi="宋体" w:eastAsia="宋体" w:cs="宋体"/>
                <w:b w:val="0"/>
                <w:bCs/>
                <w:color w:val="auto"/>
                <w:highlight w:val="none"/>
              </w:rPr>
            </w:pPr>
          </w:p>
        </w:tc>
        <w:tc>
          <w:tcPr>
            <w:tcW w:w="2126" w:type="dxa"/>
            <w:noWrap w:val="0"/>
            <w:vAlign w:val="center"/>
          </w:tcPr>
          <w:p w14:paraId="256343A9">
            <w:pPr>
              <w:jc w:val="center"/>
              <w:outlineLvl w:val="9"/>
              <w:rPr>
                <w:rFonts w:hint="eastAsia" w:ascii="宋体" w:hAnsi="宋体" w:eastAsia="宋体" w:cs="宋体"/>
                <w:b w:val="0"/>
                <w:bCs/>
                <w:color w:val="auto"/>
                <w:highlight w:val="none"/>
              </w:rPr>
            </w:pPr>
          </w:p>
        </w:tc>
      </w:tr>
      <w:tr w14:paraId="5E7E9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570D336C">
            <w:pPr>
              <w:jc w:val="center"/>
              <w:outlineLvl w:val="9"/>
              <w:rPr>
                <w:rFonts w:hint="eastAsia" w:ascii="宋体" w:hAnsi="宋体" w:eastAsia="宋体" w:cs="宋体"/>
                <w:b w:val="0"/>
                <w:bCs/>
                <w:color w:val="auto"/>
                <w:highlight w:val="none"/>
              </w:rPr>
            </w:pPr>
          </w:p>
        </w:tc>
        <w:tc>
          <w:tcPr>
            <w:tcW w:w="884" w:type="dxa"/>
            <w:noWrap w:val="0"/>
            <w:vAlign w:val="center"/>
          </w:tcPr>
          <w:p w14:paraId="5935FCA8">
            <w:pPr>
              <w:jc w:val="center"/>
              <w:outlineLvl w:val="9"/>
              <w:rPr>
                <w:rFonts w:hint="eastAsia" w:ascii="宋体" w:hAnsi="宋体" w:eastAsia="宋体" w:cs="宋体"/>
                <w:b w:val="0"/>
                <w:bCs/>
                <w:color w:val="auto"/>
                <w:highlight w:val="none"/>
              </w:rPr>
            </w:pPr>
          </w:p>
        </w:tc>
        <w:tc>
          <w:tcPr>
            <w:tcW w:w="884" w:type="dxa"/>
            <w:noWrap w:val="0"/>
            <w:vAlign w:val="center"/>
          </w:tcPr>
          <w:p w14:paraId="43019635">
            <w:pPr>
              <w:jc w:val="center"/>
              <w:outlineLvl w:val="9"/>
              <w:rPr>
                <w:rFonts w:hint="eastAsia" w:ascii="宋体" w:hAnsi="宋体" w:eastAsia="宋体" w:cs="宋体"/>
                <w:b w:val="0"/>
                <w:bCs/>
                <w:color w:val="auto"/>
                <w:highlight w:val="none"/>
              </w:rPr>
            </w:pPr>
          </w:p>
        </w:tc>
        <w:tc>
          <w:tcPr>
            <w:tcW w:w="1231" w:type="dxa"/>
            <w:noWrap w:val="0"/>
            <w:vAlign w:val="center"/>
          </w:tcPr>
          <w:p w14:paraId="5BB6A002">
            <w:pPr>
              <w:jc w:val="center"/>
              <w:outlineLvl w:val="9"/>
              <w:rPr>
                <w:rFonts w:hint="eastAsia" w:ascii="宋体" w:hAnsi="宋体" w:eastAsia="宋体" w:cs="宋体"/>
                <w:b w:val="0"/>
                <w:bCs/>
                <w:color w:val="auto"/>
                <w:highlight w:val="none"/>
              </w:rPr>
            </w:pPr>
          </w:p>
        </w:tc>
        <w:tc>
          <w:tcPr>
            <w:tcW w:w="1057" w:type="dxa"/>
            <w:noWrap w:val="0"/>
            <w:vAlign w:val="center"/>
          </w:tcPr>
          <w:p w14:paraId="4538E9C5">
            <w:pPr>
              <w:jc w:val="center"/>
              <w:outlineLvl w:val="9"/>
              <w:rPr>
                <w:rFonts w:hint="eastAsia" w:ascii="宋体" w:hAnsi="宋体" w:eastAsia="宋体" w:cs="宋体"/>
                <w:b w:val="0"/>
                <w:bCs/>
                <w:color w:val="auto"/>
                <w:highlight w:val="none"/>
              </w:rPr>
            </w:pPr>
          </w:p>
        </w:tc>
        <w:tc>
          <w:tcPr>
            <w:tcW w:w="1526" w:type="dxa"/>
            <w:noWrap w:val="0"/>
            <w:vAlign w:val="center"/>
          </w:tcPr>
          <w:p w14:paraId="46097BF3">
            <w:pPr>
              <w:jc w:val="center"/>
              <w:outlineLvl w:val="9"/>
              <w:rPr>
                <w:rFonts w:hint="eastAsia" w:ascii="宋体" w:hAnsi="宋体" w:eastAsia="宋体" w:cs="宋体"/>
                <w:b w:val="0"/>
                <w:bCs/>
                <w:color w:val="auto"/>
                <w:highlight w:val="none"/>
              </w:rPr>
            </w:pPr>
          </w:p>
        </w:tc>
        <w:tc>
          <w:tcPr>
            <w:tcW w:w="2126" w:type="dxa"/>
            <w:noWrap w:val="0"/>
            <w:vAlign w:val="center"/>
          </w:tcPr>
          <w:p w14:paraId="4B008DB2">
            <w:pPr>
              <w:jc w:val="center"/>
              <w:outlineLvl w:val="9"/>
              <w:rPr>
                <w:rFonts w:hint="eastAsia" w:ascii="宋体" w:hAnsi="宋体" w:eastAsia="宋体" w:cs="宋体"/>
                <w:b w:val="0"/>
                <w:bCs/>
                <w:color w:val="auto"/>
                <w:highlight w:val="none"/>
              </w:rPr>
            </w:pPr>
          </w:p>
        </w:tc>
      </w:tr>
      <w:tr w14:paraId="0CA6C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22BA20A8">
            <w:pPr>
              <w:jc w:val="center"/>
              <w:outlineLvl w:val="9"/>
              <w:rPr>
                <w:rFonts w:hint="eastAsia" w:ascii="宋体" w:hAnsi="宋体" w:eastAsia="宋体" w:cs="宋体"/>
                <w:b w:val="0"/>
                <w:bCs/>
                <w:color w:val="auto"/>
                <w:highlight w:val="none"/>
              </w:rPr>
            </w:pPr>
          </w:p>
        </w:tc>
        <w:tc>
          <w:tcPr>
            <w:tcW w:w="884" w:type="dxa"/>
            <w:noWrap w:val="0"/>
            <w:vAlign w:val="center"/>
          </w:tcPr>
          <w:p w14:paraId="74496831">
            <w:pPr>
              <w:jc w:val="center"/>
              <w:outlineLvl w:val="9"/>
              <w:rPr>
                <w:rFonts w:hint="eastAsia" w:ascii="宋体" w:hAnsi="宋体" w:eastAsia="宋体" w:cs="宋体"/>
                <w:b w:val="0"/>
                <w:bCs/>
                <w:color w:val="auto"/>
                <w:highlight w:val="none"/>
              </w:rPr>
            </w:pPr>
          </w:p>
        </w:tc>
        <w:tc>
          <w:tcPr>
            <w:tcW w:w="884" w:type="dxa"/>
            <w:noWrap w:val="0"/>
            <w:vAlign w:val="center"/>
          </w:tcPr>
          <w:p w14:paraId="582248EA">
            <w:pPr>
              <w:jc w:val="center"/>
              <w:outlineLvl w:val="9"/>
              <w:rPr>
                <w:rFonts w:hint="eastAsia" w:ascii="宋体" w:hAnsi="宋体" w:eastAsia="宋体" w:cs="宋体"/>
                <w:b w:val="0"/>
                <w:bCs/>
                <w:color w:val="auto"/>
                <w:highlight w:val="none"/>
              </w:rPr>
            </w:pPr>
          </w:p>
        </w:tc>
        <w:tc>
          <w:tcPr>
            <w:tcW w:w="1231" w:type="dxa"/>
            <w:noWrap w:val="0"/>
            <w:vAlign w:val="center"/>
          </w:tcPr>
          <w:p w14:paraId="3ADA95F6">
            <w:pPr>
              <w:jc w:val="center"/>
              <w:outlineLvl w:val="9"/>
              <w:rPr>
                <w:rFonts w:hint="eastAsia" w:ascii="宋体" w:hAnsi="宋体" w:eastAsia="宋体" w:cs="宋体"/>
                <w:b w:val="0"/>
                <w:bCs/>
                <w:color w:val="auto"/>
                <w:highlight w:val="none"/>
              </w:rPr>
            </w:pPr>
          </w:p>
        </w:tc>
        <w:tc>
          <w:tcPr>
            <w:tcW w:w="1057" w:type="dxa"/>
            <w:noWrap w:val="0"/>
            <w:vAlign w:val="center"/>
          </w:tcPr>
          <w:p w14:paraId="4D7EE158">
            <w:pPr>
              <w:jc w:val="center"/>
              <w:outlineLvl w:val="9"/>
              <w:rPr>
                <w:rFonts w:hint="eastAsia" w:ascii="宋体" w:hAnsi="宋体" w:eastAsia="宋体" w:cs="宋体"/>
                <w:b w:val="0"/>
                <w:bCs/>
                <w:color w:val="auto"/>
                <w:highlight w:val="none"/>
              </w:rPr>
            </w:pPr>
          </w:p>
        </w:tc>
        <w:tc>
          <w:tcPr>
            <w:tcW w:w="1526" w:type="dxa"/>
            <w:noWrap w:val="0"/>
            <w:vAlign w:val="center"/>
          </w:tcPr>
          <w:p w14:paraId="4BA196B0">
            <w:pPr>
              <w:jc w:val="center"/>
              <w:outlineLvl w:val="9"/>
              <w:rPr>
                <w:rFonts w:hint="eastAsia" w:ascii="宋体" w:hAnsi="宋体" w:eastAsia="宋体" w:cs="宋体"/>
                <w:b w:val="0"/>
                <w:bCs/>
                <w:color w:val="auto"/>
                <w:highlight w:val="none"/>
              </w:rPr>
            </w:pPr>
          </w:p>
        </w:tc>
        <w:tc>
          <w:tcPr>
            <w:tcW w:w="2126" w:type="dxa"/>
            <w:noWrap w:val="0"/>
            <w:vAlign w:val="center"/>
          </w:tcPr>
          <w:p w14:paraId="5E6F5A5D">
            <w:pPr>
              <w:jc w:val="center"/>
              <w:outlineLvl w:val="9"/>
              <w:rPr>
                <w:rFonts w:hint="eastAsia" w:ascii="宋体" w:hAnsi="宋体" w:eastAsia="宋体" w:cs="宋体"/>
                <w:b w:val="0"/>
                <w:bCs/>
                <w:color w:val="auto"/>
                <w:highlight w:val="none"/>
              </w:rPr>
            </w:pPr>
          </w:p>
        </w:tc>
      </w:tr>
      <w:tr w14:paraId="37E30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307B1400">
            <w:pPr>
              <w:jc w:val="center"/>
              <w:outlineLvl w:val="9"/>
              <w:rPr>
                <w:rFonts w:hint="eastAsia" w:ascii="宋体" w:hAnsi="宋体" w:eastAsia="宋体" w:cs="宋体"/>
                <w:b w:val="0"/>
                <w:bCs/>
                <w:color w:val="auto"/>
                <w:highlight w:val="none"/>
              </w:rPr>
            </w:pPr>
          </w:p>
        </w:tc>
        <w:tc>
          <w:tcPr>
            <w:tcW w:w="884" w:type="dxa"/>
            <w:noWrap w:val="0"/>
            <w:vAlign w:val="center"/>
          </w:tcPr>
          <w:p w14:paraId="2C068F03">
            <w:pPr>
              <w:jc w:val="center"/>
              <w:outlineLvl w:val="9"/>
              <w:rPr>
                <w:rFonts w:hint="eastAsia" w:ascii="宋体" w:hAnsi="宋体" w:eastAsia="宋体" w:cs="宋体"/>
                <w:b w:val="0"/>
                <w:bCs/>
                <w:color w:val="auto"/>
                <w:highlight w:val="none"/>
              </w:rPr>
            </w:pPr>
          </w:p>
        </w:tc>
        <w:tc>
          <w:tcPr>
            <w:tcW w:w="884" w:type="dxa"/>
            <w:noWrap w:val="0"/>
            <w:vAlign w:val="center"/>
          </w:tcPr>
          <w:p w14:paraId="09097BA3">
            <w:pPr>
              <w:jc w:val="center"/>
              <w:outlineLvl w:val="9"/>
              <w:rPr>
                <w:rFonts w:hint="eastAsia" w:ascii="宋体" w:hAnsi="宋体" w:eastAsia="宋体" w:cs="宋体"/>
                <w:b w:val="0"/>
                <w:bCs/>
                <w:color w:val="auto"/>
                <w:highlight w:val="none"/>
              </w:rPr>
            </w:pPr>
          </w:p>
        </w:tc>
        <w:tc>
          <w:tcPr>
            <w:tcW w:w="1231" w:type="dxa"/>
            <w:noWrap w:val="0"/>
            <w:vAlign w:val="center"/>
          </w:tcPr>
          <w:p w14:paraId="685BACDA">
            <w:pPr>
              <w:jc w:val="center"/>
              <w:outlineLvl w:val="9"/>
              <w:rPr>
                <w:rFonts w:hint="eastAsia" w:ascii="宋体" w:hAnsi="宋体" w:eastAsia="宋体" w:cs="宋体"/>
                <w:b w:val="0"/>
                <w:bCs/>
                <w:color w:val="auto"/>
                <w:highlight w:val="none"/>
              </w:rPr>
            </w:pPr>
          </w:p>
        </w:tc>
        <w:tc>
          <w:tcPr>
            <w:tcW w:w="1057" w:type="dxa"/>
            <w:noWrap w:val="0"/>
            <w:vAlign w:val="center"/>
          </w:tcPr>
          <w:p w14:paraId="4C727CE6">
            <w:pPr>
              <w:jc w:val="center"/>
              <w:outlineLvl w:val="9"/>
              <w:rPr>
                <w:rFonts w:hint="eastAsia" w:ascii="宋体" w:hAnsi="宋体" w:eastAsia="宋体" w:cs="宋体"/>
                <w:b w:val="0"/>
                <w:bCs/>
                <w:color w:val="auto"/>
                <w:highlight w:val="none"/>
              </w:rPr>
            </w:pPr>
          </w:p>
        </w:tc>
        <w:tc>
          <w:tcPr>
            <w:tcW w:w="1526" w:type="dxa"/>
            <w:noWrap w:val="0"/>
            <w:vAlign w:val="center"/>
          </w:tcPr>
          <w:p w14:paraId="79F6EB26">
            <w:pPr>
              <w:jc w:val="center"/>
              <w:outlineLvl w:val="9"/>
              <w:rPr>
                <w:rFonts w:hint="eastAsia" w:ascii="宋体" w:hAnsi="宋体" w:eastAsia="宋体" w:cs="宋体"/>
                <w:b w:val="0"/>
                <w:bCs/>
                <w:color w:val="auto"/>
                <w:highlight w:val="none"/>
              </w:rPr>
            </w:pPr>
          </w:p>
        </w:tc>
        <w:tc>
          <w:tcPr>
            <w:tcW w:w="2126" w:type="dxa"/>
            <w:noWrap w:val="0"/>
            <w:vAlign w:val="center"/>
          </w:tcPr>
          <w:p w14:paraId="052363CF">
            <w:pPr>
              <w:jc w:val="center"/>
              <w:outlineLvl w:val="9"/>
              <w:rPr>
                <w:rFonts w:hint="eastAsia" w:ascii="宋体" w:hAnsi="宋体" w:eastAsia="宋体" w:cs="宋体"/>
                <w:b w:val="0"/>
                <w:bCs/>
                <w:color w:val="auto"/>
                <w:highlight w:val="none"/>
              </w:rPr>
            </w:pPr>
          </w:p>
        </w:tc>
      </w:tr>
      <w:tr w14:paraId="1635C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3ECB31E8">
            <w:pPr>
              <w:jc w:val="center"/>
              <w:outlineLvl w:val="9"/>
              <w:rPr>
                <w:rFonts w:hint="eastAsia" w:ascii="宋体" w:hAnsi="宋体" w:eastAsia="宋体" w:cs="宋体"/>
                <w:b w:val="0"/>
                <w:bCs/>
                <w:color w:val="auto"/>
                <w:highlight w:val="none"/>
              </w:rPr>
            </w:pPr>
          </w:p>
        </w:tc>
        <w:tc>
          <w:tcPr>
            <w:tcW w:w="884" w:type="dxa"/>
            <w:noWrap w:val="0"/>
            <w:vAlign w:val="center"/>
          </w:tcPr>
          <w:p w14:paraId="6D4C9F87">
            <w:pPr>
              <w:jc w:val="center"/>
              <w:outlineLvl w:val="9"/>
              <w:rPr>
                <w:rFonts w:hint="eastAsia" w:ascii="宋体" w:hAnsi="宋体" w:eastAsia="宋体" w:cs="宋体"/>
                <w:b w:val="0"/>
                <w:bCs/>
                <w:color w:val="auto"/>
                <w:highlight w:val="none"/>
              </w:rPr>
            </w:pPr>
          </w:p>
        </w:tc>
        <w:tc>
          <w:tcPr>
            <w:tcW w:w="884" w:type="dxa"/>
            <w:noWrap w:val="0"/>
            <w:vAlign w:val="center"/>
          </w:tcPr>
          <w:p w14:paraId="542749FE">
            <w:pPr>
              <w:jc w:val="center"/>
              <w:outlineLvl w:val="9"/>
              <w:rPr>
                <w:rFonts w:hint="eastAsia" w:ascii="宋体" w:hAnsi="宋体" w:eastAsia="宋体" w:cs="宋体"/>
                <w:b w:val="0"/>
                <w:bCs/>
                <w:color w:val="auto"/>
                <w:highlight w:val="none"/>
              </w:rPr>
            </w:pPr>
          </w:p>
        </w:tc>
        <w:tc>
          <w:tcPr>
            <w:tcW w:w="1231" w:type="dxa"/>
            <w:noWrap w:val="0"/>
            <w:vAlign w:val="center"/>
          </w:tcPr>
          <w:p w14:paraId="396C45CE">
            <w:pPr>
              <w:jc w:val="center"/>
              <w:outlineLvl w:val="9"/>
              <w:rPr>
                <w:rFonts w:hint="eastAsia" w:ascii="宋体" w:hAnsi="宋体" w:eastAsia="宋体" w:cs="宋体"/>
                <w:b w:val="0"/>
                <w:bCs/>
                <w:color w:val="auto"/>
                <w:highlight w:val="none"/>
              </w:rPr>
            </w:pPr>
          </w:p>
        </w:tc>
        <w:tc>
          <w:tcPr>
            <w:tcW w:w="1057" w:type="dxa"/>
            <w:noWrap w:val="0"/>
            <w:vAlign w:val="center"/>
          </w:tcPr>
          <w:p w14:paraId="02C6DFE5">
            <w:pPr>
              <w:jc w:val="center"/>
              <w:outlineLvl w:val="9"/>
              <w:rPr>
                <w:rFonts w:hint="eastAsia" w:ascii="宋体" w:hAnsi="宋体" w:eastAsia="宋体" w:cs="宋体"/>
                <w:b w:val="0"/>
                <w:bCs/>
                <w:color w:val="auto"/>
                <w:highlight w:val="none"/>
              </w:rPr>
            </w:pPr>
          </w:p>
        </w:tc>
        <w:tc>
          <w:tcPr>
            <w:tcW w:w="1526" w:type="dxa"/>
            <w:noWrap w:val="0"/>
            <w:vAlign w:val="center"/>
          </w:tcPr>
          <w:p w14:paraId="77C88562">
            <w:pPr>
              <w:jc w:val="center"/>
              <w:outlineLvl w:val="9"/>
              <w:rPr>
                <w:rFonts w:hint="eastAsia" w:ascii="宋体" w:hAnsi="宋体" w:eastAsia="宋体" w:cs="宋体"/>
                <w:b w:val="0"/>
                <w:bCs/>
                <w:color w:val="auto"/>
                <w:highlight w:val="none"/>
              </w:rPr>
            </w:pPr>
          </w:p>
        </w:tc>
        <w:tc>
          <w:tcPr>
            <w:tcW w:w="2126" w:type="dxa"/>
            <w:noWrap w:val="0"/>
            <w:vAlign w:val="center"/>
          </w:tcPr>
          <w:p w14:paraId="68C8790E">
            <w:pPr>
              <w:jc w:val="center"/>
              <w:outlineLvl w:val="9"/>
              <w:rPr>
                <w:rFonts w:hint="eastAsia" w:ascii="宋体" w:hAnsi="宋体" w:eastAsia="宋体" w:cs="宋体"/>
                <w:b w:val="0"/>
                <w:bCs/>
                <w:color w:val="auto"/>
                <w:highlight w:val="none"/>
              </w:rPr>
            </w:pPr>
          </w:p>
        </w:tc>
      </w:tr>
      <w:tr w14:paraId="76C8C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557EB05D">
            <w:pPr>
              <w:jc w:val="center"/>
              <w:outlineLvl w:val="9"/>
              <w:rPr>
                <w:rFonts w:hint="eastAsia" w:ascii="宋体" w:hAnsi="宋体" w:eastAsia="宋体" w:cs="宋体"/>
                <w:b w:val="0"/>
                <w:bCs/>
                <w:color w:val="auto"/>
                <w:highlight w:val="none"/>
              </w:rPr>
            </w:pPr>
          </w:p>
        </w:tc>
        <w:tc>
          <w:tcPr>
            <w:tcW w:w="884" w:type="dxa"/>
            <w:noWrap w:val="0"/>
            <w:vAlign w:val="center"/>
          </w:tcPr>
          <w:p w14:paraId="364D1FE0">
            <w:pPr>
              <w:jc w:val="center"/>
              <w:outlineLvl w:val="9"/>
              <w:rPr>
                <w:rFonts w:hint="eastAsia" w:ascii="宋体" w:hAnsi="宋体" w:eastAsia="宋体" w:cs="宋体"/>
                <w:b w:val="0"/>
                <w:bCs/>
                <w:color w:val="auto"/>
                <w:highlight w:val="none"/>
              </w:rPr>
            </w:pPr>
          </w:p>
        </w:tc>
        <w:tc>
          <w:tcPr>
            <w:tcW w:w="884" w:type="dxa"/>
            <w:noWrap w:val="0"/>
            <w:vAlign w:val="center"/>
          </w:tcPr>
          <w:p w14:paraId="427538E0">
            <w:pPr>
              <w:jc w:val="center"/>
              <w:outlineLvl w:val="9"/>
              <w:rPr>
                <w:rFonts w:hint="eastAsia" w:ascii="宋体" w:hAnsi="宋体" w:eastAsia="宋体" w:cs="宋体"/>
                <w:b w:val="0"/>
                <w:bCs/>
                <w:color w:val="auto"/>
                <w:highlight w:val="none"/>
              </w:rPr>
            </w:pPr>
          </w:p>
        </w:tc>
        <w:tc>
          <w:tcPr>
            <w:tcW w:w="1231" w:type="dxa"/>
            <w:noWrap w:val="0"/>
            <w:vAlign w:val="center"/>
          </w:tcPr>
          <w:p w14:paraId="51FC6244">
            <w:pPr>
              <w:jc w:val="center"/>
              <w:outlineLvl w:val="9"/>
              <w:rPr>
                <w:rFonts w:hint="eastAsia" w:ascii="宋体" w:hAnsi="宋体" w:eastAsia="宋体" w:cs="宋体"/>
                <w:b w:val="0"/>
                <w:bCs/>
                <w:color w:val="auto"/>
                <w:highlight w:val="none"/>
              </w:rPr>
            </w:pPr>
          </w:p>
        </w:tc>
        <w:tc>
          <w:tcPr>
            <w:tcW w:w="1057" w:type="dxa"/>
            <w:noWrap w:val="0"/>
            <w:vAlign w:val="center"/>
          </w:tcPr>
          <w:p w14:paraId="78402C23">
            <w:pPr>
              <w:jc w:val="center"/>
              <w:outlineLvl w:val="9"/>
              <w:rPr>
                <w:rFonts w:hint="eastAsia" w:ascii="宋体" w:hAnsi="宋体" w:eastAsia="宋体" w:cs="宋体"/>
                <w:b w:val="0"/>
                <w:bCs/>
                <w:color w:val="auto"/>
                <w:highlight w:val="none"/>
              </w:rPr>
            </w:pPr>
          </w:p>
        </w:tc>
        <w:tc>
          <w:tcPr>
            <w:tcW w:w="1526" w:type="dxa"/>
            <w:noWrap w:val="0"/>
            <w:vAlign w:val="center"/>
          </w:tcPr>
          <w:p w14:paraId="4A253B66">
            <w:pPr>
              <w:jc w:val="center"/>
              <w:outlineLvl w:val="9"/>
              <w:rPr>
                <w:rFonts w:hint="eastAsia" w:ascii="宋体" w:hAnsi="宋体" w:eastAsia="宋体" w:cs="宋体"/>
                <w:b w:val="0"/>
                <w:bCs/>
                <w:color w:val="auto"/>
                <w:highlight w:val="none"/>
              </w:rPr>
            </w:pPr>
          </w:p>
        </w:tc>
        <w:tc>
          <w:tcPr>
            <w:tcW w:w="2126" w:type="dxa"/>
            <w:noWrap w:val="0"/>
            <w:vAlign w:val="center"/>
          </w:tcPr>
          <w:p w14:paraId="377AAFF4">
            <w:pPr>
              <w:jc w:val="center"/>
              <w:outlineLvl w:val="9"/>
              <w:rPr>
                <w:rFonts w:hint="eastAsia" w:ascii="宋体" w:hAnsi="宋体" w:eastAsia="宋体" w:cs="宋体"/>
                <w:b w:val="0"/>
                <w:bCs/>
                <w:color w:val="auto"/>
                <w:highlight w:val="none"/>
              </w:rPr>
            </w:pPr>
          </w:p>
        </w:tc>
      </w:tr>
      <w:tr w14:paraId="28F1D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4396655B">
            <w:pPr>
              <w:jc w:val="center"/>
              <w:outlineLvl w:val="9"/>
              <w:rPr>
                <w:rFonts w:hint="eastAsia" w:ascii="宋体" w:hAnsi="宋体" w:eastAsia="宋体" w:cs="宋体"/>
                <w:b w:val="0"/>
                <w:bCs/>
                <w:color w:val="auto"/>
                <w:highlight w:val="none"/>
              </w:rPr>
            </w:pPr>
          </w:p>
        </w:tc>
        <w:tc>
          <w:tcPr>
            <w:tcW w:w="884" w:type="dxa"/>
            <w:noWrap w:val="0"/>
            <w:vAlign w:val="center"/>
          </w:tcPr>
          <w:p w14:paraId="6B556AC4">
            <w:pPr>
              <w:jc w:val="center"/>
              <w:outlineLvl w:val="9"/>
              <w:rPr>
                <w:rFonts w:hint="eastAsia" w:ascii="宋体" w:hAnsi="宋体" w:eastAsia="宋体" w:cs="宋体"/>
                <w:b w:val="0"/>
                <w:bCs/>
                <w:color w:val="auto"/>
                <w:highlight w:val="none"/>
              </w:rPr>
            </w:pPr>
          </w:p>
        </w:tc>
        <w:tc>
          <w:tcPr>
            <w:tcW w:w="884" w:type="dxa"/>
            <w:noWrap w:val="0"/>
            <w:vAlign w:val="center"/>
          </w:tcPr>
          <w:p w14:paraId="7E77EA71">
            <w:pPr>
              <w:jc w:val="center"/>
              <w:outlineLvl w:val="9"/>
              <w:rPr>
                <w:rFonts w:hint="eastAsia" w:ascii="宋体" w:hAnsi="宋体" w:eastAsia="宋体" w:cs="宋体"/>
                <w:b w:val="0"/>
                <w:bCs/>
                <w:color w:val="auto"/>
                <w:highlight w:val="none"/>
              </w:rPr>
            </w:pPr>
          </w:p>
        </w:tc>
        <w:tc>
          <w:tcPr>
            <w:tcW w:w="1231" w:type="dxa"/>
            <w:noWrap w:val="0"/>
            <w:vAlign w:val="center"/>
          </w:tcPr>
          <w:p w14:paraId="02B85BF1">
            <w:pPr>
              <w:jc w:val="center"/>
              <w:outlineLvl w:val="9"/>
              <w:rPr>
                <w:rFonts w:hint="eastAsia" w:ascii="宋体" w:hAnsi="宋体" w:eastAsia="宋体" w:cs="宋体"/>
                <w:b w:val="0"/>
                <w:bCs/>
                <w:color w:val="auto"/>
                <w:highlight w:val="none"/>
              </w:rPr>
            </w:pPr>
          </w:p>
        </w:tc>
        <w:tc>
          <w:tcPr>
            <w:tcW w:w="1057" w:type="dxa"/>
            <w:noWrap w:val="0"/>
            <w:vAlign w:val="center"/>
          </w:tcPr>
          <w:p w14:paraId="0BD2CCEF">
            <w:pPr>
              <w:jc w:val="center"/>
              <w:outlineLvl w:val="9"/>
              <w:rPr>
                <w:rFonts w:hint="eastAsia" w:ascii="宋体" w:hAnsi="宋体" w:eastAsia="宋体" w:cs="宋体"/>
                <w:b w:val="0"/>
                <w:bCs/>
                <w:color w:val="auto"/>
                <w:highlight w:val="none"/>
              </w:rPr>
            </w:pPr>
          </w:p>
        </w:tc>
        <w:tc>
          <w:tcPr>
            <w:tcW w:w="1526" w:type="dxa"/>
            <w:noWrap w:val="0"/>
            <w:vAlign w:val="center"/>
          </w:tcPr>
          <w:p w14:paraId="6AFD80E4">
            <w:pPr>
              <w:jc w:val="center"/>
              <w:outlineLvl w:val="9"/>
              <w:rPr>
                <w:rFonts w:hint="eastAsia" w:ascii="宋体" w:hAnsi="宋体" w:eastAsia="宋体" w:cs="宋体"/>
                <w:b w:val="0"/>
                <w:bCs/>
                <w:color w:val="auto"/>
                <w:highlight w:val="none"/>
              </w:rPr>
            </w:pPr>
          </w:p>
        </w:tc>
        <w:tc>
          <w:tcPr>
            <w:tcW w:w="2126" w:type="dxa"/>
            <w:noWrap w:val="0"/>
            <w:vAlign w:val="center"/>
          </w:tcPr>
          <w:p w14:paraId="663824D3">
            <w:pPr>
              <w:jc w:val="center"/>
              <w:outlineLvl w:val="9"/>
              <w:rPr>
                <w:rFonts w:hint="eastAsia" w:ascii="宋体" w:hAnsi="宋体" w:eastAsia="宋体" w:cs="宋体"/>
                <w:b w:val="0"/>
                <w:bCs/>
                <w:color w:val="auto"/>
                <w:highlight w:val="none"/>
              </w:rPr>
            </w:pPr>
          </w:p>
        </w:tc>
      </w:tr>
      <w:tr w14:paraId="641F2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182E15C7">
            <w:pPr>
              <w:jc w:val="center"/>
              <w:outlineLvl w:val="9"/>
              <w:rPr>
                <w:rFonts w:hint="eastAsia" w:ascii="宋体" w:hAnsi="宋体" w:eastAsia="宋体" w:cs="宋体"/>
                <w:b w:val="0"/>
                <w:bCs/>
                <w:color w:val="auto"/>
                <w:highlight w:val="none"/>
              </w:rPr>
            </w:pPr>
          </w:p>
        </w:tc>
        <w:tc>
          <w:tcPr>
            <w:tcW w:w="884" w:type="dxa"/>
            <w:noWrap w:val="0"/>
            <w:vAlign w:val="center"/>
          </w:tcPr>
          <w:p w14:paraId="5DC13878">
            <w:pPr>
              <w:jc w:val="center"/>
              <w:outlineLvl w:val="9"/>
              <w:rPr>
                <w:rFonts w:hint="eastAsia" w:ascii="宋体" w:hAnsi="宋体" w:eastAsia="宋体" w:cs="宋体"/>
                <w:b w:val="0"/>
                <w:bCs/>
                <w:color w:val="auto"/>
                <w:highlight w:val="none"/>
              </w:rPr>
            </w:pPr>
          </w:p>
        </w:tc>
        <w:tc>
          <w:tcPr>
            <w:tcW w:w="884" w:type="dxa"/>
            <w:noWrap w:val="0"/>
            <w:vAlign w:val="center"/>
          </w:tcPr>
          <w:p w14:paraId="21ECD972">
            <w:pPr>
              <w:jc w:val="center"/>
              <w:outlineLvl w:val="9"/>
              <w:rPr>
                <w:rFonts w:hint="eastAsia" w:ascii="宋体" w:hAnsi="宋体" w:eastAsia="宋体" w:cs="宋体"/>
                <w:b w:val="0"/>
                <w:bCs/>
                <w:color w:val="auto"/>
                <w:highlight w:val="none"/>
              </w:rPr>
            </w:pPr>
          </w:p>
        </w:tc>
        <w:tc>
          <w:tcPr>
            <w:tcW w:w="1231" w:type="dxa"/>
            <w:noWrap w:val="0"/>
            <w:vAlign w:val="center"/>
          </w:tcPr>
          <w:p w14:paraId="37503EC0">
            <w:pPr>
              <w:jc w:val="center"/>
              <w:outlineLvl w:val="9"/>
              <w:rPr>
                <w:rFonts w:hint="eastAsia" w:ascii="宋体" w:hAnsi="宋体" w:eastAsia="宋体" w:cs="宋体"/>
                <w:b w:val="0"/>
                <w:bCs/>
                <w:color w:val="auto"/>
                <w:highlight w:val="none"/>
              </w:rPr>
            </w:pPr>
          </w:p>
        </w:tc>
        <w:tc>
          <w:tcPr>
            <w:tcW w:w="1057" w:type="dxa"/>
            <w:noWrap w:val="0"/>
            <w:vAlign w:val="center"/>
          </w:tcPr>
          <w:p w14:paraId="05F789D4">
            <w:pPr>
              <w:jc w:val="center"/>
              <w:outlineLvl w:val="9"/>
              <w:rPr>
                <w:rFonts w:hint="eastAsia" w:ascii="宋体" w:hAnsi="宋体" w:eastAsia="宋体" w:cs="宋体"/>
                <w:b w:val="0"/>
                <w:bCs/>
                <w:color w:val="auto"/>
                <w:highlight w:val="none"/>
              </w:rPr>
            </w:pPr>
          </w:p>
        </w:tc>
        <w:tc>
          <w:tcPr>
            <w:tcW w:w="1526" w:type="dxa"/>
            <w:noWrap w:val="0"/>
            <w:vAlign w:val="center"/>
          </w:tcPr>
          <w:p w14:paraId="0AAE6E23">
            <w:pPr>
              <w:jc w:val="center"/>
              <w:outlineLvl w:val="9"/>
              <w:rPr>
                <w:rFonts w:hint="eastAsia" w:ascii="宋体" w:hAnsi="宋体" w:eastAsia="宋体" w:cs="宋体"/>
                <w:b w:val="0"/>
                <w:bCs/>
                <w:color w:val="auto"/>
                <w:highlight w:val="none"/>
              </w:rPr>
            </w:pPr>
          </w:p>
        </w:tc>
        <w:tc>
          <w:tcPr>
            <w:tcW w:w="2126" w:type="dxa"/>
            <w:noWrap w:val="0"/>
            <w:vAlign w:val="center"/>
          </w:tcPr>
          <w:p w14:paraId="672E82B1">
            <w:pPr>
              <w:jc w:val="center"/>
              <w:outlineLvl w:val="9"/>
              <w:rPr>
                <w:rFonts w:hint="eastAsia" w:ascii="宋体" w:hAnsi="宋体" w:eastAsia="宋体" w:cs="宋体"/>
                <w:b w:val="0"/>
                <w:bCs/>
                <w:color w:val="auto"/>
                <w:highlight w:val="none"/>
              </w:rPr>
            </w:pPr>
          </w:p>
        </w:tc>
      </w:tr>
      <w:tr w14:paraId="79651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74C350EB">
            <w:pPr>
              <w:jc w:val="center"/>
              <w:outlineLvl w:val="9"/>
              <w:rPr>
                <w:rFonts w:hint="eastAsia" w:ascii="宋体" w:hAnsi="宋体" w:eastAsia="宋体" w:cs="宋体"/>
                <w:b w:val="0"/>
                <w:bCs/>
                <w:color w:val="auto"/>
                <w:highlight w:val="none"/>
              </w:rPr>
            </w:pPr>
          </w:p>
        </w:tc>
        <w:tc>
          <w:tcPr>
            <w:tcW w:w="884" w:type="dxa"/>
            <w:noWrap w:val="0"/>
            <w:vAlign w:val="center"/>
          </w:tcPr>
          <w:p w14:paraId="5BFE7821">
            <w:pPr>
              <w:jc w:val="center"/>
              <w:outlineLvl w:val="9"/>
              <w:rPr>
                <w:rFonts w:hint="eastAsia" w:ascii="宋体" w:hAnsi="宋体" w:eastAsia="宋体" w:cs="宋体"/>
                <w:b w:val="0"/>
                <w:bCs/>
                <w:color w:val="auto"/>
                <w:highlight w:val="none"/>
              </w:rPr>
            </w:pPr>
          </w:p>
        </w:tc>
        <w:tc>
          <w:tcPr>
            <w:tcW w:w="884" w:type="dxa"/>
            <w:noWrap w:val="0"/>
            <w:vAlign w:val="center"/>
          </w:tcPr>
          <w:p w14:paraId="0289F44A">
            <w:pPr>
              <w:jc w:val="center"/>
              <w:outlineLvl w:val="9"/>
              <w:rPr>
                <w:rFonts w:hint="eastAsia" w:ascii="宋体" w:hAnsi="宋体" w:eastAsia="宋体" w:cs="宋体"/>
                <w:b w:val="0"/>
                <w:bCs/>
                <w:color w:val="auto"/>
                <w:highlight w:val="none"/>
              </w:rPr>
            </w:pPr>
          </w:p>
        </w:tc>
        <w:tc>
          <w:tcPr>
            <w:tcW w:w="1231" w:type="dxa"/>
            <w:noWrap w:val="0"/>
            <w:vAlign w:val="center"/>
          </w:tcPr>
          <w:p w14:paraId="4B097A47">
            <w:pPr>
              <w:jc w:val="center"/>
              <w:outlineLvl w:val="9"/>
              <w:rPr>
                <w:rFonts w:hint="eastAsia" w:ascii="宋体" w:hAnsi="宋体" w:eastAsia="宋体" w:cs="宋体"/>
                <w:b w:val="0"/>
                <w:bCs/>
                <w:color w:val="auto"/>
                <w:highlight w:val="none"/>
              </w:rPr>
            </w:pPr>
          </w:p>
        </w:tc>
        <w:tc>
          <w:tcPr>
            <w:tcW w:w="1057" w:type="dxa"/>
            <w:noWrap w:val="0"/>
            <w:vAlign w:val="center"/>
          </w:tcPr>
          <w:p w14:paraId="22FC7468">
            <w:pPr>
              <w:jc w:val="center"/>
              <w:outlineLvl w:val="9"/>
              <w:rPr>
                <w:rFonts w:hint="eastAsia" w:ascii="宋体" w:hAnsi="宋体" w:eastAsia="宋体" w:cs="宋体"/>
                <w:b w:val="0"/>
                <w:bCs/>
                <w:color w:val="auto"/>
                <w:highlight w:val="none"/>
              </w:rPr>
            </w:pPr>
          </w:p>
        </w:tc>
        <w:tc>
          <w:tcPr>
            <w:tcW w:w="1526" w:type="dxa"/>
            <w:noWrap w:val="0"/>
            <w:vAlign w:val="center"/>
          </w:tcPr>
          <w:p w14:paraId="62EC0BE8">
            <w:pPr>
              <w:jc w:val="center"/>
              <w:outlineLvl w:val="9"/>
              <w:rPr>
                <w:rFonts w:hint="eastAsia" w:ascii="宋体" w:hAnsi="宋体" w:eastAsia="宋体" w:cs="宋体"/>
                <w:b w:val="0"/>
                <w:bCs/>
                <w:color w:val="auto"/>
                <w:highlight w:val="none"/>
              </w:rPr>
            </w:pPr>
          </w:p>
        </w:tc>
        <w:tc>
          <w:tcPr>
            <w:tcW w:w="2126" w:type="dxa"/>
            <w:noWrap w:val="0"/>
            <w:vAlign w:val="center"/>
          </w:tcPr>
          <w:p w14:paraId="0287DA50">
            <w:pPr>
              <w:jc w:val="center"/>
              <w:outlineLvl w:val="9"/>
              <w:rPr>
                <w:rFonts w:hint="eastAsia" w:ascii="宋体" w:hAnsi="宋体" w:eastAsia="宋体" w:cs="宋体"/>
                <w:b w:val="0"/>
                <w:bCs/>
                <w:color w:val="auto"/>
                <w:highlight w:val="none"/>
              </w:rPr>
            </w:pPr>
          </w:p>
        </w:tc>
      </w:tr>
      <w:tr w14:paraId="6739C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6763AEB5">
            <w:pPr>
              <w:jc w:val="center"/>
              <w:outlineLvl w:val="9"/>
              <w:rPr>
                <w:rFonts w:hint="eastAsia" w:ascii="宋体" w:hAnsi="宋体" w:eastAsia="宋体" w:cs="宋体"/>
                <w:b w:val="0"/>
                <w:bCs/>
                <w:color w:val="auto"/>
                <w:highlight w:val="none"/>
              </w:rPr>
            </w:pPr>
          </w:p>
        </w:tc>
        <w:tc>
          <w:tcPr>
            <w:tcW w:w="884" w:type="dxa"/>
            <w:noWrap w:val="0"/>
            <w:vAlign w:val="center"/>
          </w:tcPr>
          <w:p w14:paraId="1E34A38E">
            <w:pPr>
              <w:jc w:val="center"/>
              <w:outlineLvl w:val="9"/>
              <w:rPr>
                <w:rFonts w:hint="eastAsia" w:ascii="宋体" w:hAnsi="宋体" w:eastAsia="宋体" w:cs="宋体"/>
                <w:b w:val="0"/>
                <w:bCs/>
                <w:color w:val="auto"/>
                <w:highlight w:val="none"/>
              </w:rPr>
            </w:pPr>
          </w:p>
        </w:tc>
        <w:tc>
          <w:tcPr>
            <w:tcW w:w="884" w:type="dxa"/>
            <w:noWrap w:val="0"/>
            <w:vAlign w:val="center"/>
          </w:tcPr>
          <w:p w14:paraId="429D37DC">
            <w:pPr>
              <w:jc w:val="center"/>
              <w:outlineLvl w:val="9"/>
              <w:rPr>
                <w:rFonts w:hint="eastAsia" w:ascii="宋体" w:hAnsi="宋体" w:eastAsia="宋体" w:cs="宋体"/>
                <w:b w:val="0"/>
                <w:bCs/>
                <w:color w:val="auto"/>
                <w:highlight w:val="none"/>
              </w:rPr>
            </w:pPr>
          </w:p>
        </w:tc>
        <w:tc>
          <w:tcPr>
            <w:tcW w:w="1231" w:type="dxa"/>
            <w:noWrap w:val="0"/>
            <w:vAlign w:val="center"/>
          </w:tcPr>
          <w:p w14:paraId="78DA6BE0">
            <w:pPr>
              <w:jc w:val="center"/>
              <w:outlineLvl w:val="9"/>
              <w:rPr>
                <w:rFonts w:hint="eastAsia" w:ascii="宋体" w:hAnsi="宋体" w:eastAsia="宋体" w:cs="宋体"/>
                <w:b w:val="0"/>
                <w:bCs/>
                <w:color w:val="auto"/>
                <w:highlight w:val="none"/>
              </w:rPr>
            </w:pPr>
          </w:p>
        </w:tc>
        <w:tc>
          <w:tcPr>
            <w:tcW w:w="1057" w:type="dxa"/>
            <w:noWrap w:val="0"/>
            <w:vAlign w:val="center"/>
          </w:tcPr>
          <w:p w14:paraId="4DEBA8DE">
            <w:pPr>
              <w:jc w:val="center"/>
              <w:outlineLvl w:val="9"/>
              <w:rPr>
                <w:rFonts w:hint="eastAsia" w:ascii="宋体" w:hAnsi="宋体" w:eastAsia="宋体" w:cs="宋体"/>
                <w:b w:val="0"/>
                <w:bCs/>
                <w:color w:val="auto"/>
                <w:highlight w:val="none"/>
              </w:rPr>
            </w:pPr>
          </w:p>
        </w:tc>
        <w:tc>
          <w:tcPr>
            <w:tcW w:w="1526" w:type="dxa"/>
            <w:noWrap w:val="0"/>
            <w:vAlign w:val="center"/>
          </w:tcPr>
          <w:p w14:paraId="79BD71BC">
            <w:pPr>
              <w:jc w:val="center"/>
              <w:outlineLvl w:val="9"/>
              <w:rPr>
                <w:rFonts w:hint="eastAsia" w:ascii="宋体" w:hAnsi="宋体" w:eastAsia="宋体" w:cs="宋体"/>
                <w:b w:val="0"/>
                <w:bCs/>
                <w:color w:val="auto"/>
                <w:highlight w:val="none"/>
              </w:rPr>
            </w:pPr>
          </w:p>
        </w:tc>
        <w:tc>
          <w:tcPr>
            <w:tcW w:w="2126" w:type="dxa"/>
            <w:noWrap w:val="0"/>
            <w:vAlign w:val="center"/>
          </w:tcPr>
          <w:p w14:paraId="0E73EDE5">
            <w:pPr>
              <w:jc w:val="center"/>
              <w:outlineLvl w:val="9"/>
              <w:rPr>
                <w:rFonts w:hint="eastAsia" w:ascii="宋体" w:hAnsi="宋体" w:eastAsia="宋体" w:cs="宋体"/>
                <w:b w:val="0"/>
                <w:bCs/>
                <w:color w:val="auto"/>
                <w:highlight w:val="none"/>
              </w:rPr>
            </w:pPr>
          </w:p>
        </w:tc>
      </w:tr>
      <w:tr w14:paraId="71A3B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4" w:type="dxa"/>
            <w:noWrap w:val="0"/>
            <w:vAlign w:val="center"/>
          </w:tcPr>
          <w:p w14:paraId="12653687">
            <w:pPr>
              <w:jc w:val="center"/>
              <w:outlineLvl w:val="9"/>
              <w:rPr>
                <w:rFonts w:hint="eastAsia" w:ascii="宋体" w:hAnsi="宋体" w:eastAsia="宋体" w:cs="宋体"/>
                <w:b w:val="0"/>
                <w:bCs/>
                <w:color w:val="auto"/>
                <w:highlight w:val="none"/>
              </w:rPr>
            </w:pPr>
          </w:p>
        </w:tc>
        <w:tc>
          <w:tcPr>
            <w:tcW w:w="884" w:type="dxa"/>
            <w:noWrap w:val="0"/>
            <w:vAlign w:val="center"/>
          </w:tcPr>
          <w:p w14:paraId="4ED2CF01">
            <w:pPr>
              <w:jc w:val="center"/>
              <w:outlineLvl w:val="9"/>
              <w:rPr>
                <w:rFonts w:hint="eastAsia" w:ascii="宋体" w:hAnsi="宋体" w:eastAsia="宋体" w:cs="宋体"/>
                <w:b w:val="0"/>
                <w:bCs/>
                <w:color w:val="auto"/>
                <w:highlight w:val="none"/>
              </w:rPr>
            </w:pPr>
          </w:p>
        </w:tc>
        <w:tc>
          <w:tcPr>
            <w:tcW w:w="884" w:type="dxa"/>
            <w:noWrap w:val="0"/>
            <w:vAlign w:val="center"/>
          </w:tcPr>
          <w:p w14:paraId="638212EB">
            <w:pPr>
              <w:jc w:val="center"/>
              <w:outlineLvl w:val="9"/>
              <w:rPr>
                <w:rFonts w:hint="eastAsia" w:ascii="宋体" w:hAnsi="宋体" w:eastAsia="宋体" w:cs="宋体"/>
                <w:b w:val="0"/>
                <w:bCs/>
                <w:color w:val="auto"/>
                <w:highlight w:val="none"/>
              </w:rPr>
            </w:pPr>
          </w:p>
        </w:tc>
        <w:tc>
          <w:tcPr>
            <w:tcW w:w="1231" w:type="dxa"/>
            <w:noWrap w:val="0"/>
            <w:vAlign w:val="center"/>
          </w:tcPr>
          <w:p w14:paraId="0D51D0AC">
            <w:pPr>
              <w:jc w:val="center"/>
              <w:outlineLvl w:val="9"/>
              <w:rPr>
                <w:rFonts w:hint="eastAsia" w:ascii="宋体" w:hAnsi="宋体" w:eastAsia="宋体" w:cs="宋体"/>
                <w:b w:val="0"/>
                <w:bCs/>
                <w:color w:val="auto"/>
                <w:highlight w:val="none"/>
              </w:rPr>
            </w:pPr>
          </w:p>
        </w:tc>
        <w:tc>
          <w:tcPr>
            <w:tcW w:w="1057" w:type="dxa"/>
            <w:noWrap w:val="0"/>
            <w:vAlign w:val="center"/>
          </w:tcPr>
          <w:p w14:paraId="7159FE03">
            <w:pPr>
              <w:jc w:val="center"/>
              <w:outlineLvl w:val="9"/>
              <w:rPr>
                <w:rFonts w:hint="eastAsia" w:ascii="宋体" w:hAnsi="宋体" w:eastAsia="宋体" w:cs="宋体"/>
                <w:b w:val="0"/>
                <w:bCs/>
                <w:color w:val="auto"/>
                <w:highlight w:val="none"/>
              </w:rPr>
            </w:pPr>
          </w:p>
        </w:tc>
        <w:tc>
          <w:tcPr>
            <w:tcW w:w="1526" w:type="dxa"/>
            <w:noWrap w:val="0"/>
            <w:vAlign w:val="center"/>
          </w:tcPr>
          <w:p w14:paraId="2B04C94F">
            <w:pPr>
              <w:jc w:val="center"/>
              <w:outlineLvl w:val="9"/>
              <w:rPr>
                <w:rFonts w:hint="eastAsia" w:ascii="宋体" w:hAnsi="宋体" w:eastAsia="宋体" w:cs="宋体"/>
                <w:b w:val="0"/>
                <w:bCs/>
                <w:color w:val="auto"/>
                <w:highlight w:val="none"/>
              </w:rPr>
            </w:pPr>
          </w:p>
        </w:tc>
        <w:tc>
          <w:tcPr>
            <w:tcW w:w="2126" w:type="dxa"/>
            <w:noWrap w:val="0"/>
            <w:vAlign w:val="center"/>
          </w:tcPr>
          <w:p w14:paraId="3CF75ABF">
            <w:pPr>
              <w:jc w:val="center"/>
              <w:outlineLvl w:val="9"/>
              <w:rPr>
                <w:rFonts w:hint="eastAsia" w:ascii="宋体" w:hAnsi="宋体" w:eastAsia="宋体" w:cs="宋体"/>
                <w:b w:val="0"/>
                <w:bCs/>
                <w:color w:val="auto"/>
                <w:highlight w:val="none"/>
              </w:rPr>
            </w:pPr>
          </w:p>
        </w:tc>
      </w:tr>
    </w:tbl>
    <w:p w14:paraId="24245C0C">
      <w:pPr>
        <w:ind w:left="210" w:leftChars="100" w:firstLine="105" w:firstLineChars="50"/>
        <w:outlineLvl w:val="9"/>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注：后附项目部组成人员的相关证件。</w:t>
      </w:r>
    </w:p>
    <w:p w14:paraId="01ABD41A">
      <w:pPr>
        <w:outlineLvl w:val="9"/>
        <w:rPr>
          <w:rFonts w:hint="eastAsia" w:ascii="宋体" w:hAnsi="宋体" w:eastAsia="宋体" w:cs="宋体"/>
          <w:b w:val="0"/>
          <w:bCs/>
          <w:color w:val="auto"/>
          <w:highlight w:val="none"/>
        </w:rPr>
      </w:pPr>
    </w:p>
    <w:p w14:paraId="49C6F57B">
      <w:pPr>
        <w:pStyle w:val="11"/>
        <w:outlineLvl w:val="9"/>
        <w:rPr>
          <w:rFonts w:hint="eastAsia"/>
          <w:color w:val="auto"/>
          <w:highlight w:val="none"/>
        </w:rPr>
      </w:pPr>
    </w:p>
    <w:p w14:paraId="46DB4637">
      <w:pPr>
        <w:outlineLvl w:val="9"/>
        <w:rPr>
          <w:rFonts w:hint="eastAsia"/>
          <w:color w:val="auto"/>
        </w:rPr>
      </w:pPr>
    </w:p>
    <w:p w14:paraId="1B9EA5EE">
      <w:pPr>
        <w:pStyle w:val="11"/>
        <w:outlineLvl w:val="9"/>
        <w:rPr>
          <w:rFonts w:hint="eastAsia" w:ascii="宋体" w:hAnsi="宋体" w:eastAsia="宋体" w:cs="宋体"/>
          <w:b w:val="0"/>
          <w:bCs/>
          <w:color w:val="auto"/>
          <w:highlight w:val="none"/>
          <w:lang w:eastAsia="zh-CN"/>
        </w:rPr>
      </w:pPr>
      <w:r>
        <w:rPr>
          <w:rFonts w:hint="eastAsia" w:ascii="宋体" w:hAnsi="宋体" w:eastAsia="宋体" w:cs="宋体"/>
          <w:b w:val="0"/>
          <w:bCs/>
          <w:color w:val="auto"/>
          <w:highlight w:val="none"/>
          <w:lang w:eastAsia="zh-CN"/>
        </w:rPr>
        <w:t>附件</w:t>
      </w:r>
      <w:r>
        <w:rPr>
          <w:rFonts w:hint="eastAsia" w:ascii="宋体" w:hAnsi="宋体" w:eastAsia="宋体" w:cs="宋体"/>
          <w:b w:val="0"/>
          <w:bCs/>
          <w:color w:val="auto"/>
          <w:highlight w:val="none"/>
          <w:lang w:val="en-US" w:eastAsia="zh-CN"/>
        </w:rPr>
        <w:t>1：</w:t>
      </w:r>
      <w:r>
        <w:rPr>
          <w:rFonts w:hint="eastAsia" w:ascii="宋体" w:hAnsi="宋体" w:eastAsia="宋体" w:cs="宋体"/>
          <w:b w:val="0"/>
          <w:bCs/>
          <w:color w:val="auto"/>
          <w:highlight w:val="none"/>
          <w:lang w:eastAsia="zh-CN"/>
        </w:rPr>
        <w:t>拟投入项目</w:t>
      </w:r>
      <w:r>
        <w:rPr>
          <w:rFonts w:hint="eastAsia" w:ascii="宋体" w:hAnsi="宋体" w:eastAsia="宋体" w:cs="宋体"/>
          <w:b w:val="0"/>
          <w:bCs/>
          <w:color w:val="auto"/>
          <w:highlight w:val="none"/>
          <w:lang w:val="en-US" w:eastAsia="zh-CN"/>
        </w:rPr>
        <w:t>经理</w:t>
      </w:r>
      <w:r>
        <w:rPr>
          <w:rFonts w:hint="eastAsia" w:ascii="宋体" w:hAnsi="宋体" w:eastAsia="宋体" w:cs="宋体"/>
          <w:b w:val="0"/>
          <w:bCs/>
          <w:color w:val="auto"/>
          <w:highlight w:val="none"/>
          <w:lang w:eastAsia="zh-CN"/>
        </w:rPr>
        <w:t>简历表</w:t>
      </w:r>
    </w:p>
    <w:p w14:paraId="17D4DF1C">
      <w:pPr>
        <w:spacing w:line="400" w:lineRule="exact"/>
        <w:ind w:firstLine="480" w:firstLineChars="200"/>
        <w:outlineLvl w:val="9"/>
        <w:rPr>
          <w:rFonts w:hint="eastAsia" w:ascii="宋体" w:hAnsi="宋体" w:eastAsia="宋体"/>
          <w:b w:val="0"/>
          <w:bCs w:val="0"/>
          <w:color w:val="auto"/>
          <w:sz w:val="24"/>
          <w:highlight w:val="none"/>
          <w:lang w:eastAsia="zh-CN"/>
        </w:rPr>
      </w:pPr>
      <w:r>
        <w:rPr>
          <w:rFonts w:hint="eastAsia" w:ascii="宋体" w:hAnsi="宋体"/>
          <w:color w:val="auto"/>
          <w:sz w:val="24"/>
          <w:highlight w:val="none"/>
        </w:rPr>
        <w:t>项目经理应附建造师注册证书、安全生产考核合格证书</w:t>
      </w:r>
      <w:r>
        <w:rPr>
          <w:rFonts w:hint="eastAsia" w:ascii="宋体" w:hAnsi="宋体"/>
          <w:color w:val="auto"/>
          <w:sz w:val="24"/>
          <w:highlight w:val="none"/>
          <w:lang w:eastAsia="zh-CN"/>
        </w:rPr>
        <w:t>、</w:t>
      </w:r>
      <w:r>
        <w:rPr>
          <w:rFonts w:hint="eastAsia" w:ascii="宋体" w:hAnsi="宋体"/>
          <w:color w:val="auto"/>
          <w:sz w:val="24"/>
          <w:highlight w:val="none"/>
        </w:rPr>
        <w:t>身份证</w:t>
      </w:r>
      <w:r>
        <w:rPr>
          <w:rFonts w:hint="eastAsia" w:ascii="宋体" w:hAnsi="宋体"/>
          <w:color w:val="auto"/>
          <w:sz w:val="24"/>
          <w:highlight w:val="none"/>
          <w:lang w:eastAsia="zh-CN"/>
        </w:rPr>
        <w:t>等</w:t>
      </w:r>
      <w:r>
        <w:rPr>
          <w:rFonts w:hint="eastAsia" w:ascii="宋体" w:hAnsi="宋体"/>
          <w:color w:val="auto"/>
          <w:sz w:val="24"/>
          <w:highlight w:val="none"/>
        </w:rPr>
        <w:t>复印件或扫描件</w:t>
      </w:r>
      <w:r>
        <w:rPr>
          <w:rFonts w:hint="eastAsia" w:ascii="宋体" w:hAnsi="宋体"/>
          <w:b w:val="0"/>
          <w:bCs w:val="0"/>
          <w:color w:val="auto"/>
          <w:sz w:val="24"/>
          <w:highlight w:val="none"/>
        </w:rPr>
        <w:t>加盖</w:t>
      </w:r>
      <w:r>
        <w:rPr>
          <w:rFonts w:hint="eastAsia" w:ascii="宋体" w:hAnsi="宋体"/>
          <w:b w:val="0"/>
          <w:bCs w:val="0"/>
          <w:color w:val="auto"/>
          <w:sz w:val="24"/>
          <w:highlight w:val="none"/>
          <w:lang w:eastAsia="zh-CN"/>
        </w:rPr>
        <w:t>公章</w:t>
      </w:r>
      <w:r>
        <w:rPr>
          <w:rFonts w:hint="eastAsia" w:ascii="宋体" w:hAnsi="宋体"/>
          <w:b w:val="0"/>
          <w:bCs w:val="0"/>
          <w:color w:val="auto"/>
          <w:sz w:val="24"/>
          <w:highlight w:val="none"/>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08C2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32121316">
            <w:pPr>
              <w:spacing w:line="440" w:lineRule="exact"/>
              <w:jc w:val="center"/>
              <w:outlineLvl w:val="9"/>
              <w:rPr>
                <w:rFonts w:ascii="宋体" w:hAnsi="宋体"/>
                <w:color w:val="auto"/>
                <w:szCs w:val="21"/>
                <w:highlight w:val="none"/>
              </w:rPr>
            </w:pPr>
            <w:r>
              <w:rPr>
                <w:rFonts w:ascii="宋体" w:hAnsi="宋体"/>
                <w:color w:val="auto"/>
                <w:szCs w:val="21"/>
                <w:highlight w:val="none"/>
              </w:rPr>
              <w:t>姓  名</w:t>
            </w:r>
          </w:p>
        </w:tc>
        <w:tc>
          <w:tcPr>
            <w:tcW w:w="1079" w:type="dxa"/>
            <w:gridSpan w:val="2"/>
            <w:noWrap w:val="0"/>
            <w:vAlign w:val="center"/>
          </w:tcPr>
          <w:p w14:paraId="26D78468">
            <w:pPr>
              <w:spacing w:line="440" w:lineRule="exact"/>
              <w:jc w:val="center"/>
              <w:outlineLvl w:val="9"/>
              <w:rPr>
                <w:rFonts w:ascii="宋体" w:hAnsi="宋体"/>
                <w:color w:val="auto"/>
                <w:szCs w:val="21"/>
                <w:highlight w:val="none"/>
              </w:rPr>
            </w:pPr>
          </w:p>
        </w:tc>
        <w:tc>
          <w:tcPr>
            <w:tcW w:w="927" w:type="dxa"/>
            <w:noWrap w:val="0"/>
            <w:vAlign w:val="center"/>
          </w:tcPr>
          <w:p w14:paraId="65B4CDB0">
            <w:pPr>
              <w:spacing w:line="440" w:lineRule="exact"/>
              <w:jc w:val="center"/>
              <w:outlineLvl w:val="9"/>
              <w:rPr>
                <w:rFonts w:ascii="宋体" w:hAnsi="宋体"/>
                <w:color w:val="auto"/>
                <w:szCs w:val="21"/>
                <w:highlight w:val="none"/>
              </w:rPr>
            </w:pPr>
            <w:r>
              <w:rPr>
                <w:rFonts w:ascii="宋体" w:hAnsi="宋体"/>
                <w:color w:val="auto"/>
                <w:szCs w:val="21"/>
                <w:highlight w:val="none"/>
              </w:rPr>
              <w:t>年 龄</w:t>
            </w:r>
          </w:p>
        </w:tc>
        <w:tc>
          <w:tcPr>
            <w:tcW w:w="1065" w:type="dxa"/>
            <w:noWrap w:val="0"/>
            <w:vAlign w:val="center"/>
          </w:tcPr>
          <w:p w14:paraId="14A13957">
            <w:pPr>
              <w:spacing w:line="440" w:lineRule="exact"/>
              <w:jc w:val="center"/>
              <w:outlineLvl w:val="9"/>
              <w:rPr>
                <w:rFonts w:ascii="宋体" w:hAnsi="宋体"/>
                <w:color w:val="auto"/>
                <w:szCs w:val="21"/>
                <w:highlight w:val="none"/>
              </w:rPr>
            </w:pPr>
          </w:p>
        </w:tc>
        <w:tc>
          <w:tcPr>
            <w:tcW w:w="2130" w:type="dxa"/>
            <w:gridSpan w:val="3"/>
            <w:noWrap w:val="0"/>
            <w:vAlign w:val="center"/>
          </w:tcPr>
          <w:p w14:paraId="3D9BFCA7">
            <w:pPr>
              <w:spacing w:line="440" w:lineRule="exact"/>
              <w:jc w:val="center"/>
              <w:outlineLvl w:val="9"/>
              <w:rPr>
                <w:rFonts w:ascii="宋体" w:hAnsi="宋体"/>
                <w:color w:val="auto"/>
                <w:szCs w:val="21"/>
                <w:highlight w:val="none"/>
              </w:rPr>
            </w:pPr>
            <w:r>
              <w:rPr>
                <w:rFonts w:ascii="宋体" w:hAnsi="宋体"/>
                <w:color w:val="auto"/>
                <w:szCs w:val="21"/>
                <w:highlight w:val="none"/>
              </w:rPr>
              <w:t>学</w:t>
            </w:r>
            <w:r>
              <w:rPr>
                <w:rFonts w:hint="eastAsia" w:ascii="宋体" w:hAnsi="宋体"/>
                <w:color w:val="auto"/>
                <w:szCs w:val="21"/>
                <w:highlight w:val="none"/>
              </w:rPr>
              <w:t xml:space="preserve"> </w:t>
            </w:r>
            <w:r>
              <w:rPr>
                <w:rFonts w:ascii="宋体" w:hAnsi="宋体"/>
                <w:color w:val="auto"/>
                <w:szCs w:val="21"/>
                <w:highlight w:val="none"/>
              </w:rPr>
              <w:t>历</w:t>
            </w:r>
          </w:p>
        </w:tc>
        <w:tc>
          <w:tcPr>
            <w:tcW w:w="2135" w:type="dxa"/>
            <w:noWrap w:val="0"/>
            <w:vAlign w:val="center"/>
          </w:tcPr>
          <w:p w14:paraId="77D3C822">
            <w:pPr>
              <w:spacing w:line="440" w:lineRule="exact"/>
              <w:jc w:val="center"/>
              <w:outlineLvl w:val="9"/>
              <w:rPr>
                <w:rFonts w:ascii="宋体" w:hAnsi="宋体"/>
                <w:color w:val="auto"/>
                <w:szCs w:val="21"/>
                <w:highlight w:val="none"/>
              </w:rPr>
            </w:pPr>
          </w:p>
        </w:tc>
      </w:tr>
      <w:tr w14:paraId="6A2E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6" w:type="dxa"/>
            <w:noWrap w:val="0"/>
            <w:vAlign w:val="center"/>
          </w:tcPr>
          <w:p w14:paraId="6E49594E">
            <w:pPr>
              <w:spacing w:line="440" w:lineRule="exact"/>
              <w:jc w:val="center"/>
              <w:outlineLvl w:val="9"/>
              <w:rPr>
                <w:rFonts w:ascii="宋体" w:hAnsi="宋体"/>
                <w:color w:val="auto"/>
                <w:szCs w:val="21"/>
                <w:highlight w:val="none"/>
              </w:rPr>
            </w:pPr>
            <w:r>
              <w:rPr>
                <w:rFonts w:ascii="宋体" w:hAnsi="宋体"/>
                <w:color w:val="auto"/>
                <w:szCs w:val="21"/>
                <w:highlight w:val="none"/>
              </w:rPr>
              <w:t>职  称</w:t>
            </w:r>
          </w:p>
        </w:tc>
        <w:tc>
          <w:tcPr>
            <w:tcW w:w="1079" w:type="dxa"/>
            <w:gridSpan w:val="2"/>
            <w:noWrap w:val="0"/>
            <w:vAlign w:val="center"/>
          </w:tcPr>
          <w:p w14:paraId="2B24477E">
            <w:pPr>
              <w:spacing w:line="440" w:lineRule="exact"/>
              <w:jc w:val="center"/>
              <w:outlineLvl w:val="9"/>
              <w:rPr>
                <w:rFonts w:ascii="宋体" w:hAnsi="宋体"/>
                <w:color w:val="auto"/>
                <w:szCs w:val="21"/>
                <w:highlight w:val="none"/>
              </w:rPr>
            </w:pPr>
          </w:p>
        </w:tc>
        <w:tc>
          <w:tcPr>
            <w:tcW w:w="927" w:type="dxa"/>
            <w:noWrap w:val="0"/>
            <w:vAlign w:val="center"/>
          </w:tcPr>
          <w:p w14:paraId="3167A9D1">
            <w:pPr>
              <w:spacing w:line="440" w:lineRule="exact"/>
              <w:jc w:val="center"/>
              <w:outlineLvl w:val="9"/>
              <w:rPr>
                <w:rFonts w:ascii="宋体" w:hAnsi="宋体"/>
                <w:color w:val="auto"/>
                <w:szCs w:val="21"/>
                <w:highlight w:val="none"/>
              </w:rPr>
            </w:pPr>
            <w:r>
              <w:rPr>
                <w:rFonts w:ascii="宋体" w:hAnsi="宋体"/>
                <w:color w:val="auto"/>
                <w:szCs w:val="21"/>
                <w:highlight w:val="none"/>
              </w:rPr>
              <w:t>职 务</w:t>
            </w:r>
          </w:p>
        </w:tc>
        <w:tc>
          <w:tcPr>
            <w:tcW w:w="1065" w:type="dxa"/>
            <w:noWrap w:val="0"/>
            <w:vAlign w:val="center"/>
          </w:tcPr>
          <w:p w14:paraId="14BF1879">
            <w:pPr>
              <w:spacing w:line="440" w:lineRule="exact"/>
              <w:jc w:val="center"/>
              <w:outlineLvl w:val="9"/>
              <w:rPr>
                <w:rFonts w:ascii="宋体" w:hAnsi="宋体"/>
                <w:color w:val="auto"/>
                <w:szCs w:val="21"/>
                <w:highlight w:val="none"/>
              </w:rPr>
            </w:pPr>
          </w:p>
        </w:tc>
        <w:tc>
          <w:tcPr>
            <w:tcW w:w="2130" w:type="dxa"/>
            <w:gridSpan w:val="3"/>
            <w:noWrap w:val="0"/>
            <w:vAlign w:val="center"/>
          </w:tcPr>
          <w:p w14:paraId="539A8CDB">
            <w:pPr>
              <w:spacing w:line="440" w:lineRule="exact"/>
              <w:jc w:val="center"/>
              <w:outlineLvl w:val="9"/>
              <w:rPr>
                <w:rFonts w:ascii="宋体" w:hAnsi="宋体"/>
                <w:color w:val="auto"/>
                <w:szCs w:val="21"/>
                <w:highlight w:val="none"/>
              </w:rPr>
            </w:pPr>
            <w:r>
              <w:rPr>
                <w:rFonts w:ascii="宋体" w:hAnsi="宋体"/>
                <w:color w:val="auto"/>
                <w:szCs w:val="21"/>
                <w:highlight w:val="none"/>
              </w:rPr>
              <w:t>拟在本合同任职</w:t>
            </w:r>
          </w:p>
        </w:tc>
        <w:tc>
          <w:tcPr>
            <w:tcW w:w="2135" w:type="dxa"/>
            <w:noWrap w:val="0"/>
            <w:vAlign w:val="center"/>
          </w:tcPr>
          <w:p w14:paraId="5CC0B4F6">
            <w:pPr>
              <w:spacing w:line="440" w:lineRule="exact"/>
              <w:jc w:val="center"/>
              <w:outlineLvl w:val="9"/>
              <w:rPr>
                <w:rFonts w:ascii="宋体" w:hAnsi="宋体"/>
                <w:color w:val="auto"/>
                <w:szCs w:val="21"/>
                <w:highlight w:val="none"/>
              </w:rPr>
            </w:pPr>
          </w:p>
        </w:tc>
      </w:tr>
      <w:tr w14:paraId="79A7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57FC72DC">
            <w:pPr>
              <w:spacing w:line="440" w:lineRule="exact"/>
              <w:jc w:val="center"/>
              <w:outlineLvl w:val="9"/>
              <w:rPr>
                <w:rFonts w:ascii="宋体" w:hAnsi="宋体"/>
                <w:color w:val="auto"/>
                <w:szCs w:val="21"/>
                <w:highlight w:val="none"/>
              </w:rPr>
            </w:pPr>
            <w:r>
              <w:rPr>
                <w:rFonts w:ascii="宋体" w:hAnsi="宋体"/>
                <w:color w:val="auto"/>
                <w:szCs w:val="21"/>
                <w:highlight w:val="none"/>
              </w:rPr>
              <w:t>毕业学校</w:t>
            </w:r>
          </w:p>
        </w:tc>
        <w:tc>
          <w:tcPr>
            <w:tcW w:w="7336" w:type="dxa"/>
            <w:gridSpan w:val="8"/>
            <w:noWrap w:val="0"/>
            <w:vAlign w:val="top"/>
          </w:tcPr>
          <w:p w14:paraId="25DBA40B">
            <w:pPr>
              <w:spacing w:line="440" w:lineRule="exact"/>
              <w:outlineLvl w:val="9"/>
              <w:rPr>
                <w:rFonts w:ascii="宋体" w:hAnsi="宋体"/>
                <w:color w:val="auto"/>
                <w:szCs w:val="21"/>
                <w:highlight w:val="none"/>
              </w:rPr>
            </w:pPr>
            <w:r>
              <w:rPr>
                <w:rFonts w:ascii="宋体" w:hAnsi="宋体"/>
                <w:color w:val="auto"/>
                <w:szCs w:val="21"/>
                <w:highlight w:val="none"/>
              </w:rPr>
              <w:t xml:space="preserve">      年毕业于            学校        专业</w:t>
            </w:r>
          </w:p>
        </w:tc>
      </w:tr>
      <w:tr w14:paraId="4455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19B65FFE">
            <w:pPr>
              <w:spacing w:line="440" w:lineRule="exact"/>
              <w:jc w:val="center"/>
              <w:outlineLvl w:val="9"/>
              <w:rPr>
                <w:rFonts w:ascii="宋体" w:hAnsi="宋体"/>
                <w:color w:val="auto"/>
                <w:szCs w:val="21"/>
                <w:highlight w:val="none"/>
              </w:rPr>
            </w:pPr>
            <w:r>
              <w:rPr>
                <w:rFonts w:ascii="宋体" w:hAnsi="宋体"/>
                <w:color w:val="auto"/>
                <w:szCs w:val="21"/>
                <w:highlight w:val="none"/>
              </w:rPr>
              <w:t>主要工作经历</w:t>
            </w:r>
          </w:p>
        </w:tc>
      </w:tr>
      <w:tr w14:paraId="40B5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19DD2260">
            <w:pPr>
              <w:spacing w:line="440" w:lineRule="exact"/>
              <w:jc w:val="center"/>
              <w:outlineLvl w:val="9"/>
              <w:rPr>
                <w:rFonts w:ascii="宋体" w:hAnsi="宋体"/>
                <w:color w:val="auto"/>
                <w:szCs w:val="21"/>
                <w:highlight w:val="none"/>
              </w:rPr>
            </w:pPr>
            <w:r>
              <w:rPr>
                <w:rFonts w:ascii="宋体" w:hAnsi="宋体"/>
                <w:color w:val="auto"/>
                <w:szCs w:val="21"/>
                <w:highlight w:val="none"/>
              </w:rPr>
              <w:t>时  间</w:t>
            </w:r>
          </w:p>
        </w:tc>
        <w:tc>
          <w:tcPr>
            <w:tcW w:w="3420" w:type="dxa"/>
            <w:gridSpan w:val="4"/>
            <w:noWrap w:val="0"/>
            <w:vAlign w:val="center"/>
          </w:tcPr>
          <w:p w14:paraId="330359BD">
            <w:pPr>
              <w:spacing w:line="440" w:lineRule="exact"/>
              <w:jc w:val="center"/>
              <w:outlineLvl w:val="9"/>
              <w:rPr>
                <w:rFonts w:ascii="宋体" w:hAnsi="宋体"/>
                <w:color w:val="auto"/>
                <w:szCs w:val="21"/>
                <w:highlight w:val="none"/>
              </w:rPr>
            </w:pPr>
            <w:r>
              <w:rPr>
                <w:rFonts w:ascii="宋体" w:hAnsi="宋体"/>
                <w:color w:val="auto"/>
                <w:szCs w:val="21"/>
                <w:highlight w:val="none"/>
              </w:rPr>
              <w:t>参加过的类似项目</w:t>
            </w:r>
          </w:p>
        </w:tc>
        <w:tc>
          <w:tcPr>
            <w:tcW w:w="1261" w:type="dxa"/>
            <w:noWrap w:val="0"/>
            <w:vAlign w:val="center"/>
          </w:tcPr>
          <w:p w14:paraId="3149F6C1">
            <w:pPr>
              <w:spacing w:line="440" w:lineRule="exact"/>
              <w:jc w:val="center"/>
              <w:outlineLvl w:val="9"/>
              <w:rPr>
                <w:rFonts w:ascii="宋体" w:hAnsi="宋体"/>
                <w:color w:val="auto"/>
                <w:szCs w:val="21"/>
                <w:highlight w:val="none"/>
              </w:rPr>
            </w:pPr>
            <w:r>
              <w:rPr>
                <w:rFonts w:ascii="宋体" w:hAnsi="宋体"/>
                <w:color w:val="auto"/>
                <w:szCs w:val="21"/>
                <w:highlight w:val="none"/>
              </w:rPr>
              <w:t>担任职务</w:t>
            </w:r>
          </w:p>
        </w:tc>
        <w:tc>
          <w:tcPr>
            <w:tcW w:w="2296" w:type="dxa"/>
            <w:gridSpan w:val="2"/>
            <w:noWrap w:val="0"/>
            <w:vAlign w:val="center"/>
          </w:tcPr>
          <w:p w14:paraId="2CFA5FE2">
            <w:pPr>
              <w:spacing w:line="440" w:lineRule="exact"/>
              <w:jc w:val="center"/>
              <w:outlineLvl w:val="9"/>
              <w:rPr>
                <w:rFonts w:ascii="宋体" w:hAnsi="宋体"/>
                <w:color w:val="auto"/>
                <w:szCs w:val="21"/>
                <w:highlight w:val="none"/>
              </w:rPr>
            </w:pPr>
            <w:r>
              <w:rPr>
                <w:rFonts w:ascii="宋体" w:hAnsi="宋体"/>
                <w:color w:val="auto"/>
                <w:szCs w:val="21"/>
                <w:highlight w:val="none"/>
              </w:rPr>
              <w:t>发包人及联系电话</w:t>
            </w:r>
          </w:p>
        </w:tc>
      </w:tr>
      <w:tr w14:paraId="4026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A6D1CA2">
            <w:pPr>
              <w:spacing w:line="440" w:lineRule="exact"/>
              <w:outlineLvl w:val="9"/>
              <w:rPr>
                <w:rFonts w:ascii="宋体" w:hAnsi="宋体"/>
                <w:color w:val="auto"/>
                <w:szCs w:val="21"/>
                <w:highlight w:val="none"/>
              </w:rPr>
            </w:pPr>
          </w:p>
        </w:tc>
        <w:tc>
          <w:tcPr>
            <w:tcW w:w="3420" w:type="dxa"/>
            <w:gridSpan w:val="4"/>
            <w:noWrap w:val="0"/>
            <w:vAlign w:val="top"/>
          </w:tcPr>
          <w:p w14:paraId="603388EB">
            <w:pPr>
              <w:spacing w:line="440" w:lineRule="exact"/>
              <w:outlineLvl w:val="9"/>
              <w:rPr>
                <w:rFonts w:ascii="宋体" w:hAnsi="宋体"/>
                <w:color w:val="auto"/>
                <w:szCs w:val="21"/>
                <w:highlight w:val="none"/>
              </w:rPr>
            </w:pPr>
          </w:p>
        </w:tc>
        <w:tc>
          <w:tcPr>
            <w:tcW w:w="1261" w:type="dxa"/>
            <w:noWrap w:val="0"/>
            <w:vAlign w:val="top"/>
          </w:tcPr>
          <w:p w14:paraId="442C48F9">
            <w:pPr>
              <w:spacing w:line="440" w:lineRule="exact"/>
              <w:outlineLvl w:val="9"/>
              <w:rPr>
                <w:rFonts w:ascii="宋体" w:hAnsi="宋体"/>
                <w:color w:val="auto"/>
                <w:szCs w:val="21"/>
                <w:highlight w:val="none"/>
              </w:rPr>
            </w:pPr>
          </w:p>
        </w:tc>
        <w:tc>
          <w:tcPr>
            <w:tcW w:w="2296" w:type="dxa"/>
            <w:gridSpan w:val="2"/>
            <w:noWrap w:val="0"/>
            <w:vAlign w:val="top"/>
          </w:tcPr>
          <w:p w14:paraId="5AEF0DF0">
            <w:pPr>
              <w:spacing w:line="440" w:lineRule="exact"/>
              <w:outlineLvl w:val="9"/>
              <w:rPr>
                <w:rFonts w:ascii="宋体" w:hAnsi="宋体"/>
                <w:color w:val="auto"/>
                <w:szCs w:val="21"/>
                <w:highlight w:val="none"/>
              </w:rPr>
            </w:pPr>
          </w:p>
        </w:tc>
      </w:tr>
      <w:tr w14:paraId="792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30522C4">
            <w:pPr>
              <w:spacing w:line="440" w:lineRule="exact"/>
              <w:outlineLvl w:val="9"/>
              <w:rPr>
                <w:rFonts w:ascii="宋体" w:hAnsi="宋体"/>
                <w:color w:val="auto"/>
                <w:szCs w:val="21"/>
                <w:highlight w:val="none"/>
              </w:rPr>
            </w:pPr>
          </w:p>
        </w:tc>
        <w:tc>
          <w:tcPr>
            <w:tcW w:w="3420" w:type="dxa"/>
            <w:gridSpan w:val="4"/>
            <w:noWrap w:val="0"/>
            <w:vAlign w:val="top"/>
          </w:tcPr>
          <w:p w14:paraId="75906B95">
            <w:pPr>
              <w:spacing w:line="440" w:lineRule="exact"/>
              <w:outlineLvl w:val="9"/>
              <w:rPr>
                <w:rFonts w:ascii="宋体" w:hAnsi="宋体"/>
                <w:color w:val="auto"/>
                <w:szCs w:val="21"/>
                <w:highlight w:val="none"/>
              </w:rPr>
            </w:pPr>
          </w:p>
        </w:tc>
        <w:tc>
          <w:tcPr>
            <w:tcW w:w="1261" w:type="dxa"/>
            <w:noWrap w:val="0"/>
            <w:vAlign w:val="top"/>
          </w:tcPr>
          <w:p w14:paraId="27A3DCC3">
            <w:pPr>
              <w:spacing w:line="440" w:lineRule="exact"/>
              <w:outlineLvl w:val="9"/>
              <w:rPr>
                <w:rFonts w:ascii="宋体" w:hAnsi="宋体"/>
                <w:color w:val="auto"/>
                <w:szCs w:val="21"/>
                <w:highlight w:val="none"/>
              </w:rPr>
            </w:pPr>
          </w:p>
        </w:tc>
        <w:tc>
          <w:tcPr>
            <w:tcW w:w="2296" w:type="dxa"/>
            <w:gridSpan w:val="2"/>
            <w:noWrap w:val="0"/>
            <w:vAlign w:val="top"/>
          </w:tcPr>
          <w:p w14:paraId="2385289E">
            <w:pPr>
              <w:spacing w:line="440" w:lineRule="exact"/>
              <w:outlineLvl w:val="9"/>
              <w:rPr>
                <w:rFonts w:ascii="宋体" w:hAnsi="宋体"/>
                <w:color w:val="auto"/>
                <w:szCs w:val="21"/>
                <w:highlight w:val="none"/>
              </w:rPr>
            </w:pPr>
          </w:p>
        </w:tc>
      </w:tr>
      <w:tr w14:paraId="4879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noWrap w:val="0"/>
            <w:vAlign w:val="top"/>
          </w:tcPr>
          <w:p w14:paraId="493CDD3E">
            <w:pPr>
              <w:spacing w:line="440" w:lineRule="exact"/>
              <w:outlineLvl w:val="9"/>
              <w:rPr>
                <w:rFonts w:ascii="宋体" w:hAnsi="宋体"/>
                <w:color w:val="auto"/>
                <w:szCs w:val="21"/>
                <w:highlight w:val="none"/>
              </w:rPr>
            </w:pPr>
          </w:p>
        </w:tc>
        <w:tc>
          <w:tcPr>
            <w:tcW w:w="3420" w:type="dxa"/>
            <w:gridSpan w:val="4"/>
            <w:noWrap w:val="0"/>
            <w:vAlign w:val="top"/>
          </w:tcPr>
          <w:p w14:paraId="7BC8D386">
            <w:pPr>
              <w:spacing w:line="440" w:lineRule="exact"/>
              <w:outlineLvl w:val="9"/>
              <w:rPr>
                <w:rFonts w:ascii="宋体" w:hAnsi="宋体"/>
                <w:color w:val="auto"/>
                <w:szCs w:val="21"/>
                <w:highlight w:val="none"/>
              </w:rPr>
            </w:pPr>
          </w:p>
        </w:tc>
        <w:tc>
          <w:tcPr>
            <w:tcW w:w="1261" w:type="dxa"/>
            <w:noWrap w:val="0"/>
            <w:vAlign w:val="top"/>
          </w:tcPr>
          <w:p w14:paraId="0F952CA8">
            <w:pPr>
              <w:spacing w:line="440" w:lineRule="exact"/>
              <w:outlineLvl w:val="9"/>
              <w:rPr>
                <w:rFonts w:ascii="宋体" w:hAnsi="宋体"/>
                <w:color w:val="auto"/>
                <w:szCs w:val="21"/>
                <w:highlight w:val="none"/>
              </w:rPr>
            </w:pPr>
          </w:p>
        </w:tc>
        <w:tc>
          <w:tcPr>
            <w:tcW w:w="2296" w:type="dxa"/>
            <w:gridSpan w:val="2"/>
            <w:noWrap w:val="0"/>
            <w:vAlign w:val="top"/>
          </w:tcPr>
          <w:p w14:paraId="44214D12">
            <w:pPr>
              <w:spacing w:line="440" w:lineRule="exact"/>
              <w:outlineLvl w:val="9"/>
              <w:rPr>
                <w:rFonts w:ascii="宋体" w:hAnsi="宋体"/>
                <w:color w:val="auto"/>
                <w:szCs w:val="21"/>
                <w:highlight w:val="none"/>
              </w:rPr>
            </w:pPr>
          </w:p>
        </w:tc>
      </w:tr>
      <w:tr w14:paraId="20F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24597BF6">
            <w:pPr>
              <w:spacing w:line="440" w:lineRule="exact"/>
              <w:outlineLvl w:val="9"/>
              <w:rPr>
                <w:rFonts w:ascii="宋体" w:hAnsi="宋体"/>
                <w:color w:val="auto"/>
                <w:szCs w:val="21"/>
                <w:highlight w:val="none"/>
              </w:rPr>
            </w:pPr>
          </w:p>
        </w:tc>
        <w:tc>
          <w:tcPr>
            <w:tcW w:w="3420" w:type="dxa"/>
            <w:gridSpan w:val="4"/>
            <w:noWrap w:val="0"/>
            <w:vAlign w:val="center"/>
          </w:tcPr>
          <w:p w14:paraId="64AB558D">
            <w:pPr>
              <w:spacing w:line="440" w:lineRule="exact"/>
              <w:outlineLvl w:val="9"/>
              <w:rPr>
                <w:rFonts w:ascii="宋体" w:hAnsi="宋体"/>
                <w:color w:val="auto"/>
                <w:szCs w:val="21"/>
                <w:highlight w:val="none"/>
              </w:rPr>
            </w:pPr>
          </w:p>
        </w:tc>
        <w:tc>
          <w:tcPr>
            <w:tcW w:w="1261" w:type="dxa"/>
            <w:noWrap w:val="0"/>
            <w:vAlign w:val="center"/>
          </w:tcPr>
          <w:p w14:paraId="50330204">
            <w:pPr>
              <w:spacing w:line="440" w:lineRule="exact"/>
              <w:outlineLvl w:val="9"/>
              <w:rPr>
                <w:rFonts w:ascii="宋体" w:hAnsi="宋体"/>
                <w:color w:val="auto"/>
                <w:szCs w:val="21"/>
                <w:highlight w:val="none"/>
              </w:rPr>
            </w:pPr>
          </w:p>
        </w:tc>
        <w:tc>
          <w:tcPr>
            <w:tcW w:w="2296" w:type="dxa"/>
            <w:gridSpan w:val="2"/>
            <w:noWrap w:val="0"/>
            <w:vAlign w:val="center"/>
          </w:tcPr>
          <w:p w14:paraId="45652E86">
            <w:pPr>
              <w:spacing w:line="440" w:lineRule="exact"/>
              <w:outlineLvl w:val="9"/>
              <w:rPr>
                <w:rFonts w:ascii="宋体" w:hAnsi="宋体"/>
                <w:color w:val="auto"/>
                <w:szCs w:val="21"/>
                <w:highlight w:val="none"/>
              </w:rPr>
            </w:pPr>
          </w:p>
        </w:tc>
      </w:tr>
      <w:tr w14:paraId="39FD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03998AA1">
            <w:pPr>
              <w:spacing w:line="440" w:lineRule="exact"/>
              <w:outlineLvl w:val="9"/>
              <w:rPr>
                <w:rFonts w:ascii="宋体" w:hAnsi="宋体"/>
                <w:color w:val="auto"/>
                <w:szCs w:val="21"/>
                <w:highlight w:val="none"/>
              </w:rPr>
            </w:pPr>
          </w:p>
        </w:tc>
        <w:tc>
          <w:tcPr>
            <w:tcW w:w="3420" w:type="dxa"/>
            <w:gridSpan w:val="4"/>
            <w:noWrap w:val="0"/>
            <w:vAlign w:val="center"/>
          </w:tcPr>
          <w:p w14:paraId="6757E9F9">
            <w:pPr>
              <w:spacing w:line="440" w:lineRule="exact"/>
              <w:outlineLvl w:val="9"/>
              <w:rPr>
                <w:rFonts w:ascii="宋体" w:hAnsi="宋体"/>
                <w:color w:val="auto"/>
                <w:szCs w:val="21"/>
                <w:highlight w:val="none"/>
              </w:rPr>
            </w:pPr>
          </w:p>
        </w:tc>
        <w:tc>
          <w:tcPr>
            <w:tcW w:w="1261" w:type="dxa"/>
            <w:noWrap w:val="0"/>
            <w:vAlign w:val="center"/>
          </w:tcPr>
          <w:p w14:paraId="7A961BA0">
            <w:pPr>
              <w:spacing w:line="440" w:lineRule="exact"/>
              <w:outlineLvl w:val="9"/>
              <w:rPr>
                <w:rFonts w:ascii="宋体" w:hAnsi="宋体"/>
                <w:color w:val="auto"/>
                <w:szCs w:val="21"/>
                <w:highlight w:val="none"/>
              </w:rPr>
            </w:pPr>
          </w:p>
        </w:tc>
        <w:tc>
          <w:tcPr>
            <w:tcW w:w="2296" w:type="dxa"/>
            <w:gridSpan w:val="2"/>
            <w:noWrap w:val="0"/>
            <w:vAlign w:val="center"/>
          </w:tcPr>
          <w:p w14:paraId="07F0CBE2">
            <w:pPr>
              <w:spacing w:line="440" w:lineRule="exact"/>
              <w:outlineLvl w:val="9"/>
              <w:rPr>
                <w:rFonts w:ascii="宋体" w:hAnsi="宋体"/>
                <w:color w:val="auto"/>
                <w:szCs w:val="21"/>
                <w:highlight w:val="none"/>
              </w:rPr>
            </w:pPr>
          </w:p>
        </w:tc>
      </w:tr>
      <w:tr w14:paraId="5715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C6AA422">
            <w:pPr>
              <w:spacing w:line="440" w:lineRule="exact"/>
              <w:outlineLvl w:val="9"/>
              <w:rPr>
                <w:rFonts w:ascii="宋体" w:hAnsi="宋体"/>
                <w:color w:val="auto"/>
                <w:szCs w:val="21"/>
                <w:highlight w:val="none"/>
              </w:rPr>
            </w:pPr>
          </w:p>
        </w:tc>
        <w:tc>
          <w:tcPr>
            <w:tcW w:w="3420" w:type="dxa"/>
            <w:gridSpan w:val="4"/>
            <w:noWrap w:val="0"/>
            <w:vAlign w:val="center"/>
          </w:tcPr>
          <w:p w14:paraId="6688DFA7">
            <w:pPr>
              <w:spacing w:line="440" w:lineRule="exact"/>
              <w:outlineLvl w:val="9"/>
              <w:rPr>
                <w:rFonts w:ascii="宋体" w:hAnsi="宋体"/>
                <w:color w:val="auto"/>
                <w:szCs w:val="21"/>
                <w:highlight w:val="none"/>
              </w:rPr>
            </w:pPr>
          </w:p>
        </w:tc>
        <w:tc>
          <w:tcPr>
            <w:tcW w:w="1261" w:type="dxa"/>
            <w:noWrap w:val="0"/>
            <w:vAlign w:val="center"/>
          </w:tcPr>
          <w:p w14:paraId="6BF3BED6">
            <w:pPr>
              <w:spacing w:line="440" w:lineRule="exact"/>
              <w:outlineLvl w:val="9"/>
              <w:rPr>
                <w:rFonts w:ascii="宋体" w:hAnsi="宋体"/>
                <w:color w:val="auto"/>
                <w:szCs w:val="21"/>
                <w:highlight w:val="none"/>
              </w:rPr>
            </w:pPr>
          </w:p>
        </w:tc>
        <w:tc>
          <w:tcPr>
            <w:tcW w:w="2296" w:type="dxa"/>
            <w:gridSpan w:val="2"/>
            <w:noWrap w:val="0"/>
            <w:vAlign w:val="center"/>
          </w:tcPr>
          <w:p w14:paraId="5B1A83E1">
            <w:pPr>
              <w:spacing w:line="440" w:lineRule="exact"/>
              <w:outlineLvl w:val="9"/>
              <w:rPr>
                <w:rFonts w:ascii="宋体" w:hAnsi="宋体"/>
                <w:color w:val="auto"/>
                <w:szCs w:val="21"/>
                <w:highlight w:val="none"/>
              </w:rPr>
            </w:pPr>
          </w:p>
        </w:tc>
      </w:tr>
      <w:tr w14:paraId="341A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07786881">
            <w:pPr>
              <w:spacing w:line="440" w:lineRule="exact"/>
              <w:outlineLvl w:val="9"/>
              <w:rPr>
                <w:rFonts w:ascii="宋体" w:hAnsi="宋体"/>
                <w:color w:val="auto"/>
                <w:szCs w:val="21"/>
                <w:highlight w:val="none"/>
              </w:rPr>
            </w:pPr>
          </w:p>
        </w:tc>
        <w:tc>
          <w:tcPr>
            <w:tcW w:w="3420" w:type="dxa"/>
            <w:gridSpan w:val="4"/>
            <w:noWrap w:val="0"/>
            <w:vAlign w:val="center"/>
          </w:tcPr>
          <w:p w14:paraId="630EBDB9">
            <w:pPr>
              <w:spacing w:line="440" w:lineRule="exact"/>
              <w:outlineLvl w:val="9"/>
              <w:rPr>
                <w:rFonts w:ascii="宋体" w:hAnsi="宋体"/>
                <w:color w:val="auto"/>
                <w:szCs w:val="21"/>
                <w:highlight w:val="none"/>
              </w:rPr>
            </w:pPr>
          </w:p>
        </w:tc>
        <w:tc>
          <w:tcPr>
            <w:tcW w:w="1261" w:type="dxa"/>
            <w:noWrap w:val="0"/>
            <w:vAlign w:val="center"/>
          </w:tcPr>
          <w:p w14:paraId="1E028DB6">
            <w:pPr>
              <w:spacing w:line="440" w:lineRule="exact"/>
              <w:outlineLvl w:val="9"/>
              <w:rPr>
                <w:rFonts w:ascii="宋体" w:hAnsi="宋体"/>
                <w:color w:val="auto"/>
                <w:szCs w:val="21"/>
                <w:highlight w:val="none"/>
              </w:rPr>
            </w:pPr>
          </w:p>
        </w:tc>
        <w:tc>
          <w:tcPr>
            <w:tcW w:w="2296" w:type="dxa"/>
            <w:gridSpan w:val="2"/>
            <w:noWrap w:val="0"/>
            <w:vAlign w:val="center"/>
          </w:tcPr>
          <w:p w14:paraId="50A41E80">
            <w:pPr>
              <w:spacing w:line="440" w:lineRule="exact"/>
              <w:outlineLvl w:val="9"/>
              <w:rPr>
                <w:rFonts w:ascii="宋体" w:hAnsi="宋体"/>
                <w:color w:val="auto"/>
                <w:szCs w:val="21"/>
                <w:highlight w:val="none"/>
              </w:rPr>
            </w:pPr>
          </w:p>
        </w:tc>
      </w:tr>
      <w:tr w14:paraId="35B6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243E5059">
            <w:pPr>
              <w:spacing w:line="440" w:lineRule="exact"/>
              <w:outlineLvl w:val="9"/>
              <w:rPr>
                <w:rFonts w:ascii="宋体" w:hAnsi="宋体"/>
                <w:color w:val="auto"/>
                <w:szCs w:val="21"/>
                <w:highlight w:val="none"/>
              </w:rPr>
            </w:pPr>
          </w:p>
        </w:tc>
        <w:tc>
          <w:tcPr>
            <w:tcW w:w="3420" w:type="dxa"/>
            <w:gridSpan w:val="4"/>
            <w:noWrap w:val="0"/>
            <w:vAlign w:val="center"/>
          </w:tcPr>
          <w:p w14:paraId="774A0AAB">
            <w:pPr>
              <w:spacing w:line="440" w:lineRule="exact"/>
              <w:outlineLvl w:val="9"/>
              <w:rPr>
                <w:rFonts w:ascii="宋体" w:hAnsi="宋体"/>
                <w:color w:val="auto"/>
                <w:szCs w:val="21"/>
                <w:highlight w:val="none"/>
              </w:rPr>
            </w:pPr>
          </w:p>
        </w:tc>
        <w:tc>
          <w:tcPr>
            <w:tcW w:w="1261" w:type="dxa"/>
            <w:noWrap w:val="0"/>
            <w:vAlign w:val="center"/>
          </w:tcPr>
          <w:p w14:paraId="51F49B5C">
            <w:pPr>
              <w:spacing w:line="440" w:lineRule="exact"/>
              <w:outlineLvl w:val="9"/>
              <w:rPr>
                <w:rFonts w:ascii="宋体" w:hAnsi="宋体"/>
                <w:color w:val="auto"/>
                <w:szCs w:val="21"/>
                <w:highlight w:val="none"/>
              </w:rPr>
            </w:pPr>
          </w:p>
        </w:tc>
        <w:tc>
          <w:tcPr>
            <w:tcW w:w="2296" w:type="dxa"/>
            <w:gridSpan w:val="2"/>
            <w:noWrap w:val="0"/>
            <w:vAlign w:val="center"/>
          </w:tcPr>
          <w:p w14:paraId="1C74B171">
            <w:pPr>
              <w:spacing w:line="440" w:lineRule="exact"/>
              <w:outlineLvl w:val="9"/>
              <w:rPr>
                <w:rFonts w:ascii="宋体" w:hAnsi="宋体"/>
                <w:color w:val="auto"/>
                <w:szCs w:val="21"/>
                <w:highlight w:val="none"/>
              </w:rPr>
            </w:pPr>
          </w:p>
        </w:tc>
      </w:tr>
      <w:tr w14:paraId="15BD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E36D245">
            <w:pPr>
              <w:spacing w:line="440" w:lineRule="exact"/>
              <w:outlineLvl w:val="9"/>
              <w:rPr>
                <w:rFonts w:ascii="宋体" w:hAnsi="宋体"/>
                <w:color w:val="auto"/>
                <w:szCs w:val="21"/>
                <w:highlight w:val="none"/>
              </w:rPr>
            </w:pPr>
          </w:p>
        </w:tc>
        <w:tc>
          <w:tcPr>
            <w:tcW w:w="3420" w:type="dxa"/>
            <w:gridSpan w:val="4"/>
            <w:noWrap w:val="0"/>
            <w:vAlign w:val="center"/>
          </w:tcPr>
          <w:p w14:paraId="2C9B3AB9">
            <w:pPr>
              <w:spacing w:line="440" w:lineRule="exact"/>
              <w:outlineLvl w:val="9"/>
              <w:rPr>
                <w:rFonts w:ascii="宋体" w:hAnsi="宋体"/>
                <w:color w:val="auto"/>
                <w:szCs w:val="21"/>
                <w:highlight w:val="none"/>
              </w:rPr>
            </w:pPr>
          </w:p>
        </w:tc>
        <w:tc>
          <w:tcPr>
            <w:tcW w:w="1261" w:type="dxa"/>
            <w:noWrap w:val="0"/>
            <w:vAlign w:val="center"/>
          </w:tcPr>
          <w:p w14:paraId="334B951B">
            <w:pPr>
              <w:spacing w:line="440" w:lineRule="exact"/>
              <w:outlineLvl w:val="9"/>
              <w:rPr>
                <w:rFonts w:ascii="宋体" w:hAnsi="宋体"/>
                <w:color w:val="auto"/>
                <w:szCs w:val="21"/>
                <w:highlight w:val="none"/>
              </w:rPr>
            </w:pPr>
          </w:p>
        </w:tc>
        <w:tc>
          <w:tcPr>
            <w:tcW w:w="2296" w:type="dxa"/>
            <w:gridSpan w:val="2"/>
            <w:noWrap w:val="0"/>
            <w:vAlign w:val="center"/>
          </w:tcPr>
          <w:p w14:paraId="528157BE">
            <w:pPr>
              <w:spacing w:line="440" w:lineRule="exact"/>
              <w:outlineLvl w:val="9"/>
              <w:rPr>
                <w:rFonts w:ascii="宋体" w:hAnsi="宋体"/>
                <w:color w:val="auto"/>
                <w:szCs w:val="21"/>
                <w:highlight w:val="none"/>
              </w:rPr>
            </w:pPr>
          </w:p>
        </w:tc>
      </w:tr>
      <w:tr w14:paraId="379B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167496FA">
            <w:pPr>
              <w:spacing w:line="440" w:lineRule="exact"/>
              <w:outlineLvl w:val="9"/>
              <w:rPr>
                <w:rFonts w:ascii="宋体" w:hAnsi="宋体"/>
                <w:color w:val="auto"/>
                <w:szCs w:val="21"/>
                <w:highlight w:val="none"/>
              </w:rPr>
            </w:pPr>
          </w:p>
        </w:tc>
        <w:tc>
          <w:tcPr>
            <w:tcW w:w="3420" w:type="dxa"/>
            <w:gridSpan w:val="4"/>
            <w:noWrap w:val="0"/>
            <w:vAlign w:val="center"/>
          </w:tcPr>
          <w:p w14:paraId="5A5CD992">
            <w:pPr>
              <w:spacing w:line="440" w:lineRule="exact"/>
              <w:outlineLvl w:val="9"/>
              <w:rPr>
                <w:rFonts w:ascii="宋体" w:hAnsi="宋体"/>
                <w:color w:val="auto"/>
                <w:szCs w:val="21"/>
                <w:highlight w:val="none"/>
              </w:rPr>
            </w:pPr>
          </w:p>
        </w:tc>
        <w:tc>
          <w:tcPr>
            <w:tcW w:w="1261" w:type="dxa"/>
            <w:noWrap w:val="0"/>
            <w:vAlign w:val="center"/>
          </w:tcPr>
          <w:p w14:paraId="2737010A">
            <w:pPr>
              <w:spacing w:line="440" w:lineRule="exact"/>
              <w:outlineLvl w:val="9"/>
              <w:rPr>
                <w:rFonts w:ascii="宋体" w:hAnsi="宋体"/>
                <w:color w:val="auto"/>
                <w:szCs w:val="21"/>
                <w:highlight w:val="none"/>
              </w:rPr>
            </w:pPr>
          </w:p>
        </w:tc>
        <w:tc>
          <w:tcPr>
            <w:tcW w:w="2296" w:type="dxa"/>
            <w:gridSpan w:val="2"/>
            <w:noWrap w:val="0"/>
            <w:vAlign w:val="center"/>
          </w:tcPr>
          <w:p w14:paraId="6E93B603">
            <w:pPr>
              <w:spacing w:line="440" w:lineRule="exact"/>
              <w:outlineLvl w:val="9"/>
              <w:rPr>
                <w:rFonts w:ascii="宋体" w:hAnsi="宋体"/>
                <w:color w:val="auto"/>
                <w:szCs w:val="21"/>
                <w:highlight w:val="none"/>
              </w:rPr>
            </w:pPr>
          </w:p>
        </w:tc>
      </w:tr>
      <w:tr w14:paraId="050A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noWrap w:val="0"/>
            <w:vAlign w:val="center"/>
          </w:tcPr>
          <w:p w14:paraId="3D4FBC22">
            <w:pPr>
              <w:spacing w:line="440" w:lineRule="exact"/>
              <w:outlineLvl w:val="9"/>
              <w:rPr>
                <w:rFonts w:ascii="宋体" w:hAnsi="宋体"/>
                <w:color w:val="auto"/>
                <w:szCs w:val="21"/>
                <w:highlight w:val="none"/>
              </w:rPr>
            </w:pPr>
          </w:p>
        </w:tc>
        <w:tc>
          <w:tcPr>
            <w:tcW w:w="3420" w:type="dxa"/>
            <w:gridSpan w:val="4"/>
            <w:noWrap w:val="0"/>
            <w:vAlign w:val="center"/>
          </w:tcPr>
          <w:p w14:paraId="45302A22">
            <w:pPr>
              <w:spacing w:line="440" w:lineRule="exact"/>
              <w:outlineLvl w:val="9"/>
              <w:rPr>
                <w:rFonts w:ascii="宋体" w:hAnsi="宋体"/>
                <w:color w:val="auto"/>
                <w:szCs w:val="21"/>
                <w:highlight w:val="none"/>
              </w:rPr>
            </w:pPr>
          </w:p>
        </w:tc>
        <w:tc>
          <w:tcPr>
            <w:tcW w:w="1261" w:type="dxa"/>
            <w:noWrap w:val="0"/>
            <w:vAlign w:val="center"/>
          </w:tcPr>
          <w:p w14:paraId="5464EBCC">
            <w:pPr>
              <w:spacing w:line="440" w:lineRule="exact"/>
              <w:outlineLvl w:val="9"/>
              <w:rPr>
                <w:rFonts w:ascii="宋体" w:hAnsi="宋体"/>
                <w:color w:val="auto"/>
                <w:szCs w:val="21"/>
                <w:highlight w:val="none"/>
              </w:rPr>
            </w:pPr>
          </w:p>
        </w:tc>
        <w:tc>
          <w:tcPr>
            <w:tcW w:w="2296" w:type="dxa"/>
            <w:gridSpan w:val="2"/>
            <w:noWrap w:val="0"/>
            <w:vAlign w:val="center"/>
          </w:tcPr>
          <w:p w14:paraId="36351927">
            <w:pPr>
              <w:spacing w:line="440" w:lineRule="exact"/>
              <w:outlineLvl w:val="9"/>
              <w:rPr>
                <w:rFonts w:ascii="宋体" w:hAnsi="宋体"/>
                <w:color w:val="auto"/>
                <w:szCs w:val="21"/>
                <w:highlight w:val="none"/>
              </w:rPr>
            </w:pPr>
          </w:p>
        </w:tc>
      </w:tr>
      <w:tr w14:paraId="1DC3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noWrap w:val="0"/>
            <w:vAlign w:val="center"/>
          </w:tcPr>
          <w:p w14:paraId="4D8F660B">
            <w:pPr>
              <w:spacing w:line="440" w:lineRule="exact"/>
              <w:outlineLvl w:val="9"/>
              <w:rPr>
                <w:rFonts w:ascii="宋体" w:hAnsi="宋体"/>
                <w:color w:val="auto"/>
                <w:szCs w:val="21"/>
                <w:highlight w:val="none"/>
              </w:rPr>
            </w:pPr>
          </w:p>
        </w:tc>
        <w:tc>
          <w:tcPr>
            <w:tcW w:w="3420" w:type="dxa"/>
            <w:gridSpan w:val="4"/>
            <w:noWrap w:val="0"/>
            <w:vAlign w:val="center"/>
          </w:tcPr>
          <w:p w14:paraId="6F537ECB">
            <w:pPr>
              <w:spacing w:line="440" w:lineRule="exact"/>
              <w:outlineLvl w:val="9"/>
              <w:rPr>
                <w:rFonts w:ascii="宋体" w:hAnsi="宋体"/>
                <w:color w:val="auto"/>
                <w:szCs w:val="21"/>
                <w:highlight w:val="none"/>
              </w:rPr>
            </w:pPr>
          </w:p>
        </w:tc>
        <w:tc>
          <w:tcPr>
            <w:tcW w:w="1261" w:type="dxa"/>
            <w:noWrap w:val="0"/>
            <w:vAlign w:val="center"/>
          </w:tcPr>
          <w:p w14:paraId="04EDE0E7">
            <w:pPr>
              <w:spacing w:line="440" w:lineRule="exact"/>
              <w:outlineLvl w:val="9"/>
              <w:rPr>
                <w:rFonts w:ascii="宋体" w:hAnsi="宋体"/>
                <w:color w:val="auto"/>
                <w:szCs w:val="21"/>
                <w:highlight w:val="none"/>
              </w:rPr>
            </w:pPr>
          </w:p>
        </w:tc>
        <w:tc>
          <w:tcPr>
            <w:tcW w:w="2296" w:type="dxa"/>
            <w:gridSpan w:val="2"/>
            <w:noWrap w:val="0"/>
            <w:vAlign w:val="center"/>
          </w:tcPr>
          <w:p w14:paraId="556E0708">
            <w:pPr>
              <w:spacing w:line="440" w:lineRule="exact"/>
              <w:outlineLvl w:val="9"/>
              <w:rPr>
                <w:rFonts w:ascii="宋体" w:hAnsi="宋体"/>
                <w:color w:val="auto"/>
                <w:szCs w:val="21"/>
                <w:highlight w:val="none"/>
              </w:rPr>
            </w:pPr>
          </w:p>
        </w:tc>
      </w:tr>
    </w:tbl>
    <w:p w14:paraId="5FEBA5A1">
      <w:pPr>
        <w:spacing w:line="400" w:lineRule="exact"/>
        <w:outlineLvl w:val="9"/>
        <w:rPr>
          <w:rFonts w:ascii="宋体" w:hAnsi="宋体"/>
          <w:color w:val="auto"/>
          <w:highlight w:val="none"/>
        </w:rPr>
      </w:pPr>
    </w:p>
    <w:p w14:paraId="72172306">
      <w:pPr>
        <w:pStyle w:val="11"/>
        <w:outlineLvl w:val="9"/>
        <w:rPr>
          <w:rFonts w:hint="eastAsia" w:ascii="宋体" w:hAnsi="宋体" w:eastAsia="宋体" w:cs="宋体"/>
          <w:b w:val="0"/>
          <w:bCs/>
          <w:color w:val="auto"/>
          <w:highlight w:val="none"/>
          <w:lang w:eastAsia="zh-CN"/>
        </w:rPr>
      </w:pPr>
      <w:r>
        <w:rPr>
          <w:rFonts w:hint="eastAsia" w:ascii="宋体" w:hAnsi="宋体"/>
          <w:color w:val="auto"/>
          <w:highlight w:val="none"/>
          <w:lang w:val="en-US" w:eastAsia="zh-CN"/>
        </w:rPr>
        <w:t xml:space="preserve">  </w:t>
      </w:r>
      <w:r>
        <w:rPr>
          <w:rFonts w:ascii="宋体" w:hAnsi="宋体"/>
          <w:color w:val="auto"/>
          <w:highlight w:val="none"/>
        </w:rPr>
        <w:br w:type="page"/>
      </w:r>
      <w:r>
        <w:rPr>
          <w:rFonts w:hint="eastAsia" w:ascii="宋体" w:hAnsi="宋体" w:eastAsia="宋体" w:cs="宋体"/>
          <w:b w:val="0"/>
          <w:bCs/>
          <w:color w:val="auto"/>
          <w:highlight w:val="none"/>
          <w:lang w:eastAsia="zh-CN"/>
        </w:rPr>
        <w:t>附件</w:t>
      </w:r>
      <w:r>
        <w:rPr>
          <w:rFonts w:hint="eastAsia" w:ascii="宋体" w:hAnsi="宋体" w:eastAsia="宋体" w:cs="宋体"/>
          <w:b w:val="0"/>
          <w:bCs/>
          <w:color w:val="auto"/>
          <w:highlight w:val="none"/>
          <w:lang w:val="en-US" w:eastAsia="zh-CN"/>
        </w:rPr>
        <w:t>2：</w:t>
      </w:r>
      <w:r>
        <w:rPr>
          <w:rFonts w:hint="eastAsia" w:ascii="宋体" w:hAnsi="宋体" w:eastAsia="宋体" w:cs="宋体"/>
          <w:b w:val="0"/>
          <w:bCs/>
          <w:color w:val="auto"/>
          <w:highlight w:val="none"/>
          <w:lang w:eastAsia="zh-CN"/>
        </w:rPr>
        <w:t>拟投入技术负责人简历表</w:t>
      </w:r>
    </w:p>
    <w:p w14:paraId="4273F9AA">
      <w:pPr>
        <w:spacing w:line="400" w:lineRule="exact"/>
        <w:ind w:firstLine="480" w:firstLineChars="200"/>
        <w:outlineLvl w:val="9"/>
        <w:rPr>
          <w:rFonts w:hint="eastAsia" w:ascii="宋体" w:hAnsi="宋体" w:eastAsia="宋体"/>
          <w:b/>
          <w:color w:val="auto"/>
          <w:sz w:val="24"/>
          <w:highlight w:val="none"/>
          <w:lang w:eastAsia="zh-CN"/>
        </w:rPr>
      </w:pPr>
      <w:r>
        <w:rPr>
          <w:rFonts w:hint="eastAsia" w:ascii="宋体" w:hAnsi="宋体"/>
          <w:color w:val="auto"/>
          <w:sz w:val="24"/>
          <w:highlight w:val="none"/>
          <w:lang w:eastAsia="zh-CN"/>
        </w:rPr>
        <w:t>技术负责人</w:t>
      </w:r>
      <w:r>
        <w:rPr>
          <w:rFonts w:hint="eastAsia" w:ascii="宋体" w:hAnsi="宋体"/>
          <w:color w:val="auto"/>
          <w:sz w:val="24"/>
          <w:highlight w:val="none"/>
          <w:lang w:val="en-US" w:eastAsia="zh-CN"/>
        </w:rPr>
        <w:t>须</w:t>
      </w:r>
      <w:r>
        <w:rPr>
          <w:rFonts w:hint="eastAsia" w:ascii="宋体" w:hAnsi="宋体"/>
          <w:color w:val="auto"/>
          <w:sz w:val="24"/>
          <w:highlight w:val="none"/>
        </w:rPr>
        <w:t>附身份证、职称证</w:t>
      </w:r>
      <w:r>
        <w:rPr>
          <w:rFonts w:hint="eastAsia" w:ascii="宋体" w:hAnsi="宋体"/>
          <w:color w:val="auto"/>
          <w:sz w:val="24"/>
          <w:highlight w:val="none"/>
          <w:lang w:eastAsia="zh-CN"/>
        </w:rPr>
        <w:t>等</w:t>
      </w:r>
      <w:r>
        <w:rPr>
          <w:rFonts w:hint="eastAsia" w:ascii="宋体" w:hAnsi="宋体"/>
          <w:color w:val="auto"/>
          <w:sz w:val="24"/>
          <w:highlight w:val="none"/>
        </w:rPr>
        <w:t>复印件或扫描件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所有复印件</w:t>
      </w:r>
      <w:r>
        <w:rPr>
          <w:rFonts w:hint="eastAsia" w:ascii="宋体" w:hAnsi="宋体"/>
          <w:color w:val="auto"/>
          <w:sz w:val="24"/>
          <w:highlight w:val="none"/>
        </w:rPr>
        <w:t>或扫描件</w:t>
      </w:r>
      <w:r>
        <w:rPr>
          <w:rFonts w:hint="eastAsia" w:ascii="宋体" w:hAnsi="宋体"/>
          <w:color w:val="auto"/>
          <w:sz w:val="24"/>
          <w:highlight w:val="none"/>
          <w:lang w:val="en-US" w:eastAsia="zh-CN"/>
        </w:rPr>
        <w:t>加盖公章</w:t>
      </w:r>
      <w:r>
        <w:rPr>
          <w:rFonts w:hint="eastAsia" w:ascii="宋体" w:hAnsi="宋体"/>
          <w:color w:val="auto"/>
          <w:sz w:val="24"/>
          <w:highlight w:val="none"/>
          <w:lang w:eastAsia="zh-CN"/>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030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6E7C9335">
            <w:pPr>
              <w:spacing w:line="440" w:lineRule="exact"/>
              <w:jc w:val="center"/>
              <w:outlineLvl w:val="9"/>
              <w:rPr>
                <w:rFonts w:ascii="宋体" w:hAnsi="宋体"/>
                <w:color w:val="auto"/>
                <w:szCs w:val="21"/>
                <w:highlight w:val="none"/>
              </w:rPr>
            </w:pPr>
            <w:r>
              <w:rPr>
                <w:rFonts w:ascii="宋体" w:hAnsi="宋体"/>
                <w:color w:val="auto"/>
                <w:szCs w:val="21"/>
                <w:highlight w:val="none"/>
              </w:rPr>
              <w:t>姓  名</w:t>
            </w:r>
          </w:p>
        </w:tc>
        <w:tc>
          <w:tcPr>
            <w:tcW w:w="1079" w:type="dxa"/>
            <w:gridSpan w:val="2"/>
            <w:noWrap w:val="0"/>
            <w:vAlign w:val="center"/>
          </w:tcPr>
          <w:p w14:paraId="0E2EF084">
            <w:pPr>
              <w:spacing w:line="440" w:lineRule="exact"/>
              <w:jc w:val="center"/>
              <w:outlineLvl w:val="9"/>
              <w:rPr>
                <w:rFonts w:ascii="宋体" w:hAnsi="宋体"/>
                <w:color w:val="auto"/>
                <w:szCs w:val="21"/>
                <w:highlight w:val="none"/>
              </w:rPr>
            </w:pPr>
          </w:p>
        </w:tc>
        <w:tc>
          <w:tcPr>
            <w:tcW w:w="927" w:type="dxa"/>
            <w:noWrap w:val="0"/>
            <w:vAlign w:val="center"/>
          </w:tcPr>
          <w:p w14:paraId="066C3510">
            <w:pPr>
              <w:spacing w:line="440" w:lineRule="exact"/>
              <w:jc w:val="center"/>
              <w:outlineLvl w:val="9"/>
              <w:rPr>
                <w:rFonts w:ascii="宋体" w:hAnsi="宋体"/>
                <w:color w:val="auto"/>
                <w:szCs w:val="21"/>
                <w:highlight w:val="none"/>
              </w:rPr>
            </w:pPr>
            <w:r>
              <w:rPr>
                <w:rFonts w:ascii="宋体" w:hAnsi="宋体"/>
                <w:color w:val="auto"/>
                <w:szCs w:val="21"/>
                <w:highlight w:val="none"/>
              </w:rPr>
              <w:t>年 龄</w:t>
            </w:r>
          </w:p>
        </w:tc>
        <w:tc>
          <w:tcPr>
            <w:tcW w:w="1065" w:type="dxa"/>
            <w:noWrap w:val="0"/>
            <w:vAlign w:val="center"/>
          </w:tcPr>
          <w:p w14:paraId="4CCCF922">
            <w:pPr>
              <w:spacing w:line="440" w:lineRule="exact"/>
              <w:jc w:val="center"/>
              <w:outlineLvl w:val="9"/>
              <w:rPr>
                <w:rFonts w:ascii="宋体" w:hAnsi="宋体"/>
                <w:color w:val="auto"/>
                <w:szCs w:val="21"/>
                <w:highlight w:val="none"/>
              </w:rPr>
            </w:pPr>
          </w:p>
        </w:tc>
        <w:tc>
          <w:tcPr>
            <w:tcW w:w="2130" w:type="dxa"/>
            <w:gridSpan w:val="3"/>
            <w:noWrap w:val="0"/>
            <w:vAlign w:val="center"/>
          </w:tcPr>
          <w:p w14:paraId="39122448">
            <w:pPr>
              <w:spacing w:line="440" w:lineRule="exact"/>
              <w:jc w:val="center"/>
              <w:outlineLvl w:val="9"/>
              <w:rPr>
                <w:rFonts w:ascii="宋体" w:hAnsi="宋体"/>
                <w:color w:val="auto"/>
                <w:szCs w:val="21"/>
                <w:highlight w:val="none"/>
              </w:rPr>
            </w:pPr>
            <w:r>
              <w:rPr>
                <w:rFonts w:ascii="宋体" w:hAnsi="宋体"/>
                <w:color w:val="auto"/>
                <w:szCs w:val="21"/>
                <w:highlight w:val="none"/>
              </w:rPr>
              <w:t>学</w:t>
            </w:r>
            <w:r>
              <w:rPr>
                <w:rFonts w:hint="eastAsia" w:ascii="宋体" w:hAnsi="宋体"/>
                <w:color w:val="auto"/>
                <w:szCs w:val="21"/>
                <w:highlight w:val="none"/>
              </w:rPr>
              <w:t xml:space="preserve"> </w:t>
            </w:r>
            <w:r>
              <w:rPr>
                <w:rFonts w:ascii="宋体" w:hAnsi="宋体"/>
                <w:color w:val="auto"/>
                <w:szCs w:val="21"/>
                <w:highlight w:val="none"/>
              </w:rPr>
              <w:t>历</w:t>
            </w:r>
          </w:p>
        </w:tc>
        <w:tc>
          <w:tcPr>
            <w:tcW w:w="2135" w:type="dxa"/>
            <w:noWrap w:val="0"/>
            <w:vAlign w:val="center"/>
          </w:tcPr>
          <w:p w14:paraId="0A62EF21">
            <w:pPr>
              <w:spacing w:line="440" w:lineRule="exact"/>
              <w:jc w:val="center"/>
              <w:outlineLvl w:val="9"/>
              <w:rPr>
                <w:rFonts w:ascii="宋体" w:hAnsi="宋体"/>
                <w:color w:val="auto"/>
                <w:szCs w:val="21"/>
                <w:highlight w:val="none"/>
              </w:rPr>
            </w:pPr>
          </w:p>
        </w:tc>
      </w:tr>
      <w:tr w14:paraId="2DE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097A7589">
            <w:pPr>
              <w:spacing w:line="440" w:lineRule="exact"/>
              <w:jc w:val="center"/>
              <w:outlineLvl w:val="9"/>
              <w:rPr>
                <w:rFonts w:ascii="宋体" w:hAnsi="宋体"/>
                <w:color w:val="auto"/>
                <w:szCs w:val="21"/>
                <w:highlight w:val="none"/>
              </w:rPr>
            </w:pPr>
            <w:r>
              <w:rPr>
                <w:rFonts w:ascii="宋体" w:hAnsi="宋体"/>
                <w:color w:val="auto"/>
                <w:szCs w:val="21"/>
                <w:highlight w:val="none"/>
              </w:rPr>
              <w:t>职  称</w:t>
            </w:r>
          </w:p>
        </w:tc>
        <w:tc>
          <w:tcPr>
            <w:tcW w:w="1079" w:type="dxa"/>
            <w:gridSpan w:val="2"/>
            <w:noWrap w:val="0"/>
            <w:vAlign w:val="center"/>
          </w:tcPr>
          <w:p w14:paraId="0DDF1270">
            <w:pPr>
              <w:spacing w:line="440" w:lineRule="exact"/>
              <w:jc w:val="center"/>
              <w:outlineLvl w:val="9"/>
              <w:rPr>
                <w:rFonts w:ascii="宋体" w:hAnsi="宋体"/>
                <w:color w:val="auto"/>
                <w:szCs w:val="21"/>
                <w:highlight w:val="none"/>
              </w:rPr>
            </w:pPr>
          </w:p>
        </w:tc>
        <w:tc>
          <w:tcPr>
            <w:tcW w:w="927" w:type="dxa"/>
            <w:noWrap w:val="0"/>
            <w:vAlign w:val="center"/>
          </w:tcPr>
          <w:p w14:paraId="551F9DB6">
            <w:pPr>
              <w:spacing w:line="440" w:lineRule="exact"/>
              <w:jc w:val="center"/>
              <w:outlineLvl w:val="9"/>
              <w:rPr>
                <w:rFonts w:ascii="宋体" w:hAnsi="宋体"/>
                <w:color w:val="auto"/>
                <w:szCs w:val="21"/>
                <w:highlight w:val="none"/>
              </w:rPr>
            </w:pPr>
            <w:r>
              <w:rPr>
                <w:rFonts w:ascii="宋体" w:hAnsi="宋体"/>
                <w:color w:val="auto"/>
                <w:szCs w:val="21"/>
                <w:highlight w:val="none"/>
              </w:rPr>
              <w:t>职 务</w:t>
            </w:r>
          </w:p>
        </w:tc>
        <w:tc>
          <w:tcPr>
            <w:tcW w:w="1065" w:type="dxa"/>
            <w:noWrap w:val="0"/>
            <w:vAlign w:val="center"/>
          </w:tcPr>
          <w:p w14:paraId="61E62497">
            <w:pPr>
              <w:spacing w:line="440" w:lineRule="exact"/>
              <w:jc w:val="center"/>
              <w:outlineLvl w:val="9"/>
              <w:rPr>
                <w:rFonts w:ascii="宋体" w:hAnsi="宋体"/>
                <w:color w:val="auto"/>
                <w:szCs w:val="21"/>
                <w:highlight w:val="none"/>
              </w:rPr>
            </w:pPr>
          </w:p>
        </w:tc>
        <w:tc>
          <w:tcPr>
            <w:tcW w:w="2130" w:type="dxa"/>
            <w:gridSpan w:val="3"/>
            <w:noWrap w:val="0"/>
            <w:vAlign w:val="center"/>
          </w:tcPr>
          <w:p w14:paraId="66FC601B">
            <w:pPr>
              <w:spacing w:line="440" w:lineRule="exact"/>
              <w:jc w:val="center"/>
              <w:outlineLvl w:val="9"/>
              <w:rPr>
                <w:rFonts w:ascii="宋体" w:hAnsi="宋体"/>
                <w:color w:val="auto"/>
                <w:szCs w:val="21"/>
                <w:highlight w:val="none"/>
              </w:rPr>
            </w:pPr>
            <w:r>
              <w:rPr>
                <w:rFonts w:ascii="宋体" w:hAnsi="宋体"/>
                <w:color w:val="auto"/>
                <w:szCs w:val="21"/>
                <w:highlight w:val="none"/>
              </w:rPr>
              <w:t>拟在本合同任职</w:t>
            </w:r>
          </w:p>
        </w:tc>
        <w:tc>
          <w:tcPr>
            <w:tcW w:w="2135" w:type="dxa"/>
            <w:noWrap w:val="0"/>
            <w:vAlign w:val="center"/>
          </w:tcPr>
          <w:p w14:paraId="1D8463F1">
            <w:pPr>
              <w:spacing w:line="440" w:lineRule="exact"/>
              <w:jc w:val="center"/>
              <w:outlineLvl w:val="9"/>
              <w:rPr>
                <w:rFonts w:ascii="宋体" w:hAnsi="宋体"/>
                <w:color w:val="auto"/>
                <w:szCs w:val="21"/>
                <w:highlight w:val="none"/>
              </w:rPr>
            </w:pPr>
          </w:p>
        </w:tc>
      </w:tr>
      <w:tr w14:paraId="51F4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649ADD12">
            <w:pPr>
              <w:spacing w:line="440" w:lineRule="exact"/>
              <w:jc w:val="center"/>
              <w:outlineLvl w:val="9"/>
              <w:rPr>
                <w:rFonts w:ascii="宋体" w:hAnsi="宋体"/>
                <w:color w:val="auto"/>
                <w:szCs w:val="21"/>
                <w:highlight w:val="none"/>
              </w:rPr>
            </w:pPr>
            <w:r>
              <w:rPr>
                <w:rFonts w:ascii="宋体" w:hAnsi="宋体"/>
                <w:color w:val="auto"/>
                <w:szCs w:val="21"/>
                <w:highlight w:val="none"/>
              </w:rPr>
              <w:t>毕业学校</w:t>
            </w:r>
          </w:p>
        </w:tc>
        <w:tc>
          <w:tcPr>
            <w:tcW w:w="7336" w:type="dxa"/>
            <w:gridSpan w:val="8"/>
            <w:noWrap w:val="0"/>
            <w:vAlign w:val="top"/>
          </w:tcPr>
          <w:p w14:paraId="067C22A3">
            <w:pPr>
              <w:spacing w:line="440" w:lineRule="exact"/>
              <w:outlineLvl w:val="9"/>
              <w:rPr>
                <w:rFonts w:ascii="宋体" w:hAnsi="宋体"/>
                <w:color w:val="auto"/>
                <w:szCs w:val="21"/>
                <w:highlight w:val="none"/>
              </w:rPr>
            </w:pPr>
            <w:r>
              <w:rPr>
                <w:rFonts w:ascii="宋体" w:hAnsi="宋体"/>
                <w:color w:val="auto"/>
                <w:szCs w:val="21"/>
                <w:highlight w:val="none"/>
              </w:rPr>
              <w:t xml:space="preserve">      年毕业于            学校        专业</w:t>
            </w:r>
          </w:p>
        </w:tc>
      </w:tr>
      <w:tr w14:paraId="03F8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55816BA2">
            <w:pPr>
              <w:spacing w:line="440" w:lineRule="exact"/>
              <w:jc w:val="center"/>
              <w:outlineLvl w:val="9"/>
              <w:rPr>
                <w:rFonts w:ascii="宋体" w:hAnsi="宋体"/>
                <w:color w:val="auto"/>
                <w:szCs w:val="21"/>
                <w:highlight w:val="none"/>
              </w:rPr>
            </w:pPr>
            <w:r>
              <w:rPr>
                <w:rFonts w:ascii="宋体" w:hAnsi="宋体"/>
                <w:color w:val="auto"/>
                <w:szCs w:val="21"/>
                <w:highlight w:val="none"/>
              </w:rPr>
              <w:t>主要工作经历</w:t>
            </w:r>
          </w:p>
        </w:tc>
      </w:tr>
      <w:tr w14:paraId="2575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D12927">
            <w:pPr>
              <w:spacing w:line="440" w:lineRule="exact"/>
              <w:jc w:val="center"/>
              <w:outlineLvl w:val="9"/>
              <w:rPr>
                <w:rFonts w:ascii="宋体" w:hAnsi="宋体"/>
                <w:color w:val="auto"/>
                <w:szCs w:val="21"/>
                <w:highlight w:val="none"/>
              </w:rPr>
            </w:pPr>
            <w:r>
              <w:rPr>
                <w:rFonts w:ascii="宋体" w:hAnsi="宋体"/>
                <w:color w:val="auto"/>
                <w:szCs w:val="21"/>
                <w:highlight w:val="none"/>
              </w:rPr>
              <w:t>时  间</w:t>
            </w:r>
          </w:p>
        </w:tc>
        <w:tc>
          <w:tcPr>
            <w:tcW w:w="3420" w:type="dxa"/>
            <w:gridSpan w:val="4"/>
            <w:noWrap w:val="0"/>
            <w:vAlign w:val="center"/>
          </w:tcPr>
          <w:p w14:paraId="008E338B">
            <w:pPr>
              <w:spacing w:line="440" w:lineRule="exact"/>
              <w:jc w:val="center"/>
              <w:outlineLvl w:val="9"/>
              <w:rPr>
                <w:rFonts w:ascii="宋体" w:hAnsi="宋体"/>
                <w:color w:val="auto"/>
                <w:szCs w:val="21"/>
                <w:highlight w:val="none"/>
              </w:rPr>
            </w:pPr>
            <w:r>
              <w:rPr>
                <w:rFonts w:ascii="宋体" w:hAnsi="宋体"/>
                <w:color w:val="auto"/>
                <w:szCs w:val="21"/>
                <w:highlight w:val="none"/>
              </w:rPr>
              <w:t>参加过的类似项目</w:t>
            </w:r>
          </w:p>
        </w:tc>
        <w:tc>
          <w:tcPr>
            <w:tcW w:w="1261" w:type="dxa"/>
            <w:noWrap w:val="0"/>
            <w:vAlign w:val="center"/>
          </w:tcPr>
          <w:p w14:paraId="70C7D9EE">
            <w:pPr>
              <w:spacing w:line="440" w:lineRule="exact"/>
              <w:jc w:val="center"/>
              <w:outlineLvl w:val="9"/>
              <w:rPr>
                <w:rFonts w:ascii="宋体" w:hAnsi="宋体"/>
                <w:color w:val="auto"/>
                <w:szCs w:val="21"/>
                <w:highlight w:val="none"/>
              </w:rPr>
            </w:pPr>
            <w:r>
              <w:rPr>
                <w:rFonts w:ascii="宋体" w:hAnsi="宋体"/>
                <w:color w:val="auto"/>
                <w:szCs w:val="21"/>
                <w:highlight w:val="none"/>
              </w:rPr>
              <w:t>担任职务</w:t>
            </w:r>
          </w:p>
        </w:tc>
        <w:tc>
          <w:tcPr>
            <w:tcW w:w="2296" w:type="dxa"/>
            <w:gridSpan w:val="2"/>
            <w:noWrap w:val="0"/>
            <w:vAlign w:val="center"/>
          </w:tcPr>
          <w:p w14:paraId="067A6FF2">
            <w:pPr>
              <w:spacing w:line="440" w:lineRule="exact"/>
              <w:jc w:val="center"/>
              <w:outlineLvl w:val="9"/>
              <w:rPr>
                <w:rFonts w:ascii="宋体" w:hAnsi="宋体"/>
                <w:color w:val="auto"/>
                <w:szCs w:val="21"/>
                <w:highlight w:val="none"/>
              </w:rPr>
            </w:pPr>
            <w:r>
              <w:rPr>
                <w:rFonts w:ascii="宋体" w:hAnsi="宋体"/>
                <w:color w:val="auto"/>
                <w:szCs w:val="21"/>
                <w:highlight w:val="none"/>
              </w:rPr>
              <w:t>发包人及联系电话</w:t>
            </w:r>
          </w:p>
        </w:tc>
      </w:tr>
      <w:tr w14:paraId="249A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6899A7B">
            <w:pPr>
              <w:spacing w:line="440" w:lineRule="exact"/>
              <w:outlineLvl w:val="9"/>
              <w:rPr>
                <w:rFonts w:ascii="宋体" w:hAnsi="宋体"/>
                <w:color w:val="auto"/>
                <w:szCs w:val="21"/>
                <w:highlight w:val="none"/>
              </w:rPr>
            </w:pPr>
          </w:p>
        </w:tc>
        <w:tc>
          <w:tcPr>
            <w:tcW w:w="3420" w:type="dxa"/>
            <w:gridSpan w:val="4"/>
            <w:noWrap w:val="0"/>
            <w:vAlign w:val="top"/>
          </w:tcPr>
          <w:p w14:paraId="1CBC3966">
            <w:pPr>
              <w:spacing w:line="440" w:lineRule="exact"/>
              <w:outlineLvl w:val="9"/>
              <w:rPr>
                <w:rFonts w:ascii="宋体" w:hAnsi="宋体"/>
                <w:color w:val="auto"/>
                <w:szCs w:val="21"/>
                <w:highlight w:val="none"/>
              </w:rPr>
            </w:pPr>
          </w:p>
        </w:tc>
        <w:tc>
          <w:tcPr>
            <w:tcW w:w="1261" w:type="dxa"/>
            <w:noWrap w:val="0"/>
            <w:vAlign w:val="top"/>
          </w:tcPr>
          <w:p w14:paraId="1D5FA79E">
            <w:pPr>
              <w:spacing w:line="440" w:lineRule="exact"/>
              <w:outlineLvl w:val="9"/>
              <w:rPr>
                <w:rFonts w:ascii="宋体" w:hAnsi="宋体"/>
                <w:color w:val="auto"/>
                <w:szCs w:val="21"/>
                <w:highlight w:val="none"/>
              </w:rPr>
            </w:pPr>
          </w:p>
        </w:tc>
        <w:tc>
          <w:tcPr>
            <w:tcW w:w="2296" w:type="dxa"/>
            <w:gridSpan w:val="2"/>
            <w:noWrap w:val="0"/>
            <w:vAlign w:val="top"/>
          </w:tcPr>
          <w:p w14:paraId="4449EB45">
            <w:pPr>
              <w:spacing w:line="440" w:lineRule="exact"/>
              <w:outlineLvl w:val="9"/>
              <w:rPr>
                <w:rFonts w:ascii="宋体" w:hAnsi="宋体"/>
                <w:color w:val="auto"/>
                <w:szCs w:val="21"/>
                <w:highlight w:val="none"/>
              </w:rPr>
            </w:pPr>
          </w:p>
        </w:tc>
      </w:tr>
      <w:tr w14:paraId="0B1E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28573F72">
            <w:pPr>
              <w:spacing w:line="440" w:lineRule="exact"/>
              <w:outlineLvl w:val="9"/>
              <w:rPr>
                <w:rFonts w:ascii="宋体" w:hAnsi="宋体"/>
                <w:color w:val="auto"/>
                <w:szCs w:val="21"/>
                <w:highlight w:val="none"/>
              </w:rPr>
            </w:pPr>
          </w:p>
        </w:tc>
        <w:tc>
          <w:tcPr>
            <w:tcW w:w="3420" w:type="dxa"/>
            <w:gridSpan w:val="4"/>
            <w:noWrap w:val="0"/>
            <w:vAlign w:val="top"/>
          </w:tcPr>
          <w:p w14:paraId="71B982E5">
            <w:pPr>
              <w:spacing w:line="440" w:lineRule="exact"/>
              <w:outlineLvl w:val="9"/>
              <w:rPr>
                <w:rFonts w:ascii="宋体" w:hAnsi="宋体"/>
                <w:color w:val="auto"/>
                <w:szCs w:val="21"/>
                <w:highlight w:val="none"/>
              </w:rPr>
            </w:pPr>
          </w:p>
        </w:tc>
        <w:tc>
          <w:tcPr>
            <w:tcW w:w="1261" w:type="dxa"/>
            <w:noWrap w:val="0"/>
            <w:vAlign w:val="top"/>
          </w:tcPr>
          <w:p w14:paraId="66CF7621">
            <w:pPr>
              <w:spacing w:line="440" w:lineRule="exact"/>
              <w:outlineLvl w:val="9"/>
              <w:rPr>
                <w:rFonts w:ascii="宋体" w:hAnsi="宋体"/>
                <w:color w:val="auto"/>
                <w:szCs w:val="21"/>
                <w:highlight w:val="none"/>
              </w:rPr>
            </w:pPr>
          </w:p>
        </w:tc>
        <w:tc>
          <w:tcPr>
            <w:tcW w:w="2296" w:type="dxa"/>
            <w:gridSpan w:val="2"/>
            <w:noWrap w:val="0"/>
            <w:vAlign w:val="top"/>
          </w:tcPr>
          <w:p w14:paraId="33EE4A48">
            <w:pPr>
              <w:spacing w:line="440" w:lineRule="exact"/>
              <w:outlineLvl w:val="9"/>
              <w:rPr>
                <w:rFonts w:ascii="宋体" w:hAnsi="宋体"/>
                <w:color w:val="auto"/>
                <w:szCs w:val="21"/>
                <w:highlight w:val="none"/>
              </w:rPr>
            </w:pPr>
          </w:p>
        </w:tc>
      </w:tr>
      <w:tr w14:paraId="061B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5D39EBC">
            <w:pPr>
              <w:spacing w:line="440" w:lineRule="exact"/>
              <w:outlineLvl w:val="9"/>
              <w:rPr>
                <w:rFonts w:ascii="宋体" w:hAnsi="宋体"/>
                <w:color w:val="auto"/>
                <w:szCs w:val="21"/>
                <w:highlight w:val="none"/>
              </w:rPr>
            </w:pPr>
          </w:p>
        </w:tc>
        <w:tc>
          <w:tcPr>
            <w:tcW w:w="3420" w:type="dxa"/>
            <w:gridSpan w:val="4"/>
            <w:noWrap w:val="0"/>
            <w:vAlign w:val="top"/>
          </w:tcPr>
          <w:p w14:paraId="0A237E75">
            <w:pPr>
              <w:spacing w:line="440" w:lineRule="exact"/>
              <w:outlineLvl w:val="9"/>
              <w:rPr>
                <w:rFonts w:ascii="宋体" w:hAnsi="宋体"/>
                <w:color w:val="auto"/>
                <w:szCs w:val="21"/>
                <w:highlight w:val="none"/>
              </w:rPr>
            </w:pPr>
          </w:p>
        </w:tc>
        <w:tc>
          <w:tcPr>
            <w:tcW w:w="1261" w:type="dxa"/>
            <w:noWrap w:val="0"/>
            <w:vAlign w:val="top"/>
          </w:tcPr>
          <w:p w14:paraId="2DE19E98">
            <w:pPr>
              <w:spacing w:line="440" w:lineRule="exact"/>
              <w:outlineLvl w:val="9"/>
              <w:rPr>
                <w:rFonts w:ascii="宋体" w:hAnsi="宋体"/>
                <w:color w:val="auto"/>
                <w:szCs w:val="21"/>
                <w:highlight w:val="none"/>
              </w:rPr>
            </w:pPr>
          </w:p>
        </w:tc>
        <w:tc>
          <w:tcPr>
            <w:tcW w:w="2296" w:type="dxa"/>
            <w:gridSpan w:val="2"/>
            <w:noWrap w:val="0"/>
            <w:vAlign w:val="top"/>
          </w:tcPr>
          <w:p w14:paraId="0AFD8BC3">
            <w:pPr>
              <w:spacing w:line="440" w:lineRule="exact"/>
              <w:outlineLvl w:val="9"/>
              <w:rPr>
                <w:rFonts w:ascii="宋体" w:hAnsi="宋体"/>
                <w:color w:val="auto"/>
                <w:szCs w:val="21"/>
                <w:highlight w:val="none"/>
              </w:rPr>
            </w:pPr>
          </w:p>
        </w:tc>
      </w:tr>
      <w:tr w14:paraId="6AC9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A911137">
            <w:pPr>
              <w:spacing w:line="440" w:lineRule="exact"/>
              <w:outlineLvl w:val="9"/>
              <w:rPr>
                <w:rFonts w:ascii="宋体" w:hAnsi="宋体"/>
                <w:color w:val="auto"/>
                <w:szCs w:val="21"/>
                <w:highlight w:val="none"/>
              </w:rPr>
            </w:pPr>
          </w:p>
        </w:tc>
        <w:tc>
          <w:tcPr>
            <w:tcW w:w="3420" w:type="dxa"/>
            <w:gridSpan w:val="4"/>
            <w:noWrap w:val="0"/>
            <w:vAlign w:val="center"/>
          </w:tcPr>
          <w:p w14:paraId="79EC6DDE">
            <w:pPr>
              <w:spacing w:line="440" w:lineRule="exact"/>
              <w:outlineLvl w:val="9"/>
              <w:rPr>
                <w:rFonts w:ascii="宋体" w:hAnsi="宋体"/>
                <w:color w:val="auto"/>
                <w:szCs w:val="21"/>
                <w:highlight w:val="none"/>
              </w:rPr>
            </w:pPr>
          </w:p>
        </w:tc>
        <w:tc>
          <w:tcPr>
            <w:tcW w:w="1261" w:type="dxa"/>
            <w:noWrap w:val="0"/>
            <w:vAlign w:val="center"/>
          </w:tcPr>
          <w:p w14:paraId="2C30739E">
            <w:pPr>
              <w:spacing w:line="440" w:lineRule="exact"/>
              <w:outlineLvl w:val="9"/>
              <w:rPr>
                <w:rFonts w:ascii="宋体" w:hAnsi="宋体"/>
                <w:color w:val="auto"/>
                <w:szCs w:val="21"/>
                <w:highlight w:val="none"/>
              </w:rPr>
            </w:pPr>
          </w:p>
        </w:tc>
        <w:tc>
          <w:tcPr>
            <w:tcW w:w="2296" w:type="dxa"/>
            <w:gridSpan w:val="2"/>
            <w:noWrap w:val="0"/>
            <w:vAlign w:val="center"/>
          </w:tcPr>
          <w:p w14:paraId="6AB908B2">
            <w:pPr>
              <w:spacing w:line="440" w:lineRule="exact"/>
              <w:outlineLvl w:val="9"/>
              <w:rPr>
                <w:rFonts w:ascii="宋体" w:hAnsi="宋体"/>
                <w:color w:val="auto"/>
                <w:szCs w:val="21"/>
                <w:highlight w:val="none"/>
              </w:rPr>
            </w:pPr>
          </w:p>
        </w:tc>
      </w:tr>
      <w:tr w14:paraId="073F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29A72F7D">
            <w:pPr>
              <w:spacing w:line="440" w:lineRule="exact"/>
              <w:outlineLvl w:val="9"/>
              <w:rPr>
                <w:rFonts w:ascii="宋体" w:hAnsi="宋体"/>
                <w:color w:val="auto"/>
                <w:szCs w:val="21"/>
                <w:highlight w:val="none"/>
              </w:rPr>
            </w:pPr>
          </w:p>
        </w:tc>
        <w:tc>
          <w:tcPr>
            <w:tcW w:w="3420" w:type="dxa"/>
            <w:gridSpan w:val="4"/>
            <w:noWrap w:val="0"/>
            <w:vAlign w:val="center"/>
          </w:tcPr>
          <w:p w14:paraId="7063DF06">
            <w:pPr>
              <w:spacing w:line="440" w:lineRule="exact"/>
              <w:outlineLvl w:val="9"/>
              <w:rPr>
                <w:rFonts w:ascii="宋体" w:hAnsi="宋体"/>
                <w:color w:val="auto"/>
                <w:szCs w:val="21"/>
                <w:highlight w:val="none"/>
              </w:rPr>
            </w:pPr>
          </w:p>
        </w:tc>
        <w:tc>
          <w:tcPr>
            <w:tcW w:w="1261" w:type="dxa"/>
            <w:noWrap w:val="0"/>
            <w:vAlign w:val="center"/>
          </w:tcPr>
          <w:p w14:paraId="6F5F4D14">
            <w:pPr>
              <w:spacing w:line="440" w:lineRule="exact"/>
              <w:outlineLvl w:val="9"/>
              <w:rPr>
                <w:rFonts w:ascii="宋体" w:hAnsi="宋体"/>
                <w:color w:val="auto"/>
                <w:szCs w:val="21"/>
                <w:highlight w:val="none"/>
              </w:rPr>
            </w:pPr>
          </w:p>
        </w:tc>
        <w:tc>
          <w:tcPr>
            <w:tcW w:w="2296" w:type="dxa"/>
            <w:gridSpan w:val="2"/>
            <w:noWrap w:val="0"/>
            <w:vAlign w:val="center"/>
          </w:tcPr>
          <w:p w14:paraId="1CAC0A88">
            <w:pPr>
              <w:spacing w:line="440" w:lineRule="exact"/>
              <w:outlineLvl w:val="9"/>
              <w:rPr>
                <w:rFonts w:ascii="宋体" w:hAnsi="宋体"/>
                <w:color w:val="auto"/>
                <w:szCs w:val="21"/>
                <w:highlight w:val="none"/>
              </w:rPr>
            </w:pPr>
          </w:p>
        </w:tc>
      </w:tr>
      <w:tr w14:paraId="69F8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710C67C1">
            <w:pPr>
              <w:spacing w:line="440" w:lineRule="exact"/>
              <w:outlineLvl w:val="9"/>
              <w:rPr>
                <w:rFonts w:ascii="宋体" w:hAnsi="宋体"/>
                <w:color w:val="auto"/>
                <w:szCs w:val="21"/>
                <w:highlight w:val="none"/>
              </w:rPr>
            </w:pPr>
          </w:p>
        </w:tc>
        <w:tc>
          <w:tcPr>
            <w:tcW w:w="3420" w:type="dxa"/>
            <w:gridSpan w:val="4"/>
            <w:noWrap w:val="0"/>
            <w:vAlign w:val="center"/>
          </w:tcPr>
          <w:p w14:paraId="37109283">
            <w:pPr>
              <w:spacing w:line="440" w:lineRule="exact"/>
              <w:outlineLvl w:val="9"/>
              <w:rPr>
                <w:rFonts w:ascii="宋体" w:hAnsi="宋体"/>
                <w:color w:val="auto"/>
                <w:szCs w:val="21"/>
                <w:highlight w:val="none"/>
              </w:rPr>
            </w:pPr>
          </w:p>
        </w:tc>
        <w:tc>
          <w:tcPr>
            <w:tcW w:w="1261" w:type="dxa"/>
            <w:noWrap w:val="0"/>
            <w:vAlign w:val="center"/>
          </w:tcPr>
          <w:p w14:paraId="14695D06">
            <w:pPr>
              <w:spacing w:line="440" w:lineRule="exact"/>
              <w:outlineLvl w:val="9"/>
              <w:rPr>
                <w:rFonts w:ascii="宋体" w:hAnsi="宋体"/>
                <w:color w:val="auto"/>
                <w:szCs w:val="21"/>
                <w:highlight w:val="none"/>
              </w:rPr>
            </w:pPr>
          </w:p>
        </w:tc>
        <w:tc>
          <w:tcPr>
            <w:tcW w:w="2296" w:type="dxa"/>
            <w:gridSpan w:val="2"/>
            <w:noWrap w:val="0"/>
            <w:vAlign w:val="center"/>
          </w:tcPr>
          <w:p w14:paraId="1A127081">
            <w:pPr>
              <w:spacing w:line="440" w:lineRule="exact"/>
              <w:outlineLvl w:val="9"/>
              <w:rPr>
                <w:rFonts w:ascii="宋体" w:hAnsi="宋体"/>
                <w:color w:val="auto"/>
                <w:szCs w:val="21"/>
                <w:highlight w:val="none"/>
              </w:rPr>
            </w:pPr>
          </w:p>
        </w:tc>
      </w:tr>
      <w:tr w14:paraId="4EC5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67936CD5">
            <w:pPr>
              <w:spacing w:line="440" w:lineRule="exact"/>
              <w:outlineLvl w:val="9"/>
              <w:rPr>
                <w:rFonts w:ascii="宋体" w:hAnsi="宋体"/>
                <w:color w:val="auto"/>
                <w:szCs w:val="21"/>
                <w:highlight w:val="none"/>
              </w:rPr>
            </w:pPr>
          </w:p>
        </w:tc>
        <w:tc>
          <w:tcPr>
            <w:tcW w:w="3420" w:type="dxa"/>
            <w:gridSpan w:val="4"/>
            <w:noWrap w:val="0"/>
            <w:vAlign w:val="center"/>
          </w:tcPr>
          <w:p w14:paraId="04E0E776">
            <w:pPr>
              <w:spacing w:line="440" w:lineRule="exact"/>
              <w:outlineLvl w:val="9"/>
              <w:rPr>
                <w:rFonts w:ascii="宋体" w:hAnsi="宋体"/>
                <w:color w:val="auto"/>
                <w:szCs w:val="21"/>
                <w:highlight w:val="none"/>
              </w:rPr>
            </w:pPr>
          </w:p>
        </w:tc>
        <w:tc>
          <w:tcPr>
            <w:tcW w:w="1261" w:type="dxa"/>
            <w:noWrap w:val="0"/>
            <w:vAlign w:val="center"/>
          </w:tcPr>
          <w:p w14:paraId="7B3B185D">
            <w:pPr>
              <w:spacing w:line="440" w:lineRule="exact"/>
              <w:outlineLvl w:val="9"/>
              <w:rPr>
                <w:rFonts w:ascii="宋体" w:hAnsi="宋体"/>
                <w:color w:val="auto"/>
                <w:szCs w:val="21"/>
                <w:highlight w:val="none"/>
              </w:rPr>
            </w:pPr>
          </w:p>
        </w:tc>
        <w:tc>
          <w:tcPr>
            <w:tcW w:w="2296" w:type="dxa"/>
            <w:gridSpan w:val="2"/>
            <w:noWrap w:val="0"/>
            <w:vAlign w:val="center"/>
          </w:tcPr>
          <w:p w14:paraId="547F82D2">
            <w:pPr>
              <w:spacing w:line="440" w:lineRule="exact"/>
              <w:outlineLvl w:val="9"/>
              <w:rPr>
                <w:rFonts w:ascii="宋体" w:hAnsi="宋体"/>
                <w:color w:val="auto"/>
                <w:szCs w:val="21"/>
                <w:highlight w:val="none"/>
              </w:rPr>
            </w:pPr>
          </w:p>
        </w:tc>
      </w:tr>
      <w:tr w14:paraId="62D0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4E3C3197">
            <w:pPr>
              <w:spacing w:line="440" w:lineRule="exact"/>
              <w:outlineLvl w:val="9"/>
              <w:rPr>
                <w:rFonts w:ascii="宋体" w:hAnsi="宋体"/>
                <w:color w:val="auto"/>
                <w:szCs w:val="21"/>
                <w:highlight w:val="none"/>
              </w:rPr>
            </w:pPr>
          </w:p>
        </w:tc>
        <w:tc>
          <w:tcPr>
            <w:tcW w:w="3420" w:type="dxa"/>
            <w:gridSpan w:val="4"/>
            <w:noWrap w:val="0"/>
            <w:vAlign w:val="center"/>
          </w:tcPr>
          <w:p w14:paraId="71A9693D">
            <w:pPr>
              <w:spacing w:line="440" w:lineRule="exact"/>
              <w:outlineLvl w:val="9"/>
              <w:rPr>
                <w:rFonts w:ascii="宋体" w:hAnsi="宋体"/>
                <w:color w:val="auto"/>
                <w:szCs w:val="21"/>
                <w:highlight w:val="none"/>
              </w:rPr>
            </w:pPr>
          </w:p>
        </w:tc>
        <w:tc>
          <w:tcPr>
            <w:tcW w:w="1261" w:type="dxa"/>
            <w:noWrap w:val="0"/>
            <w:vAlign w:val="center"/>
          </w:tcPr>
          <w:p w14:paraId="6AE76CB4">
            <w:pPr>
              <w:spacing w:line="440" w:lineRule="exact"/>
              <w:outlineLvl w:val="9"/>
              <w:rPr>
                <w:rFonts w:ascii="宋体" w:hAnsi="宋体"/>
                <w:color w:val="auto"/>
                <w:szCs w:val="21"/>
                <w:highlight w:val="none"/>
              </w:rPr>
            </w:pPr>
          </w:p>
        </w:tc>
        <w:tc>
          <w:tcPr>
            <w:tcW w:w="2296" w:type="dxa"/>
            <w:gridSpan w:val="2"/>
            <w:noWrap w:val="0"/>
            <w:vAlign w:val="center"/>
          </w:tcPr>
          <w:p w14:paraId="7BF318FC">
            <w:pPr>
              <w:spacing w:line="440" w:lineRule="exact"/>
              <w:outlineLvl w:val="9"/>
              <w:rPr>
                <w:rFonts w:ascii="宋体" w:hAnsi="宋体"/>
                <w:color w:val="auto"/>
                <w:szCs w:val="21"/>
                <w:highlight w:val="none"/>
              </w:rPr>
            </w:pPr>
          </w:p>
        </w:tc>
      </w:tr>
      <w:tr w14:paraId="6CEA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01D549C3">
            <w:pPr>
              <w:spacing w:line="440" w:lineRule="exact"/>
              <w:outlineLvl w:val="9"/>
              <w:rPr>
                <w:rFonts w:ascii="宋体" w:hAnsi="宋体"/>
                <w:color w:val="auto"/>
                <w:szCs w:val="21"/>
                <w:highlight w:val="none"/>
              </w:rPr>
            </w:pPr>
          </w:p>
        </w:tc>
        <w:tc>
          <w:tcPr>
            <w:tcW w:w="3420" w:type="dxa"/>
            <w:gridSpan w:val="4"/>
            <w:noWrap w:val="0"/>
            <w:vAlign w:val="center"/>
          </w:tcPr>
          <w:p w14:paraId="31EB5C6D">
            <w:pPr>
              <w:spacing w:line="440" w:lineRule="exact"/>
              <w:outlineLvl w:val="9"/>
              <w:rPr>
                <w:rFonts w:ascii="宋体" w:hAnsi="宋体"/>
                <w:color w:val="auto"/>
                <w:szCs w:val="21"/>
                <w:highlight w:val="none"/>
              </w:rPr>
            </w:pPr>
          </w:p>
        </w:tc>
        <w:tc>
          <w:tcPr>
            <w:tcW w:w="1261" w:type="dxa"/>
            <w:noWrap w:val="0"/>
            <w:vAlign w:val="center"/>
          </w:tcPr>
          <w:p w14:paraId="3CEE7597">
            <w:pPr>
              <w:spacing w:line="440" w:lineRule="exact"/>
              <w:outlineLvl w:val="9"/>
              <w:rPr>
                <w:rFonts w:ascii="宋体" w:hAnsi="宋体"/>
                <w:color w:val="auto"/>
                <w:szCs w:val="21"/>
                <w:highlight w:val="none"/>
              </w:rPr>
            </w:pPr>
          </w:p>
        </w:tc>
        <w:tc>
          <w:tcPr>
            <w:tcW w:w="2296" w:type="dxa"/>
            <w:gridSpan w:val="2"/>
            <w:noWrap w:val="0"/>
            <w:vAlign w:val="center"/>
          </w:tcPr>
          <w:p w14:paraId="0896A232">
            <w:pPr>
              <w:spacing w:line="440" w:lineRule="exact"/>
              <w:outlineLvl w:val="9"/>
              <w:rPr>
                <w:rFonts w:ascii="宋体" w:hAnsi="宋体"/>
                <w:color w:val="auto"/>
                <w:szCs w:val="21"/>
                <w:highlight w:val="none"/>
              </w:rPr>
            </w:pPr>
          </w:p>
        </w:tc>
      </w:tr>
      <w:tr w14:paraId="652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84DF0A2">
            <w:pPr>
              <w:spacing w:line="440" w:lineRule="exact"/>
              <w:outlineLvl w:val="9"/>
              <w:rPr>
                <w:rFonts w:ascii="宋体" w:hAnsi="宋体"/>
                <w:color w:val="auto"/>
                <w:szCs w:val="21"/>
                <w:highlight w:val="none"/>
              </w:rPr>
            </w:pPr>
          </w:p>
        </w:tc>
        <w:tc>
          <w:tcPr>
            <w:tcW w:w="3420" w:type="dxa"/>
            <w:gridSpan w:val="4"/>
            <w:noWrap w:val="0"/>
            <w:vAlign w:val="center"/>
          </w:tcPr>
          <w:p w14:paraId="07ECFA5B">
            <w:pPr>
              <w:spacing w:line="440" w:lineRule="exact"/>
              <w:outlineLvl w:val="9"/>
              <w:rPr>
                <w:rFonts w:ascii="宋体" w:hAnsi="宋体"/>
                <w:color w:val="auto"/>
                <w:szCs w:val="21"/>
                <w:highlight w:val="none"/>
              </w:rPr>
            </w:pPr>
          </w:p>
        </w:tc>
        <w:tc>
          <w:tcPr>
            <w:tcW w:w="1261" w:type="dxa"/>
            <w:noWrap w:val="0"/>
            <w:vAlign w:val="center"/>
          </w:tcPr>
          <w:p w14:paraId="31F8F627">
            <w:pPr>
              <w:spacing w:line="440" w:lineRule="exact"/>
              <w:outlineLvl w:val="9"/>
              <w:rPr>
                <w:rFonts w:ascii="宋体" w:hAnsi="宋体"/>
                <w:color w:val="auto"/>
                <w:szCs w:val="21"/>
                <w:highlight w:val="none"/>
              </w:rPr>
            </w:pPr>
          </w:p>
        </w:tc>
        <w:tc>
          <w:tcPr>
            <w:tcW w:w="2296" w:type="dxa"/>
            <w:gridSpan w:val="2"/>
            <w:noWrap w:val="0"/>
            <w:vAlign w:val="center"/>
          </w:tcPr>
          <w:p w14:paraId="09C08FD7">
            <w:pPr>
              <w:spacing w:line="440" w:lineRule="exact"/>
              <w:outlineLvl w:val="9"/>
              <w:rPr>
                <w:rFonts w:ascii="宋体" w:hAnsi="宋体"/>
                <w:color w:val="auto"/>
                <w:szCs w:val="21"/>
                <w:highlight w:val="none"/>
              </w:rPr>
            </w:pPr>
          </w:p>
        </w:tc>
      </w:tr>
      <w:tr w14:paraId="30DA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459C111A">
            <w:pPr>
              <w:spacing w:line="440" w:lineRule="exact"/>
              <w:outlineLvl w:val="9"/>
              <w:rPr>
                <w:rFonts w:ascii="宋体" w:hAnsi="宋体"/>
                <w:color w:val="auto"/>
                <w:szCs w:val="21"/>
                <w:highlight w:val="none"/>
              </w:rPr>
            </w:pPr>
          </w:p>
        </w:tc>
        <w:tc>
          <w:tcPr>
            <w:tcW w:w="3420" w:type="dxa"/>
            <w:gridSpan w:val="4"/>
            <w:noWrap w:val="0"/>
            <w:vAlign w:val="center"/>
          </w:tcPr>
          <w:p w14:paraId="27B623D1">
            <w:pPr>
              <w:spacing w:line="440" w:lineRule="exact"/>
              <w:outlineLvl w:val="9"/>
              <w:rPr>
                <w:rFonts w:ascii="宋体" w:hAnsi="宋体"/>
                <w:color w:val="auto"/>
                <w:szCs w:val="21"/>
                <w:highlight w:val="none"/>
              </w:rPr>
            </w:pPr>
          </w:p>
        </w:tc>
        <w:tc>
          <w:tcPr>
            <w:tcW w:w="1261" w:type="dxa"/>
            <w:noWrap w:val="0"/>
            <w:vAlign w:val="center"/>
          </w:tcPr>
          <w:p w14:paraId="4739C5C7">
            <w:pPr>
              <w:spacing w:line="440" w:lineRule="exact"/>
              <w:outlineLvl w:val="9"/>
              <w:rPr>
                <w:rFonts w:ascii="宋体" w:hAnsi="宋体"/>
                <w:color w:val="auto"/>
                <w:szCs w:val="21"/>
                <w:highlight w:val="none"/>
              </w:rPr>
            </w:pPr>
          </w:p>
        </w:tc>
        <w:tc>
          <w:tcPr>
            <w:tcW w:w="2296" w:type="dxa"/>
            <w:gridSpan w:val="2"/>
            <w:noWrap w:val="0"/>
            <w:vAlign w:val="center"/>
          </w:tcPr>
          <w:p w14:paraId="7DB78BC9">
            <w:pPr>
              <w:spacing w:line="440" w:lineRule="exact"/>
              <w:outlineLvl w:val="9"/>
              <w:rPr>
                <w:rFonts w:ascii="宋体" w:hAnsi="宋体"/>
                <w:color w:val="auto"/>
                <w:szCs w:val="21"/>
                <w:highlight w:val="none"/>
              </w:rPr>
            </w:pPr>
          </w:p>
        </w:tc>
      </w:tr>
      <w:tr w14:paraId="18CE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7E68AD8A">
            <w:pPr>
              <w:spacing w:line="440" w:lineRule="exact"/>
              <w:outlineLvl w:val="9"/>
              <w:rPr>
                <w:rFonts w:ascii="宋体" w:hAnsi="宋体"/>
                <w:color w:val="auto"/>
                <w:szCs w:val="21"/>
                <w:highlight w:val="none"/>
              </w:rPr>
            </w:pPr>
          </w:p>
        </w:tc>
        <w:tc>
          <w:tcPr>
            <w:tcW w:w="3420" w:type="dxa"/>
            <w:gridSpan w:val="4"/>
            <w:noWrap w:val="0"/>
            <w:vAlign w:val="center"/>
          </w:tcPr>
          <w:p w14:paraId="177CC700">
            <w:pPr>
              <w:spacing w:line="440" w:lineRule="exact"/>
              <w:outlineLvl w:val="9"/>
              <w:rPr>
                <w:rFonts w:ascii="宋体" w:hAnsi="宋体"/>
                <w:color w:val="auto"/>
                <w:szCs w:val="21"/>
                <w:highlight w:val="none"/>
              </w:rPr>
            </w:pPr>
          </w:p>
        </w:tc>
        <w:tc>
          <w:tcPr>
            <w:tcW w:w="1261" w:type="dxa"/>
            <w:noWrap w:val="0"/>
            <w:vAlign w:val="center"/>
          </w:tcPr>
          <w:p w14:paraId="788F5947">
            <w:pPr>
              <w:spacing w:line="440" w:lineRule="exact"/>
              <w:outlineLvl w:val="9"/>
              <w:rPr>
                <w:rFonts w:ascii="宋体" w:hAnsi="宋体"/>
                <w:color w:val="auto"/>
                <w:szCs w:val="21"/>
                <w:highlight w:val="none"/>
              </w:rPr>
            </w:pPr>
          </w:p>
        </w:tc>
        <w:tc>
          <w:tcPr>
            <w:tcW w:w="2296" w:type="dxa"/>
            <w:gridSpan w:val="2"/>
            <w:noWrap w:val="0"/>
            <w:vAlign w:val="center"/>
          </w:tcPr>
          <w:p w14:paraId="327840D1">
            <w:pPr>
              <w:spacing w:line="440" w:lineRule="exact"/>
              <w:outlineLvl w:val="9"/>
              <w:rPr>
                <w:rFonts w:ascii="宋体" w:hAnsi="宋体"/>
                <w:color w:val="auto"/>
                <w:szCs w:val="21"/>
                <w:highlight w:val="none"/>
              </w:rPr>
            </w:pPr>
          </w:p>
        </w:tc>
      </w:tr>
    </w:tbl>
    <w:p w14:paraId="658E2110">
      <w:pPr>
        <w:pStyle w:val="11"/>
        <w:outlineLvl w:val="9"/>
        <w:rPr>
          <w:rFonts w:hint="default" w:ascii="宋体" w:hAnsi="宋体" w:eastAsia="宋体" w:cs="宋体"/>
          <w:b w:val="0"/>
          <w:bCs/>
          <w:color w:val="auto"/>
          <w:highlight w:val="none"/>
          <w:lang w:val="en-US" w:eastAsia="zh-CN"/>
        </w:rPr>
      </w:pPr>
    </w:p>
    <w:p w14:paraId="14CF4078">
      <w:pPr>
        <w:outlineLvl w:val="9"/>
        <w:rPr>
          <w:rFonts w:hint="eastAsia" w:ascii="宋体" w:hAnsi="宋体" w:eastAsia="宋体" w:cs="宋体"/>
          <w:b w:val="0"/>
          <w:bCs/>
          <w:color w:val="auto"/>
          <w:highlight w:val="none"/>
        </w:rPr>
      </w:pPr>
    </w:p>
    <w:p w14:paraId="31BE3431">
      <w:pPr>
        <w:spacing w:line="360" w:lineRule="auto"/>
        <w:outlineLvl w:val="9"/>
        <w:rPr>
          <w:rFonts w:hint="eastAsia" w:ascii="宋体" w:hAnsi="宋体" w:eastAsia="宋体" w:cs="宋体"/>
          <w:b w:val="0"/>
          <w:bCs/>
          <w:color w:val="auto"/>
          <w:highlight w:val="none"/>
        </w:rPr>
      </w:pPr>
    </w:p>
    <w:p w14:paraId="6E81EC22">
      <w:pPr>
        <w:pStyle w:val="11"/>
        <w:outlineLvl w:val="9"/>
        <w:rPr>
          <w:rFonts w:hint="eastAsia"/>
          <w:color w:val="auto"/>
          <w:highlight w:val="none"/>
        </w:rPr>
      </w:pPr>
    </w:p>
    <w:p w14:paraId="76295B9B">
      <w:pPr>
        <w:spacing w:line="360" w:lineRule="auto"/>
        <w:jc w:val="center"/>
        <w:outlineLvl w:val="9"/>
        <w:rPr>
          <w:rFonts w:hint="eastAsia" w:ascii="宋体" w:hAnsi="宋体" w:cs="仿宋"/>
          <w:b/>
          <w:color w:val="auto"/>
          <w:sz w:val="30"/>
          <w:szCs w:val="30"/>
          <w:highlight w:val="none"/>
        </w:rPr>
      </w:pPr>
      <w:r>
        <w:rPr>
          <w:rFonts w:hint="eastAsia" w:ascii="宋体" w:hAnsi="宋体" w:cs="仿宋"/>
          <w:b/>
          <w:color w:val="auto"/>
          <w:sz w:val="30"/>
          <w:szCs w:val="30"/>
          <w:highlight w:val="none"/>
        </w:rPr>
        <w:t>十、</w:t>
      </w:r>
      <w:r>
        <w:rPr>
          <w:rFonts w:ascii="宋体" w:hAnsi="宋体" w:cs="仿宋"/>
          <w:b/>
          <w:color w:val="auto"/>
          <w:sz w:val="30"/>
          <w:szCs w:val="30"/>
          <w:highlight w:val="none"/>
        </w:rPr>
        <w:t>陕</w:t>
      </w:r>
      <w:r>
        <w:rPr>
          <w:rFonts w:hint="eastAsia" w:ascii="宋体" w:hAnsi="宋体" w:cs="仿宋"/>
          <w:b/>
          <w:color w:val="auto"/>
          <w:sz w:val="30"/>
          <w:szCs w:val="30"/>
          <w:highlight w:val="none"/>
        </w:rPr>
        <w:t>西省政府采购供应商拒绝政府采购领域商业贿赂承诺书</w:t>
      </w:r>
    </w:p>
    <w:p w14:paraId="604C32B1">
      <w:pPr>
        <w:widowControl/>
        <w:spacing w:line="360" w:lineRule="auto"/>
        <w:ind w:left="239" w:leftChars="114" w:firstLine="470" w:firstLineChars="196"/>
        <w:jc w:val="left"/>
        <w:outlineLvl w:val="9"/>
        <w:rPr>
          <w:rFonts w:hint="eastAsia" w:ascii="宋体" w:hAnsi="宋体" w:cs="宋体"/>
          <w:color w:val="auto"/>
          <w:kern w:val="0"/>
          <w:sz w:val="24"/>
          <w:highlight w:val="none"/>
        </w:rPr>
      </w:pPr>
    </w:p>
    <w:p w14:paraId="3F897788">
      <w:pPr>
        <w:widowControl/>
        <w:spacing w:line="360" w:lineRule="auto"/>
        <w:ind w:left="239" w:leftChars="114" w:firstLine="470" w:firstLineChars="196"/>
        <w:jc w:val="left"/>
        <w:outlineLvl w:val="9"/>
        <w:rPr>
          <w:rFonts w:hint="eastAsia" w:ascii="宋体" w:hAnsi="宋体" w:cs="宋体"/>
          <w:color w:val="auto"/>
          <w:kern w:val="0"/>
          <w:sz w:val="24"/>
          <w:highlight w:val="none"/>
        </w:rPr>
      </w:pPr>
      <w:r>
        <w:rPr>
          <w:rFonts w:ascii="宋体" w:hAnsi="宋体" w:cs="宋体"/>
          <w:color w:val="auto"/>
          <w:kern w:val="0"/>
          <w:sz w:val="24"/>
          <w:highlight w:val="none"/>
        </w:rPr>
        <w:t>为响应党中央、国务院关于治理政府采购领域商业贿赂行为的号召，我公司在此庄严承诺：</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1、在参与政府采购活动中遵纪守法、诚信经营、公平竞标。</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2、不向采购人、采购代理机构和政府采购评审专家进行任何形式的商业贿赂以谋取交易机会。</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3、不向采购代理机构和采购人提供虚假资质文件或采用虚假</w:t>
      </w:r>
      <w:r>
        <w:rPr>
          <w:rFonts w:hint="eastAsia" w:ascii="宋体" w:hAnsi="宋体" w:cs="宋体"/>
          <w:color w:val="auto"/>
          <w:kern w:val="0"/>
          <w:sz w:val="24"/>
          <w:highlight w:val="none"/>
        </w:rPr>
        <w:t>磋商</w:t>
      </w:r>
      <w:r>
        <w:rPr>
          <w:rFonts w:ascii="宋体" w:hAnsi="宋体" w:cs="宋体"/>
          <w:color w:val="auto"/>
          <w:kern w:val="0"/>
          <w:sz w:val="24"/>
          <w:highlight w:val="none"/>
        </w:rPr>
        <w:t>方式参与政府采购市场竞争并谋取成交。</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4、不采取“围、</w:t>
      </w:r>
      <w:r>
        <w:rPr>
          <w:rFonts w:hint="eastAsia" w:ascii="宋体" w:hAnsi="宋体" w:cs="宋体"/>
          <w:color w:val="auto"/>
          <w:kern w:val="0"/>
          <w:sz w:val="24"/>
          <w:highlight w:val="none"/>
        </w:rPr>
        <w:t>陪</w:t>
      </w:r>
      <w:r>
        <w:rPr>
          <w:rFonts w:ascii="宋体" w:hAnsi="宋体" w:cs="宋体"/>
          <w:color w:val="auto"/>
          <w:kern w:val="0"/>
          <w:sz w:val="24"/>
          <w:highlight w:val="none"/>
        </w:rPr>
        <w:t>”等商业欺诈手段获得政府采购定单。</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5、不采取不正当手段诋毁、排挤其他供应商。</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6、不在提供商品和服务时“偷梁换柱、以次充好”损害采购人的合法权益。</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7、不与采购人、采购代理机构</w:t>
      </w:r>
      <w:r>
        <w:rPr>
          <w:rFonts w:hint="eastAsia" w:ascii="宋体" w:hAnsi="宋体" w:cs="宋体"/>
          <w:color w:val="auto"/>
          <w:kern w:val="0"/>
          <w:sz w:val="24"/>
          <w:highlight w:val="none"/>
          <w:lang w:eastAsia="zh-CN"/>
        </w:rPr>
        <w:t>、</w:t>
      </w:r>
      <w:r>
        <w:rPr>
          <w:rFonts w:ascii="宋体" w:hAnsi="宋体" w:cs="宋体"/>
          <w:color w:val="auto"/>
          <w:kern w:val="0"/>
          <w:sz w:val="24"/>
          <w:highlight w:val="none"/>
        </w:rPr>
        <w:t>政府采购评审专家或其它供应商恶意串通，进行质疑和投诉，维护政府采购市场秩序。</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8、尊重和接受政府采购监督管理部门的监督和政府采购代理机构采购要求，承担因违约行为给采购人造成的损失。</w:t>
      </w:r>
      <w:r>
        <w:rPr>
          <w:rFonts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ascii="宋体" w:hAnsi="宋体" w:cs="宋体"/>
          <w:color w:val="auto"/>
          <w:kern w:val="0"/>
          <w:sz w:val="24"/>
          <w:highlight w:val="none"/>
        </w:rPr>
        <w:t>9、不发生其他有悖于政府采购公开、公平、公正和诚信原则的行为。</w:t>
      </w:r>
      <w:r>
        <w:rPr>
          <w:rFonts w:ascii="宋体" w:hAnsi="宋体" w:cs="宋体"/>
          <w:color w:val="auto"/>
          <w:kern w:val="0"/>
          <w:sz w:val="24"/>
          <w:highlight w:val="none"/>
        </w:rPr>
        <w:br w:type="textWrapping"/>
      </w:r>
    </w:p>
    <w:p w14:paraId="54ED973A">
      <w:pPr>
        <w:spacing w:line="480" w:lineRule="auto"/>
        <w:ind w:right="-161"/>
        <w:outlineLvl w:val="9"/>
        <w:rPr>
          <w:rFonts w:hint="eastAsia" w:ascii="宋体" w:hAnsi="宋体" w:cs="仿宋"/>
          <w:color w:val="auto"/>
          <w:sz w:val="24"/>
          <w:highlight w:val="none"/>
        </w:rPr>
      </w:pPr>
      <w:r>
        <w:rPr>
          <w:rFonts w:hint="eastAsia" w:ascii="宋体" w:hAnsi="宋体" w:cs="仿宋"/>
          <w:color w:val="auto"/>
          <w:sz w:val="24"/>
          <w:highlight w:val="none"/>
        </w:rPr>
        <w:t xml:space="preserve">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供应商</w:t>
      </w:r>
      <w:r>
        <w:rPr>
          <w:rFonts w:hint="eastAsia" w:ascii="宋体" w:hAnsi="宋体" w:cs="仿宋"/>
          <w:color w:val="auto"/>
          <w:sz w:val="24"/>
          <w:highlight w:val="none"/>
          <w:lang w:val="en-US" w:eastAsia="zh-CN"/>
        </w:rPr>
        <w:t>全称</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（盖章）</w:t>
      </w:r>
    </w:p>
    <w:p w14:paraId="7ED804F5">
      <w:pPr>
        <w:spacing w:line="480" w:lineRule="auto"/>
        <w:outlineLvl w:val="9"/>
        <w:rPr>
          <w:rFonts w:hint="eastAsia" w:ascii="宋体" w:hAnsi="宋体" w:cs="仿宋"/>
          <w:color w:val="auto"/>
          <w:sz w:val="24"/>
          <w:highlight w:val="none"/>
          <w:u w:val="none"/>
          <w:lang w:eastAsia="zh-CN"/>
        </w:rPr>
      </w:pPr>
      <w:r>
        <w:rPr>
          <w:rFonts w:hint="eastAsia" w:ascii="宋体" w:hAnsi="宋体" w:cs="仿宋"/>
          <w:color w:val="auto"/>
          <w:sz w:val="24"/>
          <w:highlight w:val="none"/>
        </w:rPr>
        <w:t xml:space="preserve">              法定代表人或被</w:t>
      </w:r>
      <w:r>
        <w:rPr>
          <w:rFonts w:ascii="宋体" w:hAnsi="宋体"/>
          <w:color w:val="auto"/>
          <w:sz w:val="24"/>
          <w:highlight w:val="none"/>
        </w:rPr>
        <w:t>授权</w:t>
      </w:r>
      <w:r>
        <w:rPr>
          <w:rFonts w:hint="eastAsia" w:ascii="宋体" w:hAnsi="宋体"/>
          <w:color w:val="auto"/>
          <w:sz w:val="24"/>
          <w:highlight w:val="none"/>
          <w:lang w:val="en-US" w:eastAsia="zh-CN"/>
        </w:rPr>
        <w:t>人</w:t>
      </w:r>
      <w:r>
        <w:rPr>
          <w:rFonts w:hint="eastAsia" w:ascii="宋体" w:hAnsi="宋体" w:cs="仿宋"/>
          <w:color w:val="auto"/>
          <w:sz w:val="24"/>
          <w:highlight w:val="none"/>
        </w:rPr>
        <w:t>：</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none"/>
          <w:lang w:eastAsia="zh-CN"/>
        </w:rPr>
        <w:t>（</w:t>
      </w:r>
      <w:r>
        <w:rPr>
          <w:rFonts w:hint="eastAsia" w:ascii="宋体" w:hAnsi="宋体" w:cs="仿宋"/>
          <w:color w:val="auto"/>
          <w:sz w:val="24"/>
          <w:highlight w:val="none"/>
          <w:u w:val="none"/>
        </w:rPr>
        <w:t>签字</w:t>
      </w:r>
      <w:r>
        <w:rPr>
          <w:rFonts w:hint="eastAsia" w:ascii="宋体" w:hAnsi="宋体" w:cs="仿宋"/>
          <w:color w:val="auto"/>
          <w:sz w:val="24"/>
          <w:highlight w:val="none"/>
          <w:lang w:val="en-US" w:eastAsia="zh-CN"/>
        </w:rPr>
        <w:t>或盖章</w:t>
      </w:r>
      <w:r>
        <w:rPr>
          <w:rFonts w:hint="eastAsia" w:ascii="宋体" w:hAnsi="宋体" w:cs="仿宋"/>
          <w:color w:val="auto"/>
          <w:sz w:val="24"/>
          <w:highlight w:val="none"/>
          <w:u w:val="none"/>
          <w:lang w:eastAsia="zh-CN"/>
        </w:rPr>
        <w:t>）</w:t>
      </w:r>
    </w:p>
    <w:p w14:paraId="3EDC5CEF">
      <w:pPr>
        <w:spacing w:line="480" w:lineRule="auto"/>
        <w:ind w:firstLine="1680" w:firstLineChars="700"/>
        <w:outlineLvl w:val="9"/>
        <w:rPr>
          <w:rFonts w:hint="eastAsia" w:ascii="宋体" w:hAnsi="宋体" w:cs="仿宋"/>
          <w:color w:val="auto"/>
          <w:sz w:val="24"/>
          <w:highlight w:val="none"/>
        </w:rPr>
      </w:pPr>
      <w:r>
        <w:rPr>
          <w:rFonts w:hint="eastAsia" w:ascii="宋体" w:hAnsi="宋体" w:cs="仿宋"/>
          <w:color w:val="auto"/>
          <w:sz w:val="24"/>
          <w:highlight w:val="none"/>
        </w:rPr>
        <w:t>日</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期：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年</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月</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u w:val="single"/>
          <w:lang w:val="en-US" w:eastAsia="zh-CN"/>
        </w:rPr>
        <w:t xml:space="preserve">   </w:t>
      </w:r>
      <w:r>
        <w:rPr>
          <w:rFonts w:hint="eastAsia" w:ascii="宋体" w:hAnsi="宋体" w:cs="仿宋"/>
          <w:color w:val="auto"/>
          <w:sz w:val="24"/>
          <w:highlight w:val="none"/>
          <w:u w:val="single"/>
        </w:rPr>
        <w:t xml:space="preserve">      </w:t>
      </w:r>
      <w:r>
        <w:rPr>
          <w:rFonts w:hint="eastAsia" w:ascii="宋体" w:hAnsi="宋体" w:cs="仿宋"/>
          <w:color w:val="auto"/>
          <w:sz w:val="24"/>
          <w:highlight w:val="none"/>
        </w:rPr>
        <w:t>日</w:t>
      </w:r>
    </w:p>
    <w:p w14:paraId="40DFA0B1">
      <w:pPr>
        <w:spacing w:line="360" w:lineRule="auto"/>
        <w:ind w:left="4070" w:leftChars="1938" w:firstLine="0" w:firstLineChars="0"/>
        <w:outlineLvl w:val="9"/>
        <w:rPr>
          <w:rFonts w:hint="eastAsia" w:ascii="宋体" w:hAnsi="宋体" w:eastAsia="宋体" w:cs="宋体"/>
          <w:color w:val="auto"/>
          <w:kern w:val="0"/>
          <w:sz w:val="24"/>
          <w:highlight w:val="none"/>
          <w:u w:val="single"/>
          <w:lang w:eastAsia="zh-CN"/>
        </w:rPr>
      </w:pPr>
      <w:r>
        <w:rPr>
          <w:rFonts w:hint="eastAsia" w:ascii="宋体" w:hAnsi="宋体" w:cs="宋体"/>
          <w:color w:val="auto"/>
          <w:kern w:val="0"/>
          <w:sz w:val="24"/>
          <w:highlight w:val="none"/>
          <w:u w:val="none"/>
          <w:lang w:val="en-US" w:eastAsia="zh-CN"/>
        </w:rPr>
        <w:t xml:space="preserve"> </w:t>
      </w:r>
    </w:p>
    <w:p w14:paraId="57F0DB02">
      <w:pPr>
        <w:outlineLvl w:val="9"/>
        <w:rPr>
          <w:rFonts w:hint="eastAsia" w:ascii="宋体" w:hAnsi="宋体"/>
          <w:color w:val="auto"/>
          <w:highlight w:val="none"/>
        </w:rPr>
      </w:pPr>
    </w:p>
    <w:p w14:paraId="07856956">
      <w:pPr>
        <w:outlineLvl w:val="9"/>
        <w:rPr>
          <w:rFonts w:hint="eastAsia" w:ascii="宋体" w:hAnsi="宋体"/>
          <w:color w:val="auto"/>
          <w:highlight w:val="none"/>
        </w:rPr>
      </w:pPr>
    </w:p>
    <w:p w14:paraId="07D3605D">
      <w:pPr>
        <w:outlineLvl w:val="9"/>
        <w:rPr>
          <w:rFonts w:hint="eastAsia" w:ascii="宋体" w:hAnsi="宋体"/>
          <w:color w:val="auto"/>
          <w:highlight w:val="none"/>
        </w:rPr>
      </w:pPr>
    </w:p>
    <w:p w14:paraId="020405DC">
      <w:pPr>
        <w:outlineLvl w:val="9"/>
        <w:rPr>
          <w:rFonts w:hint="eastAsia" w:hAnsi="宋体"/>
          <w:bCs/>
          <w:color w:val="auto"/>
          <w:highlight w:val="none"/>
        </w:rPr>
      </w:pPr>
    </w:p>
    <w:p w14:paraId="75E89835">
      <w:pPr>
        <w:outlineLvl w:val="9"/>
        <w:rPr>
          <w:rFonts w:hint="eastAsia"/>
          <w:color w:val="auto"/>
          <w:highlight w:val="none"/>
        </w:rPr>
      </w:pPr>
    </w:p>
    <w:p w14:paraId="45E85B0A">
      <w:pPr>
        <w:pStyle w:val="16"/>
        <w:outlineLvl w:val="9"/>
        <w:rPr>
          <w:rFonts w:hint="eastAsia" w:ascii="宋体" w:hAnsi="宋体"/>
          <w:color w:val="auto"/>
          <w:sz w:val="24"/>
          <w:highlight w:val="none"/>
        </w:rPr>
      </w:pPr>
    </w:p>
    <w:p w14:paraId="5749E1F5">
      <w:pPr>
        <w:pStyle w:val="16"/>
        <w:outlineLvl w:val="9"/>
        <w:rPr>
          <w:rFonts w:hint="eastAsia" w:ascii="宋体" w:hAnsi="宋体"/>
          <w:color w:val="auto"/>
          <w:sz w:val="24"/>
          <w:highlight w:val="none"/>
        </w:rPr>
      </w:pPr>
    </w:p>
    <w:p w14:paraId="1591FFE9">
      <w:pPr>
        <w:pStyle w:val="16"/>
        <w:outlineLvl w:val="9"/>
        <w:rPr>
          <w:rFonts w:hint="eastAsia" w:ascii="宋体" w:hAnsi="宋体"/>
          <w:color w:val="auto"/>
          <w:sz w:val="24"/>
          <w:highlight w:val="none"/>
        </w:rPr>
      </w:pPr>
    </w:p>
    <w:p w14:paraId="71A9AF6B">
      <w:pPr>
        <w:pStyle w:val="16"/>
        <w:outlineLvl w:val="9"/>
        <w:rPr>
          <w:rFonts w:hint="eastAsia" w:ascii="宋体" w:hAnsi="宋体"/>
          <w:color w:val="auto"/>
          <w:sz w:val="24"/>
          <w:highlight w:val="none"/>
        </w:rPr>
      </w:pPr>
    </w:p>
    <w:p w14:paraId="51032F5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color w:val="auto"/>
          <w:sz w:val="10"/>
          <w:szCs w:val="10"/>
          <w:highlight w:val="none"/>
        </w:rPr>
      </w:pPr>
    </w:p>
    <w:p w14:paraId="2C463A06">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b/>
          <w:color w:val="auto"/>
          <w:sz w:val="10"/>
          <w:szCs w:val="10"/>
          <w:highlight w:val="none"/>
        </w:rPr>
      </w:pPr>
    </w:p>
    <w:p w14:paraId="6DF4905A">
      <w:pPr>
        <w:pStyle w:val="67"/>
        <w:jc w:val="both"/>
        <w:outlineLvl w:val="9"/>
        <w:rPr>
          <w:rFonts w:hint="default" w:ascii="宋体" w:hAnsi="宋体" w:cs="仿宋"/>
          <w:b/>
          <w:color w:val="auto"/>
          <w:sz w:val="30"/>
          <w:szCs w:val="30"/>
          <w:highlight w:val="none"/>
          <w:lang w:val="en-US" w:eastAsia="zh-CN"/>
        </w:rPr>
      </w:pPr>
      <w:r>
        <w:rPr>
          <w:rFonts w:hint="eastAsia" w:ascii="宋体" w:hAnsi="宋体" w:cs="仿宋"/>
          <w:b/>
          <w:color w:val="auto"/>
          <w:sz w:val="30"/>
          <w:szCs w:val="30"/>
          <w:highlight w:val="none"/>
          <w:lang w:val="en-US" w:eastAsia="zh-CN"/>
        </w:rPr>
        <w:t>附件</w:t>
      </w:r>
      <w:r>
        <w:rPr>
          <w:rFonts w:hint="eastAsia" w:hAnsi="宋体" w:cs="仿宋"/>
          <w:b/>
          <w:color w:val="auto"/>
          <w:sz w:val="30"/>
          <w:szCs w:val="30"/>
          <w:highlight w:val="none"/>
          <w:lang w:val="en-US" w:eastAsia="zh-CN"/>
        </w:rPr>
        <w:t>一</w:t>
      </w:r>
      <w:r>
        <w:rPr>
          <w:rFonts w:hint="eastAsia" w:ascii="宋体" w:hAnsi="宋体" w:cs="仿宋"/>
          <w:b/>
          <w:color w:val="auto"/>
          <w:sz w:val="30"/>
          <w:szCs w:val="30"/>
          <w:highlight w:val="none"/>
          <w:lang w:val="en-US" w:eastAsia="zh-CN"/>
        </w:rPr>
        <w:t>、</w:t>
      </w:r>
      <w:r>
        <w:rPr>
          <w:rFonts w:hint="eastAsia" w:hAnsi="宋体"/>
          <w:b/>
          <w:bCs/>
          <w:color w:val="auto"/>
          <w:kern w:val="2"/>
          <w:sz w:val="32"/>
          <w:szCs w:val="32"/>
          <w:highlight w:val="none"/>
          <w:lang w:val="en-US" w:eastAsia="zh-CN" w:bidi="ar-SA"/>
        </w:rPr>
        <w:t>监狱企业证明文件（若有）</w:t>
      </w:r>
    </w:p>
    <w:p w14:paraId="2AF1345F">
      <w:pPr>
        <w:pStyle w:val="16"/>
        <w:outlineLvl w:val="9"/>
        <w:rPr>
          <w:rFonts w:hint="eastAsia"/>
          <w:color w:val="auto"/>
          <w:highlight w:val="none"/>
        </w:rPr>
      </w:pPr>
    </w:p>
    <w:p w14:paraId="1CE6D998">
      <w:pPr>
        <w:topLinePunct w:val="0"/>
        <w:bidi w:val="0"/>
        <w:snapToGrid w:val="0"/>
        <w:spacing w:line="360" w:lineRule="auto"/>
        <w:ind w:firstLine="504" w:firstLineChars="200"/>
        <w:jc w:val="left"/>
        <w:outlineLvl w:val="9"/>
        <w:rPr>
          <w:rFonts w:ascii="宋体" w:hAnsi="宋体" w:cs="宋体"/>
          <w:b/>
          <w:bCs/>
          <w:color w:val="auto"/>
          <w:spacing w:val="48"/>
          <w:sz w:val="72"/>
          <w:szCs w:val="72"/>
          <w:highlight w:val="none"/>
        </w:rPr>
      </w:pPr>
      <w:r>
        <w:rPr>
          <w:rFonts w:hint="eastAsia" w:ascii="宋体" w:hAnsi="宋体" w:cs="宋体"/>
          <w:color w:val="auto"/>
          <w:spacing w:val="6"/>
          <w:sz w:val="24"/>
          <w:szCs w:val="24"/>
          <w:highlight w:val="none"/>
        </w:rPr>
        <w:t>说明：根据</w:t>
      </w:r>
      <w:r>
        <w:rPr>
          <w:rFonts w:hint="eastAsia" w:ascii="宋体" w:hAnsi="宋体" w:cs="宋体"/>
          <w:color w:val="auto"/>
          <w:sz w:val="24"/>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03F7131A">
      <w:pPr>
        <w:pStyle w:val="67"/>
        <w:jc w:val="both"/>
        <w:outlineLvl w:val="9"/>
        <w:rPr>
          <w:rFonts w:hint="eastAsia" w:ascii="宋体" w:hAnsi="宋体"/>
          <w:b/>
          <w:bCs/>
          <w:color w:val="auto"/>
          <w:kern w:val="2"/>
          <w:sz w:val="32"/>
          <w:szCs w:val="32"/>
          <w:highlight w:val="none"/>
          <w:lang w:val="en-US" w:eastAsia="zh-CN" w:bidi="ar-SA"/>
        </w:rPr>
      </w:pPr>
    </w:p>
    <w:p w14:paraId="0D24C32C">
      <w:pPr>
        <w:pStyle w:val="67"/>
        <w:jc w:val="both"/>
        <w:outlineLvl w:val="9"/>
        <w:rPr>
          <w:rFonts w:hint="eastAsia" w:ascii="宋体" w:hAnsi="宋体"/>
          <w:b/>
          <w:bCs/>
          <w:color w:val="auto"/>
          <w:kern w:val="2"/>
          <w:sz w:val="32"/>
          <w:szCs w:val="32"/>
          <w:highlight w:val="none"/>
          <w:lang w:val="en-US" w:eastAsia="zh-CN" w:bidi="ar-SA"/>
        </w:rPr>
      </w:pPr>
      <w:r>
        <w:rPr>
          <w:rFonts w:hint="eastAsia" w:ascii="宋体" w:hAnsi="宋体" w:cs="仿宋"/>
          <w:b/>
          <w:color w:val="auto"/>
          <w:sz w:val="30"/>
          <w:szCs w:val="30"/>
          <w:highlight w:val="none"/>
          <w:lang w:val="en-US" w:eastAsia="zh-CN"/>
        </w:rPr>
        <w:t>附件</w:t>
      </w:r>
      <w:r>
        <w:rPr>
          <w:rFonts w:hint="eastAsia" w:hAnsi="宋体" w:cs="仿宋"/>
          <w:b/>
          <w:color w:val="auto"/>
          <w:sz w:val="30"/>
          <w:szCs w:val="30"/>
          <w:highlight w:val="none"/>
          <w:lang w:val="en-US" w:eastAsia="zh-CN"/>
        </w:rPr>
        <w:t>二</w:t>
      </w:r>
      <w:r>
        <w:rPr>
          <w:rFonts w:hint="eastAsia" w:ascii="宋体" w:hAnsi="宋体" w:cs="仿宋"/>
          <w:b/>
          <w:color w:val="auto"/>
          <w:sz w:val="30"/>
          <w:szCs w:val="30"/>
          <w:highlight w:val="none"/>
          <w:lang w:val="en-US" w:eastAsia="zh-CN"/>
        </w:rPr>
        <w:t>、</w:t>
      </w:r>
      <w:r>
        <w:rPr>
          <w:rFonts w:hint="eastAsia" w:ascii="宋体" w:hAnsi="宋体" w:eastAsia="宋体" w:cs="Times New Roman"/>
          <w:b/>
          <w:bCs/>
          <w:color w:val="auto"/>
          <w:kern w:val="2"/>
          <w:sz w:val="32"/>
          <w:szCs w:val="32"/>
          <w:highlight w:val="none"/>
          <w:lang w:val="en-US" w:eastAsia="zh-CN" w:bidi="ar-SA"/>
        </w:rPr>
        <w:t>残疾人福利性单位声明（若有）</w:t>
      </w:r>
    </w:p>
    <w:p w14:paraId="6E955CB3">
      <w:pPr>
        <w:topLinePunct w:val="0"/>
        <w:bidi w:val="0"/>
        <w:spacing w:line="360" w:lineRule="auto"/>
        <w:ind w:firstLine="504" w:firstLineChars="200"/>
        <w:outlineLvl w:val="9"/>
        <w:rPr>
          <w:rFonts w:ascii="宋体" w:hAnsi="宋体"/>
          <w:color w:val="auto"/>
          <w:spacing w:val="6"/>
          <w:sz w:val="24"/>
        </w:rPr>
      </w:pPr>
      <w:r>
        <w:rPr>
          <w:rFonts w:hint="eastAsia" w:ascii="宋体" w:hAnsi="宋体"/>
          <w:color w:val="auto"/>
          <w:spacing w:val="6"/>
          <w:sz w:val="24"/>
        </w:rPr>
        <w:t>根据</w:t>
      </w:r>
      <w:r>
        <w:rPr>
          <w:rFonts w:hint="eastAsia" w:ascii="宋体" w:hAnsi="宋体"/>
          <w:color w:val="auto"/>
          <w:spacing w:val="6"/>
          <w:sz w:val="24"/>
          <w:highlight w:val="none"/>
        </w:rPr>
        <w:t>三部门联合发布</w:t>
      </w:r>
      <w:r>
        <w:rPr>
          <w:rFonts w:hint="eastAsia" w:ascii="宋体" w:hAnsi="宋体"/>
          <w:color w:val="auto"/>
          <w:spacing w:val="6"/>
          <w:sz w:val="24"/>
        </w:rPr>
        <w:t>《关于促进残疾人就业政府采购政策的通知》（财库〔2017〕141号）的规定，由</w:t>
      </w:r>
      <w:r>
        <w:rPr>
          <w:rFonts w:hint="eastAsia" w:ascii="宋体" w:hAnsi="宋体"/>
          <w:color w:val="auto"/>
          <w:spacing w:val="6"/>
          <w:sz w:val="24"/>
          <w:lang w:val="en-US" w:eastAsia="zh-CN"/>
        </w:rPr>
        <w:t>供应商</w:t>
      </w:r>
      <w:r>
        <w:rPr>
          <w:rFonts w:hint="eastAsia" w:ascii="宋体" w:hAnsi="宋体"/>
          <w:color w:val="auto"/>
          <w:spacing w:val="6"/>
          <w:sz w:val="24"/>
        </w:rPr>
        <w:t>自行申明，并对申明真实性负责。如有虚假，将依法承担相应责任。</w:t>
      </w:r>
    </w:p>
    <w:p w14:paraId="6AB9EC77">
      <w:pPr>
        <w:topLinePunct w:val="0"/>
        <w:bidi w:val="0"/>
        <w:spacing w:line="360" w:lineRule="auto"/>
        <w:outlineLvl w:val="9"/>
        <w:rPr>
          <w:color w:val="auto"/>
        </w:rPr>
      </w:pPr>
    </w:p>
    <w:p w14:paraId="3393F9BE">
      <w:pPr>
        <w:topLinePunct w:val="0"/>
        <w:bidi w:val="0"/>
        <w:spacing w:line="360" w:lineRule="auto"/>
        <w:jc w:val="center"/>
        <w:outlineLvl w:val="9"/>
        <w:rPr>
          <w:rFonts w:ascii="宋体" w:hAnsi="宋体" w:cs="宋体"/>
          <w:b/>
          <w:color w:val="auto"/>
          <w:spacing w:val="6"/>
          <w:sz w:val="24"/>
          <w:szCs w:val="24"/>
          <w:highlight w:val="none"/>
        </w:rPr>
      </w:pPr>
      <w:bookmarkStart w:id="1103" w:name="OLE_LINK14"/>
      <w:r>
        <w:rPr>
          <w:rFonts w:hint="eastAsia" w:ascii="宋体" w:hAnsi="宋体" w:cs="宋体"/>
          <w:b/>
          <w:color w:val="auto"/>
          <w:spacing w:val="6"/>
          <w:sz w:val="24"/>
          <w:szCs w:val="24"/>
          <w:highlight w:val="none"/>
        </w:rPr>
        <w:t>残疾人福利性单位声明函</w:t>
      </w:r>
      <w:bookmarkEnd w:id="1103"/>
    </w:p>
    <w:p w14:paraId="36C2335C">
      <w:pPr>
        <w:spacing w:line="588" w:lineRule="exact"/>
        <w:ind w:firstLine="504" w:firstLineChars="200"/>
        <w:outlineLvl w:val="9"/>
        <w:rPr>
          <w:rFonts w:ascii="宋体" w:hAnsi="宋体"/>
          <w:color w:val="auto"/>
          <w:spacing w:val="6"/>
          <w:sz w:val="24"/>
          <w:szCs w:val="24"/>
        </w:rPr>
      </w:pPr>
      <w:r>
        <w:rPr>
          <w:rFonts w:hint="eastAsia" w:ascii="宋体" w:hAnsi="宋体"/>
          <w:color w:val="auto"/>
          <w:spacing w:val="6"/>
          <w:sz w:val="24"/>
          <w:szCs w:val="24"/>
        </w:rPr>
        <w:t>本单位郑重声明，根据《财政部</w:t>
      </w:r>
      <w:r>
        <w:rPr>
          <w:rFonts w:hint="eastAsia" w:ascii="宋体" w:hAnsi="宋体"/>
          <w:color w:val="auto"/>
          <w:spacing w:val="6"/>
          <w:sz w:val="24"/>
          <w:szCs w:val="24"/>
          <w:lang w:eastAsia="zh-CN"/>
        </w:rPr>
        <w:t>、</w:t>
      </w:r>
      <w:r>
        <w:rPr>
          <w:rFonts w:hint="eastAsia" w:ascii="宋体" w:hAnsi="宋体"/>
          <w:color w:val="auto"/>
          <w:spacing w:val="6"/>
          <w:sz w:val="24"/>
          <w:szCs w:val="24"/>
        </w:rPr>
        <w:t>民政部</w:t>
      </w:r>
      <w:r>
        <w:rPr>
          <w:rFonts w:hint="eastAsia" w:ascii="宋体" w:hAnsi="宋体"/>
          <w:color w:val="auto"/>
          <w:spacing w:val="6"/>
          <w:sz w:val="24"/>
          <w:szCs w:val="24"/>
          <w:lang w:eastAsia="zh-CN"/>
        </w:rPr>
        <w:t>、</w:t>
      </w:r>
      <w:r>
        <w:rPr>
          <w:rFonts w:hint="eastAsia" w:ascii="宋体" w:hAnsi="宋体"/>
          <w:color w:val="auto"/>
          <w:spacing w:val="6"/>
          <w:sz w:val="24"/>
          <w:szCs w:val="24"/>
        </w:rPr>
        <w:t>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w:t>
      </w:r>
      <w:r>
        <w:rPr>
          <w:rFonts w:hint="eastAsia" w:ascii="宋体" w:hAnsi="宋体"/>
          <w:color w:val="auto"/>
          <w:spacing w:val="6"/>
          <w:sz w:val="24"/>
          <w:szCs w:val="24"/>
          <w:u w:val="single"/>
          <w:lang w:val="en-US" w:eastAsia="zh-CN"/>
        </w:rPr>
        <w:t xml:space="preserve">     </w:t>
      </w:r>
      <w:r>
        <w:rPr>
          <w:rFonts w:hint="eastAsia" w:ascii="宋体" w:hAnsi="宋体"/>
          <w:color w:val="auto"/>
          <w:spacing w:val="6"/>
          <w:sz w:val="24"/>
          <w:szCs w:val="24"/>
        </w:rPr>
        <w:t>单位的</w:t>
      </w:r>
      <w:r>
        <w:rPr>
          <w:rFonts w:hint="eastAsia" w:ascii="宋体" w:hAnsi="宋体"/>
          <w:color w:val="auto"/>
          <w:spacing w:val="6"/>
          <w:sz w:val="24"/>
          <w:szCs w:val="24"/>
          <w:u w:val="single"/>
          <w:lang w:val="en-US" w:eastAsia="zh-CN"/>
        </w:rPr>
        <w:t xml:space="preserve">       </w:t>
      </w:r>
      <w:r>
        <w:rPr>
          <w:rFonts w:hint="eastAsia" w:ascii="宋体" w:hAnsi="宋体"/>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14:paraId="00C64790">
      <w:pPr>
        <w:spacing w:line="588" w:lineRule="exact"/>
        <w:ind w:firstLine="504" w:firstLineChars="200"/>
        <w:outlineLvl w:val="9"/>
        <w:rPr>
          <w:rFonts w:ascii="宋体" w:hAnsi="宋体"/>
          <w:color w:val="auto"/>
          <w:spacing w:val="6"/>
          <w:szCs w:val="21"/>
        </w:rPr>
      </w:pPr>
      <w:r>
        <w:rPr>
          <w:rFonts w:hint="eastAsia" w:ascii="宋体" w:hAnsi="宋体"/>
          <w:color w:val="auto"/>
          <w:spacing w:val="6"/>
          <w:sz w:val="24"/>
          <w:szCs w:val="24"/>
        </w:rPr>
        <w:t>本单位对上述声明的真实性负责。如有虚假，将依法承担相应责任。</w:t>
      </w:r>
    </w:p>
    <w:p w14:paraId="46D6A632">
      <w:pPr>
        <w:pStyle w:val="16"/>
        <w:outlineLvl w:val="9"/>
        <w:rPr>
          <w:color w:val="auto"/>
        </w:rPr>
      </w:pPr>
    </w:p>
    <w:p w14:paraId="65477CF0">
      <w:pPr>
        <w:pStyle w:val="11"/>
        <w:numPr>
          <w:ilvl w:val="0"/>
          <w:numId w:val="0"/>
        </w:numPr>
        <w:outlineLvl w:val="9"/>
        <w:rPr>
          <w:color w:val="auto"/>
        </w:rPr>
      </w:pPr>
    </w:p>
    <w:p w14:paraId="47C1D2D8">
      <w:pPr>
        <w:tabs>
          <w:tab w:val="left" w:pos="4860"/>
        </w:tabs>
        <w:topLinePunct w:val="0"/>
        <w:bidi w:val="0"/>
        <w:spacing w:line="360" w:lineRule="auto"/>
        <w:ind w:right="1560" w:firstLine="3024" w:firstLineChars="1200"/>
        <w:outlineLvl w:val="9"/>
        <w:rPr>
          <w:rFonts w:hint="default" w:ascii="宋体" w:hAnsi="宋体" w:eastAsia="宋体" w:cs="宋体"/>
          <w:color w:val="auto"/>
          <w:spacing w:val="6"/>
          <w:sz w:val="24"/>
          <w:szCs w:val="24"/>
          <w:lang w:val="en-US" w:eastAsia="zh-CN"/>
        </w:rPr>
      </w:pPr>
      <w:r>
        <w:rPr>
          <w:rFonts w:hint="eastAsia" w:ascii="宋体" w:hAnsi="宋体" w:cs="宋体"/>
          <w:color w:val="auto"/>
          <w:spacing w:val="6"/>
          <w:sz w:val="24"/>
          <w:szCs w:val="24"/>
        </w:rPr>
        <w:t>单位名称（盖章）：</w:t>
      </w:r>
      <w:r>
        <w:rPr>
          <w:rFonts w:hint="eastAsia" w:ascii="宋体" w:hAnsi="宋体" w:cs="宋体"/>
          <w:color w:val="auto"/>
          <w:spacing w:val="6"/>
          <w:sz w:val="24"/>
          <w:szCs w:val="24"/>
          <w:u w:val="single"/>
          <w:lang w:val="en-US" w:eastAsia="zh-CN"/>
        </w:rPr>
        <w:t xml:space="preserve">              ，           </w:t>
      </w:r>
      <w:r>
        <w:rPr>
          <w:rFonts w:hint="eastAsia" w:ascii="宋体" w:hAnsi="宋体" w:cs="宋体"/>
          <w:color w:val="auto"/>
          <w:spacing w:val="6"/>
          <w:sz w:val="24"/>
          <w:szCs w:val="24"/>
          <w:lang w:val="en-US" w:eastAsia="zh-CN"/>
        </w:rPr>
        <w:t xml:space="preserve"> </w:t>
      </w:r>
    </w:p>
    <w:p w14:paraId="008CF4DC">
      <w:pPr>
        <w:pStyle w:val="67"/>
        <w:outlineLvl w:val="9"/>
        <w:rPr>
          <w:rFonts w:hint="eastAsia" w:ascii="宋体" w:hAnsi="宋体"/>
          <w:b w:val="0"/>
          <w:bCs/>
          <w:color w:val="auto"/>
          <w:kern w:val="2"/>
          <w:sz w:val="32"/>
          <w:szCs w:val="32"/>
          <w:highlight w:val="none"/>
          <w:lang w:val="en-US" w:eastAsia="zh-CN" w:bidi="ar-SA"/>
        </w:rPr>
      </w:pPr>
      <w:r>
        <w:rPr>
          <w:rFonts w:hint="eastAsia" w:ascii="宋体" w:hAnsi="宋体" w:cs="宋体"/>
          <w:color w:val="auto"/>
          <w:spacing w:val="6"/>
          <w:sz w:val="24"/>
          <w:szCs w:val="24"/>
          <w:lang w:val="en-US" w:eastAsia="zh-CN"/>
        </w:rPr>
        <w:t xml:space="preserve">           </w:t>
      </w:r>
      <w:r>
        <w:rPr>
          <w:rFonts w:hint="eastAsia" w:ascii="宋体" w:hAnsi="宋体" w:cs="宋体"/>
          <w:b w:val="0"/>
          <w:bCs/>
          <w:color w:val="auto"/>
          <w:spacing w:val="6"/>
          <w:sz w:val="24"/>
          <w:szCs w:val="24"/>
          <w:lang w:val="en-US" w:eastAsia="zh-CN"/>
        </w:rPr>
        <w:t xml:space="preserve">  </w:t>
      </w:r>
      <w:r>
        <w:rPr>
          <w:rFonts w:hint="eastAsia" w:ascii="宋体" w:hAnsi="宋体" w:cs="宋体"/>
          <w:b w:val="0"/>
          <w:bCs/>
          <w:color w:val="auto"/>
          <w:spacing w:val="6"/>
          <w:sz w:val="24"/>
          <w:szCs w:val="24"/>
        </w:rPr>
        <w:t>日  期：</w:t>
      </w:r>
      <w:r>
        <w:rPr>
          <w:rFonts w:hint="eastAsia" w:ascii="宋体" w:hAnsi="宋体"/>
          <w:b w:val="0"/>
          <w:bCs/>
          <w:color w:val="auto"/>
          <w:sz w:val="24"/>
        </w:rPr>
        <w:t xml:space="preserve"> </w:t>
      </w:r>
      <w:r>
        <w:rPr>
          <w:rFonts w:hint="eastAsia" w:ascii="宋体" w:hAnsi="宋体"/>
          <w:b w:val="0"/>
          <w:bCs/>
          <w:color w:val="auto"/>
          <w:sz w:val="24"/>
          <w:u w:val="single"/>
        </w:rPr>
        <w:t xml:space="preserve">      </w:t>
      </w:r>
      <w:r>
        <w:rPr>
          <w:rFonts w:hint="eastAsia" w:ascii="宋体" w:hAnsi="宋体"/>
          <w:b w:val="0"/>
          <w:bCs/>
          <w:color w:val="auto"/>
          <w:sz w:val="24"/>
        </w:rPr>
        <w:t>年</w:t>
      </w:r>
      <w:r>
        <w:rPr>
          <w:rFonts w:hint="eastAsia" w:ascii="宋体" w:hAnsi="宋体"/>
          <w:b w:val="0"/>
          <w:bCs/>
          <w:color w:val="auto"/>
          <w:sz w:val="24"/>
          <w:u w:val="single"/>
        </w:rPr>
        <w:t xml:space="preserve">      </w:t>
      </w:r>
      <w:r>
        <w:rPr>
          <w:rFonts w:hint="eastAsia" w:ascii="宋体" w:hAnsi="宋体"/>
          <w:b w:val="0"/>
          <w:bCs/>
          <w:color w:val="auto"/>
          <w:sz w:val="24"/>
        </w:rPr>
        <w:t>月</w:t>
      </w:r>
      <w:r>
        <w:rPr>
          <w:rFonts w:hint="eastAsia" w:ascii="宋体" w:hAnsi="宋体"/>
          <w:b w:val="0"/>
          <w:bCs/>
          <w:color w:val="auto"/>
          <w:sz w:val="24"/>
          <w:u w:val="single"/>
        </w:rPr>
        <w:t xml:space="preserve">      </w:t>
      </w:r>
      <w:r>
        <w:rPr>
          <w:rFonts w:hint="eastAsia" w:ascii="宋体" w:hAnsi="宋体"/>
          <w:b w:val="0"/>
          <w:bCs/>
          <w:color w:val="auto"/>
          <w:sz w:val="24"/>
        </w:rPr>
        <w:t>日</w:t>
      </w:r>
    </w:p>
    <w:p w14:paraId="1EF18A37">
      <w:pPr>
        <w:pStyle w:val="67"/>
        <w:outlineLvl w:val="9"/>
        <w:rPr>
          <w:rFonts w:hint="eastAsia" w:ascii="宋体" w:hAnsi="宋体"/>
          <w:b w:val="0"/>
          <w:bCs/>
          <w:color w:val="auto"/>
          <w:kern w:val="2"/>
          <w:sz w:val="32"/>
          <w:szCs w:val="32"/>
          <w:highlight w:val="none"/>
          <w:lang w:val="en-US" w:eastAsia="zh-CN" w:bidi="ar-SA"/>
        </w:rPr>
      </w:pPr>
    </w:p>
    <w:p w14:paraId="7F113DF7">
      <w:pPr>
        <w:pStyle w:val="67"/>
        <w:outlineLvl w:val="9"/>
        <w:rPr>
          <w:rFonts w:hint="eastAsia" w:ascii="宋体" w:hAnsi="宋体"/>
          <w:b/>
          <w:bCs/>
          <w:color w:val="auto"/>
          <w:kern w:val="2"/>
          <w:sz w:val="32"/>
          <w:szCs w:val="32"/>
          <w:highlight w:val="none"/>
          <w:lang w:val="en-US" w:eastAsia="zh-CN" w:bidi="ar-SA"/>
        </w:rPr>
      </w:pPr>
    </w:p>
    <w:p w14:paraId="2D9733CA">
      <w:pPr>
        <w:pStyle w:val="67"/>
        <w:outlineLvl w:val="9"/>
        <w:rPr>
          <w:rFonts w:hint="eastAsia" w:ascii="宋体" w:hAnsi="宋体"/>
          <w:b/>
          <w:bCs/>
          <w:color w:val="auto"/>
          <w:kern w:val="2"/>
          <w:sz w:val="32"/>
          <w:szCs w:val="32"/>
          <w:highlight w:val="none"/>
          <w:lang w:val="en-US" w:eastAsia="zh-CN" w:bidi="ar-SA"/>
        </w:rPr>
      </w:pPr>
    </w:p>
    <w:p w14:paraId="0F6346FD">
      <w:pPr>
        <w:pStyle w:val="67"/>
        <w:outlineLvl w:val="9"/>
        <w:rPr>
          <w:rFonts w:hint="eastAsia" w:ascii="宋体" w:hAnsi="宋体"/>
          <w:b/>
          <w:bCs/>
          <w:color w:val="auto"/>
          <w:kern w:val="2"/>
          <w:sz w:val="32"/>
          <w:szCs w:val="32"/>
          <w:highlight w:val="none"/>
          <w:lang w:val="en-US" w:eastAsia="zh-CN" w:bidi="ar-SA"/>
        </w:rPr>
      </w:pPr>
    </w:p>
    <w:p w14:paraId="305DBB80">
      <w:pPr>
        <w:pStyle w:val="67"/>
        <w:outlineLvl w:val="9"/>
        <w:rPr>
          <w:rFonts w:hint="eastAsia" w:ascii="宋体" w:hAnsi="宋体" w:cs="仿宋"/>
          <w:b/>
          <w:color w:val="auto"/>
          <w:sz w:val="30"/>
          <w:szCs w:val="30"/>
          <w:highlight w:val="none"/>
          <w:lang w:val="en-US" w:eastAsia="zh-CN"/>
        </w:rPr>
      </w:pPr>
      <w:r>
        <w:rPr>
          <w:rFonts w:hint="eastAsia" w:ascii="宋体" w:hAnsi="宋体"/>
          <w:b/>
          <w:bCs/>
          <w:color w:val="auto"/>
          <w:kern w:val="2"/>
          <w:sz w:val="32"/>
          <w:szCs w:val="32"/>
          <w:highlight w:val="none"/>
          <w:lang w:val="en-US" w:eastAsia="zh-CN" w:bidi="ar-SA"/>
        </w:rPr>
        <w:t>十</w:t>
      </w:r>
      <w:r>
        <w:rPr>
          <w:rFonts w:hint="eastAsia" w:hAnsi="宋体"/>
          <w:b/>
          <w:bCs/>
          <w:color w:val="auto"/>
          <w:kern w:val="2"/>
          <w:sz w:val="32"/>
          <w:szCs w:val="32"/>
          <w:highlight w:val="none"/>
          <w:lang w:val="en-US" w:eastAsia="zh-CN" w:bidi="ar-SA"/>
        </w:rPr>
        <w:t>一</w:t>
      </w:r>
      <w:r>
        <w:rPr>
          <w:rFonts w:hint="eastAsia" w:ascii="宋体" w:hAnsi="宋体"/>
          <w:b/>
          <w:bCs/>
          <w:color w:val="auto"/>
          <w:kern w:val="2"/>
          <w:sz w:val="32"/>
          <w:szCs w:val="32"/>
          <w:highlight w:val="none"/>
          <w:lang w:val="en-US" w:eastAsia="zh-CN" w:bidi="ar-SA"/>
        </w:rPr>
        <w:t>、其他相关证明、证件等资料</w:t>
      </w:r>
    </w:p>
    <w:p w14:paraId="3F8AE42C">
      <w:pPr>
        <w:pStyle w:val="67"/>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175"/>
        <w:jc w:val="center"/>
        <w:textAlignment w:val="auto"/>
        <w:outlineLvl w:val="9"/>
        <w:rPr>
          <w:rFonts w:hint="eastAsia" w:ascii="宋体" w:hAnsi="宋体"/>
          <w:b w:val="0"/>
          <w:color w:val="auto"/>
          <w:kern w:val="2"/>
          <w:sz w:val="24"/>
          <w:szCs w:val="24"/>
          <w:highlight w:val="none"/>
          <w:lang w:val="en-US" w:eastAsia="zh-CN" w:bidi="ar-SA"/>
        </w:rPr>
      </w:pPr>
      <w:r>
        <w:rPr>
          <w:rFonts w:hint="eastAsia" w:ascii="宋体" w:hAnsi="宋体"/>
          <w:b w:val="0"/>
          <w:color w:val="auto"/>
          <w:kern w:val="2"/>
          <w:sz w:val="24"/>
          <w:szCs w:val="24"/>
          <w:highlight w:val="none"/>
          <w:lang w:val="en-US" w:eastAsia="zh-CN" w:bidi="ar-SA"/>
        </w:rPr>
        <w:t>供应商根据竞争性磋商文件规定和要求提供的其他相关资料。</w:t>
      </w:r>
    </w:p>
    <w:p w14:paraId="4120CAD2">
      <w:pPr>
        <w:pStyle w:val="67"/>
        <w:outlineLvl w:val="9"/>
        <w:rPr>
          <w:rFonts w:hint="eastAsia" w:ascii="宋体" w:hAnsi="宋体"/>
          <w:b/>
          <w:bCs/>
          <w:color w:val="auto"/>
          <w:kern w:val="2"/>
          <w:sz w:val="32"/>
          <w:szCs w:val="32"/>
          <w:highlight w:val="none"/>
          <w:lang w:val="en-US" w:eastAsia="zh-CN" w:bidi="ar-SA"/>
        </w:rPr>
      </w:pPr>
    </w:p>
    <w:p w14:paraId="6A40BAD5">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44E49EFF">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118D62E2">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590C6CDD">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5FEF4263">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4562EAD5">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6707844F">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60CD2A63">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0951B0DC">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1552A602">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16930D10">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56AC1344">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486E197B">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089F1DB4">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55519F03">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4BD05584">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01B7B5C6">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712615FB">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5C3FC024">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5C9C1EA1">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hAnsi="宋体"/>
          <w:b/>
          <w:bCs/>
          <w:color w:val="auto"/>
          <w:kern w:val="2"/>
          <w:sz w:val="32"/>
          <w:szCs w:val="32"/>
          <w:highlight w:val="none"/>
          <w:lang w:val="en-US" w:eastAsia="zh-CN" w:bidi="ar-SA"/>
        </w:rPr>
      </w:pPr>
    </w:p>
    <w:p w14:paraId="4B6DD8A6">
      <w:pPr>
        <w:pStyle w:val="67"/>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b/>
          <w:bCs/>
          <w:color w:val="auto"/>
          <w:kern w:val="2"/>
          <w:sz w:val="32"/>
          <w:szCs w:val="32"/>
          <w:highlight w:val="none"/>
          <w:lang w:val="en-US" w:eastAsia="zh-CN" w:bidi="ar-SA"/>
        </w:rPr>
      </w:pPr>
      <w:r>
        <w:rPr>
          <w:rFonts w:hint="eastAsia" w:hAnsi="宋体"/>
          <w:b/>
          <w:bCs/>
          <w:color w:val="auto"/>
          <w:kern w:val="2"/>
          <w:sz w:val="32"/>
          <w:szCs w:val="32"/>
          <w:highlight w:val="none"/>
          <w:lang w:val="en-US" w:eastAsia="zh-CN" w:bidi="ar-SA"/>
        </w:rPr>
        <w:t>十二</w:t>
      </w:r>
      <w:r>
        <w:rPr>
          <w:rFonts w:hint="eastAsia" w:ascii="宋体" w:hAnsi="宋体"/>
          <w:b/>
          <w:bCs/>
          <w:color w:val="auto"/>
          <w:kern w:val="2"/>
          <w:sz w:val="32"/>
          <w:szCs w:val="32"/>
          <w:highlight w:val="none"/>
          <w:lang w:val="en-US" w:eastAsia="zh-CN" w:bidi="ar-SA"/>
        </w:rPr>
        <w:t>、已标价工程量清单</w:t>
      </w:r>
    </w:p>
    <w:p w14:paraId="391CEB9B">
      <w:pPr>
        <w:pStyle w:val="24"/>
        <w:outlineLvl w:val="9"/>
        <w:rPr>
          <w:rFonts w:hint="eastAsia" w:ascii="宋体" w:hAnsi="宋体" w:eastAsia="宋体" w:cs="宋体"/>
          <w:b w:val="0"/>
          <w:bCs/>
          <w:color w:val="auto"/>
          <w:sz w:val="30"/>
          <w:szCs w:val="30"/>
          <w:highlight w:val="none"/>
        </w:rPr>
      </w:pPr>
    </w:p>
    <w:p w14:paraId="7D4CA762">
      <w:pPr>
        <w:pStyle w:val="24"/>
        <w:outlineLvl w:val="9"/>
        <w:rPr>
          <w:rFonts w:hint="eastAsia" w:ascii="宋体" w:hAnsi="宋体" w:eastAsia="宋体" w:cs="宋体"/>
          <w:b w:val="0"/>
          <w:bCs/>
          <w:color w:val="auto"/>
          <w:sz w:val="30"/>
          <w:szCs w:val="30"/>
          <w:highlight w:val="none"/>
        </w:rPr>
      </w:pPr>
    </w:p>
    <w:p w14:paraId="16697447">
      <w:pPr>
        <w:pStyle w:val="24"/>
        <w:outlineLvl w:val="9"/>
        <w:rPr>
          <w:rFonts w:hint="eastAsia" w:ascii="宋体" w:hAnsi="宋体" w:eastAsia="宋体" w:cs="宋体"/>
          <w:b w:val="0"/>
          <w:bCs/>
          <w:color w:val="auto"/>
          <w:sz w:val="30"/>
          <w:szCs w:val="30"/>
          <w:highlight w:val="none"/>
        </w:rPr>
      </w:pPr>
    </w:p>
    <w:p w14:paraId="5803805E">
      <w:pPr>
        <w:pStyle w:val="24"/>
        <w:outlineLvl w:val="9"/>
        <w:rPr>
          <w:rFonts w:hint="eastAsia" w:ascii="宋体" w:hAnsi="宋体" w:eastAsia="宋体" w:cs="宋体"/>
          <w:b w:val="0"/>
          <w:bCs/>
          <w:color w:val="auto"/>
          <w:sz w:val="30"/>
          <w:szCs w:val="30"/>
          <w:highlight w:val="none"/>
        </w:rPr>
      </w:pPr>
    </w:p>
    <w:p w14:paraId="4D915196">
      <w:pPr>
        <w:pStyle w:val="24"/>
        <w:outlineLvl w:val="9"/>
        <w:rPr>
          <w:rFonts w:hint="eastAsia" w:ascii="宋体" w:hAnsi="宋体" w:eastAsia="宋体" w:cs="宋体"/>
          <w:b w:val="0"/>
          <w:bCs/>
          <w:color w:val="auto"/>
          <w:sz w:val="30"/>
          <w:szCs w:val="30"/>
          <w:highlight w:val="none"/>
        </w:rPr>
      </w:pPr>
    </w:p>
    <w:p w14:paraId="737DD461">
      <w:pPr>
        <w:pStyle w:val="24"/>
        <w:outlineLvl w:val="9"/>
        <w:rPr>
          <w:rFonts w:hint="eastAsia" w:ascii="宋体" w:hAnsi="宋体" w:eastAsia="宋体" w:cs="宋体"/>
          <w:b w:val="0"/>
          <w:bCs/>
          <w:color w:val="auto"/>
          <w:sz w:val="30"/>
          <w:szCs w:val="30"/>
          <w:highlight w:val="none"/>
        </w:rPr>
      </w:pPr>
    </w:p>
    <w:p w14:paraId="044556BF">
      <w:pPr>
        <w:pStyle w:val="24"/>
        <w:outlineLvl w:val="9"/>
        <w:rPr>
          <w:rFonts w:hint="eastAsia" w:ascii="宋体" w:hAnsi="宋体" w:eastAsia="宋体" w:cs="宋体"/>
          <w:b w:val="0"/>
          <w:bCs/>
          <w:color w:val="auto"/>
          <w:sz w:val="30"/>
          <w:szCs w:val="30"/>
          <w:highlight w:val="none"/>
        </w:rPr>
      </w:pPr>
    </w:p>
    <w:p w14:paraId="134CFF86">
      <w:pPr>
        <w:pStyle w:val="24"/>
        <w:outlineLvl w:val="9"/>
        <w:rPr>
          <w:rFonts w:hint="eastAsia" w:ascii="宋体" w:hAnsi="宋体" w:eastAsia="宋体" w:cs="宋体"/>
          <w:b w:val="0"/>
          <w:bCs/>
          <w:color w:val="auto"/>
          <w:sz w:val="30"/>
          <w:szCs w:val="30"/>
          <w:highlight w:val="none"/>
        </w:rPr>
      </w:pPr>
    </w:p>
    <w:p w14:paraId="61FE3710">
      <w:pPr>
        <w:pStyle w:val="24"/>
        <w:outlineLvl w:val="9"/>
        <w:rPr>
          <w:rFonts w:hint="eastAsia" w:ascii="宋体" w:hAnsi="宋体" w:eastAsia="宋体" w:cs="宋体"/>
          <w:b w:val="0"/>
          <w:bCs/>
          <w:color w:val="auto"/>
          <w:sz w:val="30"/>
          <w:szCs w:val="30"/>
          <w:highlight w:val="none"/>
        </w:rPr>
      </w:pPr>
    </w:p>
    <w:p w14:paraId="2627049E">
      <w:pPr>
        <w:pStyle w:val="24"/>
        <w:outlineLvl w:val="9"/>
        <w:rPr>
          <w:rFonts w:hint="eastAsia" w:ascii="宋体" w:hAnsi="宋体" w:eastAsia="宋体" w:cs="宋体"/>
          <w:b w:val="0"/>
          <w:bCs/>
          <w:color w:val="auto"/>
          <w:sz w:val="30"/>
          <w:szCs w:val="30"/>
          <w:highlight w:val="none"/>
        </w:rPr>
      </w:pPr>
    </w:p>
    <w:p w14:paraId="59274FD1">
      <w:pPr>
        <w:pStyle w:val="24"/>
        <w:outlineLvl w:val="9"/>
        <w:rPr>
          <w:rFonts w:hint="eastAsia" w:ascii="宋体" w:hAnsi="宋体" w:eastAsia="宋体" w:cs="宋体"/>
          <w:b w:val="0"/>
          <w:bCs/>
          <w:color w:val="auto"/>
          <w:sz w:val="30"/>
          <w:szCs w:val="30"/>
          <w:highlight w:val="none"/>
        </w:rPr>
      </w:pPr>
    </w:p>
    <w:p w14:paraId="53DA4EE2">
      <w:pPr>
        <w:pStyle w:val="24"/>
        <w:outlineLvl w:val="9"/>
        <w:rPr>
          <w:rFonts w:hint="eastAsia" w:ascii="宋体" w:hAnsi="宋体" w:eastAsia="宋体" w:cs="宋体"/>
          <w:b w:val="0"/>
          <w:bCs/>
          <w:color w:val="auto"/>
          <w:sz w:val="30"/>
          <w:szCs w:val="30"/>
          <w:highlight w:val="none"/>
        </w:rPr>
      </w:pPr>
    </w:p>
    <w:p w14:paraId="7B013229">
      <w:pPr>
        <w:pStyle w:val="24"/>
        <w:outlineLvl w:val="9"/>
        <w:rPr>
          <w:rFonts w:hint="eastAsia" w:ascii="宋体" w:hAnsi="宋体" w:eastAsia="宋体" w:cs="宋体"/>
          <w:b w:val="0"/>
          <w:bCs/>
          <w:color w:val="auto"/>
          <w:sz w:val="30"/>
          <w:szCs w:val="30"/>
          <w:highlight w:val="none"/>
        </w:rPr>
      </w:pPr>
    </w:p>
    <w:p w14:paraId="4D489F7F">
      <w:pPr>
        <w:pStyle w:val="24"/>
        <w:outlineLvl w:val="9"/>
        <w:rPr>
          <w:rFonts w:hint="eastAsia" w:ascii="宋体" w:hAnsi="宋体" w:eastAsia="宋体" w:cs="宋体"/>
          <w:b w:val="0"/>
          <w:bCs/>
          <w:color w:val="auto"/>
          <w:sz w:val="30"/>
          <w:szCs w:val="30"/>
          <w:highlight w:val="none"/>
        </w:rPr>
      </w:pPr>
    </w:p>
    <w:p w14:paraId="4E84C72F">
      <w:pPr>
        <w:pStyle w:val="24"/>
        <w:outlineLvl w:val="9"/>
        <w:rPr>
          <w:rFonts w:hint="eastAsia" w:ascii="宋体" w:hAnsi="宋体" w:eastAsia="宋体" w:cs="宋体"/>
          <w:b w:val="0"/>
          <w:bCs/>
          <w:color w:val="auto"/>
          <w:sz w:val="30"/>
          <w:szCs w:val="30"/>
          <w:highlight w:val="none"/>
        </w:rPr>
      </w:pPr>
    </w:p>
    <w:p w14:paraId="5FA2DC76">
      <w:pPr>
        <w:pStyle w:val="24"/>
        <w:outlineLvl w:val="9"/>
        <w:rPr>
          <w:rFonts w:hint="eastAsia" w:ascii="宋体" w:hAnsi="宋体" w:eastAsia="宋体" w:cs="宋体"/>
          <w:b w:val="0"/>
          <w:bCs/>
          <w:color w:val="auto"/>
          <w:sz w:val="30"/>
          <w:szCs w:val="30"/>
          <w:highlight w:val="none"/>
        </w:rPr>
      </w:pPr>
    </w:p>
    <w:p w14:paraId="3F1BB355">
      <w:pPr>
        <w:pStyle w:val="24"/>
        <w:outlineLvl w:val="9"/>
        <w:rPr>
          <w:rFonts w:hint="eastAsia" w:ascii="宋体" w:hAnsi="宋体" w:eastAsia="宋体" w:cs="宋体"/>
          <w:b w:val="0"/>
          <w:bCs/>
          <w:color w:val="auto"/>
          <w:sz w:val="30"/>
          <w:szCs w:val="30"/>
          <w:highlight w:val="none"/>
        </w:rPr>
      </w:pPr>
    </w:p>
    <w:p w14:paraId="3DEB9E68">
      <w:pPr>
        <w:pStyle w:val="24"/>
        <w:outlineLvl w:val="9"/>
        <w:rPr>
          <w:rFonts w:hint="eastAsia" w:ascii="宋体" w:hAnsi="宋体" w:eastAsia="宋体" w:cs="宋体"/>
          <w:b w:val="0"/>
          <w:bCs/>
          <w:color w:val="auto"/>
          <w:sz w:val="30"/>
          <w:szCs w:val="30"/>
          <w:highlight w:val="none"/>
        </w:rPr>
      </w:pPr>
    </w:p>
    <w:bookmarkEnd w:id="1100"/>
    <w:bookmarkEnd w:id="1101"/>
    <w:bookmarkEnd w:id="1102"/>
    <w:p w14:paraId="2AD0B700">
      <w:pPr>
        <w:jc w:val="center"/>
        <w:outlineLvl w:val="0"/>
        <w:rPr>
          <w:rFonts w:hint="eastAsia"/>
          <w:color w:val="auto"/>
          <w:highlight w:val="green"/>
        </w:rPr>
      </w:pPr>
      <w:bookmarkStart w:id="1104" w:name="_Toc28854"/>
      <w:bookmarkStart w:id="1105" w:name="_Toc18295"/>
      <w:bookmarkStart w:id="1106" w:name="_Toc332"/>
      <w:r>
        <w:rPr>
          <w:rFonts w:hint="eastAsia" w:ascii="宋体" w:hAnsi="宋体"/>
          <w:b/>
          <w:color w:val="auto"/>
          <w:sz w:val="36"/>
          <w:highlight w:val="none"/>
        </w:rPr>
        <w:t>第</w:t>
      </w:r>
      <w:r>
        <w:rPr>
          <w:rFonts w:hint="eastAsia" w:ascii="宋体" w:hAnsi="宋体"/>
          <w:b/>
          <w:color w:val="auto"/>
          <w:sz w:val="36"/>
          <w:highlight w:val="none"/>
          <w:lang w:val="en-US" w:eastAsia="zh-CN"/>
        </w:rPr>
        <w:t>七</w:t>
      </w:r>
      <w:r>
        <w:rPr>
          <w:rFonts w:hint="eastAsia" w:ascii="宋体" w:hAnsi="宋体"/>
          <w:b/>
          <w:color w:val="auto"/>
          <w:sz w:val="36"/>
          <w:highlight w:val="none"/>
        </w:rPr>
        <w:t>部分</w:t>
      </w:r>
      <w:r>
        <w:rPr>
          <w:rFonts w:hint="eastAsia" w:ascii="宋体" w:hAnsi="宋体"/>
          <w:b/>
          <w:color w:val="auto"/>
          <w:sz w:val="36"/>
          <w:highlight w:val="none"/>
          <w:lang w:val="en-US" w:eastAsia="zh-CN"/>
        </w:rPr>
        <w:t xml:space="preserve">  </w:t>
      </w:r>
      <w:r>
        <w:rPr>
          <w:rFonts w:hint="eastAsia" w:ascii="宋体" w:hAnsi="宋体"/>
          <w:b/>
          <w:color w:val="auto"/>
          <w:sz w:val="36"/>
          <w:highlight w:val="none"/>
        </w:rPr>
        <w:t>工程量清单</w:t>
      </w:r>
      <w:bookmarkEnd w:id="1104"/>
      <w:bookmarkEnd w:id="1105"/>
      <w:bookmarkEnd w:id="1106"/>
    </w:p>
    <w:p w14:paraId="5DA80989">
      <w:pPr>
        <w:jc w:val="center"/>
        <w:outlineLvl w:val="9"/>
        <w:rPr>
          <w:rFonts w:hint="eastAsia"/>
          <w:b/>
          <w:bCs/>
          <w:color w:val="auto"/>
          <w:sz w:val="32"/>
          <w:szCs w:val="32"/>
          <w:lang w:val="en-US" w:eastAsia="zh-CN"/>
        </w:rPr>
      </w:pPr>
      <w:r>
        <w:rPr>
          <w:rFonts w:hint="eastAsia"/>
          <w:b/>
          <w:bCs/>
          <w:color w:val="auto"/>
          <w:sz w:val="32"/>
          <w:szCs w:val="32"/>
          <w:lang w:val="en-US" w:eastAsia="zh-CN"/>
        </w:rPr>
        <w:t>清单编制说明</w:t>
      </w:r>
    </w:p>
    <w:p w14:paraId="343A5E86">
      <w:pPr>
        <w:keepNext w:val="0"/>
        <w:keepLines w:val="0"/>
        <w:pageBreakBefore w:val="0"/>
        <w:widowControl/>
        <w:kinsoku/>
        <w:wordWrap/>
        <w:overflowPunct/>
        <w:topLinePunct w:val="0"/>
        <w:autoSpaceDE/>
        <w:autoSpaceDN/>
        <w:bidi w:val="0"/>
        <w:adjustRightInd/>
        <w:snapToGrid/>
        <w:spacing w:line="44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一、主要建设内容：</w:t>
      </w:r>
    </w:p>
    <w:p w14:paraId="349BF4D0">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富平县2025年农村饮水工程维修养护项目：主要建设内容为维修蓄水池2座；修缮泵房5座；更新水质化验仪器4套；采购饮用水消毒片3000瓶；维修、更换机电设备13台；维修更换输配水管道4670m；安装各类闸阀10个；维修、新建闸阀井20座。</w:t>
      </w:r>
    </w:p>
    <w:p w14:paraId="778F77F4">
      <w:pPr>
        <w:keepNext w:val="0"/>
        <w:keepLines w:val="0"/>
        <w:pageBreakBefore w:val="0"/>
        <w:widowControl/>
        <w:kinsoku/>
        <w:wordWrap/>
        <w:overflowPunct/>
        <w:topLinePunct w:val="0"/>
        <w:autoSpaceDE/>
        <w:autoSpaceDN/>
        <w:bidi w:val="0"/>
        <w:adjustRightInd/>
        <w:snapToGrid/>
        <w:spacing w:line="44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二、编制依据</w:t>
      </w:r>
    </w:p>
    <w:p w14:paraId="402A061E">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2.1陕西省发展和改革委员会关于《陕西省水利工程设计预算编制规定》、《陕西省水利建筑工程预算定额》等计价依据的批复（陕发改项目[2017]1606 号）；</w:t>
      </w:r>
    </w:p>
    <w:p w14:paraId="4B0CE53B">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2.2《陕西省水利工程设计概（估）算编制规定》（2017 年）；</w:t>
      </w:r>
    </w:p>
    <w:p w14:paraId="7B12E719">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2.3《陕西省水利水电预算定额》（2017 年）；</w:t>
      </w:r>
    </w:p>
    <w:p w14:paraId="1753E222">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2.4《陕西省水利工程施工机械台班费定额》（2017年）；</w:t>
      </w:r>
    </w:p>
    <w:p w14:paraId="325B32A5">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2.5主要材料价格依据《陕西工程造价管理信息》2025年（第4期）、《渭南工程造价信息》2025年（第二期）及当地市场价；</w:t>
      </w:r>
    </w:p>
    <w:p w14:paraId="58AEE47C">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2.6人工单价依照陕发改项目[2017]1606号文，技工工资单价为75元／工日，普工工资单价为 50 元／工日；</w:t>
      </w:r>
    </w:p>
    <w:p w14:paraId="3D3D5A0C">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2.7税金取增值税销项税率 9％。</w:t>
      </w:r>
    </w:p>
    <w:p w14:paraId="7F382348">
      <w:pPr>
        <w:keepNext w:val="0"/>
        <w:keepLines w:val="0"/>
        <w:pageBreakBefore w:val="0"/>
        <w:widowControl/>
        <w:kinsoku/>
        <w:wordWrap/>
        <w:overflowPunct/>
        <w:topLinePunct w:val="0"/>
        <w:autoSpaceDE/>
        <w:autoSpaceDN/>
        <w:bidi w:val="0"/>
        <w:adjustRightInd/>
        <w:snapToGrid/>
        <w:spacing w:line="44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三、工程量清单说明 </w:t>
      </w:r>
    </w:p>
    <w:p w14:paraId="78A273CF">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 工程量清单应与</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val="en-US" w:eastAsia="zh-CN"/>
        </w:rPr>
        <w:t>文件中的</w:t>
      </w:r>
      <w:r>
        <w:rPr>
          <w:rFonts w:hint="eastAsia" w:ascii="宋体" w:hAnsi="宋体" w:cs="宋体"/>
          <w:b w:val="0"/>
          <w:bCs w:val="0"/>
          <w:color w:val="auto"/>
          <w:sz w:val="24"/>
          <w:szCs w:val="24"/>
          <w:highlight w:val="none"/>
          <w:lang w:val="en-US" w:eastAsia="zh-CN"/>
        </w:rPr>
        <w:t>磋商须知前附表及磋商须知</w:t>
      </w:r>
      <w:r>
        <w:rPr>
          <w:rFonts w:hint="eastAsia" w:ascii="宋体" w:hAnsi="宋体" w:eastAsia="宋体" w:cs="宋体"/>
          <w:b w:val="0"/>
          <w:bCs w:val="0"/>
          <w:color w:val="auto"/>
          <w:sz w:val="24"/>
          <w:szCs w:val="24"/>
          <w:highlight w:val="none"/>
          <w:lang w:val="en-US" w:eastAsia="zh-CN"/>
        </w:rPr>
        <w:t>、合同文本及主要条款、技术标准和要求、图纸等一起阅读和理解；</w:t>
      </w:r>
    </w:p>
    <w:p w14:paraId="34A51526">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 工程量清单仅是</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 xml:space="preserve">投标报价的共同基础。除另有约定外，工程量清单中的工程量是根据设计图纸计算的用于投标报价的估算工程量，不作为最终结算工程量。最终结算工程量是承包人实际完成并符合技术标准和要求规定，按施工图纸计算的有效工程量； </w:t>
      </w:r>
    </w:p>
    <w:p w14:paraId="7DDC59B0">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3.3 工程量清单中各项目的工作内容和要求应符合相关技术标准和要求的规定； </w:t>
      </w:r>
    </w:p>
    <w:p w14:paraId="16DC61AE">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3.4 本工程临时工程按工程量清单第一、二部分合计金额的2%计入报价；</w:t>
      </w:r>
    </w:p>
    <w:p w14:paraId="1DFCFA84">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3.5 暂列金额（备用金）：本工程暂列金额（预留金）按工程量清单第一、二、三部分合计金额的5%计入总造价。</w:t>
      </w:r>
    </w:p>
    <w:p w14:paraId="7FCE1681">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51114BCA">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4DDBF2E9">
      <w:pPr>
        <w:pStyle w:val="24"/>
        <w:rPr>
          <w:rFonts w:hint="eastAsia"/>
          <w:lang w:val="en-US" w:eastAsia="zh-CN"/>
        </w:rPr>
      </w:pPr>
    </w:p>
    <w:p w14:paraId="08C600D9">
      <w:pPr>
        <w:pStyle w:val="24"/>
        <w:rPr>
          <w:rFonts w:hint="eastAsia"/>
          <w:lang w:val="en-US" w:eastAsia="zh-CN"/>
        </w:rPr>
      </w:pPr>
    </w:p>
    <w:p w14:paraId="0F8EC1E6">
      <w:pPr>
        <w:rPr>
          <w:rFonts w:hint="eastAsia" w:ascii="宋体" w:hAnsi="宋体" w:eastAsia="宋体" w:cs="宋体"/>
          <w:sz w:val="24"/>
          <w:szCs w:val="24"/>
        </w:rPr>
      </w:pPr>
      <w:bookmarkStart w:id="1107" w:name="_Toc333952586"/>
      <w:bookmarkStart w:id="1108" w:name="_Toc15617"/>
      <w:bookmarkStart w:id="1109" w:name="_Toc508724526"/>
    </w:p>
    <w:p w14:paraId="0228A453">
      <w:pPr>
        <w:pStyle w:val="11"/>
        <w:rPr>
          <w:rFonts w:hint="eastAsia" w:ascii="宋体" w:hAnsi="宋体" w:eastAsia="宋体" w:cs="宋体"/>
          <w:sz w:val="24"/>
          <w:szCs w:val="24"/>
        </w:rPr>
      </w:pPr>
    </w:p>
    <w:p w14:paraId="5EB5F2E6">
      <w:pPr>
        <w:pStyle w:val="11"/>
        <w:rPr>
          <w:rFonts w:hint="eastAsia" w:ascii="宋体" w:hAnsi="宋体" w:eastAsia="宋体" w:cs="宋体"/>
          <w:sz w:val="24"/>
          <w:szCs w:val="24"/>
        </w:rPr>
      </w:pPr>
    </w:p>
    <w:p w14:paraId="7A552F1E">
      <w:pPr>
        <w:pStyle w:val="11"/>
        <w:rPr>
          <w:rFonts w:hint="eastAsia"/>
        </w:rPr>
      </w:pPr>
    </w:p>
    <w:p w14:paraId="10F7D3DD">
      <w:pPr>
        <w:rPr>
          <w:rFonts w:hint="eastAsia"/>
        </w:rPr>
      </w:pPr>
    </w:p>
    <w:p w14:paraId="661E8F03">
      <w:pPr>
        <w:rPr>
          <w:rFonts w:hint="eastAsia"/>
        </w:rPr>
      </w:pPr>
    </w:p>
    <w:p w14:paraId="2E684D40">
      <w:pPr>
        <w:rPr>
          <w:rFonts w:hint="eastAsia"/>
        </w:rPr>
      </w:pPr>
    </w:p>
    <w:p w14:paraId="20C7288E">
      <w:pPr>
        <w:rPr>
          <w:rFonts w:hint="eastAsia"/>
        </w:rPr>
      </w:pPr>
    </w:p>
    <w:p w14:paraId="366750F3">
      <w:pPr>
        <w:rPr>
          <w:rFonts w:hint="eastAsia"/>
        </w:rPr>
      </w:pPr>
    </w:p>
    <w:p w14:paraId="5726AA83">
      <w:pPr>
        <w:rPr>
          <w:rFonts w:hint="eastAsia"/>
        </w:rPr>
      </w:pPr>
    </w:p>
    <w:p w14:paraId="419661AA">
      <w:pPr>
        <w:rPr>
          <w:rFonts w:hint="eastAsia"/>
        </w:rPr>
      </w:pPr>
    </w:p>
    <w:p w14:paraId="455BD93A">
      <w:pPr>
        <w:rPr>
          <w:rFonts w:hint="eastAsia"/>
        </w:rPr>
      </w:pPr>
    </w:p>
    <w:p w14:paraId="6D9B9329">
      <w:pPr>
        <w:rPr>
          <w:rFonts w:hint="eastAsia"/>
        </w:rPr>
      </w:pPr>
    </w:p>
    <w:p w14:paraId="6A6DA6B1">
      <w:pPr>
        <w:rPr>
          <w:rFonts w:hint="eastAsia"/>
        </w:rPr>
      </w:pPr>
    </w:p>
    <w:p w14:paraId="28D7B20C">
      <w:pPr>
        <w:rPr>
          <w:rFonts w:hint="eastAsia"/>
        </w:rPr>
      </w:pPr>
    </w:p>
    <w:p w14:paraId="1BE8EAC6">
      <w:pPr>
        <w:rPr>
          <w:rFonts w:hint="eastAsia"/>
        </w:rPr>
      </w:pPr>
    </w:p>
    <w:p w14:paraId="7C83AA2E">
      <w:pPr>
        <w:rPr>
          <w:rFonts w:hint="eastAsia"/>
        </w:rPr>
      </w:pPr>
    </w:p>
    <w:p w14:paraId="43C4EF43">
      <w:pPr>
        <w:rPr>
          <w:rFonts w:hint="eastAsia"/>
        </w:rPr>
      </w:pPr>
    </w:p>
    <w:p w14:paraId="58A30B24">
      <w:pPr>
        <w:rPr>
          <w:rFonts w:hint="eastAsia"/>
        </w:rPr>
      </w:pPr>
    </w:p>
    <w:p w14:paraId="609A42F2">
      <w:pPr>
        <w:rPr>
          <w:rFonts w:hint="eastAsia"/>
        </w:rPr>
      </w:pPr>
    </w:p>
    <w:p w14:paraId="08DCCC66">
      <w:pPr>
        <w:rPr>
          <w:rFonts w:hint="eastAsia"/>
        </w:rPr>
      </w:pPr>
    </w:p>
    <w:p w14:paraId="7122F6B1">
      <w:pPr>
        <w:rPr>
          <w:rFonts w:hint="eastAsia"/>
        </w:rPr>
      </w:pPr>
    </w:p>
    <w:p w14:paraId="4BE49CDB">
      <w:pPr>
        <w:rPr>
          <w:rFonts w:hint="eastAsia"/>
        </w:rPr>
      </w:pPr>
    </w:p>
    <w:p w14:paraId="7979CA66">
      <w:pPr>
        <w:rPr>
          <w:rFonts w:hint="eastAsia"/>
        </w:rPr>
      </w:pPr>
    </w:p>
    <w:p w14:paraId="3E95DF07">
      <w:pPr>
        <w:rPr>
          <w:rFonts w:hint="eastAsia"/>
        </w:rPr>
      </w:pPr>
    </w:p>
    <w:p w14:paraId="316C655E">
      <w:pPr>
        <w:rPr>
          <w:rFonts w:hint="eastAsia"/>
        </w:rPr>
      </w:pPr>
    </w:p>
    <w:p w14:paraId="1A71F457">
      <w:pPr>
        <w:rPr>
          <w:rFonts w:hint="eastAsia"/>
        </w:rPr>
      </w:pPr>
    </w:p>
    <w:p w14:paraId="54457A02">
      <w:pPr>
        <w:rPr>
          <w:rFonts w:hint="eastAsia"/>
        </w:rPr>
      </w:pPr>
    </w:p>
    <w:p w14:paraId="551D01E8">
      <w:pPr>
        <w:rPr>
          <w:rFonts w:hint="eastAsia"/>
        </w:rPr>
      </w:pPr>
    </w:p>
    <w:p w14:paraId="34FAC8CB">
      <w:pPr>
        <w:rPr>
          <w:rFonts w:hint="eastAsia"/>
        </w:rPr>
      </w:pPr>
    </w:p>
    <w:p w14:paraId="7F396140">
      <w:pPr>
        <w:rPr>
          <w:rFonts w:hint="eastAsia"/>
        </w:rPr>
      </w:pPr>
    </w:p>
    <w:p w14:paraId="4645FA12">
      <w:pPr>
        <w:rPr>
          <w:rFonts w:hint="eastAsia"/>
        </w:rPr>
      </w:pPr>
    </w:p>
    <w:p w14:paraId="7AAA7779">
      <w:pPr>
        <w:rPr>
          <w:rFonts w:hint="eastAsia"/>
        </w:rPr>
      </w:pPr>
    </w:p>
    <w:p w14:paraId="593DE6CB">
      <w:pPr>
        <w:rPr>
          <w:rFonts w:hint="eastAsia"/>
        </w:rPr>
      </w:pPr>
    </w:p>
    <w:p w14:paraId="15449950">
      <w:pPr>
        <w:rPr>
          <w:rFonts w:hint="eastAsia"/>
        </w:rPr>
      </w:pPr>
    </w:p>
    <w:p w14:paraId="0AECBB8D">
      <w:pPr>
        <w:rPr>
          <w:rFonts w:hint="eastAsia"/>
        </w:rPr>
      </w:pPr>
    </w:p>
    <w:p w14:paraId="692F0ED3">
      <w:pPr>
        <w:rPr>
          <w:rFonts w:hint="eastAsia"/>
        </w:rPr>
      </w:pPr>
    </w:p>
    <w:p w14:paraId="50FFA47E">
      <w:pPr>
        <w:rPr>
          <w:rFonts w:hint="eastAsia"/>
        </w:rPr>
      </w:pPr>
    </w:p>
    <w:p w14:paraId="4021F186">
      <w:pPr>
        <w:pStyle w:val="5"/>
        <w:numPr>
          <w:ilvl w:val="0"/>
          <w:numId w:val="0"/>
        </w:numPr>
        <w:ind w:leftChars="0"/>
        <w:jc w:val="center"/>
        <w:rPr>
          <w:rFonts w:hint="eastAsia" w:ascii="宋体" w:hAnsi="宋体" w:eastAsia="宋体" w:cs="宋体"/>
          <w:sz w:val="24"/>
          <w:szCs w:val="24"/>
        </w:rPr>
      </w:pPr>
      <w:r>
        <w:rPr>
          <w:rFonts w:hint="eastAsia" w:ascii="宋体" w:hAnsi="宋体" w:eastAsia="宋体" w:cs="宋体"/>
          <w:sz w:val="44"/>
          <w:szCs w:val="44"/>
        </w:rPr>
        <w:t>投  标  总  价</w:t>
      </w:r>
      <w:bookmarkEnd w:id="1107"/>
      <w:bookmarkEnd w:id="1108"/>
      <w:bookmarkEnd w:id="1109"/>
    </w:p>
    <w:p w14:paraId="38BC469D">
      <w:pPr>
        <w:autoSpaceDE w:val="0"/>
        <w:autoSpaceDN w:val="0"/>
        <w:adjustRightInd w:val="0"/>
        <w:spacing w:line="360" w:lineRule="auto"/>
        <w:rPr>
          <w:rFonts w:hint="eastAsia" w:ascii="宋体" w:hAnsi="宋体" w:eastAsia="宋体" w:cs="宋体"/>
          <w:kern w:val="0"/>
          <w:sz w:val="24"/>
          <w:szCs w:val="24"/>
          <w:u w:val="single"/>
        </w:rPr>
      </w:pPr>
    </w:p>
    <w:p w14:paraId="1E026CD6">
      <w:pPr>
        <w:autoSpaceDE w:val="0"/>
        <w:autoSpaceDN w:val="0"/>
        <w:adjustRightInd w:val="0"/>
        <w:spacing w:line="360" w:lineRule="auto"/>
        <w:rPr>
          <w:rFonts w:hint="eastAsia" w:ascii="宋体" w:hAnsi="宋体" w:eastAsia="宋体" w:cs="宋体"/>
          <w:kern w:val="0"/>
          <w:sz w:val="24"/>
          <w:szCs w:val="24"/>
          <w:u w:val="single"/>
        </w:rPr>
      </w:pPr>
    </w:p>
    <w:p w14:paraId="424821D5">
      <w:pPr>
        <w:autoSpaceDE w:val="0"/>
        <w:autoSpaceDN w:val="0"/>
        <w:adjustRightInd w:val="0"/>
        <w:spacing w:line="360" w:lineRule="auto"/>
        <w:rPr>
          <w:rFonts w:hint="eastAsia" w:ascii="宋体" w:hAnsi="宋体" w:eastAsia="宋体" w:cs="宋体"/>
          <w:kern w:val="0"/>
          <w:sz w:val="24"/>
          <w:szCs w:val="24"/>
          <w:u w:val="single"/>
        </w:rPr>
      </w:pPr>
    </w:p>
    <w:p w14:paraId="54756A21">
      <w:pPr>
        <w:autoSpaceDE w:val="0"/>
        <w:autoSpaceDN w:val="0"/>
        <w:adjustRightInd w:val="0"/>
        <w:spacing w:line="360" w:lineRule="auto"/>
        <w:rPr>
          <w:rFonts w:hint="eastAsia" w:ascii="宋体" w:hAnsi="宋体" w:eastAsia="宋体" w:cs="宋体"/>
          <w:kern w:val="0"/>
          <w:sz w:val="24"/>
          <w:szCs w:val="24"/>
          <w:u w:val="single"/>
        </w:rPr>
      </w:pPr>
    </w:p>
    <w:p w14:paraId="13865E6B">
      <w:pPr>
        <w:autoSpaceDE w:val="0"/>
        <w:autoSpaceDN w:val="0"/>
        <w:adjustRightInd w:val="0"/>
        <w:spacing w:line="360" w:lineRule="auto"/>
        <w:rPr>
          <w:rFonts w:hint="eastAsia" w:ascii="宋体" w:hAnsi="宋体" w:eastAsia="宋体" w:cs="宋体"/>
          <w:kern w:val="0"/>
          <w:sz w:val="24"/>
          <w:szCs w:val="24"/>
          <w:u w:val="single"/>
        </w:rPr>
      </w:pPr>
    </w:p>
    <w:p w14:paraId="5BA6F630">
      <w:pPr>
        <w:pStyle w:val="16"/>
        <w:rPr>
          <w:rFonts w:hint="eastAsia" w:ascii="宋体" w:hAnsi="宋体" w:eastAsia="宋体" w:cs="宋体"/>
          <w:kern w:val="0"/>
          <w:sz w:val="24"/>
          <w:szCs w:val="24"/>
          <w:u w:val="single"/>
        </w:rPr>
      </w:pPr>
    </w:p>
    <w:p w14:paraId="2A60623F">
      <w:pPr>
        <w:pStyle w:val="16"/>
        <w:rPr>
          <w:rFonts w:hint="eastAsia" w:ascii="宋体" w:hAnsi="宋体" w:eastAsia="宋体" w:cs="宋体"/>
          <w:kern w:val="0"/>
          <w:sz w:val="24"/>
          <w:szCs w:val="24"/>
          <w:u w:val="single"/>
        </w:rPr>
      </w:pPr>
    </w:p>
    <w:p w14:paraId="105EC964">
      <w:pPr>
        <w:pStyle w:val="16"/>
        <w:rPr>
          <w:rFonts w:hint="eastAsia" w:ascii="宋体" w:hAnsi="宋体" w:eastAsia="宋体" w:cs="宋体"/>
          <w:kern w:val="0"/>
          <w:sz w:val="24"/>
          <w:szCs w:val="24"/>
          <w:u w:val="single"/>
        </w:rPr>
      </w:pPr>
    </w:p>
    <w:p w14:paraId="3369BBA3">
      <w:pPr>
        <w:pStyle w:val="16"/>
        <w:rPr>
          <w:rFonts w:hint="eastAsia" w:ascii="宋体" w:hAnsi="宋体" w:eastAsia="宋体" w:cs="宋体"/>
          <w:kern w:val="0"/>
          <w:sz w:val="24"/>
          <w:szCs w:val="24"/>
          <w:u w:val="single"/>
        </w:rPr>
      </w:pPr>
    </w:p>
    <w:p w14:paraId="0E948694">
      <w:pPr>
        <w:pStyle w:val="16"/>
        <w:rPr>
          <w:rFonts w:hint="eastAsia" w:ascii="宋体" w:hAnsi="宋体" w:eastAsia="宋体" w:cs="宋体"/>
          <w:kern w:val="0"/>
          <w:sz w:val="24"/>
          <w:szCs w:val="24"/>
          <w:u w:val="single"/>
        </w:rPr>
      </w:pPr>
    </w:p>
    <w:p w14:paraId="659045EA">
      <w:pPr>
        <w:pStyle w:val="16"/>
        <w:rPr>
          <w:rFonts w:hint="eastAsia" w:ascii="宋体" w:hAnsi="宋体" w:eastAsia="宋体" w:cs="宋体"/>
          <w:kern w:val="0"/>
          <w:sz w:val="24"/>
          <w:szCs w:val="24"/>
          <w:u w:val="single"/>
        </w:rPr>
      </w:pPr>
    </w:p>
    <w:p w14:paraId="5AAE48F9">
      <w:pPr>
        <w:pStyle w:val="16"/>
        <w:rPr>
          <w:rFonts w:hint="eastAsia" w:ascii="宋体" w:hAnsi="宋体" w:eastAsia="宋体" w:cs="宋体"/>
          <w:kern w:val="0"/>
          <w:sz w:val="24"/>
          <w:szCs w:val="24"/>
          <w:u w:val="single"/>
        </w:rPr>
      </w:pPr>
    </w:p>
    <w:p w14:paraId="05216B02">
      <w:pPr>
        <w:autoSpaceDE w:val="0"/>
        <w:autoSpaceDN w:val="0"/>
        <w:adjustRightInd w:val="0"/>
        <w:spacing w:line="360" w:lineRule="auto"/>
        <w:rPr>
          <w:rFonts w:hint="eastAsia" w:ascii="宋体" w:hAnsi="宋体" w:eastAsia="宋体" w:cs="宋体"/>
          <w:kern w:val="0"/>
          <w:sz w:val="24"/>
          <w:szCs w:val="24"/>
          <w:u w:val="single"/>
        </w:rPr>
      </w:pPr>
    </w:p>
    <w:p w14:paraId="7DDE0A69">
      <w:pPr>
        <w:autoSpaceDE w:val="0"/>
        <w:autoSpaceDN w:val="0"/>
        <w:adjustRightInd w:val="0"/>
        <w:spacing w:line="360" w:lineRule="auto"/>
        <w:rPr>
          <w:rFonts w:hint="eastAsia" w:ascii="宋体" w:hAnsi="宋体" w:eastAsia="宋体" w:cs="宋体"/>
          <w:kern w:val="0"/>
          <w:sz w:val="24"/>
          <w:szCs w:val="24"/>
          <w:u w:val="single"/>
        </w:rPr>
      </w:pPr>
    </w:p>
    <w:p w14:paraId="530D1CFE">
      <w:pPr>
        <w:autoSpaceDE w:val="0"/>
        <w:autoSpaceDN w:val="0"/>
        <w:adjustRightInd w:val="0"/>
        <w:spacing w:line="360" w:lineRule="auto"/>
        <w:rPr>
          <w:rFonts w:hint="eastAsia" w:ascii="宋体" w:hAnsi="宋体" w:eastAsia="宋体" w:cs="宋体"/>
          <w:kern w:val="0"/>
          <w:sz w:val="28"/>
          <w:szCs w:val="28"/>
          <w:u w:val="single"/>
        </w:rPr>
      </w:pPr>
    </w:p>
    <w:p w14:paraId="712B5548">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u w:val="single"/>
          <w:lang w:val="en-US" w:eastAsia="zh-CN"/>
        </w:rPr>
        <w:t>富平县2025年农村饮水工程维修养护项目</w:t>
      </w:r>
      <w:r>
        <w:rPr>
          <w:rFonts w:hint="eastAsia" w:ascii="宋体" w:hAnsi="宋体" w:eastAsia="宋体" w:cs="宋体"/>
          <w:kern w:val="0"/>
          <w:sz w:val="24"/>
          <w:szCs w:val="24"/>
        </w:rPr>
        <w:t>（项目名称）</w:t>
      </w:r>
      <w:r>
        <w:rPr>
          <w:rFonts w:hint="eastAsia" w:ascii="宋体" w:hAnsi="宋体" w:cs="宋体"/>
          <w:kern w:val="0"/>
          <w:sz w:val="24"/>
          <w:szCs w:val="24"/>
          <w:u w:val="single"/>
          <w:lang w:val="en-US" w:eastAsia="zh-CN"/>
        </w:rPr>
        <w:t xml:space="preserve"> / </w:t>
      </w:r>
      <w:r>
        <w:rPr>
          <w:rFonts w:hint="eastAsia" w:ascii="宋体" w:hAnsi="宋体" w:eastAsia="宋体" w:cs="宋体"/>
          <w:kern w:val="0"/>
          <w:sz w:val="24"/>
          <w:szCs w:val="24"/>
        </w:rPr>
        <w:t>（</w:t>
      </w:r>
      <w:r>
        <w:rPr>
          <w:rFonts w:hint="eastAsia" w:ascii="宋体" w:hAnsi="宋体" w:cs="宋体"/>
          <w:kern w:val="0"/>
          <w:sz w:val="24"/>
          <w:szCs w:val="24"/>
          <w:lang w:val="en-US" w:eastAsia="zh-CN"/>
        </w:rPr>
        <w:t>标段</w:t>
      </w:r>
      <w:r>
        <w:rPr>
          <w:rFonts w:hint="eastAsia" w:ascii="宋体" w:hAnsi="宋体" w:eastAsia="宋体" w:cs="宋体"/>
          <w:kern w:val="0"/>
          <w:sz w:val="24"/>
          <w:szCs w:val="24"/>
        </w:rPr>
        <w:t>名称）</w:t>
      </w:r>
    </w:p>
    <w:p w14:paraId="245E0343">
      <w:pPr>
        <w:autoSpaceDE w:val="0"/>
        <w:autoSpaceDN w:val="0"/>
        <w:adjustRightInd w:val="0"/>
        <w:spacing w:line="360" w:lineRule="auto"/>
        <w:ind w:firstLine="1440" w:firstLineChars="6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合同</w:t>
      </w:r>
      <w:r>
        <w:rPr>
          <w:rFonts w:hint="eastAsia" w:ascii="宋体" w:hAnsi="宋体" w:eastAsia="宋体" w:cs="宋体"/>
          <w:kern w:val="0"/>
          <w:sz w:val="24"/>
          <w:szCs w:val="24"/>
        </w:rPr>
        <w:t>编号：</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HCF2025—CGZB—015</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color w:val="FFFFFF"/>
          <w:kern w:val="0"/>
          <w:sz w:val="24"/>
          <w:szCs w:val="24"/>
        </w:rPr>
        <w:t>（</w:t>
      </w:r>
      <w:r>
        <w:rPr>
          <w:rFonts w:hint="eastAsia" w:ascii="宋体" w:hAnsi="宋体" w:eastAsia="宋体" w:cs="宋体"/>
          <w:kern w:val="0"/>
          <w:sz w:val="24"/>
          <w:szCs w:val="24"/>
          <w:u w:val="single"/>
        </w:rPr>
        <w:t xml:space="preserve">      </w:t>
      </w:r>
    </w:p>
    <w:p w14:paraId="5F2B6A58">
      <w:pPr>
        <w:autoSpaceDE w:val="0"/>
        <w:autoSpaceDN w:val="0"/>
        <w:adjustRightInd w:val="0"/>
        <w:spacing w:line="360" w:lineRule="auto"/>
        <w:ind w:firstLine="1440" w:firstLineChars="600"/>
        <w:rPr>
          <w:rFonts w:hint="eastAsia" w:ascii="宋体" w:hAnsi="宋体" w:eastAsia="宋体" w:cs="宋体"/>
          <w:kern w:val="0"/>
          <w:sz w:val="24"/>
          <w:szCs w:val="24"/>
          <w:lang w:eastAsia="zh-CN"/>
        </w:rPr>
      </w:pPr>
      <w:r>
        <w:rPr>
          <w:rFonts w:hint="eastAsia" w:ascii="宋体" w:hAnsi="宋体" w:eastAsia="宋体" w:cs="宋体"/>
          <w:kern w:val="0"/>
          <w:sz w:val="24"/>
          <w:szCs w:val="24"/>
        </w:rPr>
        <w:t>投标总价人民币（大写）：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color w:val="FFFFFF"/>
          <w:kern w:val="0"/>
          <w:sz w:val="24"/>
          <w:szCs w:val="24"/>
          <w:u w:val="single"/>
          <w:lang w:eastAsia="zh-CN"/>
        </w:rPr>
        <w:t>，</w:t>
      </w:r>
    </w:p>
    <w:p w14:paraId="2A25BDF3">
      <w:pPr>
        <w:autoSpaceDE w:val="0"/>
        <w:autoSpaceDN w:val="0"/>
        <w:adjustRightInd w:val="0"/>
        <w:spacing w:line="360" w:lineRule="auto"/>
        <w:ind w:left="0" w:leftChars="0" w:firstLine="3360" w:firstLineChars="1400"/>
        <w:rPr>
          <w:rFonts w:hint="eastAsia" w:ascii="宋体" w:hAnsi="宋体" w:eastAsia="宋体" w:cs="宋体"/>
          <w:kern w:val="0"/>
          <w:sz w:val="28"/>
          <w:szCs w:val="28"/>
        </w:rPr>
      </w:pP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14:paraId="1D791E3C">
      <w:pPr>
        <w:rPr>
          <w:rFonts w:hint="eastAsia" w:ascii="宋体" w:hAnsi="宋体" w:eastAsia="宋体" w:cs="宋体"/>
          <w:sz w:val="24"/>
          <w:szCs w:val="24"/>
        </w:rPr>
      </w:pPr>
    </w:p>
    <w:p w14:paraId="2DC7669E">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14A91881">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6A9C7D80">
      <w:pPr>
        <w:keepNext w:val="0"/>
        <w:keepLines w:val="0"/>
        <w:pageBreakBefore w:val="0"/>
        <w:widowControl/>
        <w:kinsoku/>
        <w:wordWrap/>
        <w:overflowPunct/>
        <w:topLinePunct w:val="0"/>
        <w:autoSpaceDE/>
        <w:autoSpaceDN/>
        <w:bidi w:val="0"/>
        <w:adjustRightInd/>
        <w:snapToGrid/>
        <w:spacing w:line="440" w:lineRule="auto"/>
        <w:ind w:firstLine="480" w:firstLineChars="200"/>
        <w:textAlignment w:val="auto"/>
        <w:outlineLvl w:val="9"/>
        <w:rPr>
          <w:rFonts w:hint="eastAsia" w:ascii="宋体" w:hAnsi="宋体" w:eastAsia="宋体" w:cs="宋体"/>
          <w:color w:val="auto"/>
          <w:sz w:val="24"/>
          <w:szCs w:val="24"/>
          <w:highlight w:val="none"/>
          <w:lang w:val="en-US" w:eastAsia="zh-CN"/>
        </w:rPr>
      </w:pPr>
    </w:p>
    <w:tbl>
      <w:tblPr>
        <w:tblStyle w:val="25"/>
        <w:tblW w:w="91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19"/>
        <w:gridCol w:w="588"/>
        <w:gridCol w:w="588"/>
        <w:gridCol w:w="588"/>
        <w:gridCol w:w="588"/>
        <w:gridCol w:w="2967"/>
        <w:gridCol w:w="1531"/>
      </w:tblGrid>
      <w:tr w14:paraId="6745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68" w:type="dxa"/>
            <w:gridSpan w:val="7"/>
            <w:tcBorders>
              <w:top w:val="nil"/>
              <w:left w:val="nil"/>
              <w:bottom w:val="nil"/>
              <w:right w:val="nil"/>
            </w:tcBorders>
            <w:shd w:val="clear" w:color="auto" w:fill="auto"/>
            <w:noWrap/>
            <w:vAlign w:val="center"/>
          </w:tcPr>
          <w:p w14:paraId="715B4BC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工程项目总价表</w:t>
            </w:r>
          </w:p>
        </w:tc>
      </w:tr>
      <w:tr w14:paraId="54DF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68" w:type="dxa"/>
            <w:gridSpan w:val="7"/>
            <w:tcBorders>
              <w:top w:val="nil"/>
              <w:left w:val="nil"/>
              <w:bottom w:val="nil"/>
              <w:right w:val="nil"/>
            </w:tcBorders>
            <w:shd w:val="clear" w:color="auto" w:fill="auto"/>
            <w:vAlign w:val="bottom"/>
          </w:tcPr>
          <w:p w14:paraId="2A49311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合同编号：HCF2025—CGZB—015</w:t>
            </w:r>
          </w:p>
        </w:tc>
      </w:tr>
      <w:tr w14:paraId="1662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168" w:type="dxa"/>
            <w:gridSpan w:val="7"/>
            <w:tcBorders>
              <w:top w:val="nil"/>
              <w:left w:val="nil"/>
              <w:bottom w:val="nil"/>
              <w:right w:val="nil"/>
            </w:tcBorders>
            <w:shd w:val="clear" w:color="auto" w:fill="auto"/>
            <w:vAlign w:val="center"/>
          </w:tcPr>
          <w:p w14:paraId="7EF2B7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富平县2025年农村饮水工程维修养护项目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（标段名称）</w:t>
            </w:r>
          </w:p>
        </w:tc>
      </w:tr>
      <w:tr w14:paraId="20A9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CE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组号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32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项目分组名称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A9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A7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012F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65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67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8E05">
            <w:pPr>
              <w:jc w:val="center"/>
              <w:rPr>
                <w:rFonts w:hint="eastAsia" w:ascii="宋体" w:hAnsi="宋体" w:eastAsia="宋体" w:cs="宋体"/>
                <w:i w:val="0"/>
                <w:iCs w:val="0"/>
                <w:color w:val="000000"/>
                <w:sz w:val="18"/>
                <w:szCs w:val="18"/>
                <w:u w:val="none"/>
              </w:rPr>
            </w:pPr>
          </w:p>
        </w:tc>
      </w:tr>
      <w:tr w14:paraId="30961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F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C4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C2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1798">
            <w:pPr>
              <w:jc w:val="center"/>
              <w:rPr>
                <w:rFonts w:hint="eastAsia" w:ascii="宋体" w:hAnsi="宋体" w:eastAsia="宋体" w:cs="宋体"/>
                <w:i w:val="0"/>
                <w:iCs w:val="0"/>
                <w:color w:val="000000"/>
                <w:sz w:val="18"/>
                <w:szCs w:val="18"/>
                <w:u w:val="none"/>
              </w:rPr>
            </w:pPr>
          </w:p>
        </w:tc>
      </w:tr>
      <w:tr w14:paraId="2823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1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63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EB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2A04">
            <w:pPr>
              <w:jc w:val="center"/>
              <w:rPr>
                <w:rFonts w:hint="eastAsia" w:ascii="宋体" w:hAnsi="宋体" w:eastAsia="宋体" w:cs="宋体"/>
                <w:i w:val="0"/>
                <w:iCs w:val="0"/>
                <w:color w:val="000000"/>
                <w:sz w:val="18"/>
                <w:szCs w:val="18"/>
                <w:u w:val="none"/>
              </w:rPr>
            </w:pPr>
          </w:p>
        </w:tc>
      </w:tr>
      <w:tr w14:paraId="3CBB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DA37">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34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7C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39F0">
            <w:pPr>
              <w:jc w:val="center"/>
              <w:rPr>
                <w:rFonts w:hint="eastAsia" w:ascii="宋体" w:hAnsi="宋体" w:eastAsia="宋体" w:cs="宋体"/>
                <w:i w:val="0"/>
                <w:iCs w:val="0"/>
                <w:color w:val="000000"/>
                <w:sz w:val="18"/>
                <w:szCs w:val="18"/>
                <w:u w:val="none"/>
              </w:rPr>
            </w:pPr>
          </w:p>
        </w:tc>
      </w:tr>
      <w:tr w14:paraId="01FE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DB37">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BE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AE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91DA">
            <w:pPr>
              <w:jc w:val="center"/>
              <w:rPr>
                <w:rFonts w:hint="eastAsia" w:ascii="宋体" w:hAnsi="宋体" w:eastAsia="宋体" w:cs="宋体"/>
                <w:i w:val="0"/>
                <w:iCs w:val="0"/>
                <w:color w:val="000000"/>
                <w:sz w:val="18"/>
                <w:szCs w:val="18"/>
                <w:u w:val="none"/>
              </w:rPr>
            </w:pPr>
          </w:p>
        </w:tc>
      </w:tr>
      <w:tr w14:paraId="2637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5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FAA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2807">
            <w:pPr>
              <w:jc w:val="center"/>
              <w:rPr>
                <w:rFonts w:hint="eastAsia" w:ascii="宋体" w:hAnsi="宋体" w:eastAsia="宋体" w:cs="宋体"/>
                <w:i w:val="0"/>
                <w:iCs w:val="0"/>
                <w:color w:val="000000"/>
                <w:sz w:val="18"/>
                <w:szCs w:val="18"/>
                <w:u w:val="none"/>
              </w:rPr>
            </w:pPr>
          </w:p>
        </w:tc>
      </w:tr>
      <w:tr w14:paraId="1F41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center"/>
          </w:tcPr>
          <w:p w14:paraId="0CC450A6">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14:paraId="379C710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备用金（暂列金） (B)</w:t>
            </w:r>
          </w:p>
        </w:tc>
        <w:tc>
          <w:tcPr>
            <w:tcW w:w="0" w:type="auto"/>
            <w:tcBorders>
              <w:top w:val="nil"/>
              <w:left w:val="nil"/>
              <w:bottom w:val="single" w:color="000000" w:sz="4" w:space="0"/>
              <w:right w:val="nil"/>
            </w:tcBorders>
            <w:shd w:val="clear" w:color="auto" w:fill="auto"/>
            <w:noWrap/>
            <w:vAlign w:val="bottom"/>
          </w:tcPr>
          <w:p w14:paraId="57D262D7">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75F838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14:paraId="66C7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center"/>
          </w:tcPr>
          <w:p w14:paraId="03F3DE05">
            <w:pPr>
              <w:jc w:val="center"/>
              <w:rPr>
                <w:rFonts w:hint="eastAsia" w:ascii="宋体" w:hAnsi="宋体" w:eastAsia="宋体" w:cs="宋体"/>
                <w:i w:val="0"/>
                <w:iCs w:val="0"/>
                <w:color w:val="000000"/>
                <w:sz w:val="18"/>
                <w:szCs w:val="18"/>
                <w:u w:val="none"/>
              </w:rPr>
            </w:pPr>
          </w:p>
        </w:tc>
        <w:tc>
          <w:tcPr>
            <w:tcW w:w="0" w:type="auto"/>
            <w:gridSpan w:val="4"/>
            <w:tcBorders>
              <w:top w:val="nil"/>
              <w:left w:val="nil"/>
              <w:bottom w:val="nil"/>
              <w:right w:val="nil"/>
            </w:tcBorders>
            <w:shd w:val="clear" w:color="auto" w:fill="auto"/>
            <w:noWrap/>
            <w:vAlign w:val="bottom"/>
          </w:tcPr>
          <w:p w14:paraId="2358DD2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 C =(A + B)</w:t>
            </w:r>
          </w:p>
        </w:tc>
        <w:tc>
          <w:tcPr>
            <w:tcW w:w="0" w:type="auto"/>
            <w:tcBorders>
              <w:top w:val="nil"/>
              <w:left w:val="nil"/>
              <w:bottom w:val="single" w:color="000000" w:sz="4" w:space="0"/>
              <w:right w:val="nil"/>
            </w:tcBorders>
            <w:shd w:val="clear" w:color="auto" w:fill="auto"/>
            <w:noWrap/>
            <w:vAlign w:val="bottom"/>
          </w:tcPr>
          <w:p w14:paraId="398521FA">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AC8930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r>
      <w:tr w14:paraId="2858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auto"/>
            <w:noWrap/>
            <w:vAlign w:val="center"/>
          </w:tcPr>
          <w:p w14:paraId="464F908C">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B40E126">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0608660">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4899271">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C698D10">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4E79EB9">
            <w:pPr>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7E05904">
            <w:pPr>
              <w:jc w:val="center"/>
              <w:rPr>
                <w:rFonts w:hint="eastAsia" w:ascii="宋体" w:hAnsi="宋体" w:eastAsia="宋体" w:cs="宋体"/>
                <w:i w:val="0"/>
                <w:iCs w:val="0"/>
                <w:color w:val="000000"/>
                <w:sz w:val="18"/>
                <w:szCs w:val="18"/>
                <w:u w:val="none"/>
              </w:rPr>
            </w:pPr>
          </w:p>
        </w:tc>
      </w:tr>
      <w:tr w14:paraId="162C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0EA34A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hint="eastAsia" w:ascii="宋体" w:hAnsi="宋体" w:eastAsia="宋体" w:cs="宋体"/>
                <w:i w:val="0"/>
                <w:iCs w:val="0"/>
                <w:color w:val="000000"/>
                <w:kern w:val="0"/>
                <w:sz w:val="20"/>
                <w:szCs w:val="20"/>
                <w:u w:val="none"/>
                <w:lang w:val="en-US" w:eastAsia="zh-CN" w:bidi="ar"/>
              </w:rPr>
              <w:t xml:space="preserve">       </w:t>
            </w:r>
          </w:p>
        </w:tc>
      </w:tr>
      <w:tr w14:paraId="7E74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5A6634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14:paraId="00A9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305A57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日       </w:t>
            </w:r>
          </w:p>
        </w:tc>
      </w:tr>
    </w:tbl>
    <w:p w14:paraId="1F4CDE9A">
      <w:pPr>
        <w:pStyle w:val="24"/>
        <w:ind w:left="0" w:leftChars="0" w:firstLine="0" w:firstLineChars="0"/>
        <w:outlineLvl w:val="9"/>
        <w:rPr>
          <w:rFonts w:hint="eastAsia" w:ascii="宋体" w:hAnsi="宋体" w:eastAsia="宋体" w:cs="宋体"/>
          <w:b w:val="0"/>
          <w:bCs/>
          <w:color w:val="auto"/>
          <w:sz w:val="30"/>
          <w:szCs w:val="30"/>
          <w:highlight w:val="none"/>
        </w:rPr>
      </w:pPr>
    </w:p>
    <w:p w14:paraId="5E1FC898">
      <w:pPr>
        <w:pStyle w:val="24"/>
        <w:outlineLvl w:val="9"/>
        <w:rPr>
          <w:rFonts w:hint="eastAsia" w:ascii="宋体" w:hAnsi="宋体" w:eastAsia="宋体" w:cs="宋体"/>
          <w:b w:val="0"/>
          <w:bCs/>
          <w:color w:val="auto"/>
          <w:sz w:val="30"/>
          <w:szCs w:val="30"/>
          <w:highlight w:val="none"/>
        </w:rPr>
      </w:pPr>
    </w:p>
    <w:p w14:paraId="61D8F400">
      <w:pPr>
        <w:pStyle w:val="24"/>
        <w:outlineLvl w:val="9"/>
        <w:rPr>
          <w:rFonts w:hint="eastAsia" w:ascii="宋体" w:hAnsi="宋体" w:eastAsia="宋体" w:cs="宋体"/>
          <w:b w:val="0"/>
          <w:bCs/>
          <w:color w:val="auto"/>
          <w:sz w:val="30"/>
          <w:szCs w:val="30"/>
          <w:highlight w:val="none"/>
        </w:rPr>
      </w:pPr>
    </w:p>
    <w:p w14:paraId="224049E9">
      <w:pPr>
        <w:pStyle w:val="24"/>
        <w:outlineLvl w:val="9"/>
        <w:rPr>
          <w:rFonts w:hint="eastAsia" w:ascii="宋体" w:hAnsi="宋体" w:eastAsia="宋体" w:cs="宋体"/>
          <w:b w:val="0"/>
          <w:bCs/>
          <w:color w:val="auto"/>
          <w:sz w:val="30"/>
          <w:szCs w:val="30"/>
          <w:highlight w:val="none"/>
        </w:rPr>
      </w:pPr>
    </w:p>
    <w:p w14:paraId="19AD4443">
      <w:pPr>
        <w:pStyle w:val="24"/>
        <w:outlineLvl w:val="9"/>
        <w:rPr>
          <w:rFonts w:hint="eastAsia" w:ascii="宋体" w:hAnsi="宋体" w:eastAsia="宋体" w:cs="宋体"/>
          <w:b w:val="0"/>
          <w:bCs/>
          <w:color w:val="auto"/>
          <w:sz w:val="30"/>
          <w:szCs w:val="30"/>
          <w:highlight w:val="none"/>
        </w:rPr>
      </w:pPr>
    </w:p>
    <w:p w14:paraId="16CDC282">
      <w:pPr>
        <w:pStyle w:val="24"/>
        <w:outlineLvl w:val="9"/>
        <w:rPr>
          <w:rFonts w:hint="eastAsia" w:ascii="宋体" w:hAnsi="宋体" w:eastAsia="宋体" w:cs="宋体"/>
          <w:b w:val="0"/>
          <w:bCs/>
          <w:color w:val="auto"/>
          <w:sz w:val="30"/>
          <w:szCs w:val="30"/>
          <w:highlight w:val="none"/>
        </w:rPr>
      </w:pPr>
    </w:p>
    <w:p w14:paraId="0EFF4D42">
      <w:pPr>
        <w:pStyle w:val="24"/>
        <w:outlineLvl w:val="9"/>
        <w:rPr>
          <w:rFonts w:hint="eastAsia" w:ascii="宋体" w:hAnsi="宋体" w:eastAsia="宋体" w:cs="宋体"/>
          <w:b w:val="0"/>
          <w:bCs/>
          <w:color w:val="auto"/>
          <w:sz w:val="30"/>
          <w:szCs w:val="30"/>
          <w:highlight w:val="none"/>
        </w:rPr>
      </w:pPr>
    </w:p>
    <w:p w14:paraId="0E04D79E">
      <w:pPr>
        <w:pStyle w:val="24"/>
        <w:outlineLvl w:val="9"/>
        <w:rPr>
          <w:rFonts w:hint="eastAsia" w:ascii="宋体" w:hAnsi="宋体" w:eastAsia="宋体" w:cs="宋体"/>
          <w:b w:val="0"/>
          <w:bCs/>
          <w:color w:val="auto"/>
          <w:sz w:val="30"/>
          <w:szCs w:val="30"/>
          <w:highlight w:val="none"/>
        </w:rPr>
      </w:pPr>
    </w:p>
    <w:p w14:paraId="3F71E9EC">
      <w:pPr>
        <w:pStyle w:val="24"/>
        <w:outlineLvl w:val="9"/>
        <w:rPr>
          <w:rFonts w:hint="eastAsia" w:ascii="宋体" w:hAnsi="宋体" w:eastAsia="宋体" w:cs="宋体"/>
          <w:b w:val="0"/>
          <w:bCs/>
          <w:color w:val="auto"/>
          <w:sz w:val="30"/>
          <w:szCs w:val="30"/>
          <w:highlight w:val="none"/>
        </w:rPr>
      </w:pPr>
    </w:p>
    <w:tbl>
      <w:tblPr>
        <w:tblStyle w:val="25"/>
        <w:tblW w:w="91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2943"/>
        <w:gridCol w:w="697"/>
        <w:gridCol w:w="1060"/>
        <w:gridCol w:w="1186"/>
        <w:gridCol w:w="1171"/>
        <w:gridCol w:w="1116"/>
      </w:tblGrid>
      <w:tr w14:paraId="19D2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0" w:type="dxa"/>
            <w:gridSpan w:val="7"/>
            <w:tcBorders>
              <w:top w:val="nil"/>
              <w:left w:val="nil"/>
              <w:bottom w:val="nil"/>
              <w:right w:val="nil"/>
            </w:tcBorders>
            <w:shd w:val="clear" w:color="auto" w:fill="auto"/>
            <w:vAlign w:val="center"/>
          </w:tcPr>
          <w:p w14:paraId="022312E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14:paraId="4FFD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14:paraId="3D2CD01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合同编号：HCF2025—CGZB—015</w:t>
            </w:r>
          </w:p>
        </w:tc>
        <w:tc>
          <w:tcPr>
            <w:tcW w:w="2287" w:type="dxa"/>
            <w:gridSpan w:val="2"/>
            <w:tcBorders>
              <w:top w:val="nil"/>
              <w:left w:val="nil"/>
              <w:bottom w:val="nil"/>
              <w:right w:val="nil"/>
            </w:tcBorders>
            <w:shd w:val="clear" w:color="auto" w:fill="auto"/>
            <w:noWrap/>
            <w:vAlign w:val="bottom"/>
          </w:tcPr>
          <w:p w14:paraId="069C5AF8">
            <w:pPr>
              <w:jc w:val="right"/>
              <w:rPr>
                <w:rFonts w:hint="eastAsia" w:ascii="宋体" w:hAnsi="宋体" w:eastAsia="宋体" w:cs="宋体"/>
                <w:i w:val="0"/>
                <w:iCs w:val="0"/>
                <w:color w:val="000000"/>
                <w:sz w:val="20"/>
                <w:szCs w:val="20"/>
                <w:u w:val="none"/>
              </w:rPr>
            </w:pPr>
          </w:p>
        </w:tc>
      </w:tr>
      <w:tr w14:paraId="5070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0" w:type="dxa"/>
            <w:gridSpan w:val="7"/>
            <w:tcBorders>
              <w:top w:val="nil"/>
              <w:left w:val="nil"/>
              <w:bottom w:val="nil"/>
              <w:right w:val="nil"/>
            </w:tcBorders>
            <w:shd w:val="clear" w:color="auto" w:fill="auto"/>
            <w:noWrap/>
            <w:vAlign w:val="center"/>
          </w:tcPr>
          <w:p w14:paraId="2BB6AC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富平县2025年农村饮水工程维修养护项目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（标段名称）</w:t>
            </w:r>
          </w:p>
        </w:tc>
      </w:tr>
      <w:tr w14:paraId="56C7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99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4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CF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32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8C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6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A0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90B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B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5C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6344">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30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192F">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779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587B">
            <w:pPr>
              <w:jc w:val="center"/>
              <w:rPr>
                <w:rFonts w:hint="eastAsia" w:ascii="宋体" w:hAnsi="宋体" w:eastAsia="宋体" w:cs="宋体"/>
                <w:i w:val="0"/>
                <w:iCs w:val="0"/>
                <w:color w:val="000000"/>
                <w:sz w:val="20"/>
                <w:szCs w:val="20"/>
                <w:u w:val="none"/>
              </w:rPr>
            </w:pPr>
          </w:p>
        </w:tc>
      </w:tr>
      <w:tr w14:paraId="5E2D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B5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庄里北部供水工程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5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62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593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49A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F0B9">
            <w:pPr>
              <w:jc w:val="center"/>
              <w:rPr>
                <w:rFonts w:hint="eastAsia" w:ascii="宋体" w:hAnsi="宋体" w:eastAsia="宋体" w:cs="宋体"/>
                <w:i w:val="0"/>
                <w:iCs w:val="0"/>
                <w:color w:val="000000"/>
                <w:sz w:val="20"/>
                <w:szCs w:val="20"/>
                <w:u w:val="none"/>
              </w:rPr>
            </w:pPr>
          </w:p>
        </w:tc>
      </w:tr>
      <w:tr w14:paraId="0675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40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东关村（庄里街道） 更换庄里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街道DN100-300球墨铸铁</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9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D1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AFF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807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221C">
            <w:pPr>
              <w:jc w:val="center"/>
              <w:rPr>
                <w:rFonts w:hint="eastAsia" w:ascii="宋体" w:hAnsi="宋体" w:eastAsia="宋体" w:cs="宋体"/>
                <w:i w:val="0"/>
                <w:iCs w:val="0"/>
                <w:color w:val="000000"/>
                <w:sz w:val="20"/>
                <w:szCs w:val="20"/>
                <w:u w:val="none"/>
              </w:rPr>
            </w:pPr>
          </w:p>
        </w:tc>
      </w:tr>
      <w:tr w14:paraId="1D9B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4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A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拆除混凝土地面（（厚度18cm）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8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4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681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467F">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C7CC">
            <w:pPr>
              <w:jc w:val="center"/>
              <w:rPr>
                <w:rFonts w:hint="eastAsia" w:ascii="宋体" w:hAnsi="宋体" w:eastAsia="宋体" w:cs="宋体"/>
                <w:i w:val="0"/>
                <w:iCs w:val="0"/>
                <w:color w:val="000000"/>
                <w:sz w:val="20"/>
                <w:szCs w:val="20"/>
                <w:u w:val="none"/>
              </w:rPr>
            </w:pPr>
          </w:p>
        </w:tc>
      </w:tr>
      <w:tr w14:paraId="28A6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8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5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1A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EFE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53C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2868">
            <w:pPr>
              <w:jc w:val="center"/>
              <w:rPr>
                <w:rFonts w:hint="eastAsia" w:ascii="宋体" w:hAnsi="宋体" w:eastAsia="宋体" w:cs="宋体"/>
                <w:i w:val="0"/>
                <w:iCs w:val="0"/>
                <w:color w:val="000000"/>
                <w:sz w:val="20"/>
                <w:szCs w:val="20"/>
                <w:u w:val="none"/>
              </w:rPr>
            </w:pPr>
          </w:p>
        </w:tc>
      </w:tr>
      <w:tr w14:paraId="489F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1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F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10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3DA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A08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FE6D">
            <w:pPr>
              <w:jc w:val="center"/>
              <w:rPr>
                <w:rFonts w:hint="eastAsia" w:ascii="宋体" w:hAnsi="宋体" w:eastAsia="宋体" w:cs="宋体"/>
                <w:i w:val="0"/>
                <w:iCs w:val="0"/>
                <w:color w:val="000000"/>
                <w:sz w:val="20"/>
                <w:szCs w:val="20"/>
                <w:u w:val="none"/>
              </w:rPr>
            </w:pPr>
          </w:p>
        </w:tc>
      </w:tr>
      <w:tr w14:paraId="3CBB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5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2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3:7灰土垫层（管道）</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9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0B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766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8E8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53FE">
            <w:pPr>
              <w:jc w:val="center"/>
              <w:rPr>
                <w:rFonts w:hint="eastAsia" w:ascii="宋体" w:hAnsi="宋体" w:eastAsia="宋体" w:cs="宋体"/>
                <w:i w:val="0"/>
                <w:iCs w:val="0"/>
                <w:color w:val="000000"/>
                <w:sz w:val="20"/>
                <w:szCs w:val="20"/>
                <w:u w:val="none"/>
              </w:rPr>
            </w:pPr>
          </w:p>
        </w:tc>
      </w:tr>
      <w:tr w14:paraId="7DC8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1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10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恢复混凝土地面（厚度18cm，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C25混凝土、300cm灰土）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C8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2CE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76D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C86E">
            <w:pPr>
              <w:jc w:val="center"/>
              <w:rPr>
                <w:rFonts w:hint="eastAsia" w:ascii="宋体" w:hAnsi="宋体" w:eastAsia="宋体" w:cs="宋体"/>
                <w:i w:val="0"/>
                <w:iCs w:val="0"/>
                <w:color w:val="000000"/>
                <w:sz w:val="20"/>
                <w:szCs w:val="20"/>
                <w:u w:val="none"/>
              </w:rPr>
            </w:pPr>
          </w:p>
        </w:tc>
      </w:tr>
      <w:tr w14:paraId="2549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5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1.1.1.6</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5E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C25混凝土镇墩</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5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FD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D1D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BC6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6781">
            <w:pPr>
              <w:jc w:val="center"/>
              <w:rPr>
                <w:rFonts w:hint="eastAsia" w:ascii="宋体" w:hAnsi="宋体" w:eastAsia="宋体" w:cs="宋体"/>
                <w:i w:val="0"/>
                <w:iCs w:val="0"/>
                <w:color w:val="000000"/>
                <w:sz w:val="20"/>
                <w:szCs w:val="20"/>
                <w:u w:val="none"/>
              </w:rPr>
            </w:pPr>
          </w:p>
        </w:tc>
      </w:tr>
      <w:tr w14:paraId="5C1C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9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30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E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9F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FCC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94D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CBCA">
            <w:pPr>
              <w:jc w:val="center"/>
              <w:rPr>
                <w:rFonts w:hint="eastAsia" w:ascii="宋体" w:hAnsi="宋体" w:eastAsia="宋体" w:cs="宋体"/>
                <w:i w:val="0"/>
                <w:iCs w:val="0"/>
                <w:color w:val="000000"/>
                <w:sz w:val="20"/>
                <w:szCs w:val="20"/>
                <w:u w:val="none"/>
              </w:rPr>
            </w:pPr>
          </w:p>
        </w:tc>
      </w:tr>
      <w:tr w14:paraId="3319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5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5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DN300球墨铸铁管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3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53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849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456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6132">
            <w:pPr>
              <w:jc w:val="center"/>
              <w:rPr>
                <w:rFonts w:hint="eastAsia" w:ascii="宋体" w:hAnsi="宋体" w:eastAsia="宋体" w:cs="宋体"/>
                <w:i w:val="0"/>
                <w:iCs w:val="0"/>
                <w:color w:val="000000"/>
                <w:sz w:val="20"/>
                <w:szCs w:val="20"/>
                <w:u w:val="none"/>
              </w:rPr>
            </w:pPr>
          </w:p>
        </w:tc>
      </w:tr>
      <w:tr w14:paraId="2DE7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4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4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DN100球墨铸铁管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B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EC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29E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1DC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98C5">
            <w:pPr>
              <w:jc w:val="center"/>
              <w:rPr>
                <w:rFonts w:hint="eastAsia" w:ascii="宋体" w:hAnsi="宋体" w:eastAsia="宋体" w:cs="宋体"/>
                <w:i w:val="0"/>
                <w:iCs w:val="0"/>
                <w:color w:val="000000"/>
                <w:sz w:val="20"/>
                <w:szCs w:val="20"/>
                <w:u w:val="none"/>
              </w:rPr>
            </w:pPr>
          </w:p>
        </w:tc>
      </w:tr>
      <w:tr w14:paraId="6654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6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6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庄北村（东环路）</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0C73">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D2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B0A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E4D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E3F8">
            <w:pPr>
              <w:jc w:val="center"/>
              <w:rPr>
                <w:rFonts w:hint="eastAsia" w:ascii="宋体" w:hAnsi="宋体" w:eastAsia="宋体" w:cs="宋体"/>
                <w:i w:val="0"/>
                <w:iCs w:val="0"/>
                <w:color w:val="000000"/>
                <w:sz w:val="20"/>
                <w:szCs w:val="20"/>
                <w:u w:val="none"/>
              </w:rPr>
            </w:pPr>
          </w:p>
        </w:tc>
      </w:tr>
      <w:tr w14:paraId="33A3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2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4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砖砌阀门井</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8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10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47A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A43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7270">
            <w:pPr>
              <w:jc w:val="center"/>
              <w:rPr>
                <w:rFonts w:hint="eastAsia" w:ascii="宋体" w:hAnsi="宋体" w:eastAsia="宋体" w:cs="宋体"/>
                <w:i w:val="0"/>
                <w:iCs w:val="0"/>
                <w:color w:val="000000"/>
                <w:sz w:val="20"/>
                <w:szCs w:val="20"/>
                <w:u w:val="none"/>
              </w:rPr>
            </w:pPr>
          </w:p>
        </w:tc>
      </w:tr>
      <w:tr w14:paraId="1F8A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8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9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笃祜供水工程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1F9D">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78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FDD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DA8F">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1B9A">
            <w:pPr>
              <w:jc w:val="center"/>
              <w:rPr>
                <w:rFonts w:hint="eastAsia" w:ascii="宋体" w:hAnsi="宋体" w:eastAsia="宋体" w:cs="宋体"/>
                <w:i w:val="0"/>
                <w:iCs w:val="0"/>
                <w:color w:val="000000"/>
                <w:sz w:val="20"/>
                <w:szCs w:val="20"/>
                <w:u w:val="none"/>
              </w:rPr>
            </w:pPr>
          </w:p>
        </w:tc>
      </w:tr>
      <w:tr w14:paraId="2B08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0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维修改造莫村加压泵房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2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E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0FB5">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971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E099">
            <w:pPr>
              <w:jc w:val="center"/>
              <w:rPr>
                <w:rFonts w:hint="eastAsia" w:ascii="宋体" w:hAnsi="宋体" w:eastAsia="宋体" w:cs="宋体"/>
                <w:i w:val="0"/>
                <w:iCs w:val="0"/>
                <w:color w:val="000000"/>
                <w:sz w:val="20"/>
                <w:szCs w:val="20"/>
                <w:u w:val="none"/>
              </w:rPr>
            </w:pPr>
          </w:p>
        </w:tc>
      </w:tr>
      <w:tr w14:paraId="5EE2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D3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D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墙面做PVC扣板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B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9D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B89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616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2673">
            <w:pPr>
              <w:jc w:val="center"/>
              <w:rPr>
                <w:rFonts w:hint="eastAsia" w:ascii="宋体" w:hAnsi="宋体" w:eastAsia="宋体" w:cs="宋体"/>
                <w:i w:val="0"/>
                <w:iCs w:val="0"/>
                <w:color w:val="000000"/>
                <w:sz w:val="20"/>
                <w:szCs w:val="20"/>
                <w:u w:val="none"/>
              </w:rPr>
            </w:pPr>
          </w:p>
        </w:tc>
      </w:tr>
      <w:tr w14:paraId="7637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6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9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维修改造笃祜水源地加压泵房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4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9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D654">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11B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F3B3">
            <w:pPr>
              <w:jc w:val="center"/>
              <w:rPr>
                <w:rFonts w:hint="eastAsia" w:ascii="宋体" w:hAnsi="宋体" w:eastAsia="宋体" w:cs="宋体"/>
                <w:i w:val="0"/>
                <w:iCs w:val="0"/>
                <w:color w:val="000000"/>
                <w:sz w:val="20"/>
                <w:szCs w:val="20"/>
                <w:u w:val="none"/>
              </w:rPr>
            </w:pPr>
          </w:p>
        </w:tc>
      </w:tr>
      <w:tr w14:paraId="34C6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A2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8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墙面做PVC扣板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D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57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2ADF">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491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2CF9">
            <w:pPr>
              <w:jc w:val="center"/>
              <w:rPr>
                <w:rFonts w:hint="eastAsia" w:ascii="宋体" w:hAnsi="宋体" w:eastAsia="宋体" w:cs="宋体"/>
                <w:i w:val="0"/>
                <w:iCs w:val="0"/>
                <w:color w:val="000000"/>
                <w:sz w:val="20"/>
                <w:szCs w:val="20"/>
                <w:u w:val="none"/>
              </w:rPr>
            </w:pPr>
          </w:p>
        </w:tc>
      </w:tr>
      <w:tr w14:paraId="6748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07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砖砌阀门井</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B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C2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CE6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2CF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EA20">
            <w:pPr>
              <w:jc w:val="center"/>
              <w:rPr>
                <w:rFonts w:hint="eastAsia" w:ascii="宋体" w:hAnsi="宋体" w:eastAsia="宋体" w:cs="宋体"/>
                <w:i w:val="0"/>
                <w:iCs w:val="0"/>
                <w:color w:val="000000"/>
                <w:sz w:val="20"/>
                <w:szCs w:val="20"/>
                <w:u w:val="none"/>
              </w:rPr>
            </w:pPr>
          </w:p>
        </w:tc>
      </w:tr>
      <w:tr w14:paraId="18A5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E8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管道维修</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E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6D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E233">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ECE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C2B0">
            <w:pPr>
              <w:jc w:val="center"/>
              <w:rPr>
                <w:rFonts w:hint="eastAsia" w:ascii="宋体" w:hAnsi="宋体" w:eastAsia="宋体" w:cs="宋体"/>
                <w:i w:val="0"/>
                <w:iCs w:val="0"/>
                <w:color w:val="000000"/>
                <w:sz w:val="20"/>
                <w:szCs w:val="20"/>
                <w:u w:val="none"/>
              </w:rPr>
            </w:pPr>
          </w:p>
        </w:tc>
      </w:tr>
      <w:tr w14:paraId="12C6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C1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F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拆除混凝土地面（（厚度18cm）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F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48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E9A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6BB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134">
            <w:pPr>
              <w:jc w:val="center"/>
              <w:rPr>
                <w:rFonts w:hint="eastAsia" w:ascii="宋体" w:hAnsi="宋体" w:eastAsia="宋体" w:cs="宋体"/>
                <w:i w:val="0"/>
                <w:iCs w:val="0"/>
                <w:color w:val="000000"/>
                <w:sz w:val="20"/>
                <w:szCs w:val="20"/>
                <w:u w:val="none"/>
              </w:rPr>
            </w:pPr>
          </w:p>
        </w:tc>
      </w:tr>
      <w:tr w14:paraId="7762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E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C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7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D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CEE8">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A30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3302">
            <w:pPr>
              <w:jc w:val="center"/>
              <w:rPr>
                <w:rFonts w:hint="eastAsia" w:ascii="宋体" w:hAnsi="宋体" w:eastAsia="宋体" w:cs="宋体"/>
                <w:i w:val="0"/>
                <w:iCs w:val="0"/>
                <w:color w:val="000000"/>
                <w:sz w:val="20"/>
                <w:szCs w:val="20"/>
                <w:u w:val="none"/>
              </w:rPr>
            </w:pPr>
          </w:p>
        </w:tc>
      </w:tr>
      <w:tr w14:paraId="50E3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7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2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D4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7EC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390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DE5F">
            <w:pPr>
              <w:jc w:val="center"/>
              <w:rPr>
                <w:rFonts w:hint="eastAsia" w:ascii="宋体" w:hAnsi="宋体" w:eastAsia="宋体" w:cs="宋体"/>
                <w:i w:val="0"/>
                <w:iCs w:val="0"/>
                <w:color w:val="000000"/>
                <w:sz w:val="20"/>
                <w:szCs w:val="20"/>
                <w:u w:val="none"/>
              </w:rPr>
            </w:pPr>
          </w:p>
        </w:tc>
      </w:tr>
      <w:tr w14:paraId="54CD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150" w:type="dxa"/>
            <w:gridSpan w:val="7"/>
            <w:tcBorders>
              <w:top w:val="single" w:color="000000" w:sz="4" w:space="0"/>
              <w:left w:val="nil"/>
              <w:bottom w:val="nil"/>
              <w:right w:val="nil"/>
            </w:tcBorders>
            <w:shd w:val="clear" w:color="auto" w:fill="auto"/>
            <w:noWrap/>
            <w:vAlign w:val="center"/>
          </w:tcPr>
          <w:p w14:paraId="5520526B">
            <w:pPr>
              <w:jc w:val="center"/>
              <w:rPr>
                <w:rFonts w:hint="eastAsia" w:ascii="宋体" w:hAnsi="宋体" w:eastAsia="宋体" w:cs="宋体"/>
                <w:i w:val="0"/>
                <w:iCs w:val="0"/>
                <w:color w:val="000000"/>
                <w:sz w:val="20"/>
                <w:szCs w:val="20"/>
                <w:u w:val="none"/>
              </w:rPr>
            </w:pPr>
          </w:p>
        </w:tc>
      </w:tr>
      <w:tr w14:paraId="36CA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111238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hint="eastAsia" w:ascii="宋体" w:hAnsi="宋体" w:eastAsia="宋体" w:cs="宋体"/>
                <w:i w:val="0"/>
                <w:iCs w:val="0"/>
                <w:color w:val="000000"/>
                <w:kern w:val="0"/>
                <w:sz w:val="20"/>
                <w:szCs w:val="20"/>
                <w:u w:val="none"/>
                <w:lang w:val="en-US" w:eastAsia="zh-CN" w:bidi="ar"/>
              </w:rPr>
              <w:t xml:space="preserve">       </w:t>
            </w:r>
          </w:p>
        </w:tc>
      </w:tr>
      <w:tr w14:paraId="11B8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243FA1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14:paraId="27E9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19F2BC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日       </w:t>
            </w:r>
          </w:p>
        </w:tc>
      </w:tr>
      <w:tr w14:paraId="6159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0" w:type="dxa"/>
            <w:gridSpan w:val="7"/>
            <w:tcBorders>
              <w:top w:val="nil"/>
              <w:left w:val="nil"/>
              <w:bottom w:val="nil"/>
              <w:right w:val="nil"/>
            </w:tcBorders>
            <w:shd w:val="clear" w:color="auto" w:fill="auto"/>
            <w:vAlign w:val="center"/>
          </w:tcPr>
          <w:p w14:paraId="345B7EF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14:paraId="4D14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14:paraId="5BED65E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合同编号：HCF2025—CGZB—015</w:t>
            </w:r>
          </w:p>
        </w:tc>
        <w:tc>
          <w:tcPr>
            <w:tcW w:w="2287" w:type="dxa"/>
            <w:gridSpan w:val="2"/>
            <w:tcBorders>
              <w:top w:val="nil"/>
              <w:left w:val="nil"/>
              <w:bottom w:val="nil"/>
              <w:right w:val="nil"/>
            </w:tcBorders>
            <w:shd w:val="clear" w:color="auto" w:fill="auto"/>
            <w:noWrap/>
            <w:vAlign w:val="bottom"/>
          </w:tcPr>
          <w:p w14:paraId="4AC8E6C2">
            <w:pPr>
              <w:jc w:val="right"/>
              <w:rPr>
                <w:rFonts w:hint="eastAsia" w:ascii="宋体" w:hAnsi="宋体" w:eastAsia="宋体" w:cs="宋体"/>
                <w:i w:val="0"/>
                <w:iCs w:val="0"/>
                <w:color w:val="000000"/>
                <w:sz w:val="20"/>
                <w:szCs w:val="20"/>
                <w:u w:val="none"/>
              </w:rPr>
            </w:pPr>
          </w:p>
        </w:tc>
      </w:tr>
      <w:tr w14:paraId="0A29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0" w:type="dxa"/>
            <w:gridSpan w:val="7"/>
            <w:tcBorders>
              <w:top w:val="nil"/>
              <w:left w:val="nil"/>
              <w:bottom w:val="nil"/>
              <w:right w:val="nil"/>
            </w:tcBorders>
            <w:shd w:val="clear" w:color="auto" w:fill="auto"/>
            <w:noWrap/>
            <w:vAlign w:val="center"/>
          </w:tcPr>
          <w:p w14:paraId="68D96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富平县2025年农村饮水工程维修养护项目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（标段名称）</w:t>
            </w:r>
          </w:p>
        </w:tc>
      </w:tr>
      <w:tr w14:paraId="2CAA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57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6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BB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3F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EE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74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CA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188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32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恢复混凝土地面（厚度18cm，C25混凝土）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A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DA6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A69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ED7">
            <w:pPr>
              <w:jc w:val="center"/>
              <w:rPr>
                <w:rFonts w:hint="eastAsia" w:ascii="宋体" w:hAnsi="宋体" w:eastAsia="宋体" w:cs="宋体"/>
                <w:i w:val="0"/>
                <w:iCs w:val="0"/>
                <w:color w:val="000000"/>
                <w:sz w:val="20"/>
                <w:szCs w:val="20"/>
                <w:u w:val="none"/>
              </w:rPr>
            </w:pPr>
          </w:p>
        </w:tc>
      </w:tr>
      <w:tr w14:paraId="4802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8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4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dn110PE管铺设（1.6Mpa)</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D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AE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E03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B80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EBB8">
            <w:pPr>
              <w:jc w:val="center"/>
              <w:rPr>
                <w:rFonts w:hint="eastAsia" w:ascii="宋体" w:hAnsi="宋体" w:eastAsia="宋体" w:cs="宋体"/>
                <w:i w:val="0"/>
                <w:iCs w:val="0"/>
                <w:color w:val="000000"/>
                <w:sz w:val="20"/>
                <w:szCs w:val="20"/>
                <w:u w:val="none"/>
              </w:rPr>
            </w:pPr>
          </w:p>
        </w:tc>
      </w:tr>
      <w:tr w14:paraId="6799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81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1.2.2.3.6</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6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dn75PE管铺设（1.6Mpa)</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2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E3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478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4E9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1A45">
            <w:pPr>
              <w:jc w:val="center"/>
              <w:rPr>
                <w:rFonts w:hint="eastAsia" w:ascii="宋体" w:hAnsi="宋体" w:eastAsia="宋体" w:cs="宋体"/>
                <w:i w:val="0"/>
                <w:iCs w:val="0"/>
                <w:color w:val="000000"/>
                <w:sz w:val="20"/>
                <w:szCs w:val="20"/>
                <w:u w:val="none"/>
              </w:rPr>
            </w:pPr>
          </w:p>
        </w:tc>
      </w:tr>
      <w:tr w14:paraId="17F3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1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4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留古供水工程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8EBD">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B1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980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840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9B59">
            <w:pPr>
              <w:jc w:val="center"/>
              <w:rPr>
                <w:rFonts w:hint="eastAsia" w:ascii="宋体" w:hAnsi="宋体" w:eastAsia="宋体" w:cs="宋体"/>
                <w:i w:val="0"/>
                <w:iCs w:val="0"/>
                <w:color w:val="000000"/>
                <w:sz w:val="20"/>
                <w:szCs w:val="20"/>
                <w:u w:val="none"/>
              </w:rPr>
            </w:pPr>
          </w:p>
        </w:tc>
      </w:tr>
      <w:tr w14:paraId="03F6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03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B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维修改造惠刘水源地加压泵房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0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07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96D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9F1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0E54">
            <w:pPr>
              <w:jc w:val="center"/>
              <w:rPr>
                <w:rFonts w:hint="eastAsia" w:ascii="宋体" w:hAnsi="宋体" w:eastAsia="宋体" w:cs="宋体"/>
                <w:i w:val="0"/>
                <w:iCs w:val="0"/>
                <w:color w:val="000000"/>
                <w:sz w:val="20"/>
                <w:szCs w:val="20"/>
                <w:u w:val="none"/>
              </w:rPr>
            </w:pPr>
          </w:p>
        </w:tc>
      </w:tr>
      <w:tr w14:paraId="554B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0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D4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墙面做PVC扣板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5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EF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369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38E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03DB">
            <w:pPr>
              <w:jc w:val="center"/>
              <w:rPr>
                <w:rFonts w:hint="eastAsia" w:ascii="宋体" w:hAnsi="宋体" w:eastAsia="宋体" w:cs="宋体"/>
                <w:i w:val="0"/>
                <w:iCs w:val="0"/>
                <w:color w:val="000000"/>
                <w:sz w:val="20"/>
                <w:szCs w:val="20"/>
                <w:u w:val="none"/>
              </w:rPr>
            </w:pPr>
          </w:p>
        </w:tc>
      </w:tr>
      <w:tr w14:paraId="0F8C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67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7B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地胶地面</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E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25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46C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0A7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6990">
            <w:pPr>
              <w:jc w:val="center"/>
              <w:rPr>
                <w:rFonts w:hint="eastAsia" w:ascii="宋体" w:hAnsi="宋体" w:eastAsia="宋体" w:cs="宋体"/>
                <w:i w:val="0"/>
                <w:iCs w:val="0"/>
                <w:color w:val="000000"/>
                <w:sz w:val="20"/>
                <w:szCs w:val="20"/>
                <w:u w:val="none"/>
              </w:rPr>
            </w:pPr>
          </w:p>
        </w:tc>
      </w:tr>
      <w:tr w14:paraId="0D9E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C4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2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皇甫村、三寨村、大众村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8523">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3F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B15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D76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FB16">
            <w:pPr>
              <w:jc w:val="center"/>
              <w:rPr>
                <w:rFonts w:hint="eastAsia" w:ascii="宋体" w:hAnsi="宋体" w:eastAsia="宋体" w:cs="宋体"/>
                <w:i w:val="0"/>
                <w:iCs w:val="0"/>
                <w:color w:val="000000"/>
                <w:sz w:val="20"/>
                <w:szCs w:val="20"/>
                <w:u w:val="none"/>
              </w:rPr>
            </w:pPr>
          </w:p>
        </w:tc>
      </w:tr>
      <w:tr w14:paraId="41F2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A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A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砖砌阀门井</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A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EB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037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6D3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699">
            <w:pPr>
              <w:jc w:val="center"/>
              <w:rPr>
                <w:rFonts w:hint="eastAsia" w:ascii="宋体" w:hAnsi="宋体" w:eastAsia="宋体" w:cs="宋体"/>
                <w:i w:val="0"/>
                <w:iCs w:val="0"/>
                <w:color w:val="000000"/>
                <w:sz w:val="20"/>
                <w:szCs w:val="20"/>
                <w:u w:val="none"/>
              </w:rPr>
            </w:pPr>
          </w:p>
        </w:tc>
      </w:tr>
      <w:tr w14:paraId="6ABB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0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2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管道维修</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B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F8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EBF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105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92E0">
            <w:pPr>
              <w:jc w:val="center"/>
              <w:rPr>
                <w:rFonts w:hint="eastAsia" w:ascii="宋体" w:hAnsi="宋体" w:eastAsia="宋体" w:cs="宋体"/>
                <w:i w:val="0"/>
                <w:iCs w:val="0"/>
                <w:color w:val="000000"/>
                <w:sz w:val="20"/>
                <w:szCs w:val="20"/>
                <w:u w:val="none"/>
              </w:rPr>
            </w:pPr>
          </w:p>
        </w:tc>
      </w:tr>
      <w:tr w14:paraId="0646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2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4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拆除混凝土地面（（厚度18cm）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D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4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5E8F">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BC4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AB90">
            <w:pPr>
              <w:jc w:val="center"/>
              <w:rPr>
                <w:rFonts w:hint="eastAsia" w:ascii="宋体" w:hAnsi="宋体" w:eastAsia="宋体" w:cs="宋体"/>
                <w:i w:val="0"/>
                <w:iCs w:val="0"/>
                <w:color w:val="000000"/>
                <w:sz w:val="20"/>
                <w:szCs w:val="20"/>
                <w:u w:val="none"/>
              </w:rPr>
            </w:pPr>
          </w:p>
        </w:tc>
      </w:tr>
      <w:tr w14:paraId="367A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9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D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8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8D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074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9ED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3BA0">
            <w:pPr>
              <w:jc w:val="center"/>
              <w:rPr>
                <w:rFonts w:hint="eastAsia" w:ascii="宋体" w:hAnsi="宋体" w:eastAsia="宋体" w:cs="宋体"/>
                <w:i w:val="0"/>
                <w:iCs w:val="0"/>
                <w:color w:val="000000"/>
                <w:sz w:val="20"/>
                <w:szCs w:val="20"/>
                <w:u w:val="none"/>
              </w:rPr>
            </w:pPr>
          </w:p>
        </w:tc>
      </w:tr>
      <w:tr w14:paraId="0CD5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74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B3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6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8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4A75">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C60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E5B5">
            <w:pPr>
              <w:jc w:val="center"/>
              <w:rPr>
                <w:rFonts w:hint="eastAsia" w:ascii="宋体" w:hAnsi="宋体" w:eastAsia="宋体" w:cs="宋体"/>
                <w:i w:val="0"/>
                <w:iCs w:val="0"/>
                <w:color w:val="000000"/>
                <w:sz w:val="20"/>
                <w:szCs w:val="20"/>
                <w:u w:val="none"/>
              </w:rPr>
            </w:pPr>
          </w:p>
        </w:tc>
      </w:tr>
      <w:tr w14:paraId="31FF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7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E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恢复混凝土地面（厚度18cm，C25混凝土）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B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7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8533">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456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7A38">
            <w:pPr>
              <w:jc w:val="center"/>
              <w:rPr>
                <w:rFonts w:hint="eastAsia" w:ascii="宋体" w:hAnsi="宋体" w:eastAsia="宋体" w:cs="宋体"/>
                <w:i w:val="0"/>
                <w:iCs w:val="0"/>
                <w:color w:val="000000"/>
                <w:sz w:val="20"/>
                <w:szCs w:val="20"/>
                <w:u w:val="none"/>
              </w:rPr>
            </w:pPr>
          </w:p>
        </w:tc>
      </w:tr>
      <w:tr w14:paraId="6565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BB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dn40PE管道(1.6mpa)</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5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5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FC1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EC1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723E">
            <w:pPr>
              <w:jc w:val="center"/>
              <w:rPr>
                <w:rFonts w:hint="eastAsia" w:ascii="宋体" w:hAnsi="宋体" w:eastAsia="宋体" w:cs="宋体"/>
                <w:i w:val="0"/>
                <w:iCs w:val="0"/>
                <w:color w:val="000000"/>
                <w:sz w:val="20"/>
                <w:szCs w:val="20"/>
                <w:u w:val="none"/>
              </w:rPr>
            </w:pPr>
          </w:p>
        </w:tc>
      </w:tr>
      <w:tr w14:paraId="3163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1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1.3.2.2.6</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B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dn32PE管道(1.6mpa)</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6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0A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50F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D9F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5B73">
            <w:pPr>
              <w:jc w:val="center"/>
              <w:rPr>
                <w:rFonts w:hint="eastAsia" w:ascii="宋体" w:hAnsi="宋体" w:eastAsia="宋体" w:cs="宋体"/>
                <w:i w:val="0"/>
                <w:iCs w:val="0"/>
                <w:color w:val="000000"/>
                <w:sz w:val="20"/>
                <w:szCs w:val="20"/>
                <w:u w:val="none"/>
              </w:rPr>
            </w:pPr>
          </w:p>
        </w:tc>
      </w:tr>
      <w:tr w14:paraId="035D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E1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3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老庙镇岳白村引泉工程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3D20">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EE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5BA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012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E77B">
            <w:pPr>
              <w:jc w:val="center"/>
              <w:rPr>
                <w:rFonts w:hint="eastAsia" w:ascii="宋体" w:hAnsi="宋体" w:eastAsia="宋体" w:cs="宋体"/>
                <w:i w:val="0"/>
                <w:iCs w:val="0"/>
                <w:color w:val="000000"/>
                <w:sz w:val="20"/>
                <w:szCs w:val="20"/>
                <w:u w:val="none"/>
              </w:rPr>
            </w:pPr>
          </w:p>
        </w:tc>
      </w:tr>
      <w:tr w14:paraId="736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D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D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9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9383">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D151">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6D1D">
            <w:pPr>
              <w:jc w:val="center"/>
              <w:rPr>
                <w:rFonts w:hint="eastAsia" w:ascii="宋体" w:hAnsi="宋体" w:eastAsia="宋体" w:cs="宋体"/>
                <w:i w:val="0"/>
                <w:iCs w:val="0"/>
                <w:color w:val="000000"/>
                <w:sz w:val="20"/>
                <w:szCs w:val="20"/>
                <w:u w:val="none"/>
              </w:rPr>
            </w:pPr>
          </w:p>
        </w:tc>
      </w:tr>
      <w:tr w14:paraId="6C0B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C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A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A3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3F2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4DF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C466">
            <w:pPr>
              <w:jc w:val="center"/>
              <w:rPr>
                <w:rFonts w:hint="eastAsia" w:ascii="宋体" w:hAnsi="宋体" w:eastAsia="宋体" w:cs="宋体"/>
                <w:i w:val="0"/>
                <w:iCs w:val="0"/>
                <w:color w:val="000000"/>
                <w:sz w:val="20"/>
                <w:szCs w:val="20"/>
                <w:u w:val="none"/>
              </w:rPr>
            </w:pPr>
          </w:p>
        </w:tc>
      </w:tr>
      <w:tr w14:paraId="7357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4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A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dn63PE管铺设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5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63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C0A8">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8CB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9E5B">
            <w:pPr>
              <w:jc w:val="center"/>
              <w:rPr>
                <w:rFonts w:hint="eastAsia" w:ascii="宋体" w:hAnsi="宋体" w:eastAsia="宋体" w:cs="宋体"/>
                <w:i w:val="0"/>
                <w:iCs w:val="0"/>
                <w:color w:val="000000"/>
                <w:sz w:val="20"/>
                <w:szCs w:val="20"/>
                <w:u w:val="none"/>
              </w:rPr>
            </w:pPr>
          </w:p>
        </w:tc>
      </w:tr>
      <w:tr w14:paraId="7183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F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A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流曲供水工程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FF67">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3B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01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E33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B055">
            <w:pPr>
              <w:jc w:val="center"/>
              <w:rPr>
                <w:rFonts w:hint="eastAsia" w:ascii="宋体" w:hAnsi="宋体" w:eastAsia="宋体" w:cs="宋体"/>
                <w:i w:val="0"/>
                <w:iCs w:val="0"/>
                <w:color w:val="000000"/>
                <w:sz w:val="20"/>
                <w:szCs w:val="20"/>
                <w:u w:val="none"/>
              </w:rPr>
            </w:pPr>
          </w:p>
        </w:tc>
      </w:tr>
      <w:tr w14:paraId="078B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D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B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簸张加压站</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C025">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D8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913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B4B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BC20">
            <w:pPr>
              <w:jc w:val="center"/>
              <w:rPr>
                <w:rFonts w:hint="eastAsia" w:ascii="宋体" w:hAnsi="宋体" w:eastAsia="宋体" w:cs="宋体"/>
                <w:i w:val="0"/>
                <w:iCs w:val="0"/>
                <w:color w:val="000000"/>
                <w:sz w:val="20"/>
                <w:szCs w:val="20"/>
                <w:u w:val="none"/>
              </w:rPr>
            </w:pPr>
          </w:p>
        </w:tc>
      </w:tr>
      <w:tr w14:paraId="3A36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2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3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加压泵房维修</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A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D7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66B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CA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C87F">
            <w:pPr>
              <w:jc w:val="center"/>
              <w:rPr>
                <w:rFonts w:hint="eastAsia" w:ascii="宋体" w:hAnsi="宋体" w:eastAsia="宋体" w:cs="宋体"/>
                <w:i w:val="0"/>
                <w:iCs w:val="0"/>
                <w:color w:val="000000"/>
                <w:sz w:val="20"/>
                <w:szCs w:val="20"/>
                <w:u w:val="none"/>
              </w:rPr>
            </w:pPr>
          </w:p>
        </w:tc>
      </w:tr>
      <w:tr w14:paraId="0E60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3FF000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hint="eastAsia" w:ascii="宋体" w:hAnsi="宋体" w:eastAsia="宋体" w:cs="宋体"/>
                <w:i w:val="0"/>
                <w:iCs w:val="0"/>
                <w:color w:val="000000"/>
                <w:kern w:val="0"/>
                <w:sz w:val="20"/>
                <w:szCs w:val="20"/>
                <w:u w:val="none"/>
                <w:lang w:val="en-US" w:eastAsia="zh-CN" w:bidi="ar"/>
              </w:rPr>
              <w:t xml:space="preserve">       </w:t>
            </w:r>
          </w:p>
        </w:tc>
      </w:tr>
      <w:tr w14:paraId="19C7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72BEA7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14:paraId="5547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0AB481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日       </w:t>
            </w:r>
          </w:p>
        </w:tc>
      </w:tr>
      <w:tr w14:paraId="4484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0" w:type="dxa"/>
            <w:gridSpan w:val="7"/>
            <w:tcBorders>
              <w:top w:val="nil"/>
              <w:left w:val="nil"/>
              <w:bottom w:val="nil"/>
              <w:right w:val="nil"/>
            </w:tcBorders>
            <w:shd w:val="clear" w:color="auto" w:fill="auto"/>
            <w:vAlign w:val="center"/>
          </w:tcPr>
          <w:p w14:paraId="76A9F50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14:paraId="3B12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14:paraId="4DB4F89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合同编号：HCF2025—CGZB—015</w:t>
            </w:r>
          </w:p>
        </w:tc>
        <w:tc>
          <w:tcPr>
            <w:tcW w:w="2287" w:type="dxa"/>
            <w:gridSpan w:val="2"/>
            <w:tcBorders>
              <w:top w:val="nil"/>
              <w:left w:val="nil"/>
              <w:bottom w:val="nil"/>
              <w:right w:val="nil"/>
            </w:tcBorders>
            <w:shd w:val="clear" w:color="auto" w:fill="auto"/>
            <w:noWrap/>
            <w:vAlign w:val="bottom"/>
          </w:tcPr>
          <w:p w14:paraId="76C124BC">
            <w:pPr>
              <w:jc w:val="right"/>
              <w:rPr>
                <w:rFonts w:hint="eastAsia" w:ascii="宋体" w:hAnsi="宋体" w:eastAsia="宋体" w:cs="宋体"/>
                <w:i w:val="0"/>
                <w:iCs w:val="0"/>
                <w:color w:val="000000"/>
                <w:sz w:val="20"/>
                <w:szCs w:val="20"/>
                <w:u w:val="none"/>
              </w:rPr>
            </w:pPr>
          </w:p>
        </w:tc>
      </w:tr>
      <w:tr w14:paraId="63B7F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150" w:type="dxa"/>
            <w:gridSpan w:val="7"/>
            <w:tcBorders>
              <w:top w:val="nil"/>
              <w:left w:val="nil"/>
              <w:bottom w:val="nil"/>
              <w:right w:val="nil"/>
            </w:tcBorders>
            <w:shd w:val="clear" w:color="auto" w:fill="auto"/>
            <w:noWrap/>
            <w:vAlign w:val="center"/>
          </w:tcPr>
          <w:p w14:paraId="790FA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富平县2025年农村饮水工程维修养护项目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（标段名称）</w:t>
            </w:r>
          </w:p>
        </w:tc>
      </w:tr>
      <w:tr w14:paraId="2334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CC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7D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DD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C9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0C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34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36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D92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0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15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拆除原有彩钢瓦并垃圾清运</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0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83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AC9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9CD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2FFD">
            <w:pPr>
              <w:jc w:val="center"/>
              <w:rPr>
                <w:rFonts w:hint="eastAsia" w:ascii="宋体" w:hAnsi="宋体" w:eastAsia="宋体" w:cs="宋体"/>
                <w:i w:val="0"/>
                <w:iCs w:val="0"/>
                <w:color w:val="000000"/>
                <w:sz w:val="20"/>
                <w:szCs w:val="20"/>
                <w:u w:val="none"/>
              </w:rPr>
            </w:pPr>
          </w:p>
        </w:tc>
      </w:tr>
      <w:tr w14:paraId="15F2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1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8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新安装10cm厚保温棉彩钢瓦</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9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23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505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A46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3C44">
            <w:pPr>
              <w:jc w:val="center"/>
              <w:rPr>
                <w:rFonts w:hint="eastAsia" w:ascii="宋体" w:hAnsi="宋体" w:eastAsia="宋体" w:cs="宋体"/>
                <w:i w:val="0"/>
                <w:iCs w:val="0"/>
                <w:color w:val="000000"/>
                <w:sz w:val="20"/>
                <w:szCs w:val="20"/>
                <w:u w:val="none"/>
              </w:rPr>
            </w:pPr>
          </w:p>
        </w:tc>
      </w:tr>
      <w:tr w14:paraId="25BE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89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8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泵房砖墙加高60cm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4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D7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0B5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6CB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8A2F">
            <w:pPr>
              <w:jc w:val="center"/>
              <w:rPr>
                <w:rFonts w:hint="eastAsia" w:ascii="宋体" w:hAnsi="宋体" w:eastAsia="宋体" w:cs="宋体"/>
                <w:i w:val="0"/>
                <w:iCs w:val="0"/>
                <w:color w:val="000000"/>
                <w:sz w:val="20"/>
                <w:szCs w:val="20"/>
                <w:u w:val="none"/>
              </w:rPr>
            </w:pPr>
          </w:p>
        </w:tc>
      </w:tr>
      <w:tr w14:paraId="2FC0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B7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5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内、外墙面M10水泥砂浆抹面</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F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44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A28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7E3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27D2">
            <w:pPr>
              <w:jc w:val="center"/>
              <w:rPr>
                <w:rFonts w:hint="eastAsia" w:ascii="宋体" w:hAnsi="宋体" w:eastAsia="宋体" w:cs="宋体"/>
                <w:i w:val="0"/>
                <w:iCs w:val="0"/>
                <w:color w:val="000000"/>
                <w:sz w:val="20"/>
                <w:szCs w:val="20"/>
                <w:u w:val="none"/>
              </w:rPr>
            </w:pPr>
          </w:p>
        </w:tc>
      </w:tr>
      <w:tr w14:paraId="21A1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4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外墙面防水米黄色涂料二遍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B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17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F90F">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D93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1871">
            <w:pPr>
              <w:jc w:val="center"/>
              <w:rPr>
                <w:rFonts w:hint="eastAsia" w:ascii="宋体" w:hAnsi="宋体" w:eastAsia="宋体" w:cs="宋体"/>
                <w:i w:val="0"/>
                <w:iCs w:val="0"/>
                <w:color w:val="000000"/>
                <w:sz w:val="20"/>
                <w:szCs w:val="20"/>
                <w:u w:val="none"/>
              </w:rPr>
            </w:pPr>
          </w:p>
        </w:tc>
      </w:tr>
      <w:tr w14:paraId="0E45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3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1.5.1.1.6</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D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墙面做PVC扣板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5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2E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35E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013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FF6E">
            <w:pPr>
              <w:jc w:val="center"/>
              <w:rPr>
                <w:rFonts w:hint="eastAsia" w:ascii="宋体" w:hAnsi="宋体" w:eastAsia="宋体" w:cs="宋体"/>
                <w:i w:val="0"/>
                <w:iCs w:val="0"/>
                <w:color w:val="000000"/>
                <w:sz w:val="20"/>
                <w:szCs w:val="20"/>
                <w:u w:val="none"/>
              </w:rPr>
            </w:pPr>
          </w:p>
        </w:tc>
      </w:tr>
      <w:tr w14:paraId="0324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B4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3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100m³蓄水池维修</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D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D1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D60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CC7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A0FB">
            <w:pPr>
              <w:jc w:val="center"/>
              <w:rPr>
                <w:rFonts w:hint="eastAsia" w:ascii="宋体" w:hAnsi="宋体" w:eastAsia="宋体" w:cs="宋体"/>
                <w:i w:val="0"/>
                <w:iCs w:val="0"/>
                <w:color w:val="000000"/>
                <w:sz w:val="20"/>
                <w:szCs w:val="20"/>
                <w:u w:val="none"/>
              </w:rPr>
            </w:pPr>
          </w:p>
        </w:tc>
      </w:tr>
      <w:tr w14:paraId="08DE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CA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池顶清理，场地平整</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2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F3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D57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22B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C386">
            <w:pPr>
              <w:jc w:val="center"/>
              <w:rPr>
                <w:rFonts w:hint="eastAsia" w:ascii="宋体" w:hAnsi="宋体" w:eastAsia="宋体" w:cs="宋体"/>
                <w:i w:val="0"/>
                <w:iCs w:val="0"/>
                <w:color w:val="000000"/>
                <w:sz w:val="20"/>
                <w:szCs w:val="20"/>
                <w:u w:val="none"/>
              </w:rPr>
            </w:pPr>
          </w:p>
        </w:tc>
      </w:tr>
      <w:tr w14:paraId="531F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A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池顶混凝土防水处理（厚度10cm）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5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F4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F524">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78C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89D1">
            <w:pPr>
              <w:jc w:val="center"/>
              <w:rPr>
                <w:rFonts w:hint="eastAsia" w:ascii="宋体" w:hAnsi="宋体" w:eastAsia="宋体" w:cs="宋体"/>
                <w:i w:val="0"/>
                <w:iCs w:val="0"/>
                <w:color w:val="000000"/>
                <w:sz w:val="20"/>
                <w:szCs w:val="20"/>
                <w:u w:val="none"/>
              </w:rPr>
            </w:pPr>
          </w:p>
        </w:tc>
      </w:tr>
      <w:tr w14:paraId="70B1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A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铲除池壁原水泥砂浆抹面，清理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基层，新做M10水泥砂浆抹面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20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ADC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ED8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ED31">
            <w:pPr>
              <w:jc w:val="center"/>
              <w:rPr>
                <w:rFonts w:hint="eastAsia" w:ascii="宋体" w:hAnsi="宋体" w:eastAsia="宋体" w:cs="宋体"/>
                <w:i w:val="0"/>
                <w:iCs w:val="0"/>
                <w:color w:val="000000"/>
                <w:sz w:val="20"/>
                <w:szCs w:val="20"/>
                <w:u w:val="none"/>
              </w:rPr>
            </w:pPr>
          </w:p>
        </w:tc>
      </w:tr>
      <w:tr w14:paraId="091B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C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E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外池壁刷真石漆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2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46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7B58">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164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3513">
            <w:pPr>
              <w:jc w:val="center"/>
              <w:rPr>
                <w:rFonts w:hint="eastAsia" w:ascii="宋体" w:hAnsi="宋体" w:eastAsia="宋体" w:cs="宋体"/>
                <w:i w:val="0"/>
                <w:iCs w:val="0"/>
                <w:color w:val="000000"/>
                <w:sz w:val="20"/>
                <w:szCs w:val="20"/>
                <w:u w:val="none"/>
              </w:rPr>
            </w:pPr>
          </w:p>
        </w:tc>
      </w:tr>
      <w:tr w14:paraId="74BF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C7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F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办公房</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7A9F">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3C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5C0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7A3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E9BE">
            <w:pPr>
              <w:jc w:val="center"/>
              <w:rPr>
                <w:rFonts w:hint="eastAsia" w:ascii="宋体" w:hAnsi="宋体" w:eastAsia="宋体" w:cs="宋体"/>
                <w:i w:val="0"/>
                <w:iCs w:val="0"/>
                <w:color w:val="000000"/>
                <w:sz w:val="20"/>
                <w:szCs w:val="20"/>
                <w:u w:val="none"/>
              </w:rPr>
            </w:pPr>
          </w:p>
        </w:tc>
      </w:tr>
      <w:tr w14:paraId="2A44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E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1.5.1.3.1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5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拆除原有散水（含垃圾外运、垃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圾费）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D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B7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9B0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661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3A91">
            <w:pPr>
              <w:jc w:val="center"/>
              <w:rPr>
                <w:rFonts w:hint="eastAsia" w:ascii="宋体" w:hAnsi="宋体" w:eastAsia="宋体" w:cs="宋体"/>
                <w:i w:val="0"/>
                <w:iCs w:val="0"/>
                <w:color w:val="000000"/>
                <w:sz w:val="20"/>
                <w:szCs w:val="20"/>
                <w:u w:val="none"/>
              </w:rPr>
            </w:pPr>
          </w:p>
        </w:tc>
      </w:tr>
      <w:tr w14:paraId="49F4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A8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1.5.1.3.2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3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办公房散水、混凝土地面</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3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45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EB1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C46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5994">
            <w:pPr>
              <w:jc w:val="center"/>
              <w:rPr>
                <w:rFonts w:hint="eastAsia" w:ascii="宋体" w:hAnsi="宋体" w:eastAsia="宋体" w:cs="宋体"/>
                <w:i w:val="0"/>
                <w:iCs w:val="0"/>
                <w:color w:val="000000"/>
                <w:sz w:val="20"/>
                <w:szCs w:val="20"/>
                <w:u w:val="none"/>
              </w:rPr>
            </w:pPr>
          </w:p>
        </w:tc>
      </w:tr>
      <w:tr w14:paraId="6483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B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石灰道减压站</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CC2D">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D3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9BD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627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0ADE">
            <w:pPr>
              <w:jc w:val="center"/>
              <w:rPr>
                <w:rFonts w:hint="eastAsia" w:ascii="宋体" w:hAnsi="宋体" w:eastAsia="宋体" w:cs="宋体"/>
                <w:i w:val="0"/>
                <w:iCs w:val="0"/>
                <w:color w:val="000000"/>
                <w:sz w:val="20"/>
                <w:szCs w:val="20"/>
                <w:u w:val="none"/>
              </w:rPr>
            </w:pPr>
          </w:p>
        </w:tc>
      </w:tr>
      <w:tr w14:paraId="615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1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管理房屋面安装10cm厚保温棉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彩钢瓦</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5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9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9E6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BD1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A3D6">
            <w:pPr>
              <w:jc w:val="center"/>
              <w:rPr>
                <w:rFonts w:hint="eastAsia" w:ascii="宋体" w:hAnsi="宋体" w:eastAsia="宋体" w:cs="宋体"/>
                <w:i w:val="0"/>
                <w:iCs w:val="0"/>
                <w:color w:val="000000"/>
                <w:sz w:val="20"/>
                <w:szCs w:val="20"/>
                <w:u w:val="none"/>
              </w:rPr>
            </w:pPr>
          </w:p>
        </w:tc>
      </w:tr>
      <w:tr w14:paraId="2A4D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3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2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混凝土地面修复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3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69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A03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6FC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A94C">
            <w:pPr>
              <w:jc w:val="center"/>
              <w:rPr>
                <w:rFonts w:hint="eastAsia" w:ascii="宋体" w:hAnsi="宋体" w:eastAsia="宋体" w:cs="宋体"/>
                <w:i w:val="0"/>
                <w:iCs w:val="0"/>
                <w:color w:val="000000"/>
                <w:sz w:val="20"/>
                <w:szCs w:val="20"/>
                <w:u w:val="none"/>
              </w:rPr>
            </w:pPr>
          </w:p>
        </w:tc>
      </w:tr>
      <w:tr w14:paraId="2EB6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5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5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石灰道村索家组</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7B03">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6C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088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1AC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FC76">
            <w:pPr>
              <w:jc w:val="center"/>
              <w:rPr>
                <w:rFonts w:hint="eastAsia" w:ascii="宋体" w:hAnsi="宋体" w:eastAsia="宋体" w:cs="宋体"/>
                <w:i w:val="0"/>
                <w:iCs w:val="0"/>
                <w:color w:val="000000"/>
                <w:sz w:val="20"/>
                <w:szCs w:val="20"/>
                <w:u w:val="none"/>
              </w:rPr>
            </w:pPr>
          </w:p>
        </w:tc>
      </w:tr>
      <w:tr w14:paraId="00C5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6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A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砖砌阀门井</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5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CD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C26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1D0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8BF">
            <w:pPr>
              <w:jc w:val="center"/>
              <w:rPr>
                <w:rFonts w:hint="eastAsia" w:ascii="宋体" w:hAnsi="宋体" w:eastAsia="宋体" w:cs="宋体"/>
                <w:i w:val="0"/>
                <w:iCs w:val="0"/>
                <w:color w:val="000000"/>
                <w:sz w:val="20"/>
                <w:szCs w:val="20"/>
                <w:u w:val="none"/>
              </w:rPr>
            </w:pPr>
          </w:p>
        </w:tc>
      </w:tr>
      <w:tr w14:paraId="56AE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09ECFF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hint="eastAsia" w:ascii="宋体" w:hAnsi="宋体" w:eastAsia="宋体" w:cs="宋体"/>
                <w:i w:val="0"/>
                <w:iCs w:val="0"/>
                <w:color w:val="000000"/>
                <w:kern w:val="0"/>
                <w:sz w:val="20"/>
                <w:szCs w:val="20"/>
                <w:u w:val="none"/>
                <w:lang w:val="en-US" w:eastAsia="zh-CN" w:bidi="ar"/>
              </w:rPr>
              <w:t xml:space="preserve">       </w:t>
            </w:r>
          </w:p>
        </w:tc>
      </w:tr>
      <w:tr w14:paraId="063E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1CF088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14:paraId="13FA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30E9BA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日       </w:t>
            </w:r>
          </w:p>
        </w:tc>
      </w:tr>
      <w:tr w14:paraId="7913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50" w:type="dxa"/>
            <w:gridSpan w:val="7"/>
            <w:tcBorders>
              <w:top w:val="nil"/>
              <w:left w:val="nil"/>
              <w:bottom w:val="nil"/>
              <w:right w:val="nil"/>
            </w:tcBorders>
            <w:shd w:val="clear" w:color="auto" w:fill="auto"/>
            <w:vAlign w:val="center"/>
          </w:tcPr>
          <w:p w14:paraId="77C85EF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14:paraId="7C12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14:paraId="78D70D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合同编号：HCF2025—CGZB—015</w:t>
            </w:r>
          </w:p>
        </w:tc>
        <w:tc>
          <w:tcPr>
            <w:tcW w:w="2287" w:type="dxa"/>
            <w:gridSpan w:val="2"/>
            <w:tcBorders>
              <w:top w:val="nil"/>
              <w:left w:val="nil"/>
              <w:bottom w:val="nil"/>
              <w:right w:val="nil"/>
            </w:tcBorders>
            <w:shd w:val="clear" w:color="auto" w:fill="auto"/>
            <w:noWrap/>
            <w:vAlign w:val="bottom"/>
          </w:tcPr>
          <w:p w14:paraId="50B615A6">
            <w:pPr>
              <w:jc w:val="right"/>
              <w:rPr>
                <w:rFonts w:hint="eastAsia" w:ascii="宋体" w:hAnsi="宋体" w:eastAsia="宋体" w:cs="宋体"/>
                <w:i w:val="0"/>
                <w:iCs w:val="0"/>
                <w:color w:val="000000"/>
                <w:sz w:val="20"/>
                <w:szCs w:val="20"/>
                <w:u w:val="none"/>
              </w:rPr>
            </w:pPr>
          </w:p>
        </w:tc>
      </w:tr>
      <w:tr w14:paraId="6B6A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0" w:type="dxa"/>
            <w:gridSpan w:val="7"/>
            <w:tcBorders>
              <w:top w:val="nil"/>
              <w:left w:val="nil"/>
              <w:bottom w:val="nil"/>
              <w:right w:val="nil"/>
            </w:tcBorders>
            <w:shd w:val="clear" w:color="auto" w:fill="auto"/>
            <w:noWrap/>
            <w:vAlign w:val="center"/>
          </w:tcPr>
          <w:p w14:paraId="4DAE9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富平县2025年农村饮水工程维修养护项目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（标段名称）</w:t>
            </w:r>
          </w:p>
        </w:tc>
      </w:tr>
      <w:tr w14:paraId="4A18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AF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3B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74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E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B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E2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06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66E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1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2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中惠村-北耕村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A9D6">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AE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8B2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EE9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0F0D">
            <w:pPr>
              <w:jc w:val="center"/>
              <w:rPr>
                <w:rFonts w:hint="eastAsia" w:ascii="宋体" w:hAnsi="宋体" w:eastAsia="宋体" w:cs="宋体"/>
                <w:i w:val="0"/>
                <w:iCs w:val="0"/>
                <w:color w:val="000000"/>
                <w:sz w:val="20"/>
                <w:szCs w:val="20"/>
                <w:u w:val="none"/>
              </w:rPr>
            </w:pPr>
          </w:p>
        </w:tc>
      </w:tr>
      <w:tr w14:paraId="34F3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D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砖砌阀门井</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E3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4D4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C251">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A9EF">
            <w:pPr>
              <w:jc w:val="center"/>
              <w:rPr>
                <w:rFonts w:hint="eastAsia" w:ascii="宋体" w:hAnsi="宋体" w:eastAsia="宋体" w:cs="宋体"/>
                <w:i w:val="0"/>
                <w:iCs w:val="0"/>
                <w:color w:val="000000"/>
                <w:sz w:val="20"/>
                <w:szCs w:val="20"/>
                <w:u w:val="none"/>
              </w:rPr>
            </w:pPr>
          </w:p>
        </w:tc>
      </w:tr>
      <w:tr w14:paraId="13FE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2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C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管道维修</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7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B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C1E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125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425E">
            <w:pPr>
              <w:jc w:val="center"/>
              <w:rPr>
                <w:rFonts w:hint="eastAsia" w:ascii="宋体" w:hAnsi="宋体" w:eastAsia="宋体" w:cs="宋体"/>
                <w:i w:val="0"/>
                <w:iCs w:val="0"/>
                <w:color w:val="000000"/>
                <w:sz w:val="20"/>
                <w:szCs w:val="20"/>
                <w:u w:val="none"/>
              </w:rPr>
            </w:pPr>
          </w:p>
        </w:tc>
      </w:tr>
      <w:tr w14:paraId="0CEA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2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拆除混凝土地面（（厚度18cm）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7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340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8101">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1F8E">
            <w:pPr>
              <w:jc w:val="center"/>
              <w:rPr>
                <w:rFonts w:hint="eastAsia" w:ascii="宋体" w:hAnsi="宋体" w:eastAsia="宋体" w:cs="宋体"/>
                <w:i w:val="0"/>
                <w:iCs w:val="0"/>
                <w:color w:val="000000"/>
                <w:sz w:val="20"/>
                <w:szCs w:val="20"/>
                <w:u w:val="none"/>
              </w:rPr>
            </w:pPr>
          </w:p>
        </w:tc>
      </w:tr>
      <w:tr w14:paraId="04E2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F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26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3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0A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351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010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B051">
            <w:pPr>
              <w:jc w:val="center"/>
              <w:rPr>
                <w:rFonts w:hint="eastAsia" w:ascii="宋体" w:hAnsi="宋体" w:eastAsia="宋体" w:cs="宋体"/>
                <w:i w:val="0"/>
                <w:iCs w:val="0"/>
                <w:color w:val="000000"/>
                <w:sz w:val="20"/>
                <w:szCs w:val="20"/>
                <w:u w:val="none"/>
              </w:rPr>
            </w:pPr>
          </w:p>
        </w:tc>
      </w:tr>
      <w:tr w14:paraId="6E71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7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D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E0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4488">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342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DA7F">
            <w:pPr>
              <w:jc w:val="center"/>
              <w:rPr>
                <w:rFonts w:hint="eastAsia" w:ascii="宋体" w:hAnsi="宋体" w:eastAsia="宋体" w:cs="宋体"/>
                <w:i w:val="0"/>
                <w:iCs w:val="0"/>
                <w:color w:val="000000"/>
                <w:sz w:val="20"/>
                <w:szCs w:val="20"/>
                <w:u w:val="none"/>
              </w:rPr>
            </w:pPr>
          </w:p>
        </w:tc>
      </w:tr>
      <w:tr w14:paraId="0041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4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恢复混凝土地面（厚度18cm，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C25混凝土）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8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63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4DFF">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DA3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B5B8">
            <w:pPr>
              <w:jc w:val="center"/>
              <w:rPr>
                <w:rFonts w:hint="eastAsia" w:ascii="宋体" w:hAnsi="宋体" w:eastAsia="宋体" w:cs="宋体"/>
                <w:i w:val="0"/>
                <w:iCs w:val="0"/>
                <w:color w:val="000000"/>
                <w:sz w:val="20"/>
                <w:szCs w:val="20"/>
                <w:u w:val="none"/>
              </w:rPr>
            </w:pPr>
          </w:p>
        </w:tc>
      </w:tr>
      <w:tr w14:paraId="09E5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A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1.5.4.2.5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5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dn110PE管铺设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D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FC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0E1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BBD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C1B8">
            <w:pPr>
              <w:jc w:val="center"/>
              <w:rPr>
                <w:rFonts w:hint="eastAsia" w:ascii="宋体" w:hAnsi="宋体" w:eastAsia="宋体" w:cs="宋体"/>
                <w:i w:val="0"/>
                <w:iCs w:val="0"/>
                <w:color w:val="000000"/>
                <w:sz w:val="20"/>
                <w:szCs w:val="20"/>
                <w:u w:val="none"/>
              </w:rPr>
            </w:pPr>
          </w:p>
        </w:tc>
      </w:tr>
      <w:tr w14:paraId="487B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D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6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雷村供水工程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B142">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28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332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79A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A818">
            <w:pPr>
              <w:jc w:val="center"/>
              <w:rPr>
                <w:rFonts w:hint="eastAsia" w:ascii="宋体" w:hAnsi="宋体" w:eastAsia="宋体" w:cs="宋体"/>
                <w:i w:val="0"/>
                <w:iCs w:val="0"/>
                <w:color w:val="000000"/>
                <w:sz w:val="20"/>
                <w:szCs w:val="20"/>
                <w:u w:val="none"/>
              </w:rPr>
            </w:pPr>
          </w:p>
        </w:tc>
      </w:tr>
      <w:tr w14:paraId="4EFF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1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2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三合村管道维修</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3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FBE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1CD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0B9E">
            <w:pPr>
              <w:jc w:val="center"/>
              <w:rPr>
                <w:rFonts w:hint="eastAsia" w:ascii="宋体" w:hAnsi="宋体" w:eastAsia="宋体" w:cs="宋体"/>
                <w:i w:val="0"/>
                <w:iCs w:val="0"/>
                <w:color w:val="000000"/>
                <w:sz w:val="20"/>
                <w:szCs w:val="20"/>
                <w:u w:val="none"/>
              </w:rPr>
            </w:pPr>
          </w:p>
        </w:tc>
      </w:tr>
      <w:tr w14:paraId="18ED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1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4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拆除混凝土地面（（厚度18cm）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4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14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A0C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A65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3AF3">
            <w:pPr>
              <w:jc w:val="center"/>
              <w:rPr>
                <w:rFonts w:hint="eastAsia" w:ascii="宋体" w:hAnsi="宋体" w:eastAsia="宋体" w:cs="宋体"/>
                <w:i w:val="0"/>
                <w:iCs w:val="0"/>
                <w:color w:val="000000"/>
                <w:sz w:val="20"/>
                <w:szCs w:val="20"/>
                <w:u w:val="none"/>
              </w:rPr>
            </w:pPr>
          </w:p>
        </w:tc>
      </w:tr>
      <w:tr w14:paraId="4EB6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D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6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4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76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9DE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B72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9F61">
            <w:pPr>
              <w:jc w:val="center"/>
              <w:rPr>
                <w:rFonts w:hint="eastAsia" w:ascii="宋体" w:hAnsi="宋体" w:eastAsia="宋体" w:cs="宋体"/>
                <w:i w:val="0"/>
                <w:iCs w:val="0"/>
                <w:color w:val="000000"/>
                <w:sz w:val="20"/>
                <w:szCs w:val="20"/>
                <w:u w:val="none"/>
              </w:rPr>
            </w:pPr>
          </w:p>
        </w:tc>
      </w:tr>
      <w:tr w14:paraId="4CA3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38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A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4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9D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C82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A67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0862">
            <w:pPr>
              <w:jc w:val="center"/>
              <w:rPr>
                <w:rFonts w:hint="eastAsia" w:ascii="宋体" w:hAnsi="宋体" w:eastAsia="宋体" w:cs="宋体"/>
                <w:i w:val="0"/>
                <w:iCs w:val="0"/>
                <w:color w:val="000000"/>
                <w:sz w:val="20"/>
                <w:szCs w:val="20"/>
                <w:u w:val="none"/>
              </w:rPr>
            </w:pPr>
          </w:p>
        </w:tc>
      </w:tr>
      <w:tr w14:paraId="32BE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0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A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恢复混凝土地面（厚度18cm，C25混凝土）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2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72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D84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F9E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97DE">
            <w:pPr>
              <w:jc w:val="center"/>
              <w:rPr>
                <w:rFonts w:hint="eastAsia" w:ascii="宋体" w:hAnsi="宋体" w:eastAsia="宋体" w:cs="宋体"/>
                <w:i w:val="0"/>
                <w:iCs w:val="0"/>
                <w:color w:val="000000"/>
                <w:sz w:val="20"/>
                <w:szCs w:val="20"/>
                <w:u w:val="none"/>
              </w:rPr>
            </w:pPr>
          </w:p>
        </w:tc>
      </w:tr>
      <w:tr w14:paraId="3331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2D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7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dn63PE管铺设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B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5B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6DD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9F7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C56A">
            <w:pPr>
              <w:jc w:val="center"/>
              <w:rPr>
                <w:rFonts w:hint="eastAsia" w:ascii="宋体" w:hAnsi="宋体" w:eastAsia="宋体" w:cs="宋体"/>
                <w:i w:val="0"/>
                <w:iCs w:val="0"/>
                <w:color w:val="000000"/>
                <w:sz w:val="20"/>
                <w:szCs w:val="20"/>
                <w:u w:val="none"/>
              </w:rPr>
            </w:pPr>
          </w:p>
        </w:tc>
      </w:tr>
      <w:tr w14:paraId="1E0A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44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6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义门供水工程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CC46">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9C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663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9B5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D837">
            <w:pPr>
              <w:jc w:val="center"/>
              <w:rPr>
                <w:rFonts w:hint="eastAsia" w:ascii="宋体" w:hAnsi="宋体" w:eastAsia="宋体" w:cs="宋体"/>
                <w:i w:val="0"/>
                <w:iCs w:val="0"/>
                <w:color w:val="000000"/>
                <w:sz w:val="20"/>
                <w:szCs w:val="20"/>
                <w:u w:val="none"/>
              </w:rPr>
            </w:pPr>
          </w:p>
        </w:tc>
      </w:tr>
      <w:tr w14:paraId="7CFD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0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5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义门村管道维修</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B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52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474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6AE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86F5">
            <w:pPr>
              <w:jc w:val="center"/>
              <w:rPr>
                <w:rFonts w:hint="eastAsia" w:ascii="宋体" w:hAnsi="宋体" w:eastAsia="宋体" w:cs="宋体"/>
                <w:i w:val="0"/>
                <w:iCs w:val="0"/>
                <w:color w:val="000000"/>
                <w:sz w:val="20"/>
                <w:szCs w:val="20"/>
                <w:u w:val="none"/>
              </w:rPr>
            </w:pPr>
          </w:p>
        </w:tc>
      </w:tr>
      <w:tr w14:paraId="6301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E9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D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拆除混凝土地面（（厚度18cm）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6B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934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A97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74D3">
            <w:pPr>
              <w:jc w:val="center"/>
              <w:rPr>
                <w:rFonts w:hint="eastAsia" w:ascii="宋体" w:hAnsi="宋体" w:eastAsia="宋体" w:cs="宋体"/>
                <w:i w:val="0"/>
                <w:iCs w:val="0"/>
                <w:color w:val="000000"/>
                <w:sz w:val="20"/>
                <w:szCs w:val="20"/>
                <w:u w:val="none"/>
              </w:rPr>
            </w:pPr>
          </w:p>
        </w:tc>
      </w:tr>
      <w:tr w14:paraId="0866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C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5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1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6D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7A9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D33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2B41">
            <w:pPr>
              <w:jc w:val="center"/>
              <w:rPr>
                <w:rFonts w:hint="eastAsia" w:ascii="宋体" w:hAnsi="宋体" w:eastAsia="宋体" w:cs="宋体"/>
                <w:i w:val="0"/>
                <w:iCs w:val="0"/>
                <w:color w:val="000000"/>
                <w:sz w:val="20"/>
                <w:szCs w:val="20"/>
                <w:u w:val="none"/>
              </w:rPr>
            </w:pPr>
          </w:p>
        </w:tc>
      </w:tr>
      <w:tr w14:paraId="0051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2D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7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6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CA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39A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9B2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5A0F">
            <w:pPr>
              <w:jc w:val="center"/>
              <w:rPr>
                <w:rFonts w:hint="eastAsia" w:ascii="宋体" w:hAnsi="宋体" w:eastAsia="宋体" w:cs="宋体"/>
                <w:i w:val="0"/>
                <w:iCs w:val="0"/>
                <w:color w:val="000000"/>
                <w:sz w:val="20"/>
                <w:szCs w:val="20"/>
                <w:u w:val="none"/>
              </w:rPr>
            </w:pPr>
          </w:p>
        </w:tc>
      </w:tr>
      <w:tr w14:paraId="0768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0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恢复混凝土地面（厚度18cm，C25混凝土）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5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9C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5E3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389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EFD3">
            <w:pPr>
              <w:jc w:val="center"/>
              <w:rPr>
                <w:rFonts w:hint="eastAsia" w:ascii="宋体" w:hAnsi="宋体" w:eastAsia="宋体" w:cs="宋体"/>
                <w:i w:val="0"/>
                <w:iCs w:val="0"/>
                <w:color w:val="000000"/>
                <w:sz w:val="20"/>
                <w:szCs w:val="20"/>
                <w:u w:val="none"/>
              </w:rPr>
            </w:pPr>
          </w:p>
        </w:tc>
      </w:tr>
      <w:tr w14:paraId="24BA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30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6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dn50PE管道(1.6mpa)</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2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D7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940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290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F627">
            <w:pPr>
              <w:jc w:val="center"/>
              <w:rPr>
                <w:rFonts w:hint="eastAsia" w:ascii="宋体" w:hAnsi="宋体" w:eastAsia="宋体" w:cs="宋体"/>
                <w:i w:val="0"/>
                <w:iCs w:val="0"/>
                <w:color w:val="000000"/>
                <w:sz w:val="20"/>
                <w:szCs w:val="20"/>
                <w:u w:val="none"/>
              </w:rPr>
            </w:pPr>
          </w:p>
        </w:tc>
      </w:tr>
      <w:tr w14:paraId="058C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B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1.7.1.6</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dn32PE管道(1.6mpa)</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37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29C4">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AF0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06E2">
            <w:pPr>
              <w:jc w:val="center"/>
              <w:rPr>
                <w:rFonts w:hint="eastAsia" w:ascii="宋体" w:hAnsi="宋体" w:eastAsia="宋体" w:cs="宋体"/>
                <w:i w:val="0"/>
                <w:iCs w:val="0"/>
                <w:color w:val="000000"/>
                <w:sz w:val="20"/>
                <w:szCs w:val="20"/>
                <w:u w:val="none"/>
              </w:rPr>
            </w:pPr>
          </w:p>
        </w:tc>
      </w:tr>
      <w:tr w14:paraId="6CB0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51817D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hint="eastAsia" w:ascii="宋体" w:hAnsi="宋体" w:eastAsia="宋体" w:cs="宋体"/>
                <w:i w:val="0"/>
                <w:iCs w:val="0"/>
                <w:color w:val="000000"/>
                <w:kern w:val="0"/>
                <w:sz w:val="20"/>
                <w:szCs w:val="20"/>
                <w:u w:val="none"/>
                <w:lang w:val="en-US" w:eastAsia="zh-CN" w:bidi="ar"/>
              </w:rPr>
              <w:t xml:space="preserve">       </w:t>
            </w:r>
          </w:p>
        </w:tc>
      </w:tr>
      <w:tr w14:paraId="5365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60E0BA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14:paraId="5153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10623D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日       </w:t>
            </w:r>
          </w:p>
        </w:tc>
      </w:tr>
      <w:tr w14:paraId="4806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0" w:type="dxa"/>
            <w:gridSpan w:val="7"/>
            <w:tcBorders>
              <w:top w:val="nil"/>
              <w:left w:val="nil"/>
              <w:bottom w:val="nil"/>
              <w:right w:val="nil"/>
            </w:tcBorders>
            <w:shd w:val="clear" w:color="auto" w:fill="auto"/>
            <w:vAlign w:val="center"/>
          </w:tcPr>
          <w:p w14:paraId="482E465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14:paraId="28A5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14:paraId="1745C9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合同编号：HCF2025—CGZB—015</w:t>
            </w:r>
          </w:p>
        </w:tc>
        <w:tc>
          <w:tcPr>
            <w:tcW w:w="2287" w:type="dxa"/>
            <w:gridSpan w:val="2"/>
            <w:tcBorders>
              <w:top w:val="nil"/>
              <w:left w:val="nil"/>
              <w:bottom w:val="nil"/>
              <w:right w:val="nil"/>
            </w:tcBorders>
            <w:shd w:val="clear" w:color="auto" w:fill="auto"/>
            <w:noWrap/>
            <w:vAlign w:val="bottom"/>
          </w:tcPr>
          <w:p w14:paraId="161DDEB8">
            <w:pPr>
              <w:jc w:val="right"/>
              <w:rPr>
                <w:rFonts w:hint="eastAsia" w:ascii="宋体" w:hAnsi="宋体" w:eastAsia="宋体" w:cs="宋体"/>
                <w:i w:val="0"/>
                <w:iCs w:val="0"/>
                <w:color w:val="000000"/>
                <w:sz w:val="20"/>
                <w:szCs w:val="20"/>
                <w:u w:val="none"/>
              </w:rPr>
            </w:pPr>
          </w:p>
        </w:tc>
      </w:tr>
      <w:tr w14:paraId="7BF9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0" w:type="dxa"/>
            <w:gridSpan w:val="7"/>
            <w:tcBorders>
              <w:top w:val="nil"/>
              <w:left w:val="nil"/>
              <w:bottom w:val="nil"/>
              <w:right w:val="nil"/>
            </w:tcBorders>
            <w:shd w:val="clear" w:color="auto" w:fill="auto"/>
            <w:noWrap/>
            <w:vAlign w:val="center"/>
          </w:tcPr>
          <w:p w14:paraId="3937E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富平县2025年农村饮水工程维修养护项目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（标段名称）</w:t>
            </w:r>
          </w:p>
        </w:tc>
      </w:tr>
      <w:tr w14:paraId="227A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B0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56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83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3F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4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D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4D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04C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E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1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草滩供水工程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AB08">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99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799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749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42D7">
            <w:pPr>
              <w:jc w:val="center"/>
              <w:rPr>
                <w:rFonts w:hint="eastAsia" w:ascii="宋体" w:hAnsi="宋体" w:eastAsia="宋体" w:cs="宋体"/>
                <w:i w:val="0"/>
                <w:iCs w:val="0"/>
                <w:color w:val="000000"/>
                <w:sz w:val="20"/>
                <w:szCs w:val="20"/>
                <w:u w:val="none"/>
              </w:rPr>
            </w:pPr>
          </w:p>
        </w:tc>
      </w:tr>
      <w:tr w14:paraId="0586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D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1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800m³蓄水池维修</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C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93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71C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214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7400">
            <w:pPr>
              <w:jc w:val="center"/>
              <w:rPr>
                <w:rFonts w:hint="eastAsia" w:ascii="宋体" w:hAnsi="宋体" w:eastAsia="宋体" w:cs="宋体"/>
                <w:i w:val="0"/>
                <w:iCs w:val="0"/>
                <w:color w:val="000000"/>
                <w:sz w:val="20"/>
                <w:szCs w:val="20"/>
                <w:u w:val="none"/>
              </w:rPr>
            </w:pPr>
          </w:p>
        </w:tc>
      </w:tr>
      <w:tr w14:paraId="701B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5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1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池顶清理，场地平整</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CB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1455.66</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8F05">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489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4D63">
            <w:pPr>
              <w:jc w:val="center"/>
              <w:rPr>
                <w:rFonts w:hint="eastAsia" w:ascii="宋体" w:hAnsi="宋体" w:eastAsia="宋体" w:cs="宋体"/>
                <w:i w:val="0"/>
                <w:iCs w:val="0"/>
                <w:color w:val="000000"/>
                <w:sz w:val="20"/>
                <w:szCs w:val="20"/>
                <w:u w:val="none"/>
              </w:rPr>
            </w:pPr>
          </w:p>
        </w:tc>
      </w:tr>
      <w:tr w14:paraId="0300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B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C25混凝土压顶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9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25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E7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524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90F2">
            <w:pPr>
              <w:jc w:val="center"/>
              <w:rPr>
                <w:rFonts w:hint="eastAsia" w:ascii="宋体" w:hAnsi="宋体" w:eastAsia="宋体" w:cs="宋体"/>
                <w:i w:val="0"/>
                <w:iCs w:val="0"/>
                <w:color w:val="000000"/>
                <w:sz w:val="20"/>
                <w:szCs w:val="20"/>
                <w:u w:val="none"/>
              </w:rPr>
            </w:pPr>
          </w:p>
        </w:tc>
      </w:tr>
      <w:tr w14:paraId="2198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A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0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E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D2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C5F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EF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66F7">
            <w:pPr>
              <w:jc w:val="center"/>
              <w:rPr>
                <w:rFonts w:hint="eastAsia" w:ascii="宋体" w:hAnsi="宋体" w:eastAsia="宋体" w:cs="宋体"/>
                <w:i w:val="0"/>
                <w:iCs w:val="0"/>
                <w:color w:val="000000"/>
                <w:sz w:val="20"/>
                <w:szCs w:val="20"/>
                <w:u w:val="none"/>
              </w:rPr>
            </w:pPr>
          </w:p>
        </w:tc>
      </w:tr>
      <w:tr w14:paraId="5E5C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1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1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5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EA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593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48C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FA62">
            <w:pPr>
              <w:jc w:val="center"/>
              <w:rPr>
                <w:rFonts w:hint="eastAsia" w:ascii="宋体" w:hAnsi="宋体" w:eastAsia="宋体" w:cs="宋体"/>
                <w:i w:val="0"/>
                <w:iCs w:val="0"/>
                <w:color w:val="000000"/>
                <w:sz w:val="20"/>
                <w:szCs w:val="20"/>
                <w:u w:val="none"/>
              </w:rPr>
            </w:pPr>
          </w:p>
        </w:tc>
      </w:tr>
      <w:tr w14:paraId="2790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2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B2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铲除池壁原水泥砂浆抹面，清理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基层，新做M10水泥砂浆抹面</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4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A0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B63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6A5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BE07">
            <w:pPr>
              <w:jc w:val="center"/>
              <w:rPr>
                <w:rFonts w:hint="eastAsia" w:ascii="宋体" w:hAnsi="宋体" w:eastAsia="宋体" w:cs="宋体"/>
                <w:i w:val="0"/>
                <w:iCs w:val="0"/>
                <w:color w:val="000000"/>
                <w:sz w:val="20"/>
                <w:szCs w:val="20"/>
                <w:u w:val="none"/>
              </w:rPr>
            </w:pPr>
          </w:p>
        </w:tc>
      </w:tr>
      <w:tr w14:paraId="38FC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4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1.8.1.6</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6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外池壁刷真石漆</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61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F90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39D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D662">
            <w:pPr>
              <w:jc w:val="center"/>
              <w:rPr>
                <w:rFonts w:hint="eastAsia" w:ascii="宋体" w:hAnsi="宋体" w:eastAsia="宋体" w:cs="宋体"/>
                <w:i w:val="0"/>
                <w:iCs w:val="0"/>
                <w:color w:val="000000"/>
                <w:sz w:val="20"/>
                <w:szCs w:val="20"/>
                <w:u w:val="none"/>
              </w:rPr>
            </w:pPr>
          </w:p>
        </w:tc>
      </w:tr>
      <w:tr w14:paraId="696E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E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9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更换杨范村至张村DN110PVC </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9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D8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7D28">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F1D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7ADF">
            <w:pPr>
              <w:jc w:val="center"/>
              <w:rPr>
                <w:rFonts w:hint="eastAsia" w:ascii="宋体" w:hAnsi="宋体" w:eastAsia="宋体" w:cs="宋体"/>
                <w:i w:val="0"/>
                <w:iCs w:val="0"/>
                <w:color w:val="000000"/>
                <w:sz w:val="20"/>
                <w:szCs w:val="20"/>
                <w:u w:val="none"/>
              </w:rPr>
            </w:pPr>
          </w:p>
        </w:tc>
      </w:tr>
      <w:tr w14:paraId="551B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7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6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拆除混凝土地面（（厚度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18cm）</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B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43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FAB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841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1A81">
            <w:pPr>
              <w:jc w:val="center"/>
              <w:rPr>
                <w:rFonts w:hint="eastAsia" w:ascii="宋体" w:hAnsi="宋体" w:eastAsia="宋体" w:cs="宋体"/>
                <w:i w:val="0"/>
                <w:iCs w:val="0"/>
                <w:color w:val="000000"/>
                <w:sz w:val="20"/>
                <w:szCs w:val="20"/>
                <w:u w:val="none"/>
              </w:rPr>
            </w:pPr>
          </w:p>
        </w:tc>
      </w:tr>
      <w:tr w14:paraId="1E28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2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8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5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90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61E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6DD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3798">
            <w:pPr>
              <w:jc w:val="center"/>
              <w:rPr>
                <w:rFonts w:hint="eastAsia" w:ascii="宋体" w:hAnsi="宋体" w:eastAsia="宋体" w:cs="宋体"/>
                <w:i w:val="0"/>
                <w:iCs w:val="0"/>
                <w:color w:val="000000"/>
                <w:sz w:val="20"/>
                <w:szCs w:val="20"/>
                <w:u w:val="none"/>
              </w:rPr>
            </w:pPr>
          </w:p>
        </w:tc>
      </w:tr>
      <w:tr w14:paraId="5F66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9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77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土方回填</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8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5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822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320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B8A5">
            <w:pPr>
              <w:jc w:val="center"/>
              <w:rPr>
                <w:rFonts w:hint="eastAsia" w:ascii="宋体" w:hAnsi="宋体" w:eastAsia="宋体" w:cs="宋体"/>
                <w:i w:val="0"/>
                <w:iCs w:val="0"/>
                <w:color w:val="000000"/>
                <w:sz w:val="20"/>
                <w:szCs w:val="20"/>
                <w:u w:val="none"/>
              </w:rPr>
            </w:pPr>
          </w:p>
        </w:tc>
      </w:tr>
      <w:tr w14:paraId="1B14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AE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恢复混凝土地面（厚度18cm，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C25混凝土）</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F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E3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8E4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BEC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6BF1">
            <w:pPr>
              <w:jc w:val="center"/>
              <w:rPr>
                <w:rFonts w:hint="eastAsia" w:ascii="宋体" w:hAnsi="宋体" w:eastAsia="宋体" w:cs="宋体"/>
                <w:i w:val="0"/>
                <w:iCs w:val="0"/>
                <w:color w:val="000000"/>
                <w:sz w:val="20"/>
                <w:szCs w:val="20"/>
                <w:u w:val="none"/>
              </w:rPr>
            </w:pPr>
          </w:p>
        </w:tc>
      </w:tr>
      <w:tr w14:paraId="2EA4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F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7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dn110PE管铺设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11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FBE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88C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D8ED">
            <w:pPr>
              <w:jc w:val="center"/>
              <w:rPr>
                <w:rFonts w:hint="eastAsia" w:ascii="宋体" w:hAnsi="宋体" w:eastAsia="宋体" w:cs="宋体"/>
                <w:i w:val="0"/>
                <w:iCs w:val="0"/>
                <w:color w:val="000000"/>
                <w:sz w:val="20"/>
                <w:szCs w:val="20"/>
                <w:u w:val="none"/>
              </w:rPr>
            </w:pPr>
          </w:p>
        </w:tc>
      </w:tr>
      <w:tr w14:paraId="70A2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6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北部山区集雨水窖供水工程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817D">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98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04A3">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EF5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B41">
            <w:pPr>
              <w:jc w:val="center"/>
              <w:rPr>
                <w:rFonts w:hint="eastAsia" w:ascii="宋体" w:hAnsi="宋体" w:eastAsia="宋体" w:cs="宋体"/>
                <w:i w:val="0"/>
                <w:iCs w:val="0"/>
                <w:color w:val="000000"/>
                <w:sz w:val="20"/>
                <w:szCs w:val="20"/>
                <w:u w:val="none"/>
              </w:rPr>
            </w:pPr>
          </w:p>
        </w:tc>
      </w:tr>
      <w:tr w14:paraId="6267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3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2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5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06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544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981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E8D8">
            <w:pPr>
              <w:jc w:val="center"/>
              <w:rPr>
                <w:rFonts w:hint="eastAsia" w:ascii="宋体" w:hAnsi="宋体" w:eastAsia="宋体" w:cs="宋体"/>
                <w:i w:val="0"/>
                <w:iCs w:val="0"/>
                <w:color w:val="000000"/>
                <w:sz w:val="20"/>
                <w:szCs w:val="20"/>
                <w:u w:val="none"/>
              </w:rPr>
            </w:pPr>
          </w:p>
        </w:tc>
      </w:tr>
      <w:tr w14:paraId="1B2F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4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3A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机电设备安装工程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D970">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2F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A6C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298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AC11">
            <w:pPr>
              <w:jc w:val="center"/>
              <w:rPr>
                <w:rFonts w:hint="eastAsia" w:ascii="宋体" w:hAnsi="宋体" w:eastAsia="宋体" w:cs="宋体"/>
                <w:i w:val="0"/>
                <w:iCs w:val="0"/>
                <w:color w:val="000000"/>
                <w:sz w:val="20"/>
                <w:szCs w:val="20"/>
                <w:u w:val="none"/>
              </w:rPr>
            </w:pPr>
          </w:p>
        </w:tc>
      </w:tr>
      <w:tr w14:paraId="1C4A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9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5E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庄里北部供水工程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8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8F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FD4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399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AACD">
            <w:pPr>
              <w:jc w:val="center"/>
              <w:rPr>
                <w:rFonts w:hint="eastAsia" w:ascii="宋体" w:hAnsi="宋体" w:eastAsia="宋体" w:cs="宋体"/>
                <w:i w:val="0"/>
                <w:iCs w:val="0"/>
                <w:color w:val="000000"/>
                <w:sz w:val="20"/>
                <w:szCs w:val="20"/>
                <w:u w:val="none"/>
              </w:rPr>
            </w:pPr>
          </w:p>
        </w:tc>
      </w:tr>
      <w:tr w14:paraId="3999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D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C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庄北村</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A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2F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AF7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5AE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005E">
            <w:pPr>
              <w:jc w:val="center"/>
              <w:rPr>
                <w:rFonts w:hint="eastAsia" w:ascii="宋体" w:hAnsi="宋体" w:eastAsia="宋体" w:cs="宋体"/>
                <w:i w:val="0"/>
                <w:iCs w:val="0"/>
                <w:color w:val="000000"/>
                <w:sz w:val="20"/>
                <w:szCs w:val="20"/>
                <w:u w:val="none"/>
              </w:rPr>
            </w:pPr>
          </w:p>
        </w:tc>
      </w:tr>
      <w:tr w14:paraId="0C40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54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更换DN300 闸阀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6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02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E9D9">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93E8">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C1DC">
            <w:pPr>
              <w:jc w:val="center"/>
              <w:rPr>
                <w:rFonts w:hint="eastAsia" w:ascii="宋体" w:hAnsi="宋体" w:eastAsia="宋体" w:cs="宋体"/>
                <w:i w:val="0"/>
                <w:iCs w:val="0"/>
                <w:color w:val="000000"/>
                <w:sz w:val="20"/>
                <w:szCs w:val="20"/>
                <w:u w:val="none"/>
              </w:rPr>
            </w:pPr>
          </w:p>
        </w:tc>
      </w:tr>
      <w:tr w14:paraId="1730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F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8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觅子供水工程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9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79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EF8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665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51CC">
            <w:pPr>
              <w:jc w:val="center"/>
              <w:rPr>
                <w:rFonts w:hint="eastAsia" w:ascii="宋体" w:hAnsi="宋体" w:eastAsia="宋体" w:cs="宋体"/>
                <w:i w:val="0"/>
                <w:iCs w:val="0"/>
                <w:color w:val="000000"/>
                <w:sz w:val="20"/>
                <w:szCs w:val="20"/>
                <w:u w:val="none"/>
              </w:rPr>
            </w:pPr>
          </w:p>
        </w:tc>
      </w:tr>
      <w:tr w14:paraId="1B22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55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三河村</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F5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A2F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CEA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68A">
            <w:pPr>
              <w:jc w:val="center"/>
              <w:rPr>
                <w:rFonts w:hint="eastAsia" w:ascii="宋体" w:hAnsi="宋体" w:eastAsia="宋体" w:cs="宋体"/>
                <w:i w:val="0"/>
                <w:iCs w:val="0"/>
                <w:color w:val="000000"/>
                <w:sz w:val="20"/>
                <w:szCs w:val="20"/>
                <w:u w:val="none"/>
              </w:rPr>
            </w:pPr>
          </w:p>
        </w:tc>
      </w:tr>
      <w:tr w14:paraId="5D2B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C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更换水质化验仪器</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1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B9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ADE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B20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A990">
            <w:pPr>
              <w:jc w:val="center"/>
              <w:rPr>
                <w:rFonts w:hint="eastAsia" w:ascii="宋体" w:hAnsi="宋体" w:eastAsia="宋体" w:cs="宋体"/>
                <w:i w:val="0"/>
                <w:iCs w:val="0"/>
                <w:color w:val="000000"/>
                <w:sz w:val="20"/>
                <w:szCs w:val="20"/>
                <w:u w:val="none"/>
              </w:rPr>
            </w:pPr>
          </w:p>
        </w:tc>
      </w:tr>
      <w:tr w14:paraId="4319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4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6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老庙笃祜供水工程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E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E9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9C8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B366">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A9C2">
            <w:pPr>
              <w:jc w:val="center"/>
              <w:rPr>
                <w:rFonts w:hint="eastAsia" w:ascii="宋体" w:hAnsi="宋体" w:eastAsia="宋体" w:cs="宋体"/>
                <w:i w:val="0"/>
                <w:iCs w:val="0"/>
                <w:color w:val="000000"/>
                <w:sz w:val="20"/>
                <w:szCs w:val="20"/>
                <w:u w:val="none"/>
              </w:rPr>
            </w:pPr>
          </w:p>
        </w:tc>
      </w:tr>
      <w:tr w14:paraId="4592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4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D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莫村加压站</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9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18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B8F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D79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9A6C">
            <w:pPr>
              <w:jc w:val="center"/>
              <w:rPr>
                <w:rFonts w:hint="eastAsia" w:ascii="宋体" w:hAnsi="宋体" w:eastAsia="宋体" w:cs="宋体"/>
                <w:i w:val="0"/>
                <w:iCs w:val="0"/>
                <w:color w:val="000000"/>
                <w:sz w:val="20"/>
                <w:szCs w:val="20"/>
                <w:u w:val="none"/>
              </w:rPr>
            </w:pPr>
          </w:p>
        </w:tc>
      </w:tr>
      <w:tr w14:paraId="4FA5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4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B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更换80-250（I）型水泵，扬程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80m，功率37KW</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2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09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85A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3D8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F033">
            <w:pPr>
              <w:jc w:val="center"/>
              <w:rPr>
                <w:rFonts w:hint="eastAsia" w:ascii="宋体" w:hAnsi="宋体" w:eastAsia="宋体" w:cs="宋体"/>
                <w:i w:val="0"/>
                <w:iCs w:val="0"/>
                <w:color w:val="000000"/>
                <w:sz w:val="20"/>
                <w:szCs w:val="20"/>
                <w:u w:val="none"/>
              </w:rPr>
            </w:pPr>
          </w:p>
        </w:tc>
      </w:tr>
      <w:tr w14:paraId="68BA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150" w:type="dxa"/>
            <w:gridSpan w:val="7"/>
            <w:tcBorders>
              <w:top w:val="single" w:color="000000" w:sz="4" w:space="0"/>
              <w:left w:val="nil"/>
              <w:bottom w:val="nil"/>
              <w:right w:val="nil"/>
            </w:tcBorders>
            <w:shd w:val="clear" w:color="auto" w:fill="auto"/>
            <w:noWrap/>
            <w:vAlign w:val="center"/>
          </w:tcPr>
          <w:p w14:paraId="20673043">
            <w:pPr>
              <w:jc w:val="center"/>
              <w:rPr>
                <w:rFonts w:hint="eastAsia" w:ascii="宋体" w:hAnsi="宋体" w:eastAsia="宋体" w:cs="宋体"/>
                <w:i w:val="0"/>
                <w:iCs w:val="0"/>
                <w:color w:val="000000"/>
                <w:sz w:val="20"/>
                <w:szCs w:val="20"/>
                <w:u w:val="none"/>
              </w:rPr>
            </w:pPr>
          </w:p>
        </w:tc>
      </w:tr>
      <w:tr w14:paraId="11AD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4EF243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hint="eastAsia" w:ascii="宋体" w:hAnsi="宋体" w:eastAsia="宋体" w:cs="宋体"/>
                <w:i w:val="0"/>
                <w:iCs w:val="0"/>
                <w:color w:val="000000"/>
                <w:kern w:val="0"/>
                <w:sz w:val="20"/>
                <w:szCs w:val="20"/>
                <w:u w:val="none"/>
                <w:lang w:val="en-US" w:eastAsia="zh-CN" w:bidi="ar"/>
              </w:rPr>
              <w:t xml:space="preserve">       </w:t>
            </w:r>
          </w:p>
        </w:tc>
      </w:tr>
      <w:tr w14:paraId="64E2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3F1E5F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14:paraId="5A72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4E73E3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日       </w:t>
            </w:r>
          </w:p>
        </w:tc>
      </w:tr>
      <w:tr w14:paraId="493E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0" w:type="dxa"/>
            <w:gridSpan w:val="7"/>
            <w:tcBorders>
              <w:top w:val="nil"/>
              <w:left w:val="nil"/>
              <w:bottom w:val="nil"/>
              <w:right w:val="nil"/>
            </w:tcBorders>
            <w:shd w:val="clear" w:color="auto" w:fill="auto"/>
            <w:vAlign w:val="center"/>
          </w:tcPr>
          <w:p w14:paraId="27408AF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14:paraId="0F9C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14:paraId="4961954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合同编号：HCF2025—CGZB—015</w:t>
            </w:r>
          </w:p>
        </w:tc>
        <w:tc>
          <w:tcPr>
            <w:tcW w:w="2287" w:type="dxa"/>
            <w:gridSpan w:val="2"/>
            <w:tcBorders>
              <w:top w:val="nil"/>
              <w:left w:val="nil"/>
              <w:bottom w:val="nil"/>
              <w:right w:val="nil"/>
            </w:tcBorders>
            <w:shd w:val="clear" w:color="auto" w:fill="auto"/>
            <w:noWrap/>
            <w:vAlign w:val="bottom"/>
          </w:tcPr>
          <w:p w14:paraId="21833A92">
            <w:pPr>
              <w:jc w:val="right"/>
              <w:rPr>
                <w:rFonts w:hint="eastAsia" w:ascii="宋体" w:hAnsi="宋体" w:eastAsia="宋体" w:cs="宋体"/>
                <w:i w:val="0"/>
                <w:iCs w:val="0"/>
                <w:color w:val="000000"/>
                <w:sz w:val="20"/>
                <w:szCs w:val="20"/>
                <w:u w:val="none"/>
              </w:rPr>
            </w:pPr>
          </w:p>
        </w:tc>
      </w:tr>
      <w:tr w14:paraId="349F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0" w:type="dxa"/>
            <w:gridSpan w:val="7"/>
            <w:tcBorders>
              <w:top w:val="nil"/>
              <w:left w:val="nil"/>
              <w:bottom w:val="nil"/>
              <w:right w:val="nil"/>
            </w:tcBorders>
            <w:shd w:val="clear" w:color="auto" w:fill="auto"/>
            <w:noWrap/>
            <w:vAlign w:val="center"/>
          </w:tcPr>
          <w:p w14:paraId="6F5EE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富平县2025年农村饮水工程维修养护项目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（标段名称）</w:t>
            </w:r>
          </w:p>
        </w:tc>
      </w:tr>
      <w:tr w14:paraId="6C10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B3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4D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5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F7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B7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9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10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59B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1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C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笃祜线</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970A">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5D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4D2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080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6777">
            <w:pPr>
              <w:jc w:val="center"/>
              <w:rPr>
                <w:rFonts w:hint="eastAsia" w:ascii="宋体" w:hAnsi="宋体" w:eastAsia="宋体" w:cs="宋体"/>
                <w:i w:val="0"/>
                <w:iCs w:val="0"/>
                <w:color w:val="000000"/>
                <w:sz w:val="20"/>
                <w:szCs w:val="20"/>
                <w:u w:val="none"/>
              </w:rPr>
            </w:pPr>
          </w:p>
        </w:tc>
      </w:tr>
      <w:tr w14:paraId="2131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F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更换IRG50-250（I）型水泵，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扬程80m，功率15KW</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B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3C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11F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2B7">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CBB3">
            <w:pPr>
              <w:jc w:val="center"/>
              <w:rPr>
                <w:rFonts w:hint="eastAsia" w:ascii="宋体" w:hAnsi="宋体" w:eastAsia="宋体" w:cs="宋体"/>
                <w:i w:val="0"/>
                <w:iCs w:val="0"/>
                <w:color w:val="000000"/>
                <w:sz w:val="20"/>
                <w:szCs w:val="20"/>
                <w:u w:val="none"/>
              </w:rPr>
            </w:pPr>
          </w:p>
        </w:tc>
      </w:tr>
      <w:tr w14:paraId="2EE3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F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5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莫村加压站-水塔</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ECA6">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5E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18E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40F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B70C">
            <w:pPr>
              <w:jc w:val="center"/>
              <w:rPr>
                <w:rFonts w:hint="eastAsia" w:ascii="宋体" w:hAnsi="宋体" w:eastAsia="宋体" w:cs="宋体"/>
                <w:i w:val="0"/>
                <w:iCs w:val="0"/>
                <w:color w:val="000000"/>
                <w:sz w:val="20"/>
                <w:szCs w:val="20"/>
                <w:u w:val="none"/>
              </w:rPr>
            </w:pPr>
          </w:p>
        </w:tc>
      </w:tr>
      <w:tr w14:paraId="5E29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0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1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更换IRG50-250（I）型水泵，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扬程80m，功率15KW</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9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10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80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ECF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E838">
            <w:pPr>
              <w:jc w:val="center"/>
              <w:rPr>
                <w:rFonts w:hint="eastAsia" w:ascii="宋体" w:hAnsi="宋体" w:eastAsia="宋体" w:cs="宋体"/>
                <w:i w:val="0"/>
                <w:iCs w:val="0"/>
                <w:color w:val="000000"/>
                <w:sz w:val="20"/>
                <w:szCs w:val="20"/>
                <w:u w:val="none"/>
              </w:rPr>
            </w:pPr>
          </w:p>
        </w:tc>
      </w:tr>
      <w:tr w14:paraId="0A4B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3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配套变频柜</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3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F0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8C11">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683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6854">
            <w:pPr>
              <w:jc w:val="center"/>
              <w:rPr>
                <w:rFonts w:hint="eastAsia" w:ascii="宋体" w:hAnsi="宋体" w:eastAsia="宋体" w:cs="宋体"/>
                <w:i w:val="0"/>
                <w:iCs w:val="0"/>
                <w:color w:val="000000"/>
                <w:sz w:val="20"/>
                <w:szCs w:val="20"/>
                <w:u w:val="none"/>
              </w:rPr>
            </w:pPr>
          </w:p>
        </w:tc>
      </w:tr>
      <w:tr w14:paraId="572B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7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2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莫村加压站-南党</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E053">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BC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F6B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753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3D3A">
            <w:pPr>
              <w:jc w:val="center"/>
              <w:rPr>
                <w:rFonts w:hint="eastAsia" w:ascii="宋体" w:hAnsi="宋体" w:eastAsia="宋体" w:cs="宋体"/>
                <w:i w:val="0"/>
                <w:iCs w:val="0"/>
                <w:color w:val="000000"/>
                <w:sz w:val="20"/>
                <w:szCs w:val="20"/>
                <w:u w:val="none"/>
              </w:rPr>
            </w:pPr>
          </w:p>
        </w:tc>
      </w:tr>
      <w:tr w14:paraId="7018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3C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5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更换IRG80-250（I）型水泵，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扬程80m，功率22KW</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F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48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A2E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06A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4424">
            <w:pPr>
              <w:jc w:val="center"/>
              <w:rPr>
                <w:rFonts w:hint="eastAsia" w:ascii="宋体" w:hAnsi="宋体" w:eastAsia="宋体" w:cs="宋体"/>
                <w:i w:val="0"/>
                <w:iCs w:val="0"/>
                <w:color w:val="000000"/>
                <w:sz w:val="20"/>
                <w:szCs w:val="20"/>
                <w:u w:val="none"/>
              </w:rPr>
            </w:pPr>
          </w:p>
        </w:tc>
      </w:tr>
      <w:tr w14:paraId="1B4D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6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雷北供水工程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B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81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609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35F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9340">
            <w:pPr>
              <w:jc w:val="center"/>
              <w:rPr>
                <w:rFonts w:hint="eastAsia" w:ascii="宋体" w:hAnsi="宋体" w:eastAsia="宋体" w:cs="宋体"/>
                <w:i w:val="0"/>
                <w:iCs w:val="0"/>
                <w:color w:val="000000"/>
                <w:sz w:val="20"/>
                <w:szCs w:val="20"/>
                <w:u w:val="none"/>
              </w:rPr>
            </w:pPr>
          </w:p>
        </w:tc>
      </w:tr>
      <w:tr w14:paraId="2627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E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6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雷北村</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5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E5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C4E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E41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266B">
            <w:pPr>
              <w:jc w:val="center"/>
              <w:rPr>
                <w:rFonts w:hint="eastAsia" w:ascii="宋体" w:hAnsi="宋体" w:eastAsia="宋体" w:cs="宋体"/>
                <w:i w:val="0"/>
                <w:iCs w:val="0"/>
                <w:color w:val="000000"/>
                <w:sz w:val="20"/>
                <w:szCs w:val="20"/>
                <w:u w:val="none"/>
              </w:rPr>
            </w:pPr>
          </w:p>
        </w:tc>
      </w:tr>
      <w:tr w14:paraId="58B5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0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3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更换水质化验仪器</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5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CC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D30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6881">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E86B">
            <w:pPr>
              <w:jc w:val="center"/>
              <w:rPr>
                <w:rFonts w:hint="eastAsia" w:ascii="宋体" w:hAnsi="宋体" w:eastAsia="宋体" w:cs="宋体"/>
                <w:i w:val="0"/>
                <w:iCs w:val="0"/>
                <w:color w:val="000000"/>
                <w:sz w:val="20"/>
                <w:szCs w:val="20"/>
                <w:u w:val="none"/>
              </w:rPr>
            </w:pPr>
          </w:p>
        </w:tc>
      </w:tr>
      <w:tr w14:paraId="1076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A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6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留古供水工程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2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67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775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B6F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E29A">
            <w:pPr>
              <w:jc w:val="center"/>
              <w:rPr>
                <w:rFonts w:hint="eastAsia" w:ascii="宋体" w:hAnsi="宋体" w:eastAsia="宋体" w:cs="宋体"/>
                <w:i w:val="0"/>
                <w:iCs w:val="0"/>
                <w:color w:val="000000"/>
                <w:sz w:val="20"/>
                <w:szCs w:val="20"/>
                <w:u w:val="none"/>
              </w:rPr>
            </w:pPr>
          </w:p>
        </w:tc>
      </w:tr>
      <w:tr w14:paraId="3D8B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5F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4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惠刘水源地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FE43">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DD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712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47A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CD08">
            <w:pPr>
              <w:jc w:val="center"/>
              <w:rPr>
                <w:rFonts w:hint="eastAsia" w:ascii="宋体" w:hAnsi="宋体" w:eastAsia="宋体" w:cs="宋体"/>
                <w:i w:val="0"/>
                <w:iCs w:val="0"/>
                <w:color w:val="000000"/>
                <w:sz w:val="20"/>
                <w:szCs w:val="20"/>
                <w:u w:val="none"/>
              </w:rPr>
            </w:pPr>
          </w:p>
        </w:tc>
      </w:tr>
      <w:tr w14:paraId="0D6D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A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6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更换IS65-40-200型水泵，扬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程50m，功率7.5KW</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D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3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9C2B">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3D3B">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EA80">
            <w:pPr>
              <w:jc w:val="center"/>
              <w:rPr>
                <w:rFonts w:hint="eastAsia" w:ascii="宋体" w:hAnsi="宋体" w:eastAsia="宋体" w:cs="宋体"/>
                <w:i w:val="0"/>
                <w:iCs w:val="0"/>
                <w:color w:val="000000"/>
                <w:sz w:val="20"/>
                <w:szCs w:val="20"/>
                <w:u w:val="none"/>
              </w:rPr>
            </w:pPr>
          </w:p>
        </w:tc>
      </w:tr>
      <w:tr w14:paraId="40EE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C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E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流量计</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D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20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F745">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2FC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9057">
            <w:pPr>
              <w:jc w:val="center"/>
              <w:rPr>
                <w:rFonts w:hint="eastAsia" w:ascii="宋体" w:hAnsi="宋体" w:eastAsia="宋体" w:cs="宋体"/>
                <w:i w:val="0"/>
                <w:iCs w:val="0"/>
                <w:color w:val="000000"/>
                <w:sz w:val="20"/>
                <w:szCs w:val="20"/>
                <w:u w:val="none"/>
              </w:rPr>
            </w:pPr>
          </w:p>
        </w:tc>
      </w:tr>
      <w:tr w14:paraId="04C7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0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3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16Mpa 压力表</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A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2B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1A3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755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5CD4">
            <w:pPr>
              <w:jc w:val="center"/>
              <w:rPr>
                <w:rFonts w:hint="eastAsia" w:ascii="宋体" w:hAnsi="宋体" w:eastAsia="宋体" w:cs="宋体"/>
                <w:i w:val="0"/>
                <w:iCs w:val="0"/>
                <w:color w:val="000000"/>
                <w:sz w:val="20"/>
                <w:szCs w:val="20"/>
                <w:u w:val="none"/>
              </w:rPr>
            </w:pPr>
          </w:p>
        </w:tc>
      </w:tr>
      <w:tr w14:paraId="6427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60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4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杨坡供水工程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8244">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50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50A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1572">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C69C">
            <w:pPr>
              <w:jc w:val="center"/>
              <w:rPr>
                <w:rFonts w:hint="eastAsia" w:ascii="宋体" w:hAnsi="宋体" w:eastAsia="宋体" w:cs="宋体"/>
                <w:i w:val="0"/>
                <w:iCs w:val="0"/>
                <w:color w:val="000000"/>
                <w:sz w:val="20"/>
                <w:szCs w:val="20"/>
                <w:u w:val="none"/>
              </w:rPr>
            </w:pPr>
          </w:p>
        </w:tc>
      </w:tr>
      <w:tr w14:paraId="29E4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F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4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杨坡村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A84C">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FB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C1A7">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840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2951">
            <w:pPr>
              <w:jc w:val="center"/>
              <w:rPr>
                <w:rFonts w:hint="eastAsia" w:ascii="宋体" w:hAnsi="宋体" w:eastAsia="宋体" w:cs="宋体"/>
                <w:i w:val="0"/>
                <w:iCs w:val="0"/>
                <w:color w:val="000000"/>
                <w:sz w:val="20"/>
                <w:szCs w:val="20"/>
                <w:u w:val="none"/>
              </w:rPr>
            </w:pPr>
          </w:p>
        </w:tc>
      </w:tr>
      <w:tr w14:paraId="11DC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9D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80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更换IRG80-250水泵，扬程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80m，功率22KW</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C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5B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C353">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DCE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7EA7">
            <w:pPr>
              <w:jc w:val="center"/>
              <w:rPr>
                <w:rFonts w:hint="eastAsia" w:ascii="宋体" w:hAnsi="宋体" w:eastAsia="宋体" w:cs="宋体"/>
                <w:i w:val="0"/>
                <w:iCs w:val="0"/>
                <w:color w:val="000000"/>
                <w:sz w:val="20"/>
                <w:szCs w:val="20"/>
                <w:u w:val="none"/>
              </w:rPr>
            </w:pPr>
          </w:p>
        </w:tc>
      </w:tr>
      <w:tr w14:paraId="23F4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4D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由典供水工程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2A27">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60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F4A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CBF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89B4">
            <w:pPr>
              <w:jc w:val="center"/>
              <w:rPr>
                <w:rFonts w:hint="eastAsia" w:ascii="宋体" w:hAnsi="宋体" w:eastAsia="宋体" w:cs="宋体"/>
                <w:i w:val="0"/>
                <w:iCs w:val="0"/>
                <w:color w:val="000000"/>
                <w:sz w:val="20"/>
                <w:szCs w:val="20"/>
                <w:u w:val="none"/>
              </w:rPr>
            </w:pPr>
          </w:p>
        </w:tc>
      </w:tr>
      <w:tr w14:paraId="7549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B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F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丈八村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0E26">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08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112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857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EE62">
            <w:pPr>
              <w:jc w:val="center"/>
              <w:rPr>
                <w:rFonts w:hint="eastAsia" w:ascii="宋体" w:hAnsi="宋体" w:eastAsia="宋体" w:cs="宋体"/>
                <w:i w:val="0"/>
                <w:iCs w:val="0"/>
                <w:color w:val="000000"/>
                <w:sz w:val="20"/>
                <w:szCs w:val="20"/>
                <w:u w:val="none"/>
              </w:rPr>
            </w:pPr>
          </w:p>
        </w:tc>
      </w:tr>
      <w:tr w14:paraId="2A67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7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3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更换水质化验仪器</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1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9E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8F0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14C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3B4D">
            <w:pPr>
              <w:jc w:val="center"/>
              <w:rPr>
                <w:rFonts w:hint="eastAsia" w:ascii="宋体" w:hAnsi="宋体" w:eastAsia="宋体" w:cs="宋体"/>
                <w:i w:val="0"/>
                <w:iCs w:val="0"/>
                <w:color w:val="000000"/>
                <w:sz w:val="20"/>
                <w:szCs w:val="20"/>
                <w:u w:val="none"/>
              </w:rPr>
            </w:pPr>
          </w:p>
        </w:tc>
      </w:tr>
      <w:tr w14:paraId="3AE8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0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0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流曲供水工程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03AB">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53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B96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B20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907">
            <w:pPr>
              <w:jc w:val="center"/>
              <w:rPr>
                <w:rFonts w:hint="eastAsia" w:ascii="宋体" w:hAnsi="宋体" w:eastAsia="宋体" w:cs="宋体"/>
                <w:i w:val="0"/>
                <w:iCs w:val="0"/>
                <w:color w:val="000000"/>
                <w:sz w:val="20"/>
                <w:szCs w:val="20"/>
                <w:u w:val="none"/>
              </w:rPr>
            </w:pPr>
          </w:p>
        </w:tc>
      </w:tr>
      <w:tr w14:paraId="36B2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2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0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簸张加压站</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8872">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9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0043">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C530">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06AB">
            <w:pPr>
              <w:jc w:val="center"/>
              <w:rPr>
                <w:rFonts w:hint="eastAsia" w:ascii="宋体" w:hAnsi="宋体" w:eastAsia="宋体" w:cs="宋体"/>
                <w:i w:val="0"/>
                <w:iCs w:val="0"/>
                <w:color w:val="000000"/>
                <w:sz w:val="20"/>
                <w:szCs w:val="20"/>
                <w:u w:val="none"/>
              </w:rPr>
            </w:pPr>
          </w:p>
        </w:tc>
      </w:tr>
      <w:tr w14:paraId="20BA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66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5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更换CDL32-60加压泵，扬程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81m，功率11KW</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E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1C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955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E82F">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1FCC">
            <w:pPr>
              <w:jc w:val="center"/>
              <w:rPr>
                <w:rFonts w:hint="eastAsia" w:ascii="宋体" w:hAnsi="宋体" w:eastAsia="宋体" w:cs="宋体"/>
                <w:i w:val="0"/>
                <w:iCs w:val="0"/>
                <w:color w:val="000000"/>
                <w:sz w:val="20"/>
                <w:szCs w:val="20"/>
                <w:u w:val="none"/>
              </w:rPr>
            </w:pPr>
          </w:p>
        </w:tc>
      </w:tr>
      <w:tr w14:paraId="7C6F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D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7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西樊村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B5BF">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C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D5B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EA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BB84">
            <w:pPr>
              <w:jc w:val="center"/>
              <w:rPr>
                <w:rFonts w:hint="eastAsia" w:ascii="宋体" w:hAnsi="宋体" w:eastAsia="宋体" w:cs="宋体"/>
                <w:i w:val="0"/>
                <w:iCs w:val="0"/>
                <w:color w:val="000000"/>
                <w:sz w:val="20"/>
                <w:szCs w:val="20"/>
                <w:u w:val="none"/>
              </w:rPr>
            </w:pPr>
          </w:p>
        </w:tc>
      </w:tr>
      <w:tr w14:paraId="6866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32D6D8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hint="eastAsia" w:ascii="宋体" w:hAnsi="宋体" w:eastAsia="宋体" w:cs="宋体"/>
                <w:i w:val="0"/>
                <w:iCs w:val="0"/>
                <w:color w:val="000000"/>
                <w:kern w:val="0"/>
                <w:sz w:val="20"/>
                <w:szCs w:val="20"/>
                <w:u w:val="none"/>
                <w:lang w:val="en-US" w:eastAsia="zh-CN" w:bidi="ar"/>
              </w:rPr>
              <w:t xml:space="preserve">       </w:t>
            </w:r>
          </w:p>
        </w:tc>
      </w:tr>
      <w:tr w14:paraId="7420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05C5C9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14:paraId="73FA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36DC1D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日       </w:t>
            </w:r>
          </w:p>
        </w:tc>
      </w:tr>
      <w:tr w14:paraId="33E12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0" w:type="dxa"/>
            <w:gridSpan w:val="7"/>
            <w:tcBorders>
              <w:top w:val="nil"/>
              <w:left w:val="nil"/>
              <w:bottom w:val="nil"/>
              <w:right w:val="nil"/>
            </w:tcBorders>
            <w:shd w:val="clear" w:color="auto" w:fill="auto"/>
            <w:vAlign w:val="center"/>
          </w:tcPr>
          <w:p w14:paraId="372092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w:t>
            </w:r>
          </w:p>
        </w:tc>
      </w:tr>
      <w:tr w14:paraId="2D02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63" w:type="dxa"/>
            <w:gridSpan w:val="5"/>
            <w:tcBorders>
              <w:top w:val="nil"/>
              <w:left w:val="nil"/>
              <w:bottom w:val="nil"/>
              <w:right w:val="nil"/>
            </w:tcBorders>
            <w:shd w:val="clear" w:color="auto" w:fill="auto"/>
            <w:vAlign w:val="bottom"/>
          </w:tcPr>
          <w:p w14:paraId="0F91FDF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合同编号：HCF2025—CGZB—015</w:t>
            </w:r>
          </w:p>
        </w:tc>
        <w:tc>
          <w:tcPr>
            <w:tcW w:w="2287" w:type="dxa"/>
            <w:gridSpan w:val="2"/>
            <w:tcBorders>
              <w:top w:val="nil"/>
              <w:left w:val="nil"/>
              <w:bottom w:val="nil"/>
              <w:right w:val="nil"/>
            </w:tcBorders>
            <w:shd w:val="clear" w:color="auto" w:fill="auto"/>
            <w:noWrap/>
            <w:vAlign w:val="bottom"/>
          </w:tcPr>
          <w:p w14:paraId="5E63DA08">
            <w:pPr>
              <w:jc w:val="right"/>
              <w:rPr>
                <w:rFonts w:hint="eastAsia" w:ascii="宋体" w:hAnsi="宋体" w:eastAsia="宋体" w:cs="宋体"/>
                <w:i w:val="0"/>
                <w:iCs w:val="0"/>
                <w:color w:val="000000"/>
                <w:sz w:val="20"/>
                <w:szCs w:val="20"/>
                <w:u w:val="none"/>
              </w:rPr>
            </w:pPr>
          </w:p>
        </w:tc>
      </w:tr>
      <w:tr w14:paraId="59C0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150" w:type="dxa"/>
            <w:gridSpan w:val="7"/>
            <w:tcBorders>
              <w:top w:val="nil"/>
              <w:left w:val="nil"/>
              <w:bottom w:val="nil"/>
              <w:right w:val="nil"/>
            </w:tcBorders>
            <w:shd w:val="clear" w:color="auto" w:fill="auto"/>
            <w:noWrap/>
            <w:vAlign w:val="center"/>
          </w:tcPr>
          <w:p w14:paraId="0ABEB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r>
              <w:rPr>
                <w:rFonts w:hint="eastAsia" w:ascii="宋体" w:hAnsi="宋体" w:eastAsia="宋体" w:cs="宋体"/>
                <w:i w:val="0"/>
                <w:iCs w:val="0"/>
                <w:color w:val="000000"/>
                <w:kern w:val="0"/>
                <w:sz w:val="20"/>
                <w:szCs w:val="20"/>
                <w:u w:val="single"/>
                <w:lang w:val="en-US" w:eastAsia="zh-CN" w:bidi="ar"/>
              </w:rPr>
              <w:t>富平县2025年农村饮水工程维修养护项目</w:t>
            </w:r>
            <w:r>
              <w:rPr>
                <w:rFonts w:hint="eastAsia" w:ascii="宋体" w:hAnsi="宋体" w:eastAsia="宋体" w:cs="宋体"/>
                <w:i w:val="0"/>
                <w:iCs w:val="0"/>
                <w:color w:val="000000"/>
                <w:kern w:val="0"/>
                <w:sz w:val="20"/>
                <w:szCs w:val="20"/>
                <w:u w:val="none"/>
                <w:lang w:val="en-US" w:eastAsia="zh-CN" w:bidi="ar"/>
              </w:rPr>
              <w:t>（项目名称）</w:t>
            </w:r>
            <w:r>
              <w:rPr>
                <w:rFonts w:hint="eastAsia" w:ascii="宋体" w:hAnsi="宋体" w:eastAsia="宋体" w:cs="宋体"/>
                <w:i w:val="0"/>
                <w:iCs w:val="0"/>
                <w:color w:val="000000"/>
                <w:kern w:val="0"/>
                <w:sz w:val="20"/>
                <w:szCs w:val="20"/>
                <w:u w:val="single"/>
                <w:lang w:val="en-US" w:eastAsia="zh-CN" w:bidi="ar"/>
              </w:rPr>
              <w:t xml:space="preserve">  /  </w:t>
            </w:r>
            <w:r>
              <w:rPr>
                <w:rFonts w:hint="eastAsia" w:ascii="宋体" w:hAnsi="宋体" w:eastAsia="宋体" w:cs="宋体"/>
                <w:i w:val="0"/>
                <w:iCs w:val="0"/>
                <w:color w:val="000000"/>
                <w:kern w:val="0"/>
                <w:sz w:val="20"/>
                <w:szCs w:val="20"/>
                <w:u w:val="none"/>
                <w:lang w:val="en-US" w:eastAsia="zh-CN" w:bidi="ar"/>
              </w:rPr>
              <w:t>（标段名称）</w:t>
            </w:r>
          </w:p>
        </w:tc>
      </w:tr>
      <w:tr w14:paraId="44B5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4C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E9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A4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E1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40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9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FE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A7E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A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更换IRG80-200加压泵，扬程50m，功率15KW</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F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A8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F82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701A">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BFCA">
            <w:pPr>
              <w:jc w:val="center"/>
              <w:rPr>
                <w:rFonts w:hint="eastAsia" w:ascii="宋体" w:hAnsi="宋体" w:eastAsia="宋体" w:cs="宋体"/>
                <w:i w:val="0"/>
                <w:iCs w:val="0"/>
                <w:color w:val="000000"/>
                <w:sz w:val="20"/>
                <w:szCs w:val="20"/>
                <w:u w:val="none"/>
              </w:rPr>
            </w:pPr>
          </w:p>
        </w:tc>
      </w:tr>
      <w:tr w14:paraId="1A6C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F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雷村供水工程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1C37">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8A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766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975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B64E">
            <w:pPr>
              <w:jc w:val="center"/>
              <w:rPr>
                <w:rFonts w:hint="eastAsia" w:ascii="宋体" w:hAnsi="宋体" w:eastAsia="宋体" w:cs="宋体"/>
                <w:i w:val="0"/>
                <w:iCs w:val="0"/>
                <w:color w:val="000000"/>
                <w:sz w:val="20"/>
                <w:szCs w:val="20"/>
                <w:u w:val="none"/>
              </w:rPr>
            </w:pPr>
          </w:p>
        </w:tc>
      </w:tr>
      <w:tr w14:paraId="3F04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E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C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三合村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2416">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A1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B39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5399">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ED75">
            <w:pPr>
              <w:jc w:val="center"/>
              <w:rPr>
                <w:rFonts w:hint="eastAsia" w:ascii="宋体" w:hAnsi="宋体" w:eastAsia="宋体" w:cs="宋体"/>
                <w:i w:val="0"/>
                <w:iCs w:val="0"/>
                <w:color w:val="000000"/>
                <w:sz w:val="20"/>
                <w:szCs w:val="20"/>
                <w:u w:val="none"/>
              </w:rPr>
            </w:pPr>
          </w:p>
        </w:tc>
      </w:tr>
      <w:tr w14:paraId="61BC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2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9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更换DN50 闸阀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C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BA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33A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8AD3">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87D8">
            <w:pPr>
              <w:jc w:val="center"/>
              <w:rPr>
                <w:rFonts w:hint="eastAsia" w:ascii="宋体" w:hAnsi="宋体" w:eastAsia="宋体" w:cs="宋体"/>
                <w:i w:val="0"/>
                <w:iCs w:val="0"/>
                <w:color w:val="000000"/>
                <w:sz w:val="20"/>
                <w:szCs w:val="20"/>
                <w:u w:val="none"/>
              </w:rPr>
            </w:pPr>
          </w:p>
        </w:tc>
      </w:tr>
      <w:tr w14:paraId="0F6D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6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4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义门供水工程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E60C">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D4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5AEF">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188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0FC6">
            <w:pPr>
              <w:jc w:val="center"/>
              <w:rPr>
                <w:rFonts w:hint="eastAsia" w:ascii="宋体" w:hAnsi="宋体" w:eastAsia="宋体" w:cs="宋体"/>
                <w:i w:val="0"/>
                <w:iCs w:val="0"/>
                <w:color w:val="000000"/>
                <w:sz w:val="20"/>
                <w:szCs w:val="20"/>
                <w:u w:val="none"/>
              </w:rPr>
            </w:pPr>
          </w:p>
        </w:tc>
      </w:tr>
      <w:tr w14:paraId="4CC7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5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A9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义门村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20F7">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4D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E1A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254F">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B2AD">
            <w:pPr>
              <w:jc w:val="center"/>
              <w:rPr>
                <w:rFonts w:hint="eastAsia" w:ascii="宋体" w:hAnsi="宋体" w:eastAsia="宋体" w:cs="宋体"/>
                <w:i w:val="0"/>
                <w:iCs w:val="0"/>
                <w:color w:val="000000"/>
                <w:sz w:val="20"/>
                <w:szCs w:val="20"/>
                <w:u w:val="none"/>
              </w:rPr>
            </w:pPr>
          </w:p>
        </w:tc>
      </w:tr>
      <w:tr w14:paraId="79C5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6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4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更换水质化验仪器</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3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D6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D164">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B2E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D641">
            <w:pPr>
              <w:jc w:val="center"/>
              <w:rPr>
                <w:rFonts w:hint="eastAsia" w:ascii="宋体" w:hAnsi="宋体" w:eastAsia="宋体" w:cs="宋体"/>
                <w:i w:val="0"/>
                <w:iCs w:val="0"/>
                <w:color w:val="000000"/>
                <w:sz w:val="20"/>
                <w:szCs w:val="20"/>
                <w:u w:val="none"/>
              </w:rPr>
            </w:pPr>
          </w:p>
        </w:tc>
      </w:tr>
      <w:tr w14:paraId="236A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F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E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岳白村引泉工程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7D2E">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0F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6A90">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0124">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6B38">
            <w:pPr>
              <w:jc w:val="center"/>
              <w:rPr>
                <w:rFonts w:hint="eastAsia" w:ascii="宋体" w:hAnsi="宋体" w:eastAsia="宋体" w:cs="宋体"/>
                <w:i w:val="0"/>
                <w:iCs w:val="0"/>
                <w:color w:val="000000"/>
                <w:sz w:val="20"/>
                <w:szCs w:val="20"/>
                <w:u w:val="none"/>
              </w:rPr>
            </w:pPr>
          </w:p>
        </w:tc>
      </w:tr>
      <w:tr w14:paraId="159F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D6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岳白村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52D7">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3B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E67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43FF">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5D49">
            <w:pPr>
              <w:jc w:val="center"/>
              <w:rPr>
                <w:rFonts w:hint="eastAsia" w:ascii="宋体" w:hAnsi="宋体" w:eastAsia="宋体" w:cs="宋体"/>
                <w:i w:val="0"/>
                <w:iCs w:val="0"/>
                <w:color w:val="000000"/>
                <w:sz w:val="20"/>
                <w:szCs w:val="20"/>
                <w:u w:val="none"/>
              </w:rPr>
            </w:pPr>
          </w:p>
        </w:tc>
      </w:tr>
      <w:tr w14:paraId="1BE3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8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8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维修250QI5-150-18KW潜水泵</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3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C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7346">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972F">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E6F3">
            <w:pPr>
              <w:jc w:val="center"/>
              <w:rPr>
                <w:rFonts w:hint="eastAsia" w:ascii="宋体" w:hAnsi="宋体" w:eastAsia="宋体" w:cs="宋体"/>
                <w:i w:val="0"/>
                <w:iCs w:val="0"/>
                <w:color w:val="000000"/>
                <w:sz w:val="20"/>
                <w:szCs w:val="20"/>
                <w:u w:val="none"/>
              </w:rPr>
            </w:pPr>
          </w:p>
        </w:tc>
      </w:tr>
      <w:tr w14:paraId="725C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D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8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排气阀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B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E9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4184">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AFFD">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394B">
            <w:pPr>
              <w:jc w:val="center"/>
              <w:rPr>
                <w:rFonts w:hint="eastAsia" w:ascii="宋体" w:hAnsi="宋体" w:eastAsia="宋体" w:cs="宋体"/>
                <w:i w:val="0"/>
                <w:iCs w:val="0"/>
                <w:color w:val="000000"/>
                <w:sz w:val="20"/>
                <w:szCs w:val="20"/>
                <w:u w:val="none"/>
              </w:rPr>
            </w:pPr>
          </w:p>
        </w:tc>
      </w:tr>
      <w:tr w14:paraId="6166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5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3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赵老峪北村引泉工程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3420">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3E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9D7E">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2D4F">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423F">
            <w:pPr>
              <w:jc w:val="center"/>
              <w:rPr>
                <w:rFonts w:hint="eastAsia" w:ascii="宋体" w:hAnsi="宋体" w:eastAsia="宋体" w:cs="宋体"/>
                <w:i w:val="0"/>
                <w:iCs w:val="0"/>
                <w:color w:val="000000"/>
                <w:sz w:val="20"/>
                <w:szCs w:val="20"/>
                <w:u w:val="none"/>
              </w:rPr>
            </w:pPr>
          </w:p>
        </w:tc>
      </w:tr>
      <w:tr w14:paraId="7ED8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F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赵老峪北村</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B4F2">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76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F91A">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601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236A">
            <w:pPr>
              <w:jc w:val="center"/>
              <w:rPr>
                <w:rFonts w:hint="eastAsia" w:ascii="宋体" w:hAnsi="宋体" w:eastAsia="宋体" w:cs="宋体"/>
                <w:i w:val="0"/>
                <w:iCs w:val="0"/>
                <w:color w:val="000000"/>
                <w:sz w:val="20"/>
                <w:szCs w:val="20"/>
                <w:u w:val="none"/>
              </w:rPr>
            </w:pPr>
          </w:p>
        </w:tc>
      </w:tr>
      <w:tr w14:paraId="0EE1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0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A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更换DN25排气阀</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0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D6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91B3">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278E">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2754">
            <w:pPr>
              <w:jc w:val="center"/>
              <w:rPr>
                <w:rFonts w:hint="eastAsia" w:ascii="宋体" w:hAnsi="宋体" w:eastAsia="宋体" w:cs="宋体"/>
                <w:i w:val="0"/>
                <w:iCs w:val="0"/>
                <w:color w:val="000000"/>
                <w:sz w:val="20"/>
                <w:szCs w:val="20"/>
                <w:u w:val="none"/>
              </w:rPr>
            </w:pPr>
          </w:p>
        </w:tc>
      </w:tr>
      <w:tr w14:paraId="3DE5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1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2.12.1.2</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3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自动控制设备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0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5A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513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0A9F">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6358">
            <w:pPr>
              <w:jc w:val="center"/>
              <w:rPr>
                <w:rFonts w:hint="eastAsia" w:ascii="宋体" w:hAnsi="宋体" w:eastAsia="宋体" w:cs="宋体"/>
                <w:i w:val="0"/>
                <w:iCs w:val="0"/>
                <w:color w:val="000000"/>
                <w:sz w:val="20"/>
                <w:szCs w:val="20"/>
                <w:u w:val="none"/>
              </w:rPr>
            </w:pPr>
          </w:p>
        </w:tc>
      </w:tr>
      <w:tr w14:paraId="1B27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C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9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临时工程</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5C90">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5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8EAC">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8AD5">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D21F">
            <w:pPr>
              <w:jc w:val="center"/>
              <w:rPr>
                <w:rFonts w:hint="eastAsia" w:ascii="宋体" w:hAnsi="宋体" w:eastAsia="宋体" w:cs="宋体"/>
                <w:i w:val="0"/>
                <w:iCs w:val="0"/>
                <w:color w:val="000000"/>
                <w:sz w:val="20"/>
                <w:szCs w:val="20"/>
                <w:u w:val="none"/>
              </w:rPr>
            </w:pPr>
          </w:p>
        </w:tc>
      </w:tr>
      <w:tr w14:paraId="14A5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E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A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其他临时工程费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4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F3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CA28">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5FC1">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2CE0">
            <w:pPr>
              <w:jc w:val="center"/>
              <w:rPr>
                <w:rFonts w:hint="eastAsia" w:ascii="宋体" w:hAnsi="宋体" w:eastAsia="宋体" w:cs="宋体"/>
                <w:i w:val="0"/>
                <w:iCs w:val="0"/>
                <w:color w:val="000000"/>
                <w:sz w:val="20"/>
                <w:szCs w:val="20"/>
                <w:u w:val="none"/>
              </w:rPr>
            </w:pPr>
          </w:p>
        </w:tc>
      </w:tr>
      <w:tr w14:paraId="7061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8170">
            <w:pPr>
              <w:jc w:val="left"/>
              <w:rPr>
                <w:rFonts w:hint="eastAsia" w:ascii="宋体" w:hAnsi="宋体" w:eastAsia="宋体" w:cs="宋体"/>
                <w:i w:val="0"/>
                <w:iCs w:val="0"/>
                <w:color w:val="000000"/>
                <w:sz w:val="20"/>
                <w:szCs w:val="20"/>
                <w:u w:val="none"/>
              </w:rPr>
            </w:pP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694D">
            <w:pPr>
              <w:jc w:val="left"/>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649B">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0B31">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C582">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43A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69E4">
            <w:pPr>
              <w:jc w:val="center"/>
              <w:rPr>
                <w:rFonts w:hint="eastAsia" w:ascii="宋体" w:hAnsi="宋体" w:eastAsia="宋体" w:cs="宋体"/>
                <w:i w:val="0"/>
                <w:iCs w:val="0"/>
                <w:color w:val="000000"/>
                <w:sz w:val="20"/>
                <w:szCs w:val="20"/>
                <w:u w:val="none"/>
              </w:rPr>
            </w:pPr>
          </w:p>
        </w:tc>
      </w:tr>
      <w:tr w14:paraId="17A0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4915">
            <w:pPr>
              <w:jc w:val="left"/>
              <w:rPr>
                <w:rFonts w:hint="eastAsia" w:ascii="宋体" w:hAnsi="宋体" w:eastAsia="宋体" w:cs="宋体"/>
                <w:i w:val="0"/>
                <w:iCs w:val="0"/>
                <w:color w:val="000000"/>
                <w:sz w:val="20"/>
                <w:szCs w:val="20"/>
                <w:u w:val="none"/>
              </w:rPr>
            </w:pPr>
          </w:p>
        </w:tc>
        <w:tc>
          <w:tcPr>
            <w:tcW w:w="2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7FBF">
            <w:pPr>
              <w:jc w:val="left"/>
              <w:rPr>
                <w:rFonts w:hint="eastAsia" w:ascii="宋体" w:hAnsi="宋体" w:eastAsia="宋体" w:cs="宋体"/>
                <w:i w:val="0"/>
                <w:iCs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DFD9">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8B49">
            <w:pPr>
              <w:jc w:val="right"/>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250D">
            <w:pPr>
              <w:jc w:val="righ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920C">
            <w:pPr>
              <w:jc w:val="right"/>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8758">
            <w:pPr>
              <w:jc w:val="center"/>
              <w:rPr>
                <w:rFonts w:hint="eastAsia" w:ascii="宋体" w:hAnsi="宋体" w:eastAsia="宋体" w:cs="宋体"/>
                <w:i w:val="0"/>
                <w:iCs w:val="0"/>
                <w:color w:val="000000"/>
                <w:sz w:val="20"/>
                <w:szCs w:val="20"/>
                <w:u w:val="none"/>
              </w:rPr>
            </w:pPr>
          </w:p>
        </w:tc>
      </w:tr>
      <w:tr w14:paraId="75B3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26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CEB9">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867B">
            <w:pPr>
              <w:jc w:val="center"/>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5DD2">
            <w:pPr>
              <w:jc w:val="center"/>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B5E8">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050E">
            <w:pPr>
              <w:jc w:val="center"/>
              <w:rPr>
                <w:rFonts w:hint="eastAsia" w:ascii="宋体" w:hAnsi="宋体" w:eastAsia="宋体" w:cs="宋体"/>
                <w:i w:val="0"/>
                <w:iCs w:val="0"/>
                <w:color w:val="000000"/>
                <w:sz w:val="20"/>
                <w:szCs w:val="20"/>
                <w:u w:val="none"/>
              </w:rPr>
            </w:pPr>
          </w:p>
        </w:tc>
      </w:tr>
      <w:tr w14:paraId="27FD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150" w:type="dxa"/>
            <w:gridSpan w:val="7"/>
            <w:tcBorders>
              <w:top w:val="single" w:color="000000" w:sz="4" w:space="0"/>
              <w:left w:val="nil"/>
              <w:bottom w:val="nil"/>
              <w:right w:val="nil"/>
            </w:tcBorders>
            <w:shd w:val="clear" w:color="auto" w:fill="auto"/>
            <w:noWrap/>
            <w:vAlign w:val="center"/>
          </w:tcPr>
          <w:p w14:paraId="73BA78C5">
            <w:pPr>
              <w:jc w:val="center"/>
              <w:rPr>
                <w:rFonts w:hint="eastAsia" w:ascii="宋体" w:hAnsi="宋体" w:eastAsia="宋体" w:cs="宋体"/>
                <w:i w:val="0"/>
                <w:iCs w:val="0"/>
                <w:color w:val="000000"/>
                <w:sz w:val="20"/>
                <w:szCs w:val="20"/>
                <w:u w:val="none"/>
              </w:rPr>
            </w:pPr>
          </w:p>
        </w:tc>
      </w:tr>
      <w:tr w14:paraId="3C9F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26D40D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eastAsia="宋体" w:cs="宋体"/>
                <w:i w:val="0"/>
                <w:iCs w:val="0"/>
                <w:color w:val="000000"/>
                <w:kern w:val="0"/>
                <w:sz w:val="20"/>
                <w:szCs w:val="20"/>
                <w:u w:val="single"/>
                <w:lang w:val="en-US" w:eastAsia="zh-CN" w:bidi="ar"/>
              </w:rPr>
              <w:t xml:space="preserve">                  (盖单位章) </w:t>
            </w:r>
            <w:r>
              <w:rPr>
                <w:rFonts w:hint="eastAsia" w:ascii="宋体" w:hAnsi="宋体" w:eastAsia="宋体" w:cs="宋体"/>
                <w:i w:val="0"/>
                <w:iCs w:val="0"/>
                <w:color w:val="000000"/>
                <w:kern w:val="0"/>
                <w:sz w:val="20"/>
                <w:szCs w:val="20"/>
                <w:u w:val="none"/>
                <w:lang w:val="en-US" w:eastAsia="zh-CN" w:bidi="ar"/>
              </w:rPr>
              <w:t xml:space="preserve">       </w:t>
            </w:r>
          </w:p>
        </w:tc>
      </w:tr>
      <w:tr w14:paraId="369C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3D821D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法定代表人或委托代理人：</w:t>
            </w:r>
            <w:r>
              <w:rPr>
                <w:rFonts w:hint="eastAsia" w:ascii="宋体" w:hAnsi="宋体" w:eastAsia="宋体" w:cs="宋体"/>
                <w:i w:val="0"/>
                <w:iCs w:val="0"/>
                <w:color w:val="000000"/>
                <w:kern w:val="0"/>
                <w:sz w:val="20"/>
                <w:szCs w:val="20"/>
                <w:u w:val="single"/>
                <w:lang w:val="en-US" w:eastAsia="zh-CN" w:bidi="ar"/>
              </w:rPr>
              <w:t xml:space="preserve">              (签名)</w:t>
            </w:r>
          </w:p>
        </w:tc>
      </w:tr>
      <w:tr w14:paraId="75A1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0" w:type="dxa"/>
            <w:gridSpan w:val="7"/>
            <w:tcBorders>
              <w:top w:val="nil"/>
              <w:left w:val="nil"/>
              <w:bottom w:val="nil"/>
              <w:right w:val="nil"/>
            </w:tcBorders>
            <w:shd w:val="clear" w:color="auto" w:fill="auto"/>
            <w:noWrap/>
            <w:vAlign w:val="center"/>
          </w:tcPr>
          <w:p w14:paraId="4F0149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月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日       </w:t>
            </w:r>
          </w:p>
        </w:tc>
      </w:tr>
    </w:tbl>
    <w:p w14:paraId="14338940">
      <w:pPr>
        <w:rPr>
          <w:rFonts w:hint="eastAsia"/>
        </w:rPr>
      </w:pPr>
    </w:p>
    <w:p w14:paraId="0C4781E8">
      <w:pPr>
        <w:rPr>
          <w:rFonts w:hint="eastAsia"/>
        </w:rPr>
      </w:pPr>
    </w:p>
    <w:p w14:paraId="4D94D20E">
      <w:pPr>
        <w:rPr>
          <w:rFonts w:hint="eastAsia"/>
        </w:rPr>
      </w:pPr>
    </w:p>
    <w:p w14:paraId="265CBEBF">
      <w:pPr>
        <w:pStyle w:val="24"/>
        <w:outlineLvl w:val="9"/>
        <w:rPr>
          <w:rFonts w:hint="eastAsia" w:ascii="宋体" w:hAnsi="宋体" w:eastAsia="宋体" w:cs="宋体"/>
          <w:b w:val="0"/>
          <w:bCs/>
          <w:color w:val="auto"/>
          <w:sz w:val="30"/>
          <w:szCs w:val="30"/>
          <w:highlight w:val="none"/>
        </w:rPr>
      </w:pPr>
    </w:p>
    <w:p w14:paraId="028D4C6B">
      <w:pPr>
        <w:jc w:val="center"/>
        <w:outlineLvl w:val="0"/>
        <w:rPr>
          <w:rFonts w:hint="eastAsia" w:ascii="宋体" w:hAnsi="宋体"/>
          <w:b/>
          <w:color w:val="auto"/>
          <w:sz w:val="36"/>
        </w:rPr>
      </w:pPr>
      <w:bookmarkStart w:id="1110" w:name="_Toc26056"/>
      <w:bookmarkStart w:id="1111" w:name="_Toc30192"/>
      <w:r>
        <w:rPr>
          <w:rFonts w:hint="eastAsia" w:ascii="宋体" w:hAnsi="宋体"/>
          <w:b/>
          <w:color w:val="auto"/>
          <w:sz w:val="36"/>
        </w:rPr>
        <w:t>第</w:t>
      </w:r>
      <w:r>
        <w:rPr>
          <w:rFonts w:hint="eastAsia" w:ascii="宋体" w:hAnsi="宋体"/>
          <w:b/>
          <w:color w:val="auto"/>
          <w:sz w:val="36"/>
          <w:lang w:val="en-US" w:eastAsia="zh-CN"/>
        </w:rPr>
        <w:t>八</w:t>
      </w:r>
      <w:r>
        <w:rPr>
          <w:rFonts w:hint="eastAsia" w:ascii="宋体" w:hAnsi="宋体"/>
          <w:b/>
          <w:color w:val="auto"/>
          <w:sz w:val="36"/>
        </w:rPr>
        <w:t>部分</w:t>
      </w:r>
      <w:r>
        <w:rPr>
          <w:rFonts w:hint="eastAsia" w:ascii="宋体" w:hAnsi="宋体"/>
          <w:b/>
          <w:color w:val="auto"/>
          <w:sz w:val="36"/>
          <w:lang w:val="en-US" w:eastAsia="zh-CN"/>
        </w:rPr>
        <w:t xml:space="preserve">  图纸</w:t>
      </w:r>
      <w:bookmarkEnd w:id="1110"/>
      <w:bookmarkEnd w:id="1111"/>
    </w:p>
    <w:p w14:paraId="1455FCFA">
      <w:pPr>
        <w:tabs>
          <w:tab w:val="left" w:pos="4620"/>
        </w:tabs>
        <w:spacing w:line="360" w:lineRule="auto"/>
        <w:ind w:firstLine="361" w:firstLineChars="150"/>
        <w:outlineLvl w:val="9"/>
        <w:rPr>
          <w:rFonts w:hint="eastAsia" w:ascii="宋体" w:hAnsi="宋体"/>
          <w:b/>
          <w:color w:val="auto"/>
          <w:sz w:val="24"/>
        </w:rPr>
      </w:pPr>
    </w:p>
    <w:p w14:paraId="6063D4DC">
      <w:pPr>
        <w:jc w:val="center"/>
        <w:outlineLvl w:val="9"/>
        <w:rPr>
          <w:rFonts w:hint="eastAsia" w:ascii="宋体" w:hAnsi="宋体" w:eastAsia="宋体" w:cs="宋体"/>
          <w:b w:val="0"/>
          <w:bCs/>
          <w:color w:val="auto"/>
          <w:kern w:val="1"/>
          <w:sz w:val="32"/>
          <w:szCs w:val="22"/>
          <w:lang w:eastAsia="zh-CN"/>
        </w:rPr>
      </w:pPr>
      <w:r>
        <w:rPr>
          <w:rFonts w:hint="eastAsia" w:ascii="宋体" w:hAnsi="宋体" w:eastAsia="宋体" w:cs="宋体"/>
          <w:b w:val="0"/>
          <w:bCs/>
          <w:color w:val="auto"/>
          <w:kern w:val="1"/>
          <w:sz w:val="32"/>
          <w:szCs w:val="22"/>
          <w:lang w:eastAsia="zh-CN"/>
        </w:rPr>
        <w:t>（</w:t>
      </w:r>
      <w:r>
        <w:rPr>
          <w:rFonts w:hint="eastAsia" w:ascii="宋体" w:hAnsi="宋体" w:eastAsia="宋体" w:cs="宋体"/>
          <w:b w:val="0"/>
          <w:bCs/>
          <w:color w:val="auto"/>
          <w:kern w:val="1"/>
          <w:sz w:val="32"/>
          <w:szCs w:val="22"/>
          <w:lang w:val="en-US" w:eastAsia="zh-CN"/>
        </w:rPr>
        <w:t>见另册</w:t>
      </w:r>
      <w:r>
        <w:rPr>
          <w:rFonts w:hint="eastAsia" w:ascii="宋体" w:hAnsi="宋体" w:eastAsia="宋体" w:cs="宋体"/>
          <w:b w:val="0"/>
          <w:bCs/>
          <w:color w:val="auto"/>
          <w:kern w:val="1"/>
          <w:sz w:val="32"/>
          <w:szCs w:val="22"/>
          <w:lang w:eastAsia="zh-CN"/>
        </w:rPr>
        <w:t>）</w:t>
      </w:r>
    </w:p>
    <w:p w14:paraId="0F518811">
      <w:pPr>
        <w:jc w:val="center"/>
        <w:outlineLvl w:val="9"/>
        <w:rPr>
          <w:rFonts w:hint="eastAsia" w:ascii="宋体" w:hAnsi="宋体" w:eastAsia="宋体" w:cs="宋体"/>
          <w:b w:val="0"/>
          <w:bCs/>
          <w:color w:val="auto"/>
          <w:kern w:val="1"/>
          <w:sz w:val="36"/>
        </w:rPr>
      </w:pPr>
    </w:p>
    <w:p w14:paraId="5247E169">
      <w:pPr>
        <w:pStyle w:val="16"/>
        <w:outlineLvl w:val="9"/>
        <w:rPr>
          <w:rFonts w:hint="eastAsia" w:ascii="宋体" w:hAnsi="宋体" w:eastAsia="宋体" w:cs="宋体"/>
          <w:b w:val="0"/>
          <w:bCs/>
          <w:color w:val="auto"/>
          <w:kern w:val="1"/>
          <w:sz w:val="36"/>
        </w:rPr>
      </w:pPr>
    </w:p>
    <w:p w14:paraId="505AB413">
      <w:pPr>
        <w:pStyle w:val="16"/>
        <w:outlineLvl w:val="9"/>
        <w:rPr>
          <w:rFonts w:hint="eastAsia" w:ascii="宋体" w:hAnsi="宋体" w:eastAsia="宋体" w:cs="宋体"/>
          <w:b w:val="0"/>
          <w:bCs/>
          <w:color w:val="auto"/>
          <w:kern w:val="1"/>
          <w:sz w:val="36"/>
        </w:rPr>
      </w:pPr>
    </w:p>
    <w:p w14:paraId="4852D514">
      <w:pPr>
        <w:pStyle w:val="67"/>
        <w:outlineLvl w:val="9"/>
        <w:rPr>
          <w:rFonts w:hint="eastAsia" w:hAnsi="宋体"/>
          <w:color w:val="auto"/>
        </w:rPr>
      </w:pPr>
    </w:p>
    <w:sectPr>
      <w:headerReference r:id="rId8" w:type="default"/>
      <w:footerReference r:id="rId9" w:type="default"/>
      <w:pgSz w:w="11906" w:h="16838"/>
      <w:pgMar w:top="1134" w:right="1701" w:bottom="1134" w:left="1701" w:header="669"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A58C">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7F0425">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C7F0425">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E14F">
    <w:pPr>
      <w:pStyle w:val="1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4AC23">
                          <w:pPr>
                            <w:pStyle w:val="16"/>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804AC23">
                    <w:pPr>
                      <w:pStyle w:val="16"/>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6BEF">
    <w:pPr>
      <w:pStyle w:val="16"/>
      <w:framePr w:wrap="around" w:vAnchor="text" w:hAnchor="margin" w:xAlign="center" w:y="1"/>
      <w:rPr>
        <w:rStyle w:val="29"/>
      </w:rPr>
    </w:pPr>
    <w:r>
      <w:fldChar w:fldCharType="begin"/>
    </w:r>
    <w:r>
      <w:rPr>
        <w:rStyle w:val="29"/>
      </w:rPr>
      <w:instrText xml:space="preserve">PAGE  </w:instrText>
    </w:r>
    <w:r>
      <w:fldChar w:fldCharType="end"/>
    </w:r>
  </w:p>
  <w:p w14:paraId="0935F087">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1016">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9B806">
                          <w:pPr>
                            <w:pStyle w:val="16"/>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7859B806">
                    <w:pPr>
                      <w:pStyle w:val="16"/>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113B">
    <w:pPr>
      <w:pStyle w:val="17"/>
      <w:jc w:val="both"/>
    </w:pPr>
    <w:r>
      <w:rPr>
        <w:rFonts w:hint="eastAsia" w:ascii="宋体" w:hAnsi="宋体" w:cs="宋体"/>
        <w:spacing w:val="0"/>
        <w:sz w:val="18"/>
        <w:szCs w:val="18"/>
        <w:highlight w:val="none"/>
        <w:lang w:val="en-US" w:eastAsia="zh-CN"/>
      </w:rPr>
      <w:t>华春建设工程项目管理有限责任公司</w:t>
    </w:r>
    <w:r>
      <w:rPr>
        <w:rFonts w:hint="eastAsia" w:ascii="宋体" w:hAnsi="宋体" w:eastAsia="宋体" w:cs="宋体"/>
        <w:spacing w:val="0"/>
        <w:sz w:val="18"/>
        <w:szCs w:val="18"/>
        <w:highlight w:val="none"/>
        <w:lang w:val="en-US" w:eastAsia="zh-CN"/>
      </w:rPr>
      <w:t>竞争性磋商</w:t>
    </w:r>
    <w:r>
      <w:rPr>
        <w:rFonts w:hint="eastAsia" w:ascii="宋体" w:hAnsi="宋体" w:cs="宋体"/>
        <w:spacing w:val="0"/>
        <w:sz w:val="18"/>
        <w:szCs w:val="18"/>
        <w:highlight w:val="none"/>
        <w:lang w:val="en-US" w:eastAsia="zh-CN"/>
      </w:rPr>
      <w:t xml:space="preserve">文件                                                </w:t>
    </w:r>
    <w:r>
      <w:rPr>
        <w:rFonts w:hint="eastAsia"/>
      </w:rPr>
      <w:drawing>
        <wp:inline distT="0" distB="0" distL="114300" distR="114300">
          <wp:extent cx="333375" cy="294640"/>
          <wp:effectExtent l="0" t="0" r="9525" b="10160"/>
          <wp:docPr id="4" name="图片 2" descr="QQ截图2013071715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截图20130717152624"/>
                  <pic:cNvPicPr>
                    <a:picLocks noChangeAspect="1"/>
                  </pic:cNvPicPr>
                </pic:nvPicPr>
                <pic:blipFill>
                  <a:blip r:embed="rId1"/>
                  <a:stretch>
                    <a:fillRect/>
                  </a:stretch>
                </pic:blipFill>
                <pic:spPr>
                  <a:xfrm>
                    <a:off x="0" y="0"/>
                    <a:ext cx="333375" cy="294640"/>
                  </a:xfrm>
                  <a:prstGeom prst="rect">
                    <a:avLst/>
                  </a:prstGeom>
                  <a:noFill/>
                  <a:ln>
                    <a:noFill/>
                  </a:ln>
                </pic:spPr>
              </pic:pic>
            </a:graphicData>
          </a:graphic>
        </wp:inline>
      </w:drawing>
    </w:r>
    <w:r>
      <w:rPr>
        <w:rFonts w:hint="eastAsia" w:ascii="宋体" w:hAnsi="宋体" w:cs="宋体"/>
        <w:spacing w:val="0"/>
        <w:sz w:val="18"/>
        <w:szCs w:val="18"/>
        <w:highlight w:val="none"/>
        <w:lang w:val="en-US" w:eastAsia="zh-CN"/>
      </w:rPr>
      <w:t xml:space="preserve">                 </w:t>
    </w:r>
    <w:r>
      <w:rPr>
        <w:rFonts w:hint="eastAsia" w:ascii="宋体" w:hAnsi="宋体" w:cs="宋体"/>
        <w:spacing w:val="-11"/>
        <w:sz w:val="21"/>
        <w:szCs w:val="21"/>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2905">
    <w:pPr>
      <w:pStyle w:val="17"/>
      <w:jc w:val="left"/>
      <w:rPr>
        <w:rFonts w:hint="eastAsia"/>
      </w:rPr>
    </w:pPr>
    <w:r>
      <w:rPr>
        <w:rFonts w:hint="eastAsia" w:ascii="宋体" w:hAnsi="宋体" w:eastAsia="宋体" w:cs="宋体"/>
        <w:spacing w:val="0"/>
        <w:sz w:val="18"/>
        <w:szCs w:val="18"/>
        <w:highlight w:val="none"/>
        <w:lang w:val="en-US" w:eastAsia="zh-CN"/>
      </w:rPr>
      <w:t xml:space="preserve">华春建设工程项目管理有限责任公司竞争性磋商文件         </w:t>
    </w:r>
    <w:r>
      <w:rPr>
        <w:rFonts w:hint="eastAsia" w:ascii="宋体" w:hAnsi="宋体" w:cs="宋体"/>
        <w:spacing w:val="0"/>
        <w:sz w:val="18"/>
        <w:szCs w:val="18"/>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rPr>
      <w:drawing>
        <wp:inline distT="0" distB="0" distL="114300" distR="114300">
          <wp:extent cx="333375" cy="294640"/>
          <wp:effectExtent l="0" t="0" r="9525" b="10160"/>
          <wp:docPr id="5" name="图片 3" descr="QQ截图2013071715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QQ截图20130717152624"/>
                  <pic:cNvPicPr>
                    <a:picLocks noChangeAspect="1"/>
                  </pic:cNvPicPr>
                </pic:nvPicPr>
                <pic:blipFill>
                  <a:blip r:embed="rId1"/>
                  <a:stretch>
                    <a:fillRect/>
                  </a:stretch>
                </pic:blipFill>
                <pic:spPr>
                  <a:xfrm>
                    <a:off x="0" y="0"/>
                    <a:ext cx="333375" cy="2946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EAC7">
    <w:pPr>
      <w:keepNext w:val="0"/>
      <w:keepLines w:val="0"/>
      <w:pageBreakBefore w:val="0"/>
      <w:widowControl w:val="0"/>
      <w:pBdr>
        <w:bottom w:val="single" w:color="auto" w:sz="4" w:space="0"/>
      </w:pBdr>
      <w:kinsoku/>
      <w:wordWrap/>
      <w:overflowPunct/>
      <w:topLinePunct w:val="0"/>
      <w:autoSpaceDE/>
      <w:autoSpaceDN/>
      <w:bidi w:val="0"/>
      <w:adjustRightInd/>
      <w:snapToGrid/>
      <w:spacing w:line="520" w:lineRule="exact"/>
      <w:jc w:val="left"/>
      <w:textAlignment w:val="auto"/>
      <w:outlineLvl w:val="9"/>
      <w:rPr>
        <w:rFonts w:hint="eastAsia"/>
      </w:rPr>
    </w:pPr>
    <w:r>
      <w:rPr>
        <w:rFonts w:hint="eastAsia" w:ascii="宋体" w:hAnsi="宋体" w:eastAsia="宋体" w:cs="宋体"/>
        <w:spacing w:val="0"/>
        <w:sz w:val="18"/>
        <w:szCs w:val="18"/>
        <w:highlight w:val="none"/>
        <w:lang w:val="en-US" w:eastAsia="zh-CN"/>
      </w:rPr>
      <w:t>华春建设工程项目管理有限责任公司竞争性磋商文件</w:t>
    </w:r>
    <w:r>
      <w:rPr>
        <w:rFonts w:hint="eastAsia" w:ascii="宋体" w:hAnsi="宋体" w:eastAsia="宋体" w:cs="宋体"/>
        <w:spacing w:val="-11"/>
        <w:sz w:val="21"/>
        <w:szCs w:val="21"/>
        <w:highlight w:val="none"/>
        <w:lang w:val="en-US" w:eastAsia="zh-CN"/>
      </w:rPr>
      <w:t xml:space="preserve">  </w:t>
    </w:r>
    <w:r>
      <w:rPr>
        <w:rFonts w:hint="eastAsia" w:ascii="宋体" w:hAnsi="宋体" w:cs="宋体"/>
        <w:spacing w:val="-11"/>
        <w:sz w:val="21"/>
        <w:szCs w:val="21"/>
        <w:highlight w:val="none"/>
        <w:lang w:val="en-US" w:eastAsia="zh-CN"/>
      </w:rPr>
      <w:t xml:space="preserve">                                            </w:t>
    </w:r>
    <w:r>
      <w:rPr>
        <w:rFonts w:hint="eastAsia"/>
      </w:rPr>
      <w:drawing>
        <wp:inline distT="0" distB="0" distL="114300" distR="114300">
          <wp:extent cx="333375" cy="294640"/>
          <wp:effectExtent l="0" t="0" r="9525" b="10160"/>
          <wp:docPr id="6" name="图片 4" descr="QQ截图2013071715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QQ截图20130717152624"/>
                  <pic:cNvPicPr>
                    <a:picLocks noChangeAspect="1"/>
                  </pic:cNvPicPr>
                </pic:nvPicPr>
                <pic:blipFill>
                  <a:blip r:embed="rId1"/>
                  <a:stretch>
                    <a:fillRect/>
                  </a:stretch>
                </pic:blipFill>
                <pic:spPr>
                  <a:xfrm>
                    <a:off x="0" y="0"/>
                    <a:ext cx="333375" cy="294640"/>
                  </a:xfrm>
                  <a:prstGeom prst="rect">
                    <a:avLst/>
                  </a:prstGeom>
                  <a:noFill/>
                  <a:ln>
                    <a:noFill/>
                  </a:ln>
                </pic:spPr>
              </pic:pic>
            </a:graphicData>
          </a:graphic>
        </wp:inline>
      </w:drawing>
    </w:r>
    <w:r>
      <w:rPr>
        <w:rFonts w:hint="eastAsia" w:ascii="宋体" w:hAnsi="宋体" w:eastAsia="宋体" w:cs="宋体"/>
        <w:spacing w:val="-11"/>
        <w:sz w:val="21"/>
        <w:szCs w:val="21"/>
        <w:highlight w:val="none"/>
        <w:lang w:val="en-US" w:eastAsia="zh-CN"/>
      </w:rPr>
      <w:t xml:space="preserve">                              </w:t>
    </w:r>
    <w:r>
      <w:rPr>
        <w:rFonts w:hint="eastAsia"/>
        <w:i/>
        <w:iCs/>
        <w:lang w:val="en-US" w:eastAsia="zh-CN"/>
      </w:rPr>
      <w:t xml:space="preserve">     </w:t>
    </w:r>
    <w:r>
      <w:rPr>
        <w:rFonts w:hint="eastAsia" w:ascii="宋体" w:hAnsi="宋体"/>
        <w:sz w:val="21"/>
        <w:szCs w:val="21"/>
      </w:rPr>
      <w:t xml:space="preserve"> </w:t>
    </w:r>
    <w:r>
      <w:rPr>
        <w:rFonts w:hint="eastAsia" w:ascii="宋体" w:hAnsi="宋体"/>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141A7"/>
    <w:multiLevelType w:val="multilevel"/>
    <w:tmpl w:val="2A9141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DBC918"/>
    <w:multiLevelType w:val="singleLevel"/>
    <w:tmpl w:val="55DBC918"/>
    <w:lvl w:ilvl="0" w:tentative="0">
      <w:start w:val="2"/>
      <w:numFmt w:val="decimal"/>
      <w:suff w:val="nothing"/>
      <w:lvlText w:val="%1."/>
      <w:lvlJc w:val="left"/>
    </w:lvl>
  </w:abstractNum>
  <w:abstractNum w:abstractNumId="2">
    <w:nsid w:val="5A825990"/>
    <w:multiLevelType w:val="singleLevel"/>
    <w:tmpl w:val="5A825990"/>
    <w:lvl w:ilvl="0" w:tentative="0">
      <w:start w:val="1"/>
      <w:numFmt w:val="decimal"/>
      <w:suff w:val="nothing"/>
      <w:lvlText w:val="%1、"/>
      <w:lvlJc w:val="left"/>
    </w:lvl>
  </w:abstractNum>
  <w:abstractNum w:abstractNumId="3">
    <w:nsid w:val="72B51795"/>
    <w:multiLevelType w:val="singleLevel"/>
    <w:tmpl w:val="72B51795"/>
    <w:lvl w:ilvl="0" w:tentative="0">
      <w:start w:val="30"/>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NzM2NzQ4MjRiOTYwNmIxMjJlZDMzMThjNDEwMWIifQ=="/>
  </w:docVars>
  <w:rsids>
    <w:rsidRoot w:val="005946C4"/>
    <w:rsid w:val="0000039A"/>
    <w:rsid w:val="000003EC"/>
    <w:rsid w:val="00002526"/>
    <w:rsid w:val="00010E11"/>
    <w:rsid w:val="00011548"/>
    <w:rsid w:val="00011DFF"/>
    <w:rsid w:val="00011F8A"/>
    <w:rsid w:val="00015594"/>
    <w:rsid w:val="00015FAA"/>
    <w:rsid w:val="00016A3F"/>
    <w:rsid w:val="000174E4"/>
    <w:rsid w:val="00021294"/>
    <w:rsid w:val="0002210E"/>
    <w:rsid w:val="00022AB1"/>
    <w:rsid w:val="00023F16"/>
    <w:rsid w:val="00024CF9"/>
    <w:rsid w:val="0002652B"/>
    <w:rsid w:val="000302EC"/>
    <w:rsid w:val="000311F9"/>
    <w:rsid w:val="00031536"/>
    <w:rsid w:val="0003353F"/>
    <w:rsid w:val="00033894"/>
    <w:rsid w:val="000351E6"/>
    <w:rsid w:val="00036C50"/>
    <w:rsid w:val="00037F61"/>
    <w:rsid w:val="00041661"/>
    <w:rsid w:val="00041BFB"/>
    <w:rsid w:val="00042C03"/>
    <w:rsid w:val="00043E8B"/>
    <w:rsid w:val="0004564B"/>
    <w:rsid w:val="00046BB1"/>
    <w:rsid w:val="00047090"/>
    <w:rsid w:val="000479AB"/>
    <w:rsid w:val="00051928"/>
    <w:rsid w:val="0005332C"/>
    <w:rsid w:val="00054D2E"/>
    <w:rsid w:val="00055047"/>
    <w:rsid w:val="00057538"/>
    <w:rsid w:val="0006056E"/>
    <w:rsid w:val="00060B9F"/>
    <w:rsid w:val="000667AA"/>
    <w:rsid w:val="00067201"/>
    <w:rsid w:val="00067CCB"/>
    <w:rsid w:val="000700ED"/>
    <w:rsid w:val="00070BD7"/>
    <w:rsid w:val="00070BEB"/>
    <w:rsid w:val="000711EC"/>
    <w:rsid w:val="00072C07"/>
    <w:rsid w:val="0007537D"/>
    <w:rsid w:val="00075899"/>
    <w:rsid w:val="00077E1A"/>
    <w:rsid w:val="000824C4"/>
    <w:rsid w:val="00082927"/>
    <w:rsid w:val="00082A88"/>
    <w:rsid w:val="0008428C"/>
    <w:rsid w:val="00086DBC"/>
    <w:rsid w:val="00087D9A"/>
    <w:rsid w:val="000906E3"/>
    <w:rsid w:val="000962AE"/>
    <w:rsid w:val="000976F1"/>
    <w:rsid w:val="00097793"/>
    <w:rsid w:val="0009795C"/>
    <w:rsid w:val="000A028A"/>
    <w:rsid w:val="000A1B91"/>
    <w:rsid w:val="000A2B41"/>
    <w:rsid w:val="000A7101"/>
    <w:rsid w:val="000A7F41"/>
    <w:rsid w:val="000B0029"/>
    <w:rsid w:val="000B0743"/>
    <w:rsid w:val="000B0F53"/>
    <w:rsid w:val="000B1CF6"/>
    <w:rsid w:val="000B2577"/>
    <w:rsid w:val="000B2967"/>
    <w:rsid w:val="000B3A14"/>
    <w:rsid w:val="000B42B8"/>
    <w:rsid w:val="000B4FDC"/>
    <w:rsid w:val="000B51C5"/>
    <w:rsid w:val="000B5630"/>
    <w:rsid w:val="000B7570"/>
    <w:rsid w:val="000B7892"/>
    <w:rsid w:val="000C2AFD"/>
    <w:rsid w:val="000C2EB6"/>
    <w:rsid w:val="000C3250"/>
    <w:rsid w:val="000C621E"/>
    <w:rsid w:val="000C62D2"/>
    <w:rsid w:val="000C7310"/>
    <w:rsid w:val="000C799B"/>
    <w:rsid w:val="000D1C87"/>
    <w:rsid w:val="000D2ACB"/>
    <w:rsid w:val="000D332A"/>
    <w:rsid w:val="000D4276"/>
    <w:rsid w:val="000D589D"/>
    <w:rsid w:val="000D5DF2"/>
    <w:rsid w:val="000D67BD"/>
    <w:rsid w:val="000D6A31"/>
    <w:rsid w:val="000D6B7F"/>
    <w:rsid w:val="000D703B"/>
    <w:rsid w:val="000E10BD"/>
    <w:rsid w:val="000E15CB"/>
    <w:rsid w:val="000E2AF2"/>
    <w:rsid w:val="000E4E2E"/>
    <w:rsid w:val="000E615D"/>
    <w:rsid w:val="000F3577"/>
    <w:rsid w:val="00100521"/>
    <w:rsid w:val="001009B3"/>
    <w:rsid w:val="00100EE7"/>
    <w:rsid w:val="00101E80"/>
    <w:rsid w:val="00102255"/>
    <w:rsid w:val="001033FD"/>
    <w:rsid w:val="00104C15"/>
    <w:rsid w:val="00105120"/>
    <w:rsid w:val="0010575C"/>
    <w:rsid w:val="00106421"/>
    <w:rsid w:val="00107606"/>
    <w:rsid w:val="00110983"/>
    <w:rsid w:val="00111972"/>
    <w:rsid w:val="0011229E"/>
    <w:rsid w:val="00112756"/>
    <w:rsid w:val="00112A99"/>
    <w:rsid w:val="00114295"/>
    <w:rsid w:val="001144E2"/>
    <w:rsid w:val="00114C7E"/>
    <w:rsid w:val="00114C86"/>
    <w:rsid w:val="00116B13"/>
    <w:rsid w:val="00117F5A"/>
    <w:rsid w:val="001201C8"/>
    <w:rsid w:val="001221DD"/>
    <w:rsid w:val="00122DE9"/>
    <w:rsid w:val="00123D78"/>
    <w:rsid w:val="00125048"/>
    <w:rsid w:val="00125B68"/>
    <w:rsid w:val="001276C8"/>
    <w:rsid w:val="001300FB"/>
    <w:rsid w:val="001312DC"/>
    <w:rsid w:val="00132123"/>
    <w:rsid w:val="0013358D"/>
    <w:rsid w:val="00137872"/>
    <w:rsid w:val="0014017D"/>
    <w:rsid w:val="00144EBC"/>
    <w:rsid w:val="00145BA6"/>
    <w:rsid w:val="00145DCB"/>
    <w:rsid w:val="00147AEC"/>
    <w:rsid w:val="00150835"/>
    <w:rsid w:val="00154DD9"/>
    <w:rsid w:val="001550DC"/>
    <w:rsid w:val="001558CB"/>
    <w:rsid w:val="00156673"/>
    <w:rsid w:val="00157754"/>
    <w:rsid w:val="00160234"/>
    <w:rsid w:val="001605F0"/>
    <w:rsid w:val="00161842"/>
    <w:rsid w:val="0016293F"/>
    <w:rsid w:val="00164697"/>
    <w:rsid w:val="00166AF7"/>
    <w:rsid w:val="00166BAD"/>
    <w:rsid w:val="001670D5"/>
    <w:rsid w:val="00167A2B"/>
    <w:rsid w:val="0017285A"/>
    <w:rsid w:val="0017345B"/>
    <w:rsid w:val="0017397F"/>
    <w:rsid w:val="001752B3"/>
    <w:rsid w:val="00175BFB"/>
    <w:rsid w:val="00176308"/>
    <w:rsid w:val="00176E4A"/>
    <w:rsid w:val="00181F00"/>
    <w:rsid w:val="001832F1"/>
    <w:rsid w:val="0018357C"/>
    <w:rsid w:val="001838FE"/>
    <w:rsid w:val="00184169"/>
    <w:rsid w:val="001862D8"/>
    <w:rsid w:val="001871FB"/>
    <w:rsid w:val="0019044E"/>
    <w:rsid w:val="0019115E"/>
    <w:rsid w:val="00192D42"/>
    <w:rsid w:val="00193AB6"/>
    <w:rsid w:val="00193CB1"/>
    <w:rsid w:val="00193F11"/>
    <w:rsid w:val="001956DB"/>
    <w:rsid w:val="001960DD"/>
    <w:rsid w:val="001A3549"/>
    <w:rsid w:val="001A3AAB"/>
    <w:rsid w:val="001A410F"/>
    <w:rsid w:val="001A570F"/>
    <w:rsid w:val="001B489F"/>
    <w:rsid w:val="001B4C79"/>
    <w:rsid w:val="001B7DB6"/>
    <w:rsid w:val="001C2047"/>
    <w:rsid w:val="001C26F6"/>
    <w:rsid w:val="001C3E27"/>
    <w:rsid w:val="001C643F"/>
    <w:rsid w:val="001D1764"/>
    <w:rsid w:val="001D68F2"/>
    <w:rsid w:val="001D7703"/>
    <w:rsid w:val="001E2A6F"/>
    <w:rsid w:val="001E3B34"/>
    <w:rsid w:val="001E51BD"/>
    <w:rsid w:val="001E55DA"/>
    <w:rsid w:val="001E5F03"/>
    <w:rsid w:val="001E61EB"/>
    <w:rsid w:val="001E622A"/>
    <w:rsid w:val="001E717F"/>
    <w:rsid w:val="001E7D02"/>
    <w:rsid w:val="001F017A"/>
    <w:rsid w:val="001F0A85"/>
    <w:rsid w:val="001F1FF6"/>
    <w:rsid w:val="001F6CCE"/>
    <w:rsid w:val="0020083E"/>
    <w:rsid w:val="00200965"/>
    <w:rsid w:val="00201E20"/>
    <w:rsid w:val="0020231A"/>
    <w:rsid w:val="00204029"/>
    <w:rsid w:val="002072E4"/>
    <w:rsid w:val="00207859"/>
    <w:rsid w:val="00207916"/>
    <w:rsid w:val="00213A77"/>
    <w:rsid w:val="00215B5D"/>
    <w:rsid w:val="00216CAC"/>
    <w:rsid w:val="00216EA3"/>
    <w:rsid w:val="00217763"/>
    <w:rsid w:val="00222AB6"/>
    <w:rsid w:val="0022333F"/>
    <w:rsid w:val="00223718"/>
    <w:rsid w:val="002300AB"/>
    <w:rsid w:val="00231035"/>
    <w:rsid w:val="002313D5"/>
    <w:rsid w:val="00231509"/>
    <w:rsid w:val="002322C4"/>
    <w:rsid w:val="002337BA"/>
    <w:rsid w:val="00234A3D"/>
    <w:rsid w:val="00241572"/>
    <w:rsid w:val="0024275A"/>
    <w:rsid w:val="00243CC9"/>
    <w:rsid w:val="00251418"/>
    <w:rsid w:val="0025455A"/>
    <w:rsid w:val="00254724"/>
    <w:rsid w:val="00260A28"/>
    <w:rsid w:val="00260DB7"/>
    <w:rsid w:val="00261029"/>
    <w:rsid w:val="002625F7"/>
    <w:rsid w:val="002625FF"/>
    <w:rsid w:val="0026426B"/>
    <w:rsid w:val="00266B64"/>
    <w:rsid w:val="00266FC6"/>
    <w:rsid w:val="00267CB3"/>
    <w:rsid w:val="002713A0"/>
    <w:rsid w:val="002722EB"/>
    <w:rsid w:val="00273A5E"/>
    <w:rsid w:val="00274B10"/>
    <w:rsid w:val="00274DC9"/>
    <w:rsid w:val="002768B5"/>
    <w:rsid w:val="00281E08"/>
    <w:rsid w:val="002831E9"/>
    <w:rsid w:val="00285DEC"/>
    <w:rsid w:val="002868F8"/>
    <w:rsid w:val="00293813"/>
    <w:rsid w:val="00295534"/>
    <w:rsid w:val="00295744"/>
    <w:rsid w:val="00296EDF"/>
    <w:rsid w:val="002972F6"/>
    <w:rsid w:val="00297DFB"/>
    <w:rsid w:val="002A1B87"/>
    <w:rsid w:val="002A1C87"/>
    <w:rsid w:val="002A1FC3"/>
    <w:rsid w:val="002A2A37"/>
    <w:rsid w:val="002A492E"/>
    <w:rsid w:val="002A5A03"/>
    <w:rsid w:val="002B1A69"/>
    <w:rsid w:val="002B3F80"/>
    <w:rsid w:val="002B4011"/>
    <w:rsid w:val="002B6BCE"/>
    <w:rsid w:val="002C0D6E"/>
    <w:rsid w:val="002C167B"/>
    <w:rsid w:val="002C227E"/>
    <w:rsid w:val="002C4F24"/>
    <w:rsid w:val="002C5871"/>
    <w:rsid w:val="002C6EF7"/>
    <w:rsid w:val="002C78FA"/>
    <w:rsid w:val="002D1640"/>
    <w:rsid w:val="002D1B50"/>
    <w:rsid w:val="002D20A4"/>
    <w:rsid w:val="002D22FC"/>
    <w:rsid w:val="002D354E"/>
    <w:rsid w:val="002D39A4"/>
    <w:rsid w:val="002D5286"/>
    <w:rsid w:val="002D6D55"/>
    <w:rsid w:val="002D73FC"/>
    <w:rsid w:val="002E559A"/>
    <w:rsid w:val="002E75FC"/>
    <w:rsid w:val="002E7989"/>
    <w:rsid w:val="002F0929"/>
    <w:rsid w:val="002F0BFE"/>
    <w:rsid w:val="002F2806"/>
    <w:rsid w:val="002F4016"/>
    <w:rsid w:val="002F5353"/>
    <w:rsid w:val="002F644F"/>
    <w:rsid w:val="002F660F"/>
    <w:rsid w:val="002F6951"/>
    <w:rsid w:val="00300683"/>
    <w:rsid w:val="0030196C"/>
    <w:rsid w:val="00301D01"/>
    <w:rsid w:val="00302480"/>
    <w:rsid w:val="00307063"/>
    <w:rsid w:val="0030770F"/>
    <w:rsid w:val="00314289"/>
    <w:rsid w:val="00314468"/>
    <w:rsid w:val="00314F90"/>
    <w:rsid w:val="00314F98"/>
    <w:rsid w:val="00315F47"/>
    <w:rsid w:val="00316889"/>
    <w:rsid w:val="00316F38"/>
    <w:rsid w:val="00321CAE"/>
    <w:rsid w:val="003230D0"/>
    <w:rsid w:val="0032312B"/>
    <w:rsid w:val="0032529C"/>
    <w:rsid w:val="00325B75"/>
    <w:rsid w:val="00327126"/>
    <w:rsid w:val="00333ED2"/>
    <w:rsid w:val="003369B7"/>
    <w:rsid w:val="00336EF8"/>
    <w:rsid w:val="00337B74"/>
    <w:rsid w:val="00337EA6"/>
    <w:rsid w:val="00341776"/>
    <w:rsid w:val="0034454F"/>
    <w:rsid w:val="003474A5"/>
    <w:rsid w:val="00350378"/>
    <w:rsid w:val="00357902"/>
    <w:rsid w:val="00360EA9"/>
    <w:rsid w:val="0036169E"/>
    <w:rsid w:val="003624B6"/>
    <w:rsid w:val="00362686"/>
    <w:rsid w:val="00363157"/>
    <w:rsid w:val="00364108"/>
    <w:rsid w:val="0036523F"/>
    <w:rsid w:val="003667A4"/>
    <w:rsid w:val="00366D90"/>
    <w:rsid w:val="00371B80"/>
    <w:rsid w:val="0037237C"/>
    <w:rsid w:val="0037272E"/>
    <w:rsid w:val="00372847"/>
    <w:rsid w:val="003729AD"/>
    <w:rsid w:val="00374662"/>
    <w:rsid w:val="00374874"/>
    <w:rsid w:val="00377005"/>
    <w:rsid w:val="003831D0"/>
    <w:rsid w:val="00383D44"/>
    <w:rsid w:val="00384E3A"/>
    <w:rsid w:val="00386A7B"/>
    <w:rsid w:val="00386D06"/>
    <w:rsid w:val="00390A91"/>
    <w:rsid w:val="00394209"/>
    <w:rsid w:val="0039511B"/>
    <w:rsid w:val="003955A7"/>
    <w:rsid w:val="00395A05"/>
    <w:rsid w:val="00395FF5"/>
    <w:rsid w:val="003A24BA"/>
    <w:rsid w:val="003A3953"/>
    <w:rsid w:val="003A3B00"/>
    <w:rsid w:val="003A3C24"/>
    <w:rsid w:val="003A4687"/>
    <w:rsid w:val="003A4FBD"/>
    <w:rsid w:val="003A72E6"/>
    <w:rsid w:val="003A7315"/>
    <w:rsid w:val="003A7A35"/>
    <w:rsid w:val="003B00DD"/>
    <w:rsid w:val="003B096A"/>
    <w:rsid w:val="003B101E"/>
    <w:rsid w:val="003B3833"/>
    <w:rsid w:val="003B3DAF"/>
    <w:rsid w:val="003B4361"/>
    <w:rsid w:val="003B767F"/>
    <w:rsid w:val="003B7C71"/>
    <w:rsid w:val="003C1C31"/>
    <w:rsid w:val="003C7810"/>
    <w:rsid w:val="003D0617"/>
    <w:rsid w:val="003D17A8"/>
    <w:rsid w:val="003D1CE1"/>
    <w:rsid w:val="003D1EF5"/>
    <w:rsid w:val="003D3423"/>
    <w:rsid w:val="003D6F84"/>
    <w:rsid w:val="003E1108"/>
    <w:rsid w:val="003E1ADC"/>
    <w:rsid w:val="003E2D72"/>
    <w:rsid w:val="003E3197"/>
    <w:rsid w:val="003E31F5"/>
    <w:rsid w:val="003E40FB"/>
    <w:rsid w:val="003E44A3"/>
    <w:rsid w:val="003E4EE0"/>
    <w:rsid w:val="003F1210"/>
    <w:rsid w:val="003F174E"/>
    <w:rsid w:val="003F1BF4"/>
    <w:rsid w:val="003F2622"/>
    <w:rsid w:val="003F3724"/>
    <w:rsid w:val="003F39B5"/>
    <w:rsid w:val="003F760F"/>
    <w:rsid w:val="003F76E4"/>
    <w:rsid w:val="00400CD4"/>
    <w:rsid w:val="004023F1"/>
    <w:rsid w:val="00402E35"/>
    <w:rsid w:val="004035FA"/>
    <w:rsid w:val="00405B5A"/>
    <w:rsid w:val="00407549"/>
    <w:rsid w:val="004104CA"/>
    <w:rsid w:val="004130EB"/>
    <w:rsid w:val="00413DFB"/>
    <w:rsid w:val="00413FE0"/>
    <w:rsid w:val="0041550A"/>
    <w:rsid w:val="00415D18"/>
    <w:rsid w:val="00416680"/>
    <w:rsid w:val="00421B50"/>
    <w:rsid w:val="00421D04"/>
    <w:rsid w:val="00422969"/>
    <w:rsid w:val="004230DE"/>
    <w:rsid w:val="004232C3"/>
    <w:rsid w:val="004235F0"/>
    <w:rsid w:val="004255B5"/>
    <w:rsid w:val="0042572E"/>
    <w:rsid w:val="00427659"/>
    <w:rsid w:val="00427811"/>
    <w:rsid w:val="00430EAC"/>
    <w:rsid w:val="00431A30"/>
    <w:rsid w:val="004353FA"/>
    <w:rsid w:val="00437557"/>
    <w:rsid w:val="00437C7C"/>
    <w:rsid w:val="004401D1"/>
    <w:rsid w:val="00443227"/>
    <w:rsid w:val="00445566"/>
    <w:rsid w:val="00447688"/>
    <w:rsid w:val="004526F0"/>
    <w:rsid w:val="00455302"/>
    <w:rsid w:val="00455F19"/>
    <w:rsid w:val="00460208"/>
    <w:rsid w:val="00462E80"/>
    <w:rsid w:val="004631E6"/>
    <w:rsid w:val="004637DC"/>
    <w:rsid w:val="00463EEA"/>
    <w:rsid w:val="004655E9"/>
    <w:rsid w:val="00465605"/>
    <w:rsid w:val="0046615D"/>
    <w:rsid w:val="00467CCA"/>
    <w:rsid w:val="00471E88"/>
    <w:rsid w:val="004720AC"/>
    <w:rsid w:val="00475585"/>
    <w:rsid w:val="00477576"/>
    <w:rsid w:val="00480103"/>
    <w:rsid w:val="004817CE"/>
    <w:rsid w:val="0048219D"/>
    <w:rsid w:val="004832F5"/>
    <w:rsid w:val="004835CD"/>
    <w:rsid w:val="00484114"/>
    <w:rsid w:val="00484A48"/>
    <w:rsid w:val="00484BE5"/>
    <w:rsid w:val="00486703"/>
    <w:rsid w:val="0048712F"/>
    <w:rsid w:val="00487375"/>
    <w:rsid w:val="0049058B"/>
    <w:rsid w:val="00490DCA"/>
    <w:rsid w:val="00490DE7"/>
    <w:rsid w:val="004916BD"/>
    <w:rsid w:val="00492473"/>
    <w:rsid w:val="00492590"/>
    <w:rsid w:val="004926B1"/>
    <w:rsid w:val="00492955"/>
    <w:rsid w:val="0049321B"/>
    <w:rsid w:val="00495AC5"/>
    <w:rsid w:val="004964BF"/>
    <w:rsid w:val="00496D76"/>
    <w:rsid w:val="00496E20"/>
    <w:rsid w:val="00496EB2"/>
    <w:rsid w:val="0049784B"/>
    <w:rsid w:val="004A2479"/>
    <w:rsid w:val="004A4910"/>
    <w:rsid w:val="004A6A30"/>
    <w:rsid w:val="004A77F6"/>
    <w:rsid w:val="004A7B96"/>
    <w:rsid w:val="004B0217"/>
    <w:rsid w:val="004B110E"/>
    <w:rsid w:val="004B143C"/>
    <w:rsid w:val="004B29F8"/>
    <w:rsid w:val="004B339A"/>
    <w:rsid w:val="004B3F80"/>
    <w:rsid w:val="004B4E7E"/>
    <w:rsid w:val="004B590B"/>
    <w:rsid w:val="004B794B"/>
    <w:rsid w:val="004C1E18"/>
    <w:rsid w:val="004C2432"/>
    <w:rsid w:val="004C2A0D"/>
    <w:rsid w:val="004C2B7D"/>
    <w:rsid w:val="004C6A95"/>
    <w:rsid w:val="004C6E4D"/>
    <w:rsid w:val="004C75E4"/>
    <w:rsid w:val="004C7D0F"/>
    <w:rsid w:val="004D0B5D"/>
    <w:rsid w:val="004D0F3E"/>
    <w:rsid w:val="004D2E76"/>
    <w:rsid w:val="004D4D78"/>
    <w:rsid w:val="004E0C60"/>
    <w:rsid w:val="004E0E34"/>
    <w:rsid w:val="004E0FE7"/>
    <w:rsid w:val="004E1F6B"/>
    <w:rsid w:val="004E3D6D"/>
    <w:rsid w:val="004E7B64"/>
    <w:rsid w:val="004F1DC4"/>
    <w:rsid w:val="004F5B3B"/>
    <w:rsid w:val="004F5D79"/>
    <w:rsid w:val="0050215A"/>
    <w:rsid w:val="00505968"/>
    <w:rsid w:val="00506B00"/>
    <w:rsid w:val="00506F35"/>
    <w:rsid w:val="0051163B"/>
    <w:rsid w:val="005118CF"/>
    <w:rsid w:val="00513365"/>
    <w:rsid w:val="00513469"/>
    <w:rsid w:val="005139B2"/>
    <w:rsid w:val="0051733B"/>
    <w:rsid w:val="00517699"/>
    <w:rsid w:val="00517A30"/>
    <w:rsid w:val="00521082"/>
    <w:rsid w:val="0052132D"/>
    <w:rsid w:val="00521470"/>
    <w:rsid w:val="00522792"/>
    <w:rsid w:val="0052290F"/>
    <w:rsid w:val="00524D62"/>
    <w:rsid w:val="005253B8"/>
    <w:rsid w:val="00526B81"/>
    <w:rsid w:val="005272E6"/>
    <w:rsid w:val="00527E9A"/>
    <w:rsid w:val="005308A8"/>
    <w:rsid w:val="00530A87"/>
    <w:rsid w:val="00530BAE"/>
    <w:rsid w:val="0053328F"/>
    <w:rsid w:val="00533B4C"/>
    <w:rsid w:val="00534DB6"/>
    <w:rsid w:val="00535054"/>
    <w:rsid w:val="00536FAF"/>
    <w:rsid w:val="005429FB"/>
    <w:rsid w:val="00542A43"/>
    <w:rsid w:val="00542EA6"/>
    <w:rsid w:val="00543AA7"/>
    <w:rsid w:val="00544A99"/>
    <w:rsid w:val="00545DD5"/>
    <w:rsid w:val="0054661A"/>
    <w:rsid w:val="00546A62"/>
    <w:rsid w:val="005478A9"/>
    <w:rsid w:val="00547C45"/>
    <w:rsid w:val="005519A4"/>
    <w:rsid w:val="0055251A"/>
    <w:rsid w:val="0055296C"/>
    <w:rsid w:val="0055301A"/>
    <w:rsid w:val="00555CE9"/>
    <w:rsid w:val="00556E2F"/>
    <w:rsid w:val="00561ECF"/>
    <w:rsid w:val="00565E5A"/>
    <w:rsid w:val="00566248"/>
    <w:rsid w:val="0056695E"/>
    <w:rsid w:val="00566EB3"/>
    <w:rsid w:val="00570E45"/>
    <w:rsid w:val="00571E7A"/>
    <w:rsid w:val="0057332B"/>
    <w:rsid w:val="00573A37"/>
    <w:rsid w:val="00575DF0"/>
    <w:rsid w:val="0057780D"/>
    <w:rsid w:val="00577924"/>
    <w:rsid w:val="00577E1C"/>
    <w:rsid w:val="00582A4B"/>
    <w:rsid w:val="00584914"/>
    <w:rsid w:val="00584F58"/>
    <w:rsid w:val="00584FA8"/>
    <w:rsid w:val="00586057"/>
    <w:rsid w:val="00586CB1"/>
    <w:rsid w:val="0059064D"/>
    <w:rsid w:val="00591B90"/>
    <w:rsid w:val="0059267C"/>
    <w:rsid w:val="005942FD"/>
    <w:rsid w:val="005946C4"/>
    <w:rsid w:val="00594CF7"/>
    <w:rsid w:val="00597B56"/>
    <w:rsid w:val="005A3FB8"/>
    <w:rsid w:val="005A432F"/>
    <w:rsid w:val="005A5FA5"/>
    <w:rsid w:val="005B00EA"/>
    <w:rsid w:val="005C012E"/>
    <w:rsid w:val="005C0321"/>
    <w:rsid w:val="005C0726"/>
    <w:rsid w:val="005C0762"/>
    <w:rsid w:val="005C1148"/>
    <w:rsid w:val="005C13D0"/>
    <w:rsid w:val="005C3BB6"/>
    <w:rsid w:val="005C3E0E"/>
    <w:rsid w:val="005C4EAE"/>
    <w:rsid w:val="005C5AEA"/>
    <w:rsid w:val="005C7D89"/>
    <w:rsid w:val="005D77A4"/>
    <w:rsid w:val="005E4176"/>
    <w:rsid w:val="005E45C3"/>
    <w:rsid w:val="005E64F9"/>
    <w:rsid w:val="005E7CC4"/>
    <w:rsid w:val="005F0640"/>
    <w:rsid w:val="005F2D26"/>
    <w:rsid w:val="005F303F"/>
    <w:rsid w:val="005F46BB"/>
    <w:rsid w:val="00601459"/>
    <w:rsid w:val="0060253C"/>
    <w:rsid w:val="00610832"/>
    <w:rsid w:val="006111FC"/>
    <w:rsid w:val="00611640"/>
    <w:rsid w:val="00611DC3"/>
    <w:rsid w:val="00614310"/>
    <w:rsid w:val="006168CC"/>
    <w:rsid w:val="00617161"/>
    <w:rsid w:val="0062153D"/>
    <w:rsid w:val="00622020"/>
    <w:rsid w:val="00622F63"/>
    <w:rsid w:val="00623E3D"/>
    <w:rsid w:val="00624C42"/>
    <w:rsid w:val="00630008"/>
    <w:rsid w:val="00631DF5"/>
    <w:rsid w:val="006371BC"/>
    <w:rsid w:val="00641663"/>
    <w:rsid w:val="00641DCE"/>
    <w:rsid w:val="00642BE1"/>
    <w:rsid w:val="006431E8"/>
    <w:rsid w:val="00643868"/>
    <w:rsid w:val="0064392F"/>
    <w:rsid w:val="00643E11"/>
    <w:rsid w:val="006440DE"/>
    <w:rsid w:val="0064500A"/>
    <w:rsid w:val="006453C2"/>
    <w:rsid w:val="006458B8"/>
    <w:rsid w:val="00645FF8"/>
    <w:rsid w:val="00647A79"/>
    <w:rsid w:val="00650E22"/>
    <w:rsid w:val="006518DC"/>
    <w:rsid w:val="00652791"/>
    <w:rsid w:val="00653B61"/>
    <w:rsid w:val="00655D12"/>
    <w:rsid w:val="0065762F"/>
    <w:rsid w:val="006600EB"/>
    <w:rsid w:val="0066040F"/>
    <w:rsid w:val="00661D3C"/>
    <w:rsid w:val="006627DD"/>
    <w:rsid w:val="00662C2B"/>
    <w:rsid w:val="00663152"/>
    <w:rsid w:val="0066403C"/>
    <w:rsid w:val="0066664E"/>
    <w:rsid w:val="00667454"/>
    <w:rsid w:val="00671476"/>
    <w:rsid w:val="006726BB"/>
    <w:rsid w:val="0067543A"/>
    <w:rsid w:val="0067571B"/>
    <w:rsid w:val="00675BCC"/>
    <w:rsid w:val="00676CAF"/>
    <w:rsid w:val="0067764B"/>
    <w:rsid w:val="006807E8"/>
    <w:rsid w:val="006815BB"/>
    <w:rsid w:val="00682D81"/>
    <w:rsid w:val="00686851"/>
    <w:rsid w:val="00691973"/>
    <w:rsid w:val="006925A4"/>
    <w:rsid w:val="00694E06"/>
    <w:rsid w:val="00695AD2"/>
    <w:rsid w:val="006979FC"/>
    <w:rsid w:val="006A1D8B"/>
    <w:rsid w:val="006A324A"/>
    <w:rsid w:val="006B0EFE"/>
    <w:rsid w:val="006B3314"/>
    <w:rsid w:val="006B3FE1"/>
    <w:rsid w:val="006B4155"/>
    <w:rsid w:val="006B76BC"/>
    <w:rsid w:val="006C0A5E"/>
    <w:rsid w:val="006C0BA1"/>
    <w:rsid w:val="006C5CB6"/>
    <w:rsid w:val="006C76DD"/>
    <w:rsid w:val="006D2363"/>
    <w:rsid w:val="006D2F24"/>
    <w:rsid w:val="006D5928"/>
    <w:rsid w:val="006D6867"/>
    <w:rsid w:val="006D6FB6"/>
    <w:rsid w:val="006D7948"/>
    <w:rsid w:val="006E5220"/>
    <w:rsid w:val="006E6A27"/>
    <w:rsid w:val="006E6D82"/>
    <w:rsid w:val="006F1EEE"/>
    <w:rsid w:val="006F37C5"/>
    <w:rsid w:val="006F68B6"/>
    <w:rsid w:val="00701927"/>
    <w:rsid w:val="007028D9"/>
    <w:rsid w:val="00704FD1"/>
    <w:rsid w:val="00705CAB"/>
    <w:rsid w:val="00707C8D"/>
    <w:rsid w:val="00711004"/>
    <w:rsid w:val="00711B5B"/>
    <w:rsid w:val="00712801"/>
    <w:rsid w:val="0071589F"/>
    <w:rsid w:val="00717C87"/>
    <w:rsid w:val="00720E84"/>
    <w:rsid w:val="00721434"/>
    <w:rsid w:val="00721D9C"/>
    <w:rsid w:val="00726A6F"/>
    <w:rsid w:val="00730A3E"/>
    <w:rsid w:val="00731E31"/>
    <w:rsid w:val="00732270"/>
    <w:rsid w:val="00733B8A"/>
    <w:rsid w:val="00735A57"/>
    <w:rsid w:val="00735F46"/>
    <w:rsid w:val="00735FAB"/>
    <w:rsid w:val="00740018"/>
    <w:rsid w:val="00740343"/>
    <w:rsid w:val="007413F1"/>
    <w:rsid w:val="00743212"/>
    <w:rsid w:val="00743527"/>
    <w:rsid w:val="0074364C"/>
    <w:rsid w:val="00743803"/>
    <w:rsid w:val="007444C3"/>
    <w:rsid w:val="00745CDF"/>
    <w:rsid w:val="00746B92"/>
    <w:rsid w:val="007502F8"/>
    <w:rsid w:val="00751658"/>
    <w:rsid w:val="00752447"/>
    <w:rsid w:val="00752C87"/>
    <w:rsid w:val="00755561"/>
    <w:rsid w:val="00756B63"/>
    <w:rsid w:val="0075772F"/>
    <w:rsid w:val="00762098"/>
    <w:rsid w:val="00763C04"/>
    <w:rsid w:val="00764050"/>
    <w:rsid w:val="0076443F"/>
    <w:rsid w:val="00765AC5"/>
    <w:rsid w:val="00771FE9"/>
    <w:rsid w:val="00774898"/>
    <w:rsid w:val="00774BD7"/>
    <w:rsid w:val="0077514C"/>
    <w:rsid w:val="00775550"/>
    <w:rsid w:val="007775B7"/>
    <w:rsid w:val="00777A94"/>
    <w:rsid w:val="00782826"/>
    <w:rsid w:val="00783668"/>
    <w:rsid w:val="00784DCD"/>
    <w:rsid w:val="00785566"/>
    <w:rsid w:val="00787A71"/>
    <w:rsid w:val="007903C6"/>
    <w:rsid w:val="00791493"/>
    <w:rsid w:val="00791A40"/>
    <w:rsid w:val="0079473B"/>
    <w:rsid w:val="0079612F"/>
    <w:rsid w:val="00797EB5"/>
    <w:rsid w:val="007A0001"/>
    <w:rsid w:val="007A1BDA"/>
    <w:rsid w:val="007A25DD"/>
    <w:rsid w:val="007A2EE9"/>
    <w:rsid w:val="007A4914"/>
    <w:rsid w:val="007A5A57"/>
    <w:rsid w:val="007A5C72"/>
    <w:rsid w:val="007A628E"/>
    <w:rsid w:val="007A744F"/>
    <w:rsid w:val="007B0CF6"/>
    <w:rsid w:val="007B45F5"/>
    <w:rsid w:val="007B4ABF"/>
    <w:rsid w:val="007B4CF1"/>
    <w:rsid w:val="007B4FA1"/>
    <w:rsid w:val="007B511E"/>
    <w:rsid w:val="007C4AEF"/>
    <w:rsid w:val="007C719C"/>
    <w:rsid w:val="007D2B56"/>
    <w:rsid w:val="007D340A"/>
    <w:rsid w:val="007D4883"/>
    <w:rsid w:val="007D6906"/>
    <w:rsid w:val="007E1518"/>
    <w:rsid w:val="007E3D56"/>
    <w:rsid w:val="007E712E"/>
    <w:rsid w:val="007F23AA"/>
    <w:rsid w:val="007F2DAA"/>
    <w:rsid w:val="007F39CA"/>
    <w:rsid w:val="007F5472"/>
    <w:rsid w:val="007F550C"/>
    <w:rsid w:val="007F60FA"/>
    <w:rsid w:val="007F780C"/>
    <w:rsid w:val="008043CE"/>
    <w:rsid w:val="00804A87"/>
    <w:rsid w:val="008104DB"/>
    <w:rsid w:val="008106BF"/>
    <w:rsid w:val="0081086C"/>
    <w:rsid w:val="00813490"/>
    <w:rsid w:val="00814A17"/>
    <w:rsid w:val="008208BC"/>
    <w:rsid w:val="008209FF"/>
    <w:rsid w:val="0082234E"/>
    <w:rsid w:val="008226FC"/>
    <w:rsid w:val="0082480C"/>
    <w:rsid w:val="0082493A"/>
    <w:rsid w:val="00824FC8"/>
    <w:rsid w:val="00826B6A"/>
    <w:rsid w:val="00830993"/>
    <w:rsid w:val="0083151E"/>
    <w:rsid w:val="008325DB"/>
    <w:rsid w:val="008330A2"/>
    <w:rsid w:val="00835434"/>
    <w:rsid w:val="0083566D"/>
    <w:rsid w:val="00836301"/>
    <w:rsid w:val="00836AEE"/>
    <w:rsid w:val="00842105"/>
    <w:rsid w:val="00842881"/>
    <w:rsid w:val="00842967"/>
    <w:rsid w:val="00843F49"/>
    <w:rsid w:val="00844A2E"/>
    <w:rsid w:val="00846040"/>
    <w:rsid w:val="008462A8"/>
    <w:rsid w:val="00847CE9"/>
    <w:rsid w:val="00851FED"/>
    <w:rsid w:val="00852081"/>
    <w:rsid w:val="00852305"/>
    <w:rsid w:val="0085254E"/>
    <w:rsid w:val="00854490"/>
    <w:rsid w:val="00854E0A"/>
    <w:rsid w:val="00856E4E"/>
    <w:rsid w:val="00857780"/>
    <w:rsid w:val="00861253"/>
    <w:rsid w:val="008612C2"/>
    <w:rsid w:val="00861E0F"/>
    <w:rsid w:val="0086224B"/>
    <w:rsid w:val="008637AE"/>
    <w:rsid w:val="00863CCD"/>
    <w:rsid w:val="008645FB"/>
    <w:rsid w:val="00866BE2"/>
    <w:rsid w:val="00867B69"/>
    <w:rsid w:val="00870D2B"/>
    <w:rsid w:val="00871D27"/>
    <w:rsid w:val="00874273"/>
    <w:rsid w:val="00880642"/>
    <w:rsid w:val="00881505"/>
    <w:rsid w:val="00881AA5"/>
    <w:rsid w:val="00881F61"/>
    <w:rsid w:val="00882FEF"/>
    <w:rsid w:val="00884841"/>
    <w:rsid w:val="008853D1"/>
    <w:rsid w:val="0088585E"/>
    <w:rsid w:val="00886109"/>
    <w:rsid w:val="008874A1"/>
    <w:rsid w:val="00887E6B"/>
    <w:rsid w:val="0089156A"/>
    <w:rsid w:val="00891B26"/>
    <w:rsid w:val="00891E9E"/>
    <w:rsid w:val="0089453A"/>
    <w:rsid w:val="00895AE2"/>
    <w:rsid w:val="00895FF2"/>
    <w:rsid w:val="00896242"/>
    <w:rsid w:val="0089786E"/>
    <w:rsid w:val="008979B7"/>
    <w:rsid w:val="008A0530"/>
    <w:rsid w:val="008A06E6"/>
    <w:rsid w:val="008A0D57"/>
    <w:rsid w:val="008A192D"/>
    <w:rsid w:val="008A2BCB"/>
    <w:rsid w:val="008A3279"/>
    <w:rsid w:val="008A3DD6"/>
    <w:rsid w:val="008A51A3"/>
    <w:rsid w:val="008A5EF3"/>
    <w:rsid w:val="008A6490"/>
    <w:rsid w:val="008B0DC8"/>
    <w:rsid w:val="008B3B75"/>
    <w:rsid w:val="008C024B"/>
    <w:rsid w:val="008C0AFE"/>
    <w:rsid w:val="008C1171"/>
    <w:rsid w:val="008C186B"/>
    <w:rsid w:val="008C24F0"/>
    <w:rsid w:val="008C440D"/>
    <w:rsid w:val="008C44B5"/>
    <w:rsid w:val="008C53F3"/>
    <w:rsid w:val="008C7971"/>
    <w:rsid w:val="008C7E30"/>
    <w:rsid w:val="008D0956"/>
    <w:rsid w:val="008D1E16"/>
    <w:rsid w:val="008D2663"/>
    <w:rsid w:val="008D3174"/>
    <w:rsid w:val="008D35F3"/>
    <w:rsid w:val="008D3D33"/>
    <w:rsid w:val="008D4193"/>
    <w:rsid w:val="008D5019"/>
    <w:rsid w:val="008E041F"/>
    <w:rsid w:val="008E0611"/>
    <w:rsid w:val="008E0F26"/>
    <w:rsid w:val="008E20F9"/>
    <w:rsid w:val="008E4B44"/>
    <w:rsid w:val="008E784E"/>
    <w:rsid w:val="008F1543"/>
    <w:rsid w:val="008F1599"/>
    <w:rsid w:val="008F39D1"/>
    <w:rsid w:val="008F4711"/>
    <w:rsid w:val="008F495B"/>
    <w:rsid w:val="008F54D0"/>
    <w:rsid w:val="008F7ADF"/>
    <w:rsid w:val="009011AB"/>
    <w:rsid w:val="00904266"/>
    <w:rsid w:val="0090429B"/>
    <w:rsid w:val="00906629"/>
    <w:rsid w:val="009115B3"/>
    <w:rsid w:val="0091276F"/>
    <w:rsid w:val="00913B14"/>
    <w:rsid w:val="0091565B"/>
    <w:rsid w:val="00917D3D"/>
    <w:rsid w:val="0092134E"/>
    <w:rsid w:val="00921788"/>
    <w:rsid w:val="00921F30"/>
    <w:rsid w:val="009235AF"/>
    <w:rsid w:val="00923B48"/>
    <w:rsid w:val="00927E26"/>
    <w:rsid w:val="00930CC2"/>
    <w:rsid w:val="0093406D"/>
    <w:rsid w:val="00937DC0"/>
    <w:rsid w:val="00940515"/>
    <w:rsid w:val="00940ECB"/>
    <w:rsid w:val="00945366"/>
    <w:rsid w:val="0094675A"/>
    <w:rsid w:val="00950A58"/>
    <w:rsid w:val="009513A5"/>
    <w:rsid w:val="00952581"/>
    <w:rsid w:val="00952F98"/>
    <w:rsid w:val="00954302"/>
    <w:rsid w:val="009551D8"/>
    <w:rsid w:val="00956123"/>
    <w:rsid w:val="009578A2"/>
    <w:rsid w:val="009602BF"/>
    <w:rsid w:val="00961A05"/>
    <w:rsid w:val="00961A99"/>
    <w:rsid w:val="00961CC3"/>
    <w:rsid w:val="00962158"/>
    <w:rsid w:val="009626EA"/>
    <w:rsid w:val="009636A9"/>
    <w:rsid w:val="00975279"/>
    <w:rsid w:val="009839A3"/>
    <w:rsid w:val="00984DA7"/>
    <w:rsid w:val="009863A7"/>
    <w:rsid w:val="009867C8"/>
    <w:rsid w:val="0099090E"/>
    <w:rsid w:val="00991DC0"/>
    <w:rsid w:val="00994C92"/>
    <w:rsid w:val="00994FF0"/>
    <w:rsid w:val="00995738"/>
    <w:rsid w:val="00995DCA"/>
    <w:rsid w:val="009A1AFE"/>
    <w:rsid w:val="009A3801"/>
    <w:rsid w:val="009A7EB5"/>
    <w:rsid w:val="009B1525"/>
    <w:rsid w:val="009B45FE"/>
    <w:rsid w:val="009B6E3C"/>
    <w:rsid w:val="009C0A68"/>
    <w:rsid w:val="009C2AFB"/>
    <w:rsid w:val="009C2B0E"/>
    <w:rsid w:val="009C5B0D"/>
    <w:rsid w:val="009D0245"/>
    <w:rsid w:val="009D0462"/>
    <w:rsid w:val="009D2754"/>
    <w:rsid w:val="009D3427"/>
    <w:rsid w:val="009D4792"/>
    <w:rsid w:val="009D7716"/>
    <w:rsid w:val="009E03AC"/>
    <w:rsid w:val="009E360D"/>
    <w:rsid w:val="009E63F0"/>
    <w:rsid w:val="009E6DEC"/>
    <w:rsid w:val="009F00D2"/>
    <w:rsid w:val="009F14E3"/>
    <w:rsid w:val="009F1547"/>
    <w:rsid w:val="009F1C0A"/>
    <w:rsid w:val="009F1DE8"/>
    <w:rsid w:val="009F2DEF"/>
    <w:rsid w:val="009F4200"/>
    <w:rsid w:val="009F4CF8"/>
    <w:rsid w:val="009F554A"/>
    <w:rsid w:val="009F702E"/>
    <w:rsid w:val="009F7766"/>
    <w:rsid w:val="00A00DC8"/>
    <w:rsid w:val="00A04801"/>
    <w:rsid w:val="00A1056B"/>
    <w:rsid w:val="00A105B5"/>
    <w:rsid w:val="00A1066B"/>
    <w:rsid w:val="00A112C7"/>
    <w:rsid w:val="00A12C9C"/>
    <w:rsid w:val="00A13C85"/>
    <w:rsid w:val="00A1550C"/>
    <w:rsid w:val="00A15934"/>
    <w:rsid w:val="00A159AD"/>
    <w:rsid w:val="00A15AE4"/>
    <w:rsid w:val="00A17545"/>
    <w:rsid w:val="00A179F6"/>
    <w:rsid w:val="00A20387"/>
    <w:rsid w:val="00A218AD"/>
    <w:rsid w:val="00A26738"/>
    <w:rsid w:val="00A27D68"/>
    <w:rsid w:val="00A32E52"/>
    <w:rsid w:val="00A33593"/>
    <w:rsid w:val="00A34AEE"/>
    <w:rsid w:val="00A34E5C"/>
    <w:rsid w:val="00A37DAB"/>
    <w:rsid w:val="00A40E85"/>
    <w:rsid w:val="00A4238B"/>
    <w:rsid w:val="00A42545"/>
    <w:rsid w:val="00A42AA4"/>
    <w:rsid w:val="00A4330C"/>
    <w:rsid w:val="00A440DA"/>
    <w:rsid w:val="00A44921"/>
    <w:rsid w:val="00A45924"/>
    <w:rsid w:val="00A47142"/>
    <w:rsid w:val="00A5182D"/>
    <w:rsid w:val="00A529A8"/>
    <w:rsid w:val="00A54803"/>
    <w:rsid w:val="00A54844"/>
    <w:rsid w:val="00A56ABD"/>
    <w:rsid w:val="00A6222D"/>
    <w:rsid w:val="00A625D3"/>
    <w:rsid w:val="00A64366"/>
    <w:rsid w:val="00A70BE8"/>
    <w:rsid w:val="00A70F10"/>
    <w:rsid w:val="00A713DD"/>
    <w:rsid w:val="00A71A33"/>
    <w:rsid w:val="00A72E47"/>
    <w:rsid w:val="00A73089"/>
    <w:rsid w:val="00A75F6C"/>
    <w:rsid w:val="00A76E99"/>
    <w:rsid w:val="00A86025"/>
    <w:rsid w:val="00A908D3"/>
    <w:rsid w:val="00A92E76"/>
    <w:rsid w:val="00A93061"/>
    <w:rsid w:val="00A944E5"/>
    <w:rsid w:val="00A94E13"/>
    <w:rsid w:val="00A95057"/>
    <w:rsid w:val="00A96748"/>
    <w:rsid w:val="00A969F1"/>
    <w:rsid w:val="00AA1764"/>
    <w:rsid w:val="00AA225C"/>
    <w:rsid w:val="00AA28E7"/>
    <w:rsid w:val="00AA51F3"/>
    <w:rsid w:val="00AA5952"/>
    <w:rsid w:val="00AA5EA5"/>
    <w:rsid w:val="00AA6D2C"/>
    <w:rsid w:val="00AB31C5"/>
    <w:rsid w:val="00AB41C1"/>
    <w:rsid w:val="00AB6227"/>
    <w:rsid w:val="00AB63FD"/>
    <w:rsid w:val="00AB7893"/>
    <w:rsid w:val="00AC1D6A"/>
    <w:rsid w:val="00AC2D1B"/>
    <w:rsid w:val="00AC3969"/>
    <w:rsid w:val="00AC4148"/>
    <w:rsid w:val="00AC4254"/>
    <w:rsid w:val="00AC578A"/>
    <w:rsid w:val="00AC63FA"/>
    <w:rsid w:val="00AC795F"/>
    <w:rsid w:val="00AC7BBA"/>
    <w:rsid w:val="00AD0A6F"/>
    <w:rsid w:val="00AD19D3"/>
    <w:rsid w:val="00AD1B24"/>
    <w:rsid w:val="00AD2DED"/>
    <w:rsid w:val="00AD3AB7"/>
    <w:rsid w:val="00AD4C14"/>
    <w:rsid w:val="00AD4D76"/>
    <w:rsid w:val="00AD6CB2"/>
    <w:rsid w:val="00AE060B"/>
    <w:rsid w:val="00AE1266"/>
    <w:rsid w:val="00AE26D4"/>
    <w:rsid w:val="00AE26F6"/>
    <w:rsid w:val="00AE2FE0"/>
    <w:rsid w:val="00AE3C55"/>
    <w:rsid w:val="00AE420C"/>
    <w:rsid w:val="00AE5DB2"/>
    <w:rsid w:val="00AE6A8E"/>
    <w:rsid w:val="00AE6F2F"/>
    <w:rsid w:val="00AF089E"/>
    <w:rsid w:val="00AF4253"/>
    <w:rsid w:val="00B044B9"/>
    <w:rsid w:val="00B04ADD"/>
    <w:rsid w:val="00B10B5E"/>
    <w:rsid w:val="00B10BCA"/>
    <w:rsid w:val="00B1725F"/>
    <w:rsid w:val="00B174B9"/>
    <w:rsid w:val="00B20266"/>
    <w:rsid w:val="00B220BA"/>
    <w:rsid w:val="00B2288E"/>
    <w:rsid w:val="00B23B49"/>
    <w:rsid w:val="00B23C6B"/>
    <w:rsid w:val="00B23CDB"/>
    <w:rsid w:val="00B24C4D"/>
    <w:rsid w:val="00B24D9E"/>
    <w:rsid w:val="00B250D4"/>
    <w:rsid w:val="00B25D37"/>
    <w:rsid w:val="00B306AE"/>
    <w:rsid w:val="00B30B69"/>
    <w:rsid w:val="00B32846"/>
    <w:rsid w:val="00B32F12"/>
    <w:rsid w:val="00B33C25"/>
    <w:rsid w:val="00B34EF9"/>
    <w:rsid w:val="00B35C6A"/>
    <w:rsid w:val="00B37D13"/>
    <w:rsid w:val="00B37DF7"/>
    <w:rsid w:val="00B4031D"/>
    <w:rsid w:val="00B41762"/>
    <w:rsid w:val="00B41B9C"/>
    <w:rsid w:val="00B41D25"/>
    <w:rsid w:val="00B42407"/>
    <w:rsid w:val="00B46A77"/>
    <w:rsid w:val="00B50BCE"/>
    <w:rsid w:val="00B53068"/>
    <w:rsid w:val="00B5314B"/>
    <w:rsid w:val="00B55A9A"/>
    <w:rsid w:val="00B5736E"/>
    <w:rsid w:val="00B57493"/>
    <w:rsid w:val="00B61215"/>
    <w:rsid w:val="00B66791"/>
    <w:rsid w:val="00B66A7B"/>
    <w:rsid w:val="00B70963"/>
    <w:rsid w:val="00B71B3A"/>
    <w:rsid w:val="00B74D0A"/>
    <w:rsid w:val="00B759DF"/>
    <w:rsid w:val="00B81E1E"/>
    <w:rsid w:val="00B82265"/>
    <w:rsid w:val="00B84158"/>
    <w:rsid w:val="00B855D0"/>
    <w:rsid w:val="00B86E0C"/>
    <w:rsid w:val="00B90F37"/>
    <w:rsid w:val="00B916D3"/>
    <w:rsid w:val="00B91BE3"/>
    <w:rsid w:val="00B92767"/>
    <w:rsid w:val="00B92CBD"/>
    <w:rsid w:val="00B97380"/>
    <w:rsid w:val="00B97BE0"/>
    <w:rsid w:val="00B97F04"/>
    <w:rsid w:val="00BA01F1"/>
    <w:rsid w:val="00BA15B9"/>
    <w:rsid w:val="00BA2E37"/>
    <w:rsid w:val="00BA346F"/>
    <w:rsid w:val="00BA406E"/>
    <w:rsid w:val="00BA6187"/>
    <w:rsid w:val="00BA7678"/>
    <w:rsid w:val="00BB04B3"/>
    <w:rsid w:val="00BB0E9F"/>
    <w:rsid w:val="00BB27F8"/>
    <w:rsid w:val="00BB3568"/>
    <w:rsid w:val="00BB3FEC"/>
    <w:rsid w:val="00BB67B8"/>
    <w:rsid w:val="00BB6DCE"/>
    <w:rsid w:val="00BC1ADC"/>
    <w:rsid w:val="00BC4D53"/>
    <w:rsid w:val="00BC6C02"/>
    <w:rsid w:val="00BC7840"/>
    <w:rsid w:val="00BC7C41"/>
    <w:rsid w:val="00BD0226"/>
    <w:rsid w:val="00BD02C7"/>
    <w:rsid w:val="00BD1917"/>
    <w:rsid w:val="00BD2D10"/>
    <w:rsid w:val="00BD334E"/>
    <w:rsid w:val="00BD5D56"/>
    <w:rsid w:val="00BD6C22"/>
    <w:rsid w:val="00BD7A1B"/>
    <w:rsid w:val="00BD7F86"/>
    <w:rsid w:val="00BE2C4A"/>
    <w:rsid w:val="00BE2D35"/>
    <w:rsid w:val="00BE2FCA"/>
    <w:rsid w:val="00BE321D"/>
    <w:rsid w:val="00BE37B2"/>
    <w:rsid w:val="00BE3E6E"/>
    <w:rsid w:val="00BE5206"/>
    <w:rsid w:val="00BE5A01"/>
    <w:rsid w:val="00BF15A0"/>
    <w:rsid w:val="00BF30B4"/>
    <w:rsid w:val="00BF3EF5"/>
    <w:rsid w:val="00BF485B"/>
    <w:rsid w:val="00BF6A92"/>
    <w:rsid w:val="00BF750D"/>
    <w:rsid w:val="00C00174"/>
    <w:rsid w:val="00C010D2"/>
    <w:rsid w:val="00C0192A"/>
    <w:rsid w:val="00C03919"/>
    <w:rsid w:val="00C04A5D"/>
    <w:rsid w:val="00C05386"/>
    <w:rsid w:val="00C0587B"/>
    <w:rsid w:val="00C06BD2"/>
    <w:rsid w:val="00C1277F"/>
    <w:rsid w:val="00C13F2A"/>
    <w:rsid w:val="00C14BAC"/>
    <w:rsid w:val="00C16767"/>
    <w:rsid w:val="00C16DCB"/>
    <w:rsid w:val="00C20DB6"/>
    <w:rsid w:val="00C210C8"/>
    <w:rsid w:val="00C212F6"/>
    <w:rsid w:val="00C21A7D"/>
    <w:rsid w:val="00C22AB7"/>
    <w:rsid w:val="00C2458A"/>
    <w:rsid w:val="00C24AF1"/>
    <w:rsid w:val="00C24DC4"/>
    <w:rsid w:val="00C254B0"/>
    <w:rsid w:val="00C26A93"/>
    <w:rsid w:val="00C27796"/>
    <w:rsid w:val="00C27B7A"/>
    <w:rsid w:val="00C27C7B"/>
    <w:rsid w:val="00C3085C"/>
    <w:rsid w:val="00C3318E"/>
    <w:rsid w:val="00C34AA7"/>
    <w:rsid w:val="00C3749C"/>
    <w:rsid w:val="00C40355"/>
    <w:rsid w:val="00C40CC4"/>
    <w:rsid w:val="00C4103D"/>
    <w:rsid w:val="00C416A3"/>
    <w:rsid w:val="00C42D90"/>
    <w:rsid w:val="00C450B5"/>
    <w:rsid w:val="00C46868"/>
    <w:rsid w:val="00C469C2"/>
    <w:rsid w:val="00C46AFB"/>
    <w:rsid w:val="00C52BE9"/>
    <w:rsid w:val="00C52C04"/>
    <w:rsid w:val="00C52D96"/>
    <w:rsid w:val="00C57740"/>
    <w:rsid w:val="00C57C7D"/>
    <w:rsid w:val="00C57F4E"/>
    <w:rsid w:val="00C62278"/>
    <w:rsid w:val="00C62956"/>
    <w:rsid w:val="00C63DB6"/>
    <w:rsid w:val="00C6416F"/>
    <w:rsid w:val="00C651AC"/>
    <w:rsid w:val="00C65CB7"/>
    <w:rsid w:val="00C66172"/>
    <w:rsid w:val="00C72734"/>
    <w:rsid w:val="00C74351"/>
    <w:rsid w:val="00C7569C"/>
    <w:rsid w:val="00C801C6"/>
    <w:rsid w:val="00C8318D"/>
    <w:rsid w:val="00C838A3"/>
    <w:rsid w:val="00C84245"/>
    <w:rsid w:val="00C84B21"/>
    <w:rsid w:val="00C85FBC"/>
    <w:rsid w:val="00C86456"/>
    <w:rsid w:val="00C9046C"/>
    <w:rsid w:val="00C9094E"/>
    <w:rsid w:val="00C92459"/>
    <w:rsid w:val="00C943DE"/>
    <w:rsid w:val="00C96D49"/>
    <w:rsid w:val="00C97D46"/>
    <w:rsid w:val="00CA00A5"/>
    <w:rsid w:val="00CA0EC1"/>
    <w:rsid w:val="00CA148B"/>
    <w:rsid w:val="00CA2B6D"/>
    <w:rsid w:val="00CA3472"/>
    <w:rsid w:val="00CA483D"/>
    <w:rsid w:val="00CA4B90"/>
    <w:rsid w:val="00CA58E3"/>
    <w:rsid w:val="00CA6245"/>
    <w:rsid w:val="00CB0814"/>
    <w:rsid w:val="00CB1E96"/>
    <w:rsid w:val="00CB337D"/>
    <w:rsid w:val="00CB3B1A"/>
    <w:rsid w:val="00CB41B6"/>
    <w:rsid w:val="00CB5400"/>
    <w:rsid w:val="00CB5966"/>
    <w:rsid w:val="00CB5E19"/>
    <w:rsid w:val="00CB652E"/>
    <w:rsid w:val="00CB6D02"/>
    <w:rsid w:val="00CB70E0"/>
    <w:rsid w:val="00CC13E1"/>
    <w:rsid w:val="00CC6BF8"/>
    <w:rsid w:val="00CD0F5F"/>
    <w:rsid w:val="00CD11C1"/>
    <w:rsid w:val="00CD2186"/>
    <w:rsid w:val="00CD4507"/>
    <w:rsid w:val="00CE175D"/>
    <w:rsid w:val="00CE2D43"/>
    <w:rsid w:val="00CE36E0"/>
    <w:rsid w:val="00CE62C4"/>
    <w:rsid w:val="00CE72AE"/>
    <w:rsid w:val="00CF28BD"/>
    <w:rsid w:val="00CF38A8"/>
    <w:rsid w:val="00CF6A0F"/>
    <w:rsid w:val="00D0075D"/>
    <w:rsid w:val="00D02F2F"/>
    <w:rsid w:val="00D03543"/>
    <w:rsid w:val="00D05BC3"/>
    <w:rsid w:val="00D07898"/>
    <w:rsid w:val="00D10D72"/>
    <w:rsid w:val="00D11143"/>
    <w:rsid w:val="00D11D24"/>
    <w:rsid w:val="00D153F4"/>
    <w:rsid w:val="00D159E5"/>
    <w:rsid w:val="00D177ED"/>
    <w:rsid w:val="00D17EF6"/>
    <w:rsid w:val="00D20ECE"/>
    <w:rsid w:val="00D223DB"/>
    <w:rsid w:val="00D232BC"/>
    <w:rsid w:val="00D253BB"/>
    <w:rsid w:val="00D25895"/>
    <w:rsid w:val="00D27229"/>
    <w:rsid w:val="00D31119"/>
    <w:rsid w:val="00D31C1E"/>
    <w:rsid w:val="00D32750"/>
    <w:rsid w:val="00D32FBF"/>
    <w:rsid w:val="00D33F41"/>
    <w:rsid w:val="00D36971"/>
    <w:rsid w:val="00D408B1"/>
    <w:rsid w:val="00D440D0"/>
    <w:rsid w:val="00D445F2"/>
    <w:rsid w:val="00D446DA"/>
    <w:rsid w:val="00D46713"/>
    <w:rsid w:val="00D53E8E"/>
    <w:rsid w:val="00D56635"/>
    <w:rsid w:val="00D56C51"/>
    <w:rsid w:val="00D57F79"/>
    <w:rsid w:val="00D645B5"/>
    <w:rsid w:val="00D65A48"/>
    <w:rsid w:val="00D706AD"/>
    <w:rsid w:val="00D72162"/>
    <w:rsid w:val="00D75BE7"/>
    <w:rsid w:val="00D7680D"/>
    <w:rsid w:val="00D806DA"/>
    <w:rsid w:val="00D82C35"/>
    <w:rsid w:val="00D84652"/>
    <w:rsid w:val="00D86107"/>
    <w:rsid w:val="00D87585"/>
    <w:rsid w:val="00D95E89"/>
    <w:rsid w:val="00D9762A"/>
    <w:rsid w:val="00DA0CD8"/>
    <w:rsid w:val="00DA2BE6"/>
    <w:rsid w:val="00DA41BB"/>
    <w:rsid w:val="00DA68A5"/>
    <w:rsid w:val="00DA710D"/>
    <w:rsid w:val="00DA755D"/>
    <w:rsid w:val="00DB1198"/>
    <w:rsid w:val="00DB1FEF"/>
    <w:rsid w:val="00DB44D1"/>
    <w:rsid w:val="00DB51DB"/>
    <w:rsid w:val="00DB5BF4"/>
    <w:rsid w:val="00DB6A5F"/>
    <w:rsid w:val="00DB7AE6"/>
    <w:rsid w:val="00DC1BC6"/>
    <w:rsid w:val="00DC1C5E"/>
    <w:rsid w:val="00DC3C1E"/>
    <w:rsid w:val="00DC539E"/>
    <w:rsid w:val="00DC5715"/>
    <w:rsid w:val="00DC6E1A"/>
    <w:rsid w:val="00DD01A6"/>
    <w:rsid w:val="00DD0D07"/>
    <w:rsid w:val="00DD3CCD"/>
    <w:rsid w:val="00DD57A5"/>
    <w:rsid w:val="00DE045D"/>
    <w:rsid w:val="00DE1989"/>
    <w:rsid w:val="00DE1C2B"/>
    <w:rsid w:val="00DE3104"/>
    <w:rsid w:val="00DE4520"/>
    <w:rsid w:val="00DE4A4C"/>
    <w:rsid w:val="00DE586C"/>
    <w:rsid w:val="00DE6FF8"/>
    <w:rsid w:val="00DE7352"/>
    <w:rsid w:val="00DE7BB3"/>
    <w:rsid w:val="00DF0736"/>
    <w:rsid w:val="00DF5C5D"/>
    <w:rsid w:val="00DF5CD5"/>
    <w:rsid w:val="00E009A6"/>
    <w:rsid w:val="00E00A61"/>
    <w:rsid w:val="00E01D56"/>
    <w:rsid w:val="00E044F7"/>
    <w:rsid w:val="00E06DEB"/>
    <w:rsid w:val="00E07AFD"/>
    <w:rsid w:val="00E105FE"/>
    <w:rsid w:val="00E106AE"/>
    <w:rsid w:val="00E12211"/>
    <w:rsid w:val="00E175EA"/>
    <w:rsid w:val="00E20BA8"/>
    <w:rsid w:val="00E21855"/>
    <w:rsid w:val="00E25724"/>
    <w:rsid w:val="00E26637"/>
    <w:rsid w:val="00E30870"/>
    <w:rsid w:val="00E34521"/>
    <w:rsid w:val="00E3494A"/>
    <w:rsid w:val="00E35108"/>
    <w:rsid w:val="00E35B85"/>
    <w:rsid w:val="00E3753C"/>
    <w:rsid w:val="00E42F52"/>
    <w:rsid w:val="00E477BD"/>
    <w:rsid w:val="00E47A4A"/>
    <w:rsid w:val="00E50829"/>
    <w:rsid w:val="00E50DF3"/>
    <w:rsid w:val="00E514C7"/>
    <w:rsid w:val="00E53843"/>
    <w:rsid w:val="00E53A17"/>
    <w:rsid w:val="00E55E5C"/>
    <w:rsid w:val="00E6020F"/>
    <w:rsid w:val="00E618B8"/>
    <w:rsid w:val="00E63A2B"/>
    <w:rsid w:val="00E64A3F"/>
    <w:rsid w:val="00E65605"/>
    <w:rsid w:val="00E70156"/>
    <w:rsid w:val="00E72582"/>
    <w:rsid w:val="00E72958"/>
    <w:rsid w:val="00E73991"/>
    <w:rsid w:val="00E740B7"/>
    <w:rsid w:val="00E76D66"/>
    <w:rsid w:val="00E7725C"/>
    <w:rsid w:val="00E77B5C"/>
    <w:rsid w:val="00E836F0"/>
    <w:rsid w:val="00E83B53"/>
    <w:rsid w:val="00E84F29"/>
    <w:rsid w:val="00E85B76"/>
    <w:rsid w:val="00E862C2"/>
    <w:rsid w:val="00E86DA2"/>
    <w:rsid w:val="00E91D2C"/>
    <w:rsid w:val="00E93291"/>
    <w:rsid w:val="00E9421E"/>
    <w:rsid w:val="00E94CBA"/>
    <w:rsid w:val="00E95EBE"/>
    <w:rsid w:val="00E96F23"/>
    <w:rsid w:val="00E97481"/>
    <w:rsid w:val="00EA0FE8"/>
    <w:rsid w:val="00EA1EC5"/>
    <w:rsid w:val="00EA2CA3"/>
    <w:rsid w:val="00EB07F1"/>
    <w:rsid w:val="00EB0C94"/>
    <w:rsid w:val="00EB2115"/>
    <w:rsid w:val="00EB3555"/>
    <w:rsid w:val="00EB573C"/>
    <w:rsid w:val="00EB5780"/>
    <w:rsid w:val="00EB7552"/>
    <w:rsid w:val="00EB7813"/>
    <w:rsid w:val="00EC340D"/>
    <w:rsid w:val="00EC3B6C"/>
    <w:rsid w:val="00EC4BE5"/>
    <w:rsid w:val="00EC5082"/>
    <w:rsid w:val="00EC51A8"/>
    <w:rsid w:val="00EC56F4"/>
    <w:rsid w:val="00EC5853"/>
    <w:rsid w:val="00EC6A09"/>
    <w:rsid w:val="00ED0702"/>
    <w:rsid w:val="00ED1833"/>
    <w:rsid w:val="00ED42A9"/>
    <w:rsid w:val="00ED4620"/>
    <w:rsid w:val="00ED4CE2"/>
    <w:rsid w:val="00ED6112"/>
    <w:rsid w:val="00ED613B"/>
    <w:rsid w:val="00ED7611"/>
    <w:rsid w:val="00EE212C"/>
    <w:rsid w:val="00EE2832"/>
    <w:rsid w:val="00EE298D"/>
    <w:rsid w:val="00EE2E50"/>
    <w:rsid w:val="00EE3654"/>
    <w:rsid w:val="00EE38CC"/>
    <w:rsid w:val="00EE4FCC"/>
    <w:rsid w:val="00EE543D"/>
    <w:rsid w:val="00EE548F"/>
    <w:rsid w:val="00EE57B8"/>
    <w:rsid w:val="00EE63C7"/>
    <w:rsid w:val="00EE6E5C"/>
    <w:rsid w:val="00EE7731"/>
    <w:rsid w:val="00EF0985"/>
    <w:rsid w:val="00EF0BFE"/>
    <w:rsid w:val="00EF13CD"/>
    <w:rsid w:val="00EF3505"/>
    <w:rsid w:val="00EF58E0"/>
    <w:rsid w:val="00EF5F13"/>
    <w:rsid w:val="00F0014B"/>
    <w:rsid w:val="00F00F03"/>
    <w:rsid w:val="00F014EC"/>
    <w:rsid w:val="00F01A73"/>
    <w:rsid w:val="00F0236A"/>
    <w:rsid w:val="00F039CD"/>
    <w:rsid w:val="00F107FF"/>
    <w:rsid w:val="00F13977"/>
    <w:rsid w:val="00F152A0"/>
    <w:rsid w:val="00F178F0"/>
    <w:rsid w:val="00F22752"/>
    <w:rsid w:val="00F23790"/>
    <w:rsid w:val="00F244D8"/>
    <w:rsid w:val="00F2748C"/>
    <w:rsid w:val="00F30717"/>
    <w:rsid w:val="00F31F24"/>
    <w:rsid w:val="00F32298"/>
    <w:rsid w:val="00F346BE"/>
    <w:rsid w:val="00F35C24"/>
    <w:rsid w:val="00F3779D"/>
    <w:rsid w:val="00F379A9"/>
    <w:rsid w:val="00F37F8B"/>
    <w:rsid w:val="00F4315E"/>
    <w:rsid w:val="00F43884"/>
    <w:rsid w:val="00F44A28"/>
    <w:rsid w:val="00F45D5D"/>
    <w:rsid w:val="00F46A71"/>
    <w:rsid w:val="00F46E7C"/>
    <w:rsid w:val="00F47BD3"/>
    <w:rsid w:val="00F54BEC"/>
    <w:rsid w:val="00F60955"/>
    <w:rsid w:val="00F6193B"/>
    <w:rsid w:val="00F61F13"/>
    <w:rsid w:val="00F62095"/>
    <w:rsid w:val="00F633A7"/>
    <w:rsid w:val="00F638CA"/>
    <w:rsid w:val="00F6420B"/>
    <w:rsid w:val="00F64892"/>
    <w:rsid w:val="00F648F4"/>
    <w:rsid w:val="00F6656C"/>
    <w:rsid w:val="00F72DD2"/>
    <w:rsid w:val="00F746EC"/>
    <w:rsid w:val="00F74AE1"/>
    <w:rsid w:val="00F74BEF"/>
    <w:rsid w:val="00F75E3F"/>
    <w:rsid w:val="00F773CA"/>
    <w:rsid w:val="00F810CA"/>
    <w:rsid w:val="00F82212"/>
    <w:rsid w:val="00F83E1C"/>
    <w:rsid w:val="00F847DF"/>
    <w:rsid w:val="00F87E23"/>
    <w:rsid w:val="00F91DC1"/>
    <w:rsid w:val="00F91E10"/>
    <w:rsid w:val="00F93C1E"/>
    <w:rsid w:val="00F94899"/>
    <w:rsid w:val="00F96AB6"/>
    <w:rsid w:val="00FA2D29"/>
    <w:rsid w:val="00FA2E46"/>
    <w:rsid w:val="00FA3EA3"/>
    <w:rsid w:val="00FA4007"/>
    <w:rsid w:val="00FA443F"/>
    <w:rsid w:val="00FA601E"/>
    <w:rsid w:val="00FA65C3"/>
    <w:rsid w:val="00FA6B60"/>
    <w:rsid w:val="00FA7EF3"/>
    <w:rsid w:val="00FB122F"/>
    <w:rsid w:val="00FB2D0C"/>
    <w:rsid w:val="00FB363E"/>
    <w:rsid w:val="00FB4C29"/>
    <w:rsid w:val="00FB5DDA"/>
    <w:rsid w:val="00FB6D75"/>
    <w:rsid w:val="00FC0541"/>
    <w:rsid w:val="00FC1EF7"/>
    <w:rsid w:val="00FC3138"/>
    <w:rsid w:val="00FC39DD"/>
    <w:rsid w:val="00FC5712"/>
    <w:rsid w:val="00FC5A77"/>
    <w:rsid w:val="00FD1B87"/>
    <w:rsid w:val="00FD7013"/>
    <w:rsid w:val="00FE1438"/>
    <w:rsid w:val="00FE17FD"/>
    <w:rsid w:val="00FE18DA"/>
    <w:rsid w:val="00FE1DC8"/>
    <w:rsid w:val="00FE38E3"/>
    <w:rsid w:val="00FE4639"/>
    <w:rsid w:val="00FE49C7"/>
    <w:rsid w:val="00FE511E"/>
    <w:rsid w:val="00FE53D0"/>
    <w:rsid w:val="00FE578E"/>
    <w:rsid w:val="00FE5821"/>
    <w:rsid w:val="00FE6906"/>
    <w:rsid w:val="00FE762E"/>
    <w:rsid w:val="00FF0333"/>
    <w:rsid w:val="00FF0EB6"/>
    <w:rsid w:val="00FF113D"/>
    <w:rsid w:val="00FF2427"/>
    <w:rsid w:val="00FF2E15"/>
    <w:rsid w:val="00FF2EDD"/>
    <w:rsid w:val="00FF395C"/>
    <w:rsid w:val="00FF57BA"/>
    <w:rsid w:val="00FF686F"/>
    <w:rsid w:val="00FF72BE"/>
    <w:rsid w:val="00FF77E6"/>
    <w:rsid w:val="00FF7F32"/>
    <w:rsid w:val="010640B8"/>
    <w:rsid w:val="0113573A"/>
    <w:rsid w:val="012421BA"/>
    <w:rsid w:val="01333CED"/>
    <w:rsid w:val="01361EA6"/>
    <w:rsid w:val="01463CD8"/>
    <w:rsid w:val="015D2342"/>
    <w:rsid w:val="015F0F1B"/>
    <w:rsid w:val="01642D62"/>
    <w:rsid w:val="01787AE3"/>
    <w:rsid w:val="017B1359"/>
    <w:rsid w:val="019F1744"/>
    <w:rsid w:val="01C22B2A"/>
    <w:rsid w:val="01CD2406"/>
    <w:rsid w:val="01D54D98"/>
    <w:rsid w:val="01E7060E"/>
    <w:rsid w:val="01E929E1"/>
    <w:rsid w:val="01EC1F65"/>
    <w:rsid w:val="01FF1F1C"/>
    <w:rsid w:val="020918B7"/>
    <w:rsid w:val="020B4A0D"/>
    <w:rsid w:val="020B565C"/>
    <w:rsid w:val="02177336"/>
    <w:rsid w:val="02203BB0"/>
    <w:rsid w:val="022734B6"/>
    <w:rsid w:val="022E222C"/>
    <w:rsid w:val="023D7A2D"/>
    <w:rsid w:val="02453D62"/>
    <w:rsid w:val="0249320B"/>
    <w:rsid w:val="024E2412"/>
    <w:rsid w:val="02581D3A"/>
    <w:rsid w:val="025B4BAA"/>
    <w:rsid w:val="025E634C"/>
    <w:rsid w:val="026133EC"/>
    <w:rsid w:val="027257DB"/>
    <w:rsid w:val="02874D30"/>
    <w:rsid w:val="02A424D3"/>
    <w:rsid w:val="02A824AD"/>
    <w:rsid w:val="02AB5AF9"/>
    <w:rsid w:val="02AC2116"/>
    <w:rsid w:val="02B4435D"/>
    <w:rsid w:val="02B45220"/>
    <w:rsid w:val="02C606D3"/>
    <w:rsid w:val="02DD1D29"/>
    <w:rsid w:val="02DF6302"/>
    <w:rsid w:val="02FB64BA"/>
    <w:rsid w:val="02FD79FD"/>
    <w:rsid w:val="03046DA4"/>
    <w:rsid w:val="030C31D3"/>
    <w:rsid w:val="030F51AB"/>
    <w:rsid w:val="03112EED"/>
    <w:rsid w:val="03140049"/>
    <w:rsid w:val="03153D04"/>
    <w:rsid w:val="03186C11"/>
    <w:rsid w:val="031D6C97"/>
    <w:rsid w:val="0329526B"/>
    <w:rsid w:val="032B14A9"/>
    <w:rsid w:val="03341FBA"/>
    <w:rsid w:val="033467E0"/>
    <w:rsid w:val="0341084C"/>
    <w:rsid w:val="0347695F"/>
    <w:rsid w:val="03487BB6"/>
    <w:rsid w:val="034B0789"/>
    <w:rsid w:val="034D4CBF"/>
    <w:rsid w:val="034E2AC2"/>
    <w:rsid w:val="035458D8"/>
    <w:rsid w:val="035A172B"/>
    <w:rsid w:val="03623F17"/>
    <w:rsid w:val="03657F4F"/>
    <w:rsid w:val="036938D3"/>
    <w:rsid w:val="038B615E"/>
    <w:rsid w:val="038E15BF"/>
    <w:rsid w:val="0390388B"/>
    <w:rsid w:val="03956608"/>
    <w:rsid w:val="039637B4"/>
    <w:rsid w:val="03A37D2D"/>
    <w:rsid w:val="03A64D72"/>
    <w:rsid w:val="03C0483E"/>
    <w:rsid w:val="03C07A2C"/>
    <w:rsid w:val="03C131D0"/>
    <w:rsid w:val="03C20665"/>
    <w:rsid w:val="03C370F9"/>
    <w:rsid w:val="03C45094"/>
    <w:rsid w:val="03C62A95"/>
    <w:rsid w:val="03C76963"/>
    <w:rsid w:val="03FA2302"/>
    <w:rsid w:val="040711B9"/>
    <w:rsid w:val="040812FA"/>
    <w:rsid w:val="040B392B"/>
    <w:rsid w:val="0425182E"/>
    <w:rsid w:val="042C5DAA"/>
    <w:rsid w:val="04336A86"/>
    <w:rsid w:val="04380EAC"/>
    <w:rsid w:val="044D719E"/>
    <w:rsid w:val="044F07BA"/>
    <w:rsid w:val="04582DBA"/>
    <w:rsid w:val="045D167D"/>
    <w:rsid w:val="045D71A1"/>
    <w:rsid w:val="045E6B80"/>
    <w:rsid w:val="04605616"/>
    <w:rsid w:val="04654C8B"/>
    <w:rsid w:val="04895723"/>
    <w:rsid w:val="04932CE9"/>
    <w:rsid w:val="04A26264"/>
    <w:rsid w:val="04A265CE"/>
    <w:rsid w:val="04AB019F"/>
    <w:rsid w:val="04D97C92"/>
    <w:rsid w:val="04DD5D12"/>
    <w:rsid w:val="04E5322B"/>
    <w:rsid w:val="04E844D8"/>
    <w:rsid w:val="05035D7E"/>
    <w:rsid w:val="050B61DF"/>
    <w:rsid w:val="050E68D0"/>
    <w:rsid w:val="051613D6"/>
    <w:rsid w:val="051D612A"/>
    <w:rsid w:val="053479C1"/>
    <w:rsid w:val="055501DF"/>
    <w:rsid w:val="05551D4C"/>
    <w:rsid w:val="0567552E"/>
    <w:rsid w:val="056B04D3"/>
    <w:rsid w:val="056C3ACC"/>
    <w:rsid w:val="057A75B2"/>
    <w:rsid w:val="057B53BF"/>
    <w:rsid w:val="05883748"/>
    <w:rsid w:val="058B74B8"/>
    <w:rsid w:val="05993BA2"/>
    <w:rsid w:val="05A131E3"/>
    <w:rsid w:val="05A81734"/>
    <w:rsid w:val="05AE7081"/>
    <w:rsid w:val="05B577FC"/>
    <w:rsid w:val="05BF6540"/>
    <w:rsid w:val="05D00179"/>
    <w:rsid w:val="05DE7C54"/>
    <w:rsid w:val="05F26736"/>
    <w:rsid w:val="05FE5DDE"/>
    <w:rsid w:val="06140A61"/>
    <w:rsid w:val="063160EA"/>
    <w:rsid w:val="063C4915"/>
    <w:rsid w:val="06421925"/>
    <w:rsid w:val="06507187"/>
    <w:rsid w:val="065C44C8"/>
    <w:rsid w:val="066A6F3A"/>
    <w:rsid w:val="06973985"/>
    <w:rsid w:val="06981838"/>
    <w:rsid w:val="06A01121"/>
    <w:rsid w:val="06AD37D4"/>
    <w:rsid w:val="06B330C2"/>
    <w:rsid w:val="06BF32FA"/>
    <w:rsid w:val="06C41ABF"/>
    <w:rsid w:val="06C9720B"/>
    <w:rsid w:val="06D123A2"/>
    <w:rsid w:val="06EE0715"/>
    <w:rsid w:val="06F45050"/>
    <w:rsid w:val="06FF2647"/>
    <w:rsid w:val="070C1803"/>
    <w:rsid w:val="070C7A7D"/>
    <w:rsid w:val="07125F5D"/>
    <w:rsid w:val="071D5AA9"/>
    <w:rsid w:val="07237DCF"/>
    <w:rsid w:val="07295F5E"/>
    <w:rsid w:val="072A27ED"/>
    <w:rsid w:val="07375D01"/>
    <w:rsid w:val="07416DEA"/>
    <w:rsid w:val="07467C9B"/>
    <w:rsid w:val="074E3A91"/>
    <w:rsid w:val="075C1AB8"/>
    <w:rsid w:val="07733A71"/>
    <w:rsid w:val="07784ED2"/>
    <w:rsid w:val="07851341"/>
    <w:rsid w:val="078F1B7F"/>
    <w:rsid w:val="079D4A59"/>
    <w:rsid w:val="07AE6CA7"/>
    <w:rsid w:val="07BD4635"/>
    <w:rsid w:val="07CC6114"/>
    <w:rsid w:val="07D13BDF"/>
    <w:rsid w:val="07D27447"/>
    <w:rsid w:val="07E547BD"/>
    <w:rsid w:val="07E86163"/>
    <w:rsid w:val="07F75765"/>
    <w:rsid w:val="07FB6BDB"/>
    <w:rsid w:val="07FD050E"/>
    <w:rsid w:val="07FE2CE6"/>
    <w:rsid w:val="08045EB5"/>
    <w:rsid w:val="080B5158"/>
    <w:rsid w:val="08340B5D"/>
    <w:rsid w:val="08470A39"/>
    <w:rsid w:val="084A1CA4"/>
    <w:rsid w:val="084A42AF"/>
    <w:rsid w:val="084C3DD5"/>
    <w:rsid w:val="08584987"/>
    <w:rsid w:val="08631AF0"/>
    <w:rsid w:val="086B3F1C"/>
    <w:rsid w:val="086B6D43"/>
    <w:rsid w:val="08752AC9"/>
    <w:rsid w:val="08793D21"/>
    <w:rsid w:val="087E4576"/>
    <w:rsid w:val="089074FE"/>
    <w:rsid w:val="089468D3"/>
    <w:rsid w:val="08982282"/>
    <w:rsid w:val="08A46EAF"/>
    <w:rsid w:val="08AB3E54"/>
    <w:rsid w:val="08B8307B"/>
    <w:rsid w:val="08B92690"/>
    <w:rsid w:val="08C53275"/>
    <w:rsid w:val="08C82AD0"/>
    <w:rsid w:val="08D86D4D"/>
    <w:rsid w:val="08DA778B"/>
    <w:rsid w:val="08DC3E54"/>
    <w:rsid w:val="0907564F"/>
    <w:rsid w:val="09086396"/>
    <w:rsid w:val="09143462"/>
    <w:rsid w:val="093063D9"/>
    <w:rsid w:val="09581811"/>
    <w:rsid w:val="096D1D5A"/>
    <w:rsid w:val="097947DE"/>
    <w:rsid w:val="097E1083"/>
    <w:rsid w:val="09A93783"/>
    <w:rsid w:val="09BC0EEC"/>
    <w:rsid w:val="09CD0E15"/>
    <w:rsid w:val="09D36926"/>
    <w:rsid w:val="09DF5FE9"/>
    <w:rsid w:val="0A0D7FB1"/>
    <w:rsid w:val="0A267E40"/>
    <w:rsid w:val="0A2B404F"/>
    <w:rsid w:val="0A3A17EE"/>
    <w:rsid w:val="0A4C5E14"/>
    <w:rsid w:val="0A5D3302"/>
    <w:rsid w:val="0A9553F2"/>
    <w:rsid w:val="0A99277D"/>
    <w:rsid w:val="0AA2724D"/>
    <w:rsid w:val="0AA54C9A"/>
    <w:rsid w:val="0AA73EDD"/>
    <w:rsid w:val="0AB45595"/>
    <w:rsid w:val="0AC722CB"/>
    <w:rsid w:val="0AC81080"/>
    <w:rsid w:val="0ACE0139"/>
    <w:rsid w:val="0ADD6553"/>
    <w:rsid w:val="0AEA06B5"/>
    <w:rsid w:val="0AF735FA"/>
    <w:rsid w:val="0AF80177"/>
    <w:rsid w:val="0AFD3352"/>
    <w:rsid w:val="0AFE5425"/>
    <w:rsid w:val="0B070B66"/>
    <w:rsid w:val="0B0F2B1B"/>
    <w:rsid w:val="0B180275"/>
    <w:rsid w:val="0B2003D3"/>
    <w:rsid w:val="0B200784"/>
    <w:rsid w:val="0B225E0D"/>
    <w:rsid w:val="0B246018"/>
    <w:rsid w:val="0B2C6BAF"/>
    <w:rsid w:val="0B307A86"/>
    <w:rsid w:val="0B3721BC"/>
    <w:rsid w:val="0B3C4E8B"/>
    <w:rsid w:val="0B3F19AC"/>
    <w:rsid w:val="0B520CAB"/>
    <w:rsid w:val="0B556D59"/>
    <w:rsid w:val="0B5D1CDE"/>
    <w:rsid w:val="0B624D9D"/>
    <w:rsid w:val="0B625114"/>
    <w:rsid w:val="0B69276E"/>
    <w:rsid w:val="0B6C7509"/>
    <w:rsid w:val="0B6F6A90"/>
    <w:rsid w:val="0B767F17"/>
    <w:rsid w:val="0B87425F"/>
    <w:rsid w:val="0B8A1D5F"/>
    <w:rsid w:val="0B9418E0"/>
    <w:rsid w:val="0B9D477A"/>
    <w:rsid w:val="0BA42D54"/>
    <w:rsid w:val="0BA4323A"/>
    <w:rsid w:val="0BA52EB2"/>
    <w:rsid w:val="0BB03C97"/>
    <w:rsid w:val="0BCB2D66"/>
    <w:rsid w:val="0BE4032F"/>
    <w:rsid w:val="0BE61C02"/>
    <w:rsid w:val="0BED0F30"/>
    <w:rsid w:val="0BF46574"/>
    <w:rsid w:val="0BF67F56"/>
    <w:rsid w:val="0C004E90"/>
    <w:rsid w:val="0C080187"/>
    <w:rsid w:val="0C11747B"/>
    <w:rsid w:val="0C5E3BDC"/>
    <w:rsid w:val="0C620BA9"/>
    <w:rsid w:val="0C6F06E4"/>
    <w:rsid w:val="0C716CF4"/>
    <w:rsid w:val="0C893321"/>
    <w:rsid w:val="0C8C0FE8"/>
    <w:rsid w:val="0C970BC1"/>
    <w:rsid w:val="0C9A0578"/>
    <w:rsid w:val="0CA35C3A"/>
    <w:rsid w:val="0CAD2444"/>
    <w:rsid w:val="0CBF31C0"/>
    <w:rsid w:val="0CC971C3"/>
    <w:rsid w:val="0CCC4B24"/>
    <w:rsid w:val="0CCD4173"/>
    <w:rsid w:val="0CCF5078"/>
    <w:rsid w:val="0CD3799C"/>
    <w:rsid w:val="0CDE1F58"/>
    <w:rsid w:val="0CE50684"/>
    <w:rsid w:val="0CED132B"/>
    <w:rsid w:val="0CF61416"/>
    <w:rsid w:val="0D011649"/>
    <w:rsid w:val="0D093E65"/>
    <w:rsid w:val="0D0B086E"/>
    <w:rsid w:val="0D3440B2"/>
    <w:rsid w:val="0D5729F1"/>
    <w:rsid w:val="0D602CA2"/>
    <w:rsid w:val="0D6903E0"/>
    <w:rsid w:val="0D6D4AC0"/>
    <w:rsid w:val="0D76499E"/>
    <w:rsid w:val="0D776287"/>
    <w:rsid w:val="0D945E7B"/>
    <w:rsid w:val="0DA137B1"/>
    <w:rsid w:val="0DA3036B"/>
    <w:rsid w:val="0DA94E0F"/>
    <w:rsid w:val="0DAA0FA5"/>
    <w:rsid w:val="0DBC505E"/>
    <w:rsid w:val="0DBE0DE5"/>
    <w:rsid w:val="0DD874C2"/>
    <w:rsid w:val="0DDF33A3"/>
    <w:rsid w:val="0DED7BEB"/>
    <w:rsid w:val="0DEF68BF"/>
    <w:rsid w:val="0DF21D78"/>
    <w:rsid w:val="0DF30967"/>
    <w:rsid w:val="0DF5431F"/>
    <w:rsid w:val="0DF95E03"/>
    <w:rsid w:val="0DFA1FAC"/>
    <w:rsid w:val="0DFE1E9D"/>
    <w:rsid w:val="0DFF5712"/>
    <w:rsid w:val="0E0367E9"/>
    <w:rsid w:val="0E0554B5"/>
    <w:rsid w:val="0E143623"/>
    <w:rsid w:val="0E322BB8"/>
    <w:rsid w:val="0E415E9B"/>
    <w:rsid w:val="0E45061E"/>
    <w:rsid w:val="0E550427"/>
    <w:rsid w:val="0E5A7A94"/>
    <w:rsid w:val="0E5C3836"/>
    <w:rsid w:val="0E5E6DF7"/>
    <w:rsid w:val="0E614D04"/>
    <w:rsid w:val="0E6958B5"/>
    <w:rsid w:val="0E8121BF"/>
    <w:rsid w:val="0E8158C6"/>
    <w:rsid w:val="0E844B37"/>
    <w:rsid w:val="0EAD29D5"/>
    <w:rsid w:val="0EC94616"/>
    <w:rsid w:val="0ED654A4"/>
    <w:rsid w:val="0EDB4BFB"/>
    <w:rsid w:val="0EE463AC"/>
    <w:rsid w:val="0EED2ED7"/>
    <w:rsid w:val="0EF97C45"/>
    <w:rsid w:val="0EFA0BEF"/>
    <w:rsid w:val="0F0D0A75"/>
    <w:rsid w:val="0F0F78B6"/>
    <w:rsid w:val="0F1209BE"/>
    <w:rsid w:val="0F167C12"/>
    <w:rsid w:val="0F2C69CB"/>
    <w:rsid w:val="0F364983"/>
    <w:rsid w:val="0F3826FA"/>
    <w:rsid w:val="0F423F77"/>
    <w:rsid w:val="0F4460F5"/>
    <w:rsid w:val="0F451083"/>
    <w:rsid w:val="0F5F2145"/>
    <w:rsid w:val="0F784F51"/>
    <w:rsid w:val="0F9F2549"/>
    <w:rsid w:val="0FA73936"/>
    <w:rsid w:val="0FAC6470"/>
    <w:rsid w:val="0FAD4F30"/>
    <w:rsid w:val="0FB54D01"/>
    <w:rsid w:val="0FBC56B8"/>
    <w:rsid w:val="0FBF0F8E"/>
    <w:rsid w:val="0FCD703C"/>
    <w:rsid w:val="0FD764EF"/>
    <w:rsid w:val="10066149"/>
    <w:rsid w:val="100B481C"/>
    <w:rsid w:val="101B7483"/>
    <w:rsid w:val="102506A9"/>
    <w:rsid w:val="10330F00"/>
    <w:rsid w:val="10460F6F"/>
    <w:rsid w:val="104C4403"/>
    <w:rsid w:val="10516A87"/>
    <w:rsid w:val="105B1ED6"/>
    <w:rsid w:val="105D7DDB"/>
    <w:rsid w:val="10620C4C"/>
    <w:rsid w:val="10713230"/>
    <w:rsid w:val="109B0166"/>
    <w:rsid w:val="10A57977"/>
    <w:rsid w:val="10AA7B2E"/>
    <w:rsid w:val="10B91C3A"/>
    <w:rsid w:val="10C62FE7"/>
    <w:rsid w:val="10CA27CB"/>
    <w:rsid w:val="10CC6E54"/>
    <w:rsid w:val="10CF7E17"/>
    <w:rsid w:val="10D966F5"/>
    <w:rsid w:val="10DB096E"/>
    <w:rsid w:val="10E36743"/>
    <w:rsid w:val="10EA3ADF"/>
    <w:rsid w:val="10EB68A0"/>
    <w:rsid w:val="10F03614"/>
    <w:rsid w:val="10F039CC"/>
    <w:rsid w:val="10F476E5"/>
    <w:rsid w:val="11047F91"/>
    <w:rsid w:val="110563E2"/>
    <w:rsid w:val="11123650"/>
    <w:rsid w:val="113917C7"/>
    <w:rsid w:val="11411F36"/>
    <w:rsid w:val="115B1777"/>
    <w:rsid w:val="11677317"/>
    <w:rsid w:val="116931C3"/>
    <w:rsid w:val="11763776"/>
    <w:rsid w:val="117748EA"/>
    <w:rsid w:val="11A23783"/>
    <w:rsid w:val="11B810B8"/>
    <w:rsid w:val="11BB7DFE"/>
    <w:rsid w:val="11BE1A0A"/>
    <w:rsid w:val="11C03175"/>
    <w:rsid w:val="11CE4097"/>
    <w:rsid w:val="11D416AE"/>
    <w:rsid w:val="11DD12A1"/>
    <w:rsid w:val="11E80F81"/>
    <w:rsid w:val="11ED4927"/>
    <w:rsid w:val="11F9586F"/>
    <w:rsid w:val="120D6AC0"/>
    <w:rsid w:val="1217626B"/>
    <w:rsid w:val="121C722B"/>
    <w:rsid w:val="121D0DE4"/>
    <w:rsid w:val="12307340"/>
    <w:rsid w:val="123268B5"/>
    <w:rsid w:val="12371856"/>
    <w:rsid w:val="12436CD9"/>
    <w:rsid w:val="12476646"/>
    <w:rsid w:val="12483582"/>
    <w:rsid w:val="12586B18"/>
    <w:rsid w:val="12704694"/>
    <w:rsid w:val="12795C48"/>
    <w:rsid w:val="12847DDB"/>
    <w:rsid w:val="128866F0"/>
    <w:rsid w:val="128C0D77"/>
    <w:rsid w:val="12A107BA"/>
    <w:rsid w:val="12B0560F"/>
    <w:rsid w:val="12B76505"/>
    <w:rsid w:val="12C31F69"/>
    <w:rsid w:val="12CC29DE"/>
    <w:rsid w:val="12DE1CD3"/>
    <w:rsid w:val="12EA66C1"/>
    <w:rsid w:val="12F6158A"/>
    <w:rsid w:val="130D21BA"/>
    <w:rsid w:val="1321171E"/>
    <w:rsid w:val="13387EF5"/>
    <w:rsid w:val="13445D39"/>
    <w:rsid w:val="13520130"/>
    <w:rsid w:val="135B539E"/>
    <w:rsid w:val="1380484E"/>
    <w:rsid w:val="13875485"/>
    <w:rsid w:val="13880B6A"/>
    <w:rsid w:val="13931ABF"/>
    <w:rsid w:val="13B83053"/>
    <w:rsid w:val="13C63F08"/>
    <w:rsid w:val="13D33102"/>
    <w:rsid w:val="13D608C9"/>
    <w:rsid w:val="13D6674E"/>
    <w:rsid w:val="13DB0866"/>
    <w:rsid w:val="13F24179"/>
    <w:rsid w:val="13F2741C"/>
    <w:rsid w:val="13F32C7B"/>
    <w:rsid w:val="140A0BC9"/>
    <w:rsid w:val="140C3F7B"/>
    <w:rsid w:val="1418426E"/>
    <w:rsid w:val="141D1B78"/>
    <w:rsid w:val="14287380"/>
    <w:rsid w:val="144D6AC7"/>
    <w:rsid w:val="145042CD"/>
    <w:rsid w:val="145A6606"/>
    <w:rsid w:val="145A6779"/>
    <w:rsid w:val="1464323F"/>
    <w:rsid w:val="14684753"/>
    <w:rsid w:val="14686E1E"/>
    <w:rsid w:val="146C3A9E"/>
    <w:rsid w:val="146C7D5F"/>
    <w:rsid w:val="146D59B9"/>
    <w:rsid w:val="147C34EE"/>
    <w:rsid w:val="149743DD"/>
    <w:rsid w:val="149B6F9F"/>
    <w:rsid w:val="14AA0A69"/>
    <w:rsid w:val="14AB3737"/>
    <w:rsid w:val="14B101DE"/>
    <w:rsid w:val="14C05415"/>
    <w:rsid w:val="14E10EDF"/>
    <w:rsid w:val="14E267E0"/>
    <w:rsid w:val="14F05A13"/>
    <w:rsid w:val="14F12984"/>
    <w:rsid w:val="14FA2ECC"/>
    <w:rsid w:val="150F17E6"/>
    <w:rsid w:val="151A7AD3"/>
    <w:rsid w:val="151B2941"/>
    <w:rsid w:val="1527507F"/>
    <w:rsid w:val="152B4D85"/>
    <w:rsid w:val="152E6B77"/>
    <w:rsid w:val="153568DF"/>
    <w:rsid w:val="154F1539"/>
    <w:rsid w:val="15526894"/>
    <w:rsid w:val="15680195"/>
    <w:rsid w:val="15692040"/>
    <w:rsid w:val="156A359D"/>
    <w:rsid w:val="156A53A0"/>
    <w:rsid w:val="156B5DB0"/>
    <w:rsid w:val="15762B51"/>
    <w:rsid w:val="15776C4B"/>
    <w:rsid w:val="1594150E"/>
    <w:rsid w:val="15B54237"/>
    <w:rsid w:val="15BB2E6A"/>
    <w:rsid w:val="15BB549F"/>
    <w:rsid w:val="15CE1DA9"/>
    <w:rsid w:val="15E516A8"/>
    <w:rsid w:val="15E9694E"/>
    <w:rsid w:val="15F50EB0"/>
    <w:rsid w:val="15F671C7"/>
    <w:rsid w:val="16133062"/>
    <w:rsid w:val="161C3446"/>
    <w:rsid w:val="16243DB3"/>
    <w:rsid w:val="162A1B8B"/>
    <w:rsid w:val="163D0D06"/>
    <w:rsid w:val="16455B7C"/>
    <w:rsid w:val="16482C4F"/>
    <w:rsid w:val="16545E28"/>
    <w:rsid w:val="167A18C1"/>
    <w:rsid w:val="167F70BD"/>
    <w:rsid w:val="168838B2"/>
    <w:rsid w:val="168A02ED"/>
    <w:rsid w:val="168A47F1"/>
    <w:rsid w:val="1693750E"/>
    <w:rsid w:val="16996E15"/>
    <w:rsid w:val="16A414BF"/>
    <w:rsid w:val="16A50E81"/>
    <w:rsid w:val="16AB136E"/>
    <w:rsid w:val="16AE29A9"/>
    <w:rsid w:val="16AF30D1"/>
    <w:rsid w:val="16B06483"/>
    <w:rsid w:val="16B06CAB"/>
    <w:rsid w:val="16B103D0"/>
    <w:rsid w:val="16BD1071"/>
    <w:rsid w:val="16C01F3E"/>
    <w:rsid w:val="16C06E77"/>
    <w:rsid w:val="16C50334"/>
    <w:rsid w:val="16CD2A49"/>
    <w:rsid w:val="16D14A80"/>
    <w:rsid w:val="16D20AE0"/>
    <w:rsid w:val="16DB7AE0"/>
    <w:rsid w:val="16E62A7B"/>
    <w:rsid w:val="16E91BA9"/>
    <w:rsid w:val="16EA2C3C"/>
    <w:rsid w:val="16F16B44"/>
    <w:rsid w:val="17055E43"/>
    <w:rsid w:val="17061426"/>
    <w:rsid w:val="17101589"/>
    <w:rsid w:val="17120A5B"/>
    <w:rsid w:val="17236BCD"/>
    <w:rsid w:val="17335BC1"/>
    <w:rsid w:val="17467127"/>
    <w:rsid w:val="17543DB2"/>
    <w:rsid w:val="175E531C"/>
    <w:rsid w:val="176A51F7"/>
    <w:rsid w:val="176B3C4C"/>
    <w:rsid w:val="176C6B74"/>
    <w:rsid w:val="17720214"/>
    <w:rsid w:val="1782584A"/>
    <w:rsid w:val="178A2C6A"/>
    <w:rsid w:val="178A69DF"/>
    <w:rsid w:val="17951106"/>
    <w:rsid w:val="17A40ABF"/>
    <w:rsid w:val="17BA265E"/>
    <w:rsid w:val="17C75046"/>
    <w:rsid w:val="17E543AE"/>
    <w:rsid w:val="17F1054F"/>
    <w:rsid w:val="17F26AAE"/>
    <w:rsid w:val="18051DFF"/>
    <w:rsid w:val="181B33E1"/>
    <w:rsid w:val="18323DC1"/>
    <w:rsid w:val="183C6562"/>
    <w:rsid w:val="183D074A"/>
    <w:rsid w:val="18434505"/>
    <w:rsid w:val="18453198"/>
    <w:rsid w:val="184665A9"/>
    <w:rsid w:val="184B0E2E"/>
    <w:rsid w:val="1850627B"/>
    <w:rsid w:val="1858187C"/>
    <w:rsid w:val="185C3579"/>
    <w:rsid w:val="185F029F"/>
    <w:rsid w:val="18674358"/>
    <w:rsid w:val="186C0AA7"/>
    <w:rsid w:val="186E669A"/>
    <w:rsid w:val="18753A1B"/>
    <w:rsid w:val="188554D5"/>
    <w:rsid w:val="18892ACB"/>
    <w:rsid w:val="188C07C9"/>
    <w:rsid w:val="18950979"/>
    <w:rsid w:val="18955430"/>
    <w:rsid w:val="18A36AB1"/>
    <w:rsid w:val="18CA0D17"/>
    <w:rsid w:val="18CF2398"/>
    <w:rsid w:val="18EE7ACF"/>
    <w:rsid w:val="18F565A6"/>
    <w:rsid w:val="18FE139B"/>
    <w:rsid w:val="19084279"/>
    <w:rsid w:val="19215728"/>
    <w:rsid w:val="192843D1"/>
    <w:rsid w:val="192C6042"/>
    <w:rsid w:val="192E53B8"/>
    <w:rsid w:val="19361C89"/>
    <w:rsid w:val="193824F1"/>
    <w:rsid w:val="19440476"/>
    <w:rsid w:val="19441452"/>
    <w:rsid w:val="197215A4"/>
    <w:rsid w:val="19806711"/>
    <w:rsid w:val="198067DD"/>
    <w:rsid w:val="198D4D5B"/>
    <w:rsid w:val="1995389C"/>
    <w:rsid w:val="199C3D84"/>
    <w:rsid w:val="19AA096B"/>
    <w:rsid w:val="19B47531"/>
    <w:rsid w:val="19BA29BA"/>
    <w:rsid w:val="19BE59CA"/>
    <w:rsid w:val="19C85C1A"/>
    <w:rsid w:val="19CA4C2A"/>
    <w:rsid w:val="19CC09BB"/>
    <w:rsid w:val="19CF3840"/>
    <w:rsid w:val="19D23B21"/>
    <w:rsid w:val="19D333B3"/>
    <w:rsid w:val="19D37EE8"/>
    <w:rsid w:val="19D45CD3"/>
    <w:rsid w:val="19D73D53"/>
    <w:rsid w:val="19E510A4"/>
    <w:rsid w:val="19F90D17"/>
    <w:rsid w:val="1A1231E9"/>
    <w:rsid w:val="1A1638EF"/>
    <w:rsid w:val="1A1741A4"/>
    <w:rsid w:val="1A23219A"/>
    <w:rsid w:val="1A2F5284"/>
    <w:rsid w:val="1A362795"/>
    <w:rsid w:val="1A3736FD"/>
    <w:rsid w:val="1A405A82"/>
    <w:rsid w:val="1A444CF8"/>
    <w:rsid w:val="1A4D5FA2"/>
    <w:rsid w:val="1A5235DC"/>
    <w:rsid w:val="1A595720"/>
    <w:rsid w:val="1A6B3117"/>
    <w:rsid w:val="1A6D0C48"/>
    <w:rsid w:val="1A6D6FE8"/>
    <w:rsid w:val="1A7439E1"/>
    <w:rsid w:val="1A815886"/>
    <w:rsid w:val="1A8E1324"/>
    <w:rsid w:val="1A981A6B"/>
    <w:rsid w:val="1A98419B"/>
    <w:rsid w:val="1AB30670"/>
    <w:rsid w:val="1ABB1F8C"/>
    <w:rsid w:val="1ABF7BB3"/>
    <w:rsid w:val="1AC42128"/>
    <w:rsid w:val="1AD44419"/>
    <w:rsid w:val="1AE41B43"/>
    <w:rsid w:val="1B01182B"/>
    <w:rsid w:val="1B2E1485"/>
    <w:rsid w:val="1B3167DA"/>
    <w:rsid w:val="1B376F8F"/>
    <w:rsid w:val="1B4456B9"/>
    <w:rsid w:val="1B4928B9"/>
    <w:rsid w:val="1B4C1B7C"/>
    <w:rsid w:val="1B4C7506"/>
    <w:rsid w:val="1B4C7570"/>
    <w:rsid w:val="1B4E0103"/>
    <w:rsid w:val="1B4F558F"/>
    <w:rsid w:val="1B51545C"/>
    <w:rsid w:val="1B554BEB"/>
    <w:rsid w:val="1B59233C"/>
    <w:rsid w:val="1B604D77"/>
    <w:rsid w:val="1B6214EE"/>
    <w:rsid w:val="1B8F1933"/>
    <w:rsid w:val="1B992F71"/>
    <w:rsid w:val="1BA826AB"/>
    <w:rsid w:val="1BAF4003"/>
    <w:rsid w:val="1BB1195D"/>
    <w:rsid w:val="1BB81F50"/>
    <w:rsid w:val="1BBA0746"/>
    <w:rsid w:val="1BD70E3F"/>
    <w:rsid w:val="1BE52D41"/>
    <w:rsid w:val="1BEC2DA9"/>
    <w:rsid w:val="1BF136CA"/>
    <w:rsid w:val="1BF41E67"/>
    <w:rsid w:val="1BFF2224"/>
    <w:rsid w:val="1C000CC6"/>
    <w:rsid w:val="1C04710D"/>
    <w:rsid w:val="1C0D1EB4"/>
    <w:rsid w:val="1C0D7819"/>
    <w:rsid w:val="1C1C429F"/>
    <w:rsid w:val="1C22672D"/>
    <w:rsid w:val="1C2B02B9"/>
    <w:rsid w:val="1C380E09"/>
    <w:rsid w:val="1C427E6A"/>
    <w:rsid w:val="1C5456D8"/>
    <w:rsid w:val="1C5D4C01"/>
    <w:rsid w:val="1C7D54F1"/>
    <w:rsid w:val="1C8576CE"/>
    <w:rsid w:val="1C9E4EA7"/>
    <w:rsid w:val="1CA951BF"/>
    <w:rsid w:val="1CB17E94"/>
    <w:rsid w:val="1CB46C20"/>
    <w:rsid w:val="1CBC394A"/>
    <w:rsid w:val="1CDE3A34"/>
    <w:rsid w:val="1CDE7A59"/>
    <w:rsid w:val="1CE8004A"/>
    <w:rsid w:val="1CEB4E18"/>
    <w:rsid w:val="1CF76028"/>
    <w:rsid w:val="1CFF7CB6"/>
    <w:rsid w:val="1D0215C3"/>
    <w:rsid w:val="1D060FD7"/>
    <w:rsid w:val="1D0841AA"/>
    <w:rsid w:val="1D0D319F"/>
    <w:rsid w:val="1D176D3F"/>
    <w:rsid w:val="1D231649"/>
    <w:rsid w:val="1D262CCF"/>
    <w:rsid w:val="1D2E0E15"/>
    <w:rsid w:val="1D36465D"/>
    <w:rsid w:val="1D39330E"/>
    <w:rsid w:val="1D3E75D3"/>
    <w:rsid w:val="1D4558EA"/>
    <w:rsid w:val="1D4972C0"/>
    <w:rsid w:val="1D557812"/>
    <w:rsid w:val="1D5B3592"/>
    <w:rsid w:val="1D781016"/>
    <w:rsid w:val="1D820135"/>
    <w:rsid w:val="1D8422AD"/>
    <w:rsid w:val="1D8A3EB2"/>
    <w:rsid w:val="1D9B50B3"/>
    <w:rsid w:val="1D9E2FEE"/>
    <w:rsid w:val="1DA279B0"/>
    <w:rsid w:val="1DB501FB"/>
    <w:rsid w:val="1DB76BE0"/>
    <w:rsid w:val="1DC816D9"/>
    <w:rsid w:val="1DDC3067"/>
    <w:rsid w:val="1DDC3675"/>
    <w:rsid w:val="1DE93865"/>
    <w:rsid w:val="1DF61DBC"/>
    <w:rsid w:val="1E08771E"/>
    <w:rsid w:val="1E0A4661"/>
    <w:rsid w:val="1E1F57A4"/>
    <w:rsid w:val="1E200853"/>
    <w:rsid w:val="1E331F27"/>
    <w:rsid w:val="1E4A372E"/>
    <w:rsid w:val="1E57048B"/>
    <w:rsid w:val="1E5D036A"/>
    <w:rsid w:val="1E6C239C"/>
    <w:rsid w:val="1E8735F7"/>
    <w:rsid w:val="1EB267B4"/>
    <w:rsid w:val="1EB80DBD"/>
    <w:rsid w:val="1EC90ADD"/>
    <w:rsid w:val="1ED70A7B"/>
    <w:rsid w:val="1EDD5FBC"/>
    <w:rsid w:val="1EE254F7"/>
    <w:rsid w:val="1EEC317B"/>
    <w:rsid w:val="1EFF1F48"/>
    <w:rsid w:val="1F0553A3"/>
    <w:rsid w:val="1F144151"/>
    <w:rsid w:val="1F27560C"/>
    <w:rsid w:val="1F287DB5"/>
    <w:rsid w:val="1F3E0740"/>
    <w:rsid w:val="1F3F2A74"/>
    <w:rsid w:val="1F4374B1"/>
    <w:rsid w:val="1F4C1FCD"/>
    <w:rsid w:val="1F520BEA"/>
    <w:rsid w:val="1F61029E"/>
    <w:rsid w:val="1F63094B"/>
    <w:rsid w:val="1F662427"/>
    <w:rsid w:val="1F670C36"/>
    <w:rsid w:val="1F676D3F"/>
    <w:rsid w:val="1F700A63"/>
    <w:rsid w:val="1F7609DF"/>
    <w:rsid w:val="1F83751D"/>
    <w:rsid w:val="1F986A06"/>
    <w:rsid w:val="1FA73026"/>
    <w:rsid w:val="1FA95965"/>
    <w:rsid w:val="1FB2006F"/>
    <w:rsid w:val="1FB709B4"/>
    <w:rsid w:val="1FD45A9F"/>
    <w:rsid w:val="1FDC2182"/>
    <w:rsid w:val="20036B1D"/>
    <w:rsid w:val="202E41B8"/>
    <w:rsid w:val="204B0F8F"/>
    <w:rsid w:val="205213AB"/>
    <w:rsid w:val="205E43B6"/>
    <w:rsid w:val="20762D9F"/>
    <w:rsid w:val="207631DB"/>
    <w:rsid w:val="20870C62"/>
    <w:rsid w:val="208747B6"/>
    <w:rsid w:val="20A53618"/>
    <w:rsid w:val="20AC3BB9"/>
    <w:rsid w:val="20AE4217"/>
    <w:rsid w:val="20AE4CDA"/>
    <w:rsid w:val="20BD1954"/>
    <w:rsid w:val="20C2434D"/>
    <w:rsid w:val="20C8581A"/>
    <w:rsid w:val="20D101C1"/>
    <w:rsid w:val="20D220EF"/>
    <w:rsid w:val="20D81D57"/>
    <w:rsid w:val="20DE3CE0"/>
    <w:rsid w:val="20E56DAB"/>
    <w:rsid w:val="20EF7647"/>
    <w:rsid w:val="20FB69B2"/>
    <w:rsid w:val="2108382E"/>
    <w:rsid w:val="211322EB"/>
    <w:rsid w:val="211E6F3B"/>
    <w:rsid w:val="213B420A"/>
    <w:rsid w:val="213F7CE4"/>
    <w:rsid w:val="2141211E"/>
    <w:rsid w:val="214941F0"/>
    <w:rsid w:val="21530B8A"/>
    <w:rsid w:val="21607CB1"/>
    <w:rsid w:val="216B044D"/>
    <w:rsid w:val="2175734A"/>
    <w:rsid w:val="217628B2"/>
    <w:rsid w:val="219215EA"/>
    <w:rsid w:val="219F4E0E"/>
    <w:rsid w:val="21A76687"/>
    <w:rsid w:val="21B85ED9"/>
    <w:rsid w:val="21C2421D"/>
    <w:rsid w:val="21DA2D56"/>
    <w:rsid w:val="21E41719"/>
    <w:rsid w:val="21E7552D"/>
    <w:rsid w:val="21F51CA7"/>
    <w:rsid w:val="21F904BF"/>
    <w:rsid w:val="21FB2F52"/>
    <w:rsid w:val="22074D9D"/>
    <w:rsid w:val="22132D37"/>
    <w:rsid w:val="2225541A"/>
    <w:rsid w:val="22277DF8"/>
    <w:rsid w:val="223E7F5C"/>
    <w:rsid w:val="224177F1"/>
    <w:rsid w:val="22477129"/>
    <w:rsid w:val="224E4C16"/>
    <w:rsid w:val="22555287"/>
    <w:rsid w:val="226F54C4"/>
    <w:rsid w:val="2275753E"/>
    <w:rsid w:val="227A0A4C"/>
    <w:rsid w:val="227C19B7"/>
    <w:rsid w:val="227E7E60"/>
    <w:rsid w:val="2283530F"/>
    <w:rsid w:val="22A30AC6"/>
    <w:rsid w:val="22DB280F"/>
    <w:rsid w:val="22DC04DE"/>
    <w:rsid w:val="22E744D4"/>
    <w:rsid w:val="22E931EE"/>
    <w:rsid w:val="22EF70F9"/>
    <w:rsid w:val="22F00425"/>
    <w:rsid w:val="230158E7"/>
    <w:rsid w:val="230630A2"/>
    <w:rsid w:val="231841DB"/>
    <w:rsid w:val="2321425C"/>
    <w:rsid w:val="23291117"/>
    <w:rsid w:val="23292973"/>
    <w:rsid w:val="233E57A7"/>
    <w:rsid w:val="23503A14"/>
    <w:rsid w:val="2352595A"/>
    <w:rsid w:val="235F759A"/>
    <w:rsid w:val="236E3012"/>
    <w:rsid w:val="23815966"/>
    <w:rsid w:val="23846C80"/>
    <w:rsid w:val="2390700A"/>
    <w:rsid w:val="23C23956"/>
    <w:rsid w:val="23C82BFB"/>
    <w:rsid w:val="23CA6D62"/>
    <w:rsid w:val="23DE456B"/>
    <w:rsid w:val="23E273F0"/>
    <w:rsid w:val="23EA5257"/>
    <w:rsid w:val="23F25D86"/>
    <w:rsid w:val="23F5099B"/>
    <w:rsid w:val="24156A24"/>
    <w:rsid w:val="24197563"/>
    <w:rsid w:val="2422488D"/>
    <w:rsid w:val="243F535A"/>
    <w:rsid w:val="24521E21"/>
    <w:rsid w:val="24593C56"/>
    <w:rsid w:val="24610FC3"/>
    <w:rsid w:val="24696D37"/>
    <w:rsid w:val="246F58BE"/>
    <w:rsid w:val="248F512E"/>
    <w:rsid w:val="24B300E3"/>
    <w:rsid w:val="24B50D01"/>
    <w:rsid w:val="24CA1BC1"/>
    <w:rsid w:val="24DD223A"/>
    <w:rsid w:val="24DF6BF4"/>
    <w:rsid w:val="24E81C91"/>
    <w:rsid w:val="24EE2918"/>
    <w:rsid w:val="24F013E6"/>
    <w:rsid w:val="25093B7C"/>
    <w:rsid w:val="250D2B82"/>
    <w:rsid w:val="25194730"/>
    <w:rsid w:val="25262B76"/>
    <w:rsid w:val="252E37B3"/>
    <w:rsid w:val="253954CB"/>
    <w:rsid w:val="25423F64"/>
    <w:rsid w:val="25497770"/>
    <w:rsid w:val="254B1AD6"/>
    <w:rsid w:val="25511EED"/>
    <w:rsid w:val="25512893"/>
    <w:rsid w:val="25535930"/>
    <w:rsid w:val="255C67FF"/>
    <w:rsid w:val="255E3B88"/>
    <w:rsid w:val="258D116A"/>
    <w:rsid w:val="259A413A"/>
    <w:rsid w:val="259F0B4F"/>
    <w:rsid w:val="25A05187"/>
    <w:rsid w:val="25A17E0F"/>
    <w:rsid w:val="25B074E4"/>
    <w:rsid w:val="25C02DD7"/>
    <w:rsid w:val="25C04171"/>
    <w:rsid w:val="25C65C7F"/>
    <w:rsid w:val="25E35AAF"/>
    <w:rsid w:val="260E3E05"/>
    <w:rsid w:val="260F2091"/>
    <w:rsid w:val="26223808"/>
    <w:rsid w:val="26237A5C"/>
    <w:rsid w:val="26313AC3"/>
    <w:rsid w:val="26322A68"/>
    <w:rsid w:val="26347628"/>
    <w:rsid w:val="26357172"/>
    <w:rsid w:val="2641046B"/>
    <w:rsid w:val="26673A0E"/>
    <w:rsid w:val="266D0747"/>
    <w:rsid w:val="267F5FC1"/>
    <w:rsid w:val="268F0477"/>
    <w:rsid w:val="26913100"/>
    <w:rsid w:val="26A16E67"/>
    <w:rsid w:val="26A60BE8"/>
    <w:rsid w:val="26A64872"/>
    <w:rsid w:val="26A9772B"/>
    <w:rsid w:val="26B37EC4"/>
    <w:rsid w:val="26BA7FCA"/>
    <w:rsid w:val="26D775A9"/>
    <w:rsid w:val="26F4574B"/>
    <w:rsid w:val="26FB516E"/>
    <w:rsid w:val="26FB6A92"/>
    <w:rsid w:val="26FD2E71"/>
    <w:rsid w:val="27043A2C"/>
    <w:rsid w:val="270F4184"/>
    <w:rsid w:val="27135D84"/>
    <w:rsid w:val="271B2B38"/>
    <w:rsid w:val="272503B7"/>
    <w:rsid w:val="272A0D34"/>
    <w:rsid w:val="273B6156"/>
    <w:rsid w:val="273E1963"/>
    <w:rsid w:val="27466EDE"/>
    <w:rsid w:val="274932EE"/>
    <w:rsid w:val="27856E47"/>
    <w:rsid w:val="278E4AC5"/>
    <w:rsid w:val="279B5F9C"/>
    <w:rsid w:val="279C5D73"/>
    <w:rsid w:val="27A05176"/>
    <w:rsid w:val="27A43BA8"/>
    <w:rsid w:val="27AB54A6"/>
    <w:rsid w:val="27AD03CD"/>
    <w:rsid w:val="27AE6DE4"/>
    <w:rsid w:val="27BC3D1F"/>
    <w:rsid w:val="27BD2471"/>
    <w:rsid w:val="27CB28DC"/>
    <w:rsid w:val="27D94C02"/>
    <w:rsid w:val="27DF57B3"/>
    <w:rsid w:val="27EF4E7C"/>
    <w:rsid w:val="27F141BB"/>
    <w:rsid w:val="27F22D6D"/>
    <w:rsid w:val="27F85B1D"/>
    <w:rsid w:val="28044AA7"/>
    <w:rsid w:val="280612B6"/>
    <w:rsid w:val="280B6E89"/>
    <w:rsid w:val="281700D4"/>
    <w:rsid w:val="281A1FF1"/>
    <w:rsid w:val="2836364A"/>
    <w:rsid w:val="28382156"/>
    <w:rsid w:val="28385BE6"/>
    <w:rsid w:val="283D6CD0"/>
    <w:rsid w:val="28422893"/>
    <w:rsid w:val="284643E7"/>
    <w:rsid w:val="284B1D9A"/>
    <w:rsid w:val="284B72B3"/>
    <w:rsid w:val="285E21F9"/>
    <w:rsid w:val="28617759"/>
    <w:rsid w:val="28786FFD"/>
    <w:rsid w:val="28805BD9"/>
    <w:rsid w:val="2896371F"/>
    <w:rsid w:val="28A77100"/>
    <w:rsid w:val="28BE5871"/>
    <w:rsid w:val="28C5443C"/>
    <w:rsid w:val="28C90152"/>
    <w:rsid w:val="28E374EB"/>
    <w:rsid w:val="28ED4C6D"/>
    <w:rsid w:val="28F93D81"/>
    <w:rsid w:val="28FE7AED"/>
    <w:rsid w:val="29170751"/>
    <w:rsid w:val="29252F76"/>
    <w:rsid w:val="292A4F2C"/>
    <w:rsid w:val="295A7F16"/>
    <w:rsid w:val="295B4853"/>
    <w:rsid w:val="296C06F3"/>
    <w:rsid w:val="296F0B43"/>
    <w:rsid w:val="29781ECE"/>
    <w:rsid w:val="297C5A7D"/>
    <w:rsid w:val="29866C05"/>
    <w:rsid w:val="29934F0D"/>
    <w:rsid w:val="2993788C"/>
    <w:rsid w:val="299B0C3F"/>
    <w:rsid w:val="299F0078"/>
    <w:rsid w:val="299F1B41"/>
    <w:rsid w:val="29AA3FFA"/>
    <w:rsid w:val="29B628BB"/>
    <w:rsid w:val="29C23D2C"/>
    <w:rsid w:val="29C9411D"/>
    <w:rsid w:val="29CD5642"/>
    <w:rsid w:val="29D0470E"/>
    <w:rsid w:val="29D45CA5"/>
    <w:rsid w:val="29EB3D83"/>
    <w:rsid w:val="29F252AB"/>
    <w:rsid w:val="29F415AE"/>
    <w:rsid w:val="29F719D7"/>
    <w:rsid w:val="29F82221"/>
    <w:rsid w:val="29FE0F71"/>
    <w:rsid w:val="2A014264"/>
    <w:rsid w:val="2A154986"/>
    <w:rsid w:val="2A19641F"/>
    <w:rsid w:val="2A1E4636"/>
    <w:rsid w:val="2A1F08D9"/>
    <w:rsid w:val="2A2A28E9"/>
    <w:rsid w:val="2A434720"/>
    <w:rsid w:val="2A47152F"/>
    <w:rsid w:val="2A554A08"/>
    <w:rsid w:val="2A6363CA"/>
    <w:rsid w:val="2A6A29BB"/>
    <w:rsid w:val="2A6E1398"/>
    <w:rsid w:val="2A6F5746"/>
    <w:rsid w:val="2A70797D"/>
    <w:rsid w:val="2A894E6D"/>
    <w:rsid w:val="2A9048EF"/>
    <w:rsid w:val="2AA81AE1"/>
    <w:rsid w:val="2AA939FC"/>
    <w:rsid w:val="2AAD531D"/>
    <w:rsid w:val="2AB5339E"/>
    <w:rsid w:val="2ACA7996"/>
    <w:rsid w:val="2AE25A3A"/>
    <w:rsid w:val="2AF1260C"/>
    <w:rsid w:val="2AF536E9"/>
    <w:rsid w:val="2AF75A5D"/>
    <w:rsid w:val="2AFC4923"/>
    <w:rsid w:val="2AFD06F0"/>
    <w:rsid w:val="2B00623D"/>
    <w:rsid w:val="2B1B1366"/>
    <w:rsid w:val="2B2B7B25"/>
    <w:rsid w:val="2B2D1535"/>
    <w:rsid w:val="2B31767E"/>
    <w:rsid w:val="2B387A8A"/>
    <w:rsid w:val="2B42499D"/>
    <w:rsid w:val="2B481BF7"/>
    <w:rsid w:val="2B617A35"/>
    <w:rsid w:val="2B663421"/>
    <w:rsid w:val="2B7D0ADD"/>
    <w:rsid w:val="2B7F7BAB"/>
    <w:rsid w:val="2B8062EB"/>
    <w:rsid w:val="2B880E59"/>
    <w:rsid w:val="2B8B063C"/>
    <w:rsid w:val="2B8D0A73"/>
    <w:rsid w:val="2BB35FBB"/>
    <w:rsid w:val="2BD40372"/>
    <w:rsid w:val="2BDB0937"/>
    <w:rsid w:val="2BDD063F"/>
    <w:rsid w:val="2BE00796"/>
    <w:rsid w:val="2BEE598B"/>
    <w:rsid w:val="2BF16E59"/>
    <w:rsid w:val="2BF840A8"/>
    <w:rsid w:val="2BFC1380"/>
    <w:rsid w:val="2C014CC4"/>
    <w:rsid w:val="2C015F86"/>
    <w:rsid w:val="2C1D6894"/>
    <w:rsid w:val="2C214ED1"/>
    <w:rsid w:val="2C4A75D1"/>
    <w:rsid w:val="2C503F18"/>
    <w:rsid w:val="2C5273D3"/>
    <w:rsid w:val="2C562762"/>
    <w:rsid w:val="2C5E3843"/>
    <w:rsid w:val="2C6171B9"/>
    <w:rsid w:val="2C732934"/>
    <w:rsid w:val="2C7B4C11"/>
    <w:rsid w:val="2C7E2D06"/>
    <w:rsid w:val="2C8E1C54"/>
    <w:rsid w:val="2C8F48B4"/>
    <w:rsid w:val="2C8F4E5E"/>
    <w:rsid w:val="2C910CA8"/>
    <w:rsid w:val="2CA2527A"/>
    <w:rsid w:val="2CB1536B"/>
    <w:rsid w:val="2CB31BB8"/>
    <w:rsid w:val="2CC911DC"/>
    <w:rsid w:val="2CD264D7"/>
    <w:rsid w:val="2CE92CF8"/>
    <w:rsid w:val="2CEE0956"/>
    <w:rsid w:val="2CF37E9B"/>
    <w:rsid w:val="2CF972DD"/>
    <w:rsid w:val="2CFD2F1E"/>
    <w:rsid w:val="2D162649"/>
    <w:rsid w:val="2D2840EE"/>
    <w:rsid w:val="2D480265"/>
    <w:rsid w:val="2D4C6BF7"/>
    <w:rsid w:val="2D693BB0"/>
    <w:rsid w:val="2D6F0134"/>
    <w:rsid w:val="2D794EA7"/>
    <w:rsid w:val="2D8143E2"/>
    <w:rsid w:val="2D8C7561"/>
    <w:rsid w:val="2D926106"/>
    <w:rsid w:val="2DA26D43"/>
    <w:rsid w:val="2DAE59EE"/>
    <w:rsid w:val="2DBC50EA"/>
    <w:rsid w:val="2DC77CD7"/>
    <w:rsid w:val="2DC82364"/>
    <w:rsid w:val="2DD2153C"/>
    <w:rsid w:val="2DD55EEB"/>
    <w:rsid w:val="2DD85C3F"/>
    <w:rsid w:val="2DDC3832"/>
    <w:rsid w:val="2DDD6530"/>
    <w:rsid w:val="2DEB1DA5"/>
    <w:rsid w:val="2DEF3E08"/>
    <w:rsid w:val="2DF27B7B"/>
    <w:rsid w:val="2DF87FFB"/>
    <w:rsid w:val="2E152014"/>
    <w:rsid w:val="2E2A1C70"/>
    <w:rsid w:val="2E2F017E"/>
    <w:rsid w:val="2E3F51C4"/>
    <w:rsid w:val="2E440725"/>
    <w:rsid w:val="2E494093"/>
    <w:rsid w:val="2E4C7189"/>
    <w:rsid w:val="2E4F0600"/>
    <w:rsid w:val="2E54163D"/>
    <w:rsid w:val="2E5B71AF"/>
    <w:rsid w:val="2E5D4076"/>
    <w:rsid w:val="2E647B04"/>
    <w:rsid w:val="2E791971"/>
    <w:rsid w:val="2E822600"/>
    <w:rsid w:val="2E8F6B31"/>
    <w:rsid w:val="2E9531A9"/>
    <w:rsid w:val="2E9867C5"/>
    <w:rsid w:val="2E9F1636"/>
    <w:rsid w:val="2EAB3E52"/>
    <w:rsid w:val="2EB35A55"/>
    <w:rsid w:val="2EB81A73"/>
    <w:rsid w:val="2EB8730E"/>
    <w:rsid w:val="2EB9732E"/>
    <w:rsid w:val="2EC022BE"/>
    <w:rsid w:val="2ED17E9D"/>
    <w:rsid w:val="2EE15CC2"/>
    <w:rsid w:val="2EE20F21"/>
    <w:rsid w:val="2EEC68DD"/>
    <w:rsid w:val="2EFA75A1"/>
    <w:rsid w:val="2EFC627A"/>
    <w:rsid w:val="2F023840"/>
    <w:rsid w:val="2F08414B"/>
    <w:rsid w:val="2F0B7D7C"/>
    <w:rsid w:val="2F0F22ED"/>
    <w:rsid w:val="2F161C47"/>
    <w:rsid w:val="2F320885"/>
    <w:rsid w:val="2F343217"/>
    <w:rsid w:val="2F4040E5"/>
    <w:rsid w:val="2F4170CB"/>
    <w:rsid w:val="2F4A5D45"/>
    <w:rsid w:val="2F593E53"/>
    <w:rsid w:val="2F5E4E79"/>
    <w:rsid w:val="2F601830"/>
    <w:rsid w:val="2F664064"/>
    <w:rsid w:val="2F6A1E15"/>
    <w:rsid w:val="2F79387E"/>
    <w:rsid w:val="2F9A356F"/>
    <w:rsid w:val="2F9B5E03"/>
    <w:rsid w:val="2F9D769D"/>
    <w:rsid w:val="2F9F7A17"/>
    <w:rsid w:val="2FA46340"/>
    <w:rsid w:val="2FAE378B"/>
    <w:rsid w:val="2FBC7651"/>
    <w:rsid w:val="2FC92B1A"/>
    <w:rsid w:val="2FCB6DD6"/>
    <w:rsid w:val="2FE535A6"/>
    <w:rsid w:val="2FE82268"/>
    <w:rsid w:val="2FEB685C"/>
    <w:rsid w:val="2FEE5B99"/>
    <w:rsid w:val="2FFE34F7"/>
    <w:rsid w:val="2FFF2CDD"/>
    <w:rsid w:val="2FFF7B1A"/>
    <w:rsid w:val="300603A3"/>
    <w:rsid w:val="300935BD"/>
    <w:rsid w:val="30135DD8"/>
    <w:rsid w:val="301F33FB"/>
    <w:rsid w:val="30272625"/>
    <w:rsid w:val="304017FF"/>
    <w:rsid w:val="3041283E"/>
    <w:rsid w:val="305066F1"/>
    <w:rsid w:val="3058256D"/>
    <w:rsid w:val="30656311"/>
    <w:rsid w:val="308E7D08"/>
    <w:rsid w:val="308F3457"/>
    <w:rsid w:val="309167BA"/>
    <w:rsid w:val="30A81322"/>
    <w:rsid w:val="30B01E87"/>
    <w:rsid w:val="30B870D0"/>
    <w:rsid w:val="30BA27EB"/>
    <w:rsid w:val="30BA4B27"/>
    <w:rsid w:val="30BF2139"/>
    <w:rsid w:val="30C2690E"/>
    <w:rsid w:val="30C44E0D"/>
    <w:rsid w:val="30CD4CF2"/>
    <w:rsid w:val="30D45970"/>
    <w:rsid w:val="30D470F6"/>
    <w:rsid w:val="30DD16FA"/>
    <w:rsid w:val="30EA4D41"/>
    <w:rsid w:val="30EB60D8"/>
    <w:rsid w:val="30F41465"/>
    <w:rsid w:val="31051C62"/>
    <w:rsid w:val="310F7EC2"/>
    <w:rsid w:val="31125FB1"/>
    <w:rsid w:val="311C0154"/>
    <w:rsid w:val="312004E6"/>
    <w:rsid w:val="31326F2D"/>
    <w:rsid w:val="31443867"/>
    <w:rsid w:val="31651E37"/>
    <w:rsid w:val="316F17B0"/>
    <w:rsid w:val="318F57C9"/>
    <w:rsid w:val="3194237B"/>
    <w:rsid w:val="319447DE"/>
    <w:rsid w:val="31AA4C7E"/>
    <w:rsid w:val="31B445B2"/>
    <w:rsid w:val="31B45CB9"/>
    <w:rsid w:val="31BA2149"/>
    <w:rsid w:val="31C37EBA"/>
    <w:rsid w:val="31D70809"/>
    <w:rsid w:val="31E51810"/>
    <w:rsid w:val="31EA59DB"/>
    <w:rsid w:val="31F860A9"/>
    <w:rsid w:val="320752EA"/>
    <w:rsid w:val="321815D1"/>
    <w:rsid w:val="321E31B1"/>
    <w:rsid w:val="32233AC4"/>
    <w:rsid w:val="32382FB0"/>
    <w:rsid w:val="323C3564"/>
    <w:rsid w:val="32447829"/>
    <w:rsid w:val="3245053F"/>
    <w:rsid w:val="324B5732"/>
    <w:rsid w:val="32513C19"/>
    <w:rsid w:val="32641AD5"/>
    <w:rsid w:val="3279257B"/>
    <w:rsid w:val="327F2957"/>
    <w:rsid w:val="32AF043E"/>
    <w:rsid w:val="32E15C5D"/>
    <w:rsid w:val="32E67BCF"/>
    <w:rsid w:val="32F63990"/>
    <w:rsid w:val="33051A25"/>
    <w:rsid w:val="33193B37"/>
    <w:rsid w:val="33392E73"/>
    <w:rsid w:val="335D520D"/>
    <w:rsid w:val="3377266A"/>
    <w:rsid w:val="338E57E0"/>
    <w:rsid w:val="33A04957"/>
    <w:rsid w:val="33C10689"/>
    <w:rsid w:val="33C438AC"/>
    <w:rsid w:val="33CC186F"/>
    <w:rsid w:val="33D20630"/>
    <w:rsid w:val="33E106EC"/>
    <w:rsid w:val="33ED7389"/>
    <w:rsid w:val="33F1571D"/>
    <w:rsid w:val="34032A7C"/>
    <w:rsid w:val="3405008B"/>
    <w:rsid w:val="341A2422"/>
    <w:rsid w:val="342322AB"/>
    <w:rsid w:val="34397C0A"/>
    <w:rsid w:val="344220D2"/>
    <w:rsid w:val="345178B2"/>
    <w:rsid w:val="346B179E"/>
    <w:rsid w:val="34714C7F"/>
    <w:rsid w:val="34794599"/>
    <w:rsid w:val="347B4652"/>
    <w:rsid w:val="349E333C"/>
    <w:rsid w:val="349E75A1"/>
    <w:rsid w:val="34CA5772"/>
    <w:rsid w:val="34CB0194"/>
    <w:rsid w:val="34CD1A04"/>
    <w:rsid w:val="34D10114"/>
    <w:rsid w:val="34D65A80"/>
    <w:rsid w:val="34F315EC"/>
    <w:rsid w:val="350B5AD8"/>
    <w:rsid w:val="350E3908"/>
    <w:rsid w:val="35102C38"/>
    <w:rsid w:val="353A7204"/>
    <w:rsid w:val="355422BF"/>
    <w:rsid w:val="355672D8"/>
    <w:rsid w:val="355754E9"/>
    <w:rsid w:val="35665334"/>
    <w:rsid w:val="356C6C46"/>
    <w:rsid w:val="35747E49"/>
    <w:rsid w:val="357A55EC"/>
    <w:rsid w:val="357A6495"/>
    <w:rsid w:val="357C1580"/>
    <w:rsid w:val="35837E78"/>
    <w:rsid w:val="358E07DF"/>
    <w:rsid w:val="358E275C"/>
    <w:rsid w:val="358F12C6"/>
    <w:rsid w:val="359B5556"/>
    <w:rsid w:val="35A83E50"/>
    <w:rsid w:val="35AF4B7B"/>
    <w:rsid w:val="35B104D8"/>
    <w:rsid w:val="35B33A65"/>
    <w:rsid w:val="35B67F85"/>
    <w:rsid w:val="35CB48EE"/>
    <w:rsid w:val="35D725ED"/>
    <w:rsid w:val="35E15E00"/>
    <w:rsid w:val="35E60B1A"/>
    <w:rsid w:val="35EB480C"/>
    <w:rsid w:val="36156827"/>
    <w:rsid w:val="36222CEE"/>
    <w:rsid w:val="362E2A8A"/>
    <w:rsid w:val="363F6D39"/>
    <w:rsid w:val="36446E0A"/>
    <w:rsid w:val="36491D12"/>
    <w:rsid w:val="364D01E0"/>
    <w:rsid w:val="364E7F86"/>
    <w:rsid w:val="365D4662"/>
    <w:rsid w:val="36610FF8"/>
    <w:rsid w:val="36642D80"/>
    <w:rsid w:val="36774A82"/>
    <w:rsid w:val="367C0B6B"/>
    <w:rsid w:val="367E7A5F"/>
    <w:rsid w:val="36906135"/>
    <w:rsid w:val="369462CA"/>
    <w:rsid w:val="36B0266D"/>
    <w:rsid w:val="36C75B8E"/>
    <w:rsid w:val="36DA1457"/>
    <w:rsid w:val="36DB1D7A"/>
    <w:rsid w:val="36DC4825"/>
    <w:rsid w:val="36E24DC2"/>
    <w:rsid w:val="36F41491"/>
    <w:rsid w:val="36FD70CE"/>
    <w:rsid w:val="36FE79F5"/>
    <w:rsid w:val="37066187"/>
    <w:rsid w:val="37123A45"/>
    <w:rsid w:val="37146615"/>
    <w:rsid w:val="371B6ABD"/>
    <w:rsid w:val="3732798A"/>
    <w:rsid w:val="373F4382"/>
    <w:rsid w:val="376160A5"/>
    <w:rsid w:val="37891E75"/>
    <w:rsid w:val="3789593C"/>
    <w:rsid w:val="378B69C0"/>
    <w:rsid w:val="379C0BC6"/>
    <w:rsid w:val="379F74E3"/>
    <w:rsid w:val="37AA756B"/>
    <w:rsid w:val="37BE2ABA"/>
    <w:rsid w:val="37C13CD1"/>
    <w:rsid w:val="37DA68F2"/>
    <w:rsid w:val="37EF1324"/>
    <w:rsid w:val="38006EB9"/>
    <w:rsid w:val="3803155F"/>
    <w:rsid w:val="38066221"/>
    <w:rsid w:val="381323C6"/>
    <w:rsid w:val="38165704"/>
    <w:rsid w:val="38184DF0"/>
    <w:rsid w:val="382038B8"/>
    <w:rsid w:val="38323D2C"/>
    <w:rsid w:val="38342663"/>
    <w:rsid w:val="38362631"/>
    <w:rsid w:val="383A1F4D"/>
    <w:rsid w:val="383A2ED9"/>
    <w:rsid w:val="383E6256"/>
    <w:rsid w:val="384251B5"/>
    <w:rsid w:val="384301F7"/>
    <w:rsid w:val="38474C93"/>
    <w:rsid w:val="384C54CA"/>
    <w:rsid w:val="38514471"/>
    <w:rsid w:val="385203F5"/>
    <w:rsid w:val="385266FA"/>
    <w:rsid w:val="38615292"/>
    <w:rsid w:val="386427CD"/>
    <w:rsid w:val="386D791A"/>
    <w:rsid w:val="3882106A"/>
    <w:rsid w:val="388A2AB9"/>
    <w:rsid w:val="38914931"/>
    <w:rsid w:val="389868A7"/>
    <w:rsid w:val="389B44FE"/>
    <w:rsid w:val="389C2943"/>
    <w:rsid w:val="38B176B7"/>
    <w:rsid w:val="38B2286A"/>
    <w:rsid w:val="38B86592"/>
    <w:rsid w:val="38C25501"/>
    <w:rsid w:val="38C97256"/>
    <w:rsid w:val="38CE2D26"/>
    <w:rsid w:val="38DE1DCD"/>
    <w:rsid w:val="38E012B8"/>
    <w:rsid w:val="38ED6A9D"/>
    <w:rsid w:val="38F65BD8"/>
    <w:rsid w:val="39041257"/>
    <w:rsid w:val="39042DF3"/>
    <w:rsid w:val="391258A3"/>
    <w:rsid w:val="39203A8A"/>
    <w:rsid w:val="39355B41"/>
    <w:rsid w:val="394114AA"/>
    <w:rsid w:val="39477A61"/>
    <w:rsid w:val="395E3744"/>
    <w:rsid w:val="395E6803"/>
    <w:rsid w:val="395F42FA"/>
    <w:rsid w:val="396120B7"/>
    <w:rsid w:val="398048E2"/>
    <w:rsid w:val="398F37EC"/>
    <w:rsid w:val="399E3B70"/>
    <w:rsid w:val="39A42509"/>
    <w:rsid w:val="39A920E4"/>
    <w:rsid w:val="39AE6044"/>
    <w:rsid w:val="39B61E80"/>
    <w:rsid w:val="39CD3FCC"/>
    <w:rsid w:val="39CF7C0A"/>
    <w:rsid w:val="3A01089D"/>
    <w:rsid w:val="3A11576D"/>
    <w:rsid w:val="3A15739B"/>
    <w:rsid w:val="3A161CBB"/>
    <w:rsid w:val="3A1753AB"/>
    <w:rsid w:val="3A2474D9"/>
    <w:rsid w:val="3A377697"/>
    <w:rsid w:val="3A4F5604"/>
    <w:rsid w:val="3A5413AB"/>
    <w:rsid w:val="3A583E03"/>
    <w:rsid w:val="3A60458A"/>
    <w:rsid w:val="3A623A9C"/>
    <w:rsid w:val="3A643C80"/>
    <w:rsid w:val="3A695377"/>
    <w:rsid w:val="3A923DEE"/>
    <w:rsid w:val="3AA5646B"/>
    <w:rsid w:val="3AAC0302"/>
    <w:rsid w:val="3AAE2002"/>
    <w:rsid w:val="3ABE5E5D"/>
    <w:rsid w:val="3ABF1BB9"/>
    <w:rsid w:val="3ACE23EE"/>
    <w:rsid w:val="3AD01D90"/>
    <w:rsid w:val="3AD1269C"/>
    <w:rsid w:val="3AD45170"/>
    <w:rsid w:val="3AEB3CF4"/>
    <w:rsid w:val="3AF45ED9"/>
    <w:rsid w:val="3B003F2D"/>
    <w:rsid w:val="3B004852"/>
    <w:rsid w:val="3B090E7C"/>
    <w:rsid w:val="3B19266B"/>
    <w:rsid w:val="3B1C610A"/>
    <w:rsid w:val="3B1E2463"/>
    <w:rsid w:val="3B224F71"/>
    <w:rsid w:val="3B3C7A4F"/>
    <w:rsid w:val="3B43790F"/>
    <w:rsid w:val="3B4F3290"/>
    <w:rsid w:val="3B5E7A14"/>
    <w:rsid w:val="3B636771"/>
    <w:rsid w:val="3B6E5320"/>
    <w:rsid w:val="3B7036FF"/>
    <w:rsid w:val="3B880558"/>
    <w:rsid w:val="3B897839"/>
    <w:rsid w:val="3B9A5376"/>
    <w:rsid w:val="3BA875E6"/>
    <w:rsid w:val="3BBA7C64"/>
    <w:rsid w:val="3BC34211"/>
    <w:rsid w:val="3BF94B90"/>
    <w:rsid w:val="3BFC7A39"/>
    <w:rsid w:val="3C092FA4"/>
    <w:rsid w:val="3C0E670D"/>
    <w:rsid w:val="3C2D344D"/>
    <w:rsid w:val="3C3E4E6B"/>
    <w:rsid w:val="3C47688B"/>
    <w:rsid w:val="3C4B742A"/>
    <w:rsid w:val="3C5138BF"/>
    <w:rsid w:val="3C514508"/>
    <w:rsid w:val="3C701020"/>
    <w:rsid w:val="3C7E56FC"/>
    <w:rsid w:val="3C8C38A8"/>
    <w:rsid w:val="3C955946"/>
    <w:rsid w:val="3CA92791"/>
    <w:rsid w:val="3CA9512E"/>
    <w:rsid w:val="3CB3542B"/>
    <w:rsid w:val="3CBC0349"/>
    <w:rsid w:val="3CBC66F7"/>
    <w:rsid w:val="3CC220C5"/>
    <w:rsid w:val="3CCA2A44"/>
    <w:rsid w:val="3CCD215A"/>
    <w:rsid w:val="3CCF2334"/>
    <w:rsid w:val="3CDE1BCA"/>
    <w:rsid w:val="3CE431DA"/>
    <w:rsid w:val="3CE5500D"/>
    <w:rsid w:val="3CEC009D"/>
    <w:rsid w:val="3CFC067F"/>
    <w:rsid w:val="3D037D04"/>
    <w:rsid w:val="3D0D2C54"/>
    <w:rsid w:val="3D1276F0"/>
    <w:rsid w:val="3D1B26B8"/>
    <w:rsid w:val="3D232520"/>
    <w:rsid w:val="3D23386D"/>
    <w:rsid w:val="3D265A6B"/>
    <w:rsid w:val="3D3B4B57"/>
    <w:rsid w:val="3D3C34D4"/>
    <w:rsid w:val="3D5D1507"/>
    <w:rsid w:val="3D7279DB"/>
    <w:rsid w:val="3DA34F3A"/>
    <w:rsid w:val="3DAD65DB"/>
    <w:rsid w:val="3DCA6C70"/>
    <w:rsid w:val="3DCE2BB4"/>
    <w:rsid w:val="3DD31E40"/>
    <w:rsid w:val="3DDA3820"/>
    <w:rsid w:val="3DDF65EB"/>
    <w:rsid w:val="3DF319EC"/>
    <w:rsid w:val="3DFE2E39"/>
    <w:rsid w:val="3E045ECE"/>
    <w:rsid w:val="3E0D2D1B"/>
    <w:rsid w:val="3E0E1BA5"/>
    <w:rsid w:val="3E0F0315"/>
    <w:rsid w:val="3E177B42"/>
    <w:rsid w:val="3E1B1CA6"/>
    <w:rsid w:val="3E1B7B57"/>
    <w:rsid w:val="3E1D2411"/>
    <w:rsid w:val="3E1F5236"/>
    <w:rsid w:val="3E246972"/>
    <w:rsid w:val="3E294A63"/>
    <w:rsid w:val="3E354E2F"/>
    <w:rsid w:val="3E382AB6"/>
    <w:rsid w:val="3E3B5489"/>
    <w:rsid w:val="3E41206C"/>
    <w:rsid w:val="3E4376EF"/>
    <w:rsid w:val="3E5C3643"/>
    <w:rsid w:val="3E605E46"/>
    <w:rsid w:val="3E6B55A0"/>
    <w:rsid w:val="3E6D7694"/>
    <w:rsid w:val="3E706D47"/>
    <w:rsid w:val="3E7429F2"/>
    <w:rsid w:val="3E782857"/>
    <w:rsid w:val="3E897A97"/>
    <w:rsid w:val="3E924F07"/>
    <w:rsid w:val="3EA833E5"/>
    <w:rsid w:val="3EAB5D04"/>
    <w:rsid w:val="3EAC4F6A"/>
    <w:rsid w:val="3EB21F44"/>
    <w:rsid w:val="3EB2477D"/>
    <w:rsid w:val="3EB47630"/>
    <w:rsid w:val="3EBD4D3A"/>
    <w:rsid w:val="3ED26C46"/>
    <w:rsid w:val="3ED570D0"/>
    <w:rsid w:val="3ED80F70"/>
    <w:rsid w:val="3EDD5224"/>
    <w:rsid w:val="3EE87F4F"/>
    <w:rsid w:val="3F032739"/>
    <w:rsid w:val="3F235002"/>
    <w:rsid w:val="3F2544E9"/>
    <w:rsid w:val="3F2A231C"/>
    <w:rsid w:val="3F323FB4"/>
    <w:rsid w:val="3F35336B"/>
    <w:rsid w:val="3F555859"/>
    <w:rsid w:val="3F75792A"/>
    <w:rsid w:val="3F786788"/>
    <w:rsid w:val="3F8413F6"/>
    <w:rsid w:val="3F870D99"/>
    <w:rsid w:val="3F8834AD"/>
    <w:rsid w:val="3F96315C"/>
    <w:rsid w:val="3FAC6BE6"/>
    <w:rsid w:val="3FB77B5F"/>
    <w:rsid w:val="3FCE2C2B"/>
    <w:rsid w:val="3FD14CE4"/>
    <w:rsid w:val="3FD6714B"/>
    <w:rsid w:val="3FF02080"/>
    <w:rsid w:val="3FF931B7"/>
    <w:rsid w:val="3FFD3460"/>
    <w:rsid w:val="3FFF05A4"/>
    <w:rsid w:val="400100AD"/>
    <w:rsid w:val="40075097"/>
    <w:rsid w:val="400A2FFD"/>
    <w:rsid w:val="40142264"/>
    <w:rsid w:val="40193F52"/>
    <w:rsid w:val="403C0BFC"/>
    <w:rsid w:val="40430D8E"/>
    <w:rsid w:val="40471C86"/>
    <w:rsid w:val="404929F1"/>
    <w:rsid w:val="40521DDA"/>
    <w:rsid w:val="40526F36"/>
    <w:rsid w:val="405D6DB1"/>
    <w:rsid w:val="405E1380"/>
    <w:rsid w:val="40730CFD"/>
    <w:rsid w:val="407C7068"/>
    <w:rsid w:val="407F48B8"/>
    <w:rsid w:val="40807BE7"/>
    <w:rsid w:val="409A5D2E"/>
    <w:rsid w:val="40FB74B3"/>
    <w:rsid w:val="41080CAA"/>
    <w:rsid w:val="41081ECF"/>
    <w:rsid w:val="41112C56"/>
    <w:rsid w:val="411F09D0"/>
    <w:rsid w:val="41313301"/>
    <w:rsid w:val="413840B4"/>
    <w:rsid w:val="413D7034"/>
    <w:rsid w:val="413E5C65"/>
    <w:rsid w:val="413F671D"/>
    <w:rsid w:val="414C3BB8"/>
    <w:rsid w:val="415068C1"/>
    <w:rsid w:val="41565008"/>
    <w:rsid w:val="41733B37"/>
    <w:rsid w:val="4189367A"/>
    <w:rsid w:val="418B7E94"/>
    <w:rsid w:val="41904FE8"/>
    <w:rsid w:val="41930A1C"/>
    <w:rsid w:val="419548F1"/>
    <w:rsid w:val="41997F51"/>
    <w:rsid w:val="41A80F57"/>
    <w:rsid w:val="41B83CB5"/>
    <w:rsid w:val="41C645DA"/>
    <w:rsid w:val="41C66602"/>
    <w:rsid w:val="41C840F9"/>
    <w:rsid w:val="41CD7822"/>
    <w:rsid w:val="41D11E9F"/>
    <w:rsid w:val="41D149CE"/>
    <w:rsid w:val="41D31E91"/>
    <w:rsid w:val="41EC1F0C"/>
    <w:rsid w:val="41F303C3"/>
    <w:rsid w:val="41F9556B"/>
    <w:rsid w:val="41FC1B6A"/>
    <w:rsid w:val="42183260"/>
    <w:rsid w:val="421C1FD9"/>
    <w:rsid w:val="42213106"/>
    <w:rsid w:val="42254279"/>
    <w:rsid w:val="42264845"/>
    <w:rsid w:val="42333DC0"/>
    <w:rsid w:val="423D46EA"/>
    <w:rsid w:val="4243194D"/>
    <w:rsid w:val="424448D7"/>
    <w:rsid w:val="42473265"/>
    <w:rsid w:val="424D207E"/>
    <w:rsid w:val="42592E3C"/>
    <w:rsid w:val="425C0590"/>
    <w:rsid w:val="426D19B6"/>
    <w:rsid w:val="427C0CDA"/>
    <w:rsid w:val="428222FD"/>
    <w:rsid w:val="42830CF2"/>
    <w:rsid w:val="4291587C"/>
    <w:rsid w:val="42916E4B"/>
    <w:rsid w:val="42AB2317"/>
    <w:rsid w:val="42AB2935"/>
    <w:rsid w:val="42BD7D71"/>
    <w:rsid w:val="42C7214D"/>
    <w:rsid w:val="42CC0493"/>
    <w:rsid w:val="42D20FD3"/>
    <w:rsid w:val="42DE3361"/>
    <w:rsid w:val="42E124CF"/>
    <w:rsid w:val="42E83C24"/>
    <w:rsid w:val="42F15B18"/>
    <w:rsid w:val="42F54E30"/>
    <w:rsid w:val="42FE380B"/>
    <w:rsid w:val="42FE4DDF"/>
    <w:rsid w:val="430739B2"/>
    <w:rsid w:val="430D1E8A"/>
    <w:rsid w:val="43120CA1"/>
    <w:rsid w:val="43133FB6"/>
    <w:rsid w:val="43323EF4"/>
    <w:rsid w:val="43336820"/>
    <w:rsid w:val="433654D3"/>
    <w:rsid w:val="43454DEE"/>
    <w:rsid w:val="434B2233"/>
    <w:rsid w:val="43503AA9"/>
    <w:rsid w:val="435D3BBC"/>
    <w:rsid w:val="435F390B"/>
    <w:rsid w:val="436177EF"/>
    <w:rsid w:val="43685621"/>
    <w:rsid w:val="437462EE"/>
    <w:rsid w:val="43754547"/>
    <w:rsid w:val="4380495F"/>
    <w:rsid w:val="43903B21"/>
    <w:rsid w:val="4398251D"/>
    <w:rsid w:val="439C50BE"/>
    <w:rsid w:val="43A128C5"/>
    <w:rsid w:val="43BB1425"/>
    <w:rsid w:val="43BF79BA"/>
    <w:rsid w:val="43E34789"/>
    <w:rsid w:val="43EC588E"/>
    <w:rsid w:val="442059A7"/>
    <w:rsid w:val="44262DFA"/>
    <w:rsid w:val="442F3DB0"/>
    <w:rsid w:val="44303109"/>
    <w:rsid w:val="444233B4"/>
    <w:rsid w:val="447167CC"/>
    <w:rsid w:val="44816F56"/>
    <w:rsid w:val="44911EC9"/>
    <w:rsid w:val="44916D1D"/>
    <w:rsid w:val="44941BEB"/>
    <w:rsid w:val="44A52595"/>
    <w:rsid w:val="44B81FFA"/>
    <w:rsid w:val="44C0385D"/>
    <w:rsid w:val="44CB55AC"/>
    <w:rsid w:val="44D07168"/>
    <w:rsid w:val="44D36F23"/>
    <w:rsid w:val="44D75173"/>
    <w:rsid w:val="44D86914"/>
    <w:rsid w:val="44DA3679"/>
    <w:rsid w:val="44E4784F"/>
    <w:rsid w:val="44EF529D"/>
    <w:rsid w:val="44EF5AAE"/>
    <w:rsid w:val="44F31EDB"/>
    <w:rsid w:val="44F45F6C"/>
    <w:rsid w:val="44F62039"/>
    <w:rsid w:val="450A2111"/>
    <w:rsid w:val="45100BBF"/>
    <w:rsid w:val="451754FD"/>
    <w:rsid w:val="451B2F54"/>
    <w:rsid w:val="4524301F"/>
    <w:rsid w:val="453D03DB"/>
    <w:rsid w:val="4542378C"/>
    <w:rsid w:val="45502FD2"/>
    <w:rsid w:val="456163D0"/>
    <w:rsid w:val="456E06E0"/>
    <w:rsid w:val="457128A6"/>
    <w:rsid w:val="457C7FCC"/>
    <w:rsid w:val="45845E4C"/>
    <w:rsid w:val="459B1BB0"/>
    <w:rsid w:val="459D3F34"/>
    <w:rsid w:val="45A101AC"/>
    <w:rsid w:val="45A23EE4"/>
    <w:rsid w:val="45AE1C5A"/>
    <w:rsid w:val="45C714B4"/>
    <w:rsid w:val="45CD089B"/>
    <w:rsid w:val="45E00BE3"/>
    <w:rsid w:val="45E508EC"/>
    <w:rsid w:val="45FC1D5A"/>
    <w:rsid w:val="45FD5616"/>
    <w:rsid w:val="461F184E"/>
    <w:rsid w:val="4622025B"/>
    <w:rsid w:val="46227151"/>
    <w:rsid w:val="462D3390"/>
    <w:rsid w:val="46325030"/>
    <w:rsid w:val="46600266"/>
    <w:rsid w:val="46654EAF"/>
    <w:rsid w:val="46716C5D"/>
    <w:rsid w:val="46772879"/>
    <w:rsid w:val="467C3608"/>
    <w:rsid w:val="467C4318"/>
    <w:rsid w:val="469519CD"/>
    <w:rsid w:val="469C50D3"/>
    <w:rsid w:val="46A51A29"/>
    <w:rsid w:val="46B873BE"/>
    <w:rsid w:val="46C67865"/>
    <w:rsid w:val="46E27424"/>
    <w:rsid w:val="46E34CDC"/>
    <w:rsid w:val="46E743F9"/>
    <w:rsid w:val="46FF3BA3"/>
    <w:rsid w:val="470C5021"/>
    <w:rsid w:val="470D6F2F"/>
    <w:rsid w:val="471157AC"/>
    <w:rsid w:val="472C3339"/>
    <w:rsid w:val="47467F13"/>
    <w:rsid w:val="475E025A"/>
    <w:rsid w:val="475F4ED7"/>
    <w:rsid w:val="477912EF"/>
    <w:rsid w:val="47811577"/>
    <w:rsid w:val="478277D8"/>
    <w:rsid w:val="47884392"/>
    <w:rsid w:val="47AB4039"/>
    <w:rsid w:val="47AD08EB"/>
    <w:rsid w:val="47CD60AC"/>
    <w:rsid w:val="47D634FD"/>
    <w:rsid w:val="47D67035"/>
    <w:rsid w:val="47ED2BC1"/>
    <w:rsid w:val="47F61D25"/>
    <w:rsid w:val="47F70466"/>
    <w:rsid w:val="47FE6499"/>
    <w:rsid w:val="4814790A"/>
    <w:rsid w:val="48160602"/>
    <w:rsid w:val="48171365"/>
    <w:rsid w:val="48276F9D"/>
    <w:rsid w:val="48335713"/>
    <w:rsid w:val="485350FA"/>
    <w:rsid w:val="48615DA7"/>
    <w:rsid w:val="48673F10"/>
    <w:rsid w:val="486A0C38"/>
    <w:rsid w:val="486D593E"/>
    <w:rsid w:val="487157F1"/>
    <w:rsid w:val="48720FAE"/>
    <w:rsid w:val="48752E65"/>
    <w:rsid w:val="487E6EBB"/>
    <w:rsid w:val="487F00BB"/>
    <w:rsid w:val="4895653F"/>
    <w:rsid w:val="489774E0"/>
    <w:rsid w:val="48987CAB"/>
    <w:rsid w:val="489C0B76"/>
    <w:rsid w:val="48A30BB7"/>
    <w:rsid w:val="48A82116"/>
    <w:rsid w:val="48A85EEC"/>
    <w:rsid w:val="48B06FE4"/>
    <w:rsid w:val="48B22EC8"/>
    <w:rsid w:val="48B56777"/>
    <w:rsid w:val="48BA1748"/>
    <w:rsid w:val="48BA1882"/>
    <w:rsid w:val="48BD0B50"/>
    <w:rsid w:val="48C64646"/>
    <w:rsid w:val="48C90634"/>
    <w:rsid w:val="48CC2262"/>
    <w:rsid w:val="48D96072"/>
    <w:rsid w:val="48DF29CC"/>
    <w:rsid w:val="48E04A0F"/>
    <w:rsid w:val="48E70834"/>
    <w:rsid w:val="48EB621C"/>
    <w:rsid w:val="48F800A8"/>
    <w:rsid w:val="48FF2812"/>
    <w:rsid w:val="491418A3"/>
    <w:rsid w:val="492B1AB5"/>
    <w:rsid w:val="492C6F26"/>
    <w:rsid w:val="492E5250"/>
    <w:rsid w:val="49306F07"/>
    <w:rsid w:val="49320338"/>
    <w:rsid w:val="49397528"/>
    <w:rsid w:val="49534711"/>
    <w:rsid w:val="49554B8D"/>
    <w:rsid w:val="496179A6"/>
    <w:rsid w:val="49627BC1"/>
    <w:rsid w:val="49695393"/>
    <w:rsid w:val="497B3FD3"/>
    <w:rsid w:val="49814F31"/>
    <w:rsid w:val="4989333F"/>
    <w:rsid w:val="49A33E34"/>
    <w:rsid w:val="49A55CDB"/>
    <w:rsid w:val="49A75959"/>
    <w:rsid w:val="49B00E58"/>
    <w:rsid w:val="49B6752B"/>
    <w:rsid w:val="49CA196D"/>
    <w:rsid w:val="49D277D5"/>
    <w:rsid w:val="49D37863"/>
    <w:rsid w:val="49EE5AED"/>
    <w:rsid w:val="49F12AC7"/>
    <w:rsid w:val="49FB2C9D"/>
    <w:rsid w:val="4A156FFD"/>
    <w:rsid w:val="4A16304A"/>
    <w:rsid w:val="4A3B6DCD"/>
    <w:rsid w:val="4A4B42DF"/>
    <w:rsid w:val="4A4F3F27"/>
    <w:rsid w:val="4A5B3E41"/>
    <w:rsid w:val="4A5F50B1"/>
    <w:rsid w:val="4A5F6D40"/>
    <w:rsid w:val="4A64750C"/>
    <w:rsid w:val="4A6733D6"/>
    <w:rsid w:val="4A8C37E8"/>
    <w:rsid w:val="4AA21AAB"/>
    <w:rsid w:val="4AAB5B1D"/>
    <w:rsid w:val="4AAD0E07"/>
    <w:rsid w:val="4ABF34BD"/>
    <w:rsid w:val="4AC50C6E"/>
    <w:rsid w:val="4ACE1442"/>
    <w:rsid w:val="4ACF346A"/>
    <w:rsid w:val="4ACF47BA"/>
    <w:rsid w:val="4AD4199D"/>
    <w:rsid w:val="4AD57AC0"/>
    <w:rsid w:val="4AD66096"/>
    <w:rsid w:val="4AE5143A"/>
    <w:rsid w:val="4AF75B98"/>
    <w:rsid w:val="4AF86317"/>
    <w:rsid w:val="4AF94B99"/>
    <w:rsid w:val="4AFC5C16"/>
    <w:rsid w:val="4AFD09DA"/>
    <w:rsid w:val="4B110AFC"/>
    <w:rsid w:val="4B125CE2"/>
    <w:rsid w:val="4B187365"/>
    <w:rsid w:val="4B2942DF"/>
    <w:rsid w:val="4B3863D1"/>
    <w:rsid w:val="4B402B0F"/>
    <w:rsid w:val="4B550D7F"/>
    <w:rsid w:val="4B58633C"/>
    <w:rsid w:val="4B5F05BD"/>
    <w:rsid w:val="4B604325"/>
    <w:rsid w:val="4B6C3BAC"/>
    <w:rsid w:val="4B8D0F31"/>
    <w:rsid w:val="4B9465AD"/>
    <w:rsid w:val="4B9B21F2"/>
    <w:rsid w:val="4BA83BA9"/>
    <w:rsid w:val="4BB14A66"/>
    <w:rsid w:val="4BBA0238"/>
    <w:rsid w:val="4C0106CB"/>
    <w:rsid w:val="4C0263FB"/>
    <w:rsid w:val="4C0A027E"/>
    <w:rsid w:val="4C0A066D"/>
    <w:rsid w:val="4C145996"/>
    <w:rsid w:val="4C1A3CD9"/>
    <w:rsid w:val="4C216F87"/>
    <w:rsid w:val="4C6F124B"/>
    <w:rsid w:val="4C732B0C"/>
    <w:rsid w:val="4C761ABA"/>
    <w:rsid w:val="4C863E8D"/>
    <w:rsid w:val="4C8F6A3E"/>
    <w:rsid w:val="4CAD15A6"/>
    <w:rsid w:val="4CBF5B23"/>
    <w:rsid w:val="4CCA4292"/>
    <w:rsid w:val="4CCF30A7"/>
    <w:rsid w:val="4CE970C2"/>
    <w:rsid w:val="4CEE1574"/>
    <w:rsid w:val="4D087C40"/>
    <w:rsid w:val="4D091502"/>
    <w:rsid w:val="4D136967"/>
    <w:rsid w:val="4D155577"/>
    <w:rsid w:val="4D256057"/>
    <w:rsid w:val="4D314B2A"/>
    <w:rsid w:val="4D315610"/>
    <w:rsid w:val="4D5168FA"/>
    <w:rsid w:val="4D534C65"/>
    <w:rsid w:val="4D57740D"/>
    <w:rsid w:val="4D6402ED"/>
    <w:rsid w:val="4D7D140D"/>
    <w:rsid w:val="4D900D8F"/>
    <w:rsid w:val="4DA05385"/>
    <w:rsid w:val="4DD52DC8"/>
    <w:rsid w:val="4DE17BD5"/>
    <w:rsid w:val="4DFD4045"/>
    <w:rsid w:val="4DFE5B05"/>
    <w:rsid w:val="4E0B1D29"/>
    <w:rsid w:val="4E0C4982"/>
    <w:rsid w:val="4E147496"/>
    <w:rsid w:val="4E1A428D"/>
    <w:rsid w:val="4E1F56EB"/>
    <w:rsid w:val="4E21448E"/>
    <w:rsid w:val="4E3546D5"/>
    <w:rsid w:val="4E3C4BBE"/>
    <w:rsid w:val="4E434405"/>
    <w:rsid w:val="4E4B7032"/>
    <w:rsid w:val="4E59234F"/>
    <w:rsid w:val="4E5B780F"/>
    <w:rsid w:val="4E781A7A"/>
    <w:rsid w:val="4E9011A1"/>
    <w:rsid w:val="4E974FDC"/>
    <w:rsid w:val="4E9E0DE0"/>
    <w:rsid w:val="4EAF1C04"/>
    <w:rsid w:val="4EB35A86"/>
    <w:rsid w:val="4EC468FA"/>
    <w:rsid w:val="4EC76167"/>
    <w:rsid w:val="4ECF4BBB"/>
    <w:rsid w:val="4ED1612E"/>
    <w:rsid w:val="4ED212E5"/>
    <w:rsid w:val="4ED214E4"/>
    <w:rsid w:val="4ED52D00"/>
    <w:rsid w:val="4EE22463"/>
    <w:rsid w:val="4EEA2A87"/>
    <w:rsid w:val="4EEF28D7"/>
    <w:rsid w:val="4EFC7DE3"/>
    <w:rsid w:val="4F06467F"/>
    <w:rsid w:val="4F1073D4"/>
    <w:rsid w:val="4F1A30C2"/>
    <w:rsid w:val="4F1D07B2"/>
    <w:rsid w:val="4F234986"/>
    <w:rsid w:val="4F24214C"/>
    <w:rsid w:val="4F2B4686"/>
    <w:rsid w:val="4F390D82"/>
    <w:rsid w:val="4F3F2551"/>
    <w:rsid w:val="4F42146D"/>
    <w:rsid w:val="4F450942"/>
    <w:rsid w:val="4F4921AA"/>
    <w:rsid w:val="4F4E5D19"/>
    <w:rsid w:val="4F5A5A03"/>
    <w:rsid w:val="4F613508"/>
    <w:rsid w:val="4F732573"/>
    <w:rsid w:val="4F7F48A2"/>
    <w:rsid w:val="4F8E5D5D"/>
    <w:rsid w:val="4F905428"/>
    <w:rsid w:val="4FA56876"/>
    <w:rsid w:val="4FA80C84"/>
    <w:rsid w:val="4FC40F8E"/>
    <w:rsid w:val="4FC97F57"/>
    <w:rsid w:val="4FD81B8D"/>
    <w:rsid w:val="4FE93C27"/>
    <w:rsid w:val="4FEF5844"/>
    <w:rsid w:val="5003686E"/>
    <w:rsid w:val="50165DAE"/>
    <w:rsid w:val="50195B0E"/>
    <w:rsid w:val="50286D88"/>
    <w:rsid w:val="502D694E"/>
    <w:rsid w:val="5039134D"/>
    <w:rsid w:val="503D410A"/>
    <w:rsid w:val="50510F9C"/>
    <w:rsid w:val="50532DDF"/>
    <w:rsid w:val="506F31C4"/>
    <w:rsid w:val="50781D9C"/>
    <w:rsid w:val="507B2BEF"/>
    <w:rsid w:val="507D5B3C"/>
    <w:rsid w:val="50C07ED2"/>
    <w:rsid w:val="50D35683"/>
    <w:rsid w:val="50E867D1"/>
    <w:rsid w:val="50EB1F37"/>
    <w:rsid w:val="50F11D07"/>
    <w:rsid w:val="50F14F62"/>
    <w:rsid w:val="511631DB"/>
    <w:rsid w:val="511C29AE"/>
    <w:rsid w:val="511D7D54"/>
    <w:rsid w:val="511F6B06"/>
    <w:rsid w:val="512A5AD1"/>
    <w:rsid w:val="513F32B3"/>
    <w:rsid w:val="51453EEB"/>
    <w:rsid w:val="514556D3"/>
    <w:rsid w:val="514F7FF6"/>
    <w:rsid w:val="515723FC"/>
    <w:rsid w:val="515B7E42"/>
    <w:rsid w:val="515C2789"/>
    <w:rsid w:val="51600E2A"/>
    <w:rsid w:val="516B643C"/>
    <w:rsid w:val="516C2213"/>
    <w:rsid w:val="51734DBA"/>
    <w:rsid w:val="5175587C"/>
    <w:rsid w:val="517A5197"/>
    <w:rsid w:val="51810C7F"/>
    <w:rsid w:val="51906324"/>
    <w:rsid w:val="519325F0"/>
    <w:rsid w:val="5193742F"/>
    <w:rsid w:val="51AD3AA9"/>
    <w:rsid w:val="51B075C1"/>
    <w:rsid w:val="51B93F11"/>
    <w:rsid w:val="51BE3C74"/>
    <w:rsid w:val="51C87663"/>
    <w:rsid w:val="51D6733E"/>
    <w:rsid w:val="51E171DB"/>
    <w:rsid w:val="51E31F04"/>
    <w:rsid w:val="52034AB6"/>
    <w:rsid w:val="52053814"/>
    <w:rsid w:val="5209620E"/>
    <w:rsid w:val="522400A9"/>
    <w:rsid w:val="52270581"/>
    <w:rsid w:val="52301B51"/>
    <w:rsid w:val="5239576C"/>
    <w:rsid w:val="5246001F"/>
    <w:rsid w:val="524941E4"/>
    <w:rsid w:val="524A7A0B"/>
    <w:rsid w:val="525A3E29"/>
    <w:rsid w:val="525C5F1A"/>
    <w:rsid w:val="525D6027"/>
    <w:rsid w:val="525E4B6D"/>
    <w:rsid w:val="52654ECA"/>
    <w:rsid w:val="52735D5F"/>
    <w:rsid w:val="527634B2"/>
    <w:rsid w:val="528A3AF0"/>
    <w:rsid w:val="52901ABF"/>
    <w:rsid w:val="52906C9B"/>
    <w:rsid w:val="52A874FC"/>
    <w:rsid w:val="52A93F4C"/>
    <w:rsid w:val="52AB4C77"/>
    <w:rsid w:val="52B54609"/>
    <w:rsid w:val="52C01C66"/>
    <w:rsid w:val="52C3032A"/>
    <w:rsid w:val="52C54F2C"/>
    <w:rsid w:val="52C75293"/>
    <w:rsid w:val="52DD41C8"/>
    <w:rsid w:val="52FB6D09"/>
    <w:rsid w:val="5310645D"/>
    <w:rsid w:val="53114CEC"/>
    <w:rsid w:val="531244D8"/>
    <w:rsid w:val="53301ABE"/>
    <w:rsid w:val="53355B43"/>
    <w:rsid w:val="53364004"/>
    <w:rsid w:val="533660FE"/>
    <w:rsid w:val="533B3E50"/>
    <w:rsid w:val="53424D69"/>
    <w:rsid w:val="53462215"/>
    <w:rsid w:val="534841B2"/>
    <w:rsid w:val="534C17D4"/>
    <w:rsid w:val="534C312B"/>
    <w:rsid w:val="535B4159"/>
    <w:rsid w:val="535D0A45"/>
    <w:rsid w:val="53663D12"/>
    <w:rsid w:val="537858D0"/>
    <w:rsid w:val="537F364D"/>
    <w:rsid w:val="53844C97"/>
    <w:rsid w:val="53896BAC"/>
    <w:rsid w:val="53956AC8"/>
    <w:rsid w:val="5398076C"/>
    <w:rsid w:val="53BD17F0"/>
    <w:rsid w:val="53BE2900"/>
    <w:rsid w:val="53C74A2E"/>
    <w:rsid w:val="53CB681A"/>
    <w:rsid w:val="53D909C3"/>
    <w:rsid w:val="53E708DC"/>
    <w:rsid w:val="540A0136"/>
    <w:rsid w:val="540E7496"/>
    <w:rsid w:val="542A258E"/>
    <w:rsid w:val="542C3EB1"/>
    <w:rsid w:val="5431545B"/>
    <w:rsid w:val="543915A7"/>
    <w:rsid w:val="543C0ACD"/>
    <w:rsid w:val="54407686"/>
    <w:rsid w:val="54451729"/>
    <w:rsid w:val="54571BBD"/>
    <w:rsid w:val="54694499"/>
    <w:rsid w:val="547356BE"/>
    <w:rsid w:val="54894A11"/>
    <w:rsid w:val="548D08CE"/>
    <w:rsid w:val="548D494E"/>
    <w:rsid w:val="548D5EEC"/>
    <w:rsid w:val="54956AD7"/>
    <w:rsid w:val="549B698D"/>
    <w:rsid w:val="54A0308C"/>
    <w:rsid w:val="54A43723"/>
    <w:rsid w:val="54BB1688"/>
    <w:rsid w:val="54C621A5"/>
    <w:rsid w:val="54C82801"/>
    <w:rsid w:val="54D74119"/>
    <w:rsid w:val="54E05A5F"/>
    <w:rsid w:val="54E159FD"/>
    <w:rsid w:val="54F0069C"/>
    <w:rsid w:val="54F67954"/>
    <w:rsid w:val="54F971EE"/>
    <w:rsid w:val="54FA57B6"/>
    <w:rsid w:val="550B3155"/>
    <w:rsid w:val="550C06E2"/>
    <w:rsid w:val="55101E3C"/>
    <w:rsid w:val="551A30A3"/>
    <w:rsid w:val="551D1ECB"/>
    <w:rsid w:val="552178CA"/>
    <w:rsid w:val="55306C81"/>
    <w:rsid w:val="55314CA7"/>
    <w:rsid w:val="553F0DCA"/>
    <w:rsid w:val="55605DAF"/>
    <w:rsid w:val="55611F7E"/>
    <w:rsid w:val="557A0AEC"/>
    <w:rsid w:val="557D4B5D"/>
    <w:rsid w:val="5585428C"/>
    <w:rsid w:val="55884DB1"/>
    <w:rsid w:val="558C6691"/>
    <w:rsid w:val="559B61FE"/>
    <w:rsid w:val="55A800A8"/>
    <w:rsid w:val="55B0520C"/>
    <w:rsid w:val="55C61790"/>
    <w:rsid w:val="55CB6244"/>
    <w:rsid w:val="55D06627"/>
    <w:rsid w:val="55DC609F"/>
    <w:rsid w:val="55E27B77"/>
    <w:rsid w:val="55EF36A5"/>
    <w:rsid w:val="55FC3C80"/>
    <w:rsid w:val="56175454"/>
    <w:rsid w:val="563515EB"/>
    <w:rsid w:val="563E0D6D"/>
    <w:rsid w:val="56490697"/>
    <w:rsid w:val="564A487B"/>
    <w:rsid w:val="565156F2"/>
    <w:rsid w:val="565F2F41"/>
    <w:rsid w:val="566A1A59"/>
    <w:rsid w:val="56740CD4"/>
    <w:rsid w:val="567B1F1E"/>
    <w:rsid w:val="568A7AE0"/>
    <w:rsid w:val="56902D37"/>
    <w:rsid w:val="56913F8C"/>
    <w:rsid w:val="56952E75"/>
    <w:rsid w:val="56A32D8D"/>
    <w:rsid w:val="56A46AC2"/>
    <w:rsid w:val="56AC7A71"/>
    <w:rsid w:val="56AF77E3"/>
    <w:rsid w:val="56B815C5"/>
    <w:rsid w:val="56C90A7D"/>
    <w:rsid w:val="56DB78D0"/>
    <w:rsid w:val="56DF1584"/>
    <w:rsid w:val="56F77BAA"/>
    <w:rsid w:val="56F922F9"/>
    <w:rsid w:val="56FB2B09"/>
    <w:rsid w:val="570A301F"/>
    <w:rsid w:val="570C3983"/>
    <w:rsid w:val="572D7597"/>
    <w:rsid w:val="57565A6A"/>
    <w:rsid w:val="575B0C87"/>
    <w:rsid w:val="57631C6C"/>
    <w:rsid w:val="576414F5"/>
    <w:rsid w:val="576F5835"/>
    <w:rsid w:val="57754894"/>
    <w:rsid w:val="578A1961"/>
    <w:rsid w:val="57915C63"/>
    <w:rsid w:val="579D1751"/>
    <w:rsid w:val="57A816B1"/>
    <w:rsid w:val="57BF2562"/>
    <w:rsid w:val="57DA37DE"/>
    <w:rsid w:val="580C4380"/>
    <w:rsid w:val="581C0049"/>
    <w:rsid w:val="582A5B75"/>
    <w:rsid w:val="583F11C1"/>
    <w:rsid w:val="58505FE2"/>
    <w:rsid w:val="585B1FA7"/>
    <w:rsid w:val="58627C2C"/>
    <w:rsid w:val="58677896"/>
    <w:rsid w:val="587079E9"/>
    <w:rsid w:val="587E588B"/>
    <w:rsid w:val="58824D5F"/>
    <w:rsid w:val="588C268E"/>
    <w:rsid w:val="58A12453"/>
    <w:rsid w:val="58A205D4"/>
    <w:rsid w:val="58A52154"/>
    <w:rsid w:val="58AB06B8"/>
    <w:rsid w:val="58AB495C"/>
    <w:rsid w:val="58BC0749"/>
    <w:rsid w:val="58C223CA"/>
    <w:rsid w:val="58D00418"/>
    <w:rsid w:val="58DF74E8"/>
    <w:rsid w:val="58E54B30"/>
    <w:rsid w:val="58ED38EB"/>
    <w:rsid w:val="58F52C52"/>
    <w:rsid w:val="58F56AA2"/>
    <w:rsid w:val="58FA46AE"/>
    <w:rsid w:val="59010DCB"/>
    <w:rsid w:val="590254C0"/>
    <w:rsid w:val="59064B2A"/>
    <w:rsid w:val="59141AD9"/>
    <w:rsid w:val="59283000"/>
    <w:rsid w:val="592A496F"/>
    <w:rsid w:val="592B79F2"/>
    <w:rsid w:val="592C2062"/>
    <w:rsid w:val="593F6B99"/>
    <w:rsid w:val="59456E03"/>
    <w:rsid w:val="59556806"/>
    <w:rsid w:val="595D2817"/>
    <w:rsid w:val="596961A4"/>
    <w:rsid w:val="596C5B01"/>
    <w:rsid w:val="596F3981"/>
    <w:rsid w:val="59744D55"/>
    <w:rsid w:val="597455E4"/>
    <w:rsid w:val="59884EF9"/>
    <w:rsid w:val="59895C26"/>
    <w:rsid w:val="598A4E5D"/>
    <w:rsid w:val="598D069A"/>
    <w:rsid w:val="598F2C96"/>
    <w:rsid w:val="599052B7"/>
    <w:rsid w:val="59926454"/>
    <w:rsid w:val="59A621EF"/>
    <w:rsid w:val="59A7023E"/>
    <w:rsid w:val="59B4742C"/>
    <w:rsid w:val="59C92DE9"/>
    <w:rsid w:val="59CC102C"/>
    <w:rsid w:val="59E44CEE"/>
    <w:rsid w:val="59E56F74"/>
    <w:rsid w:val="59E61BCB"/>
    <w:rsid w:val="59EC441B"/>
    <w:rsid w:val="59F02704"/>
    <w:rsid w:val="5A0A1B3C"/>
    <w:rsid w:val="5A0B7D4E"/>
    <w:rsid w:val="5A187A17"/>
    <w:rsid w:val="5A244DFD"/>
    <w:rsid w:val="5A2E069D"/>
    <w:rsid w:val="5A3372C4"/>
    <w:rsid w:val="5A4066EE"/>
    <w:rsid w:val="5A431B57"/>
    <w:rsid w:val="5A5D1C92"/>
    <w:rsid w:val="5A663ECA"/>
    <w:rsid w:val="5A6A6705"/>
    <w:rsid w:val="5A7426C0"/>
    <w:rsid w:val="5A754FD7"/>
    <w:rsid w:val="5A7E0CCC"/>
    <w:rsid w:val="5A932A74"/>
    <w:rsid w:val="5A9A0720"/>
    <w:rsid w:val="5A9A35FE"/>
    <w:rsid w:val="5AA122DB"/>
    <w:rsid w:val="5AB05446"/>
    <w:rsid w:val="5AB93D32"/>
    <w:rsid w:val="5AC07645"/>
    <w:rsid w:val="5AD830D1"/>
    <w:rsid w:val="5AE95C32"/>
    <w:rsid w:val="5AFC358D"/>
    <w:rsid w:val="5B0F675D"/>
    <w:rsid w:val="5B163E79"/>
    <w:rsid w:val="5B1A5896"/>
    <w:rsid w:val="5B2135B6"/>
    <w:rsid w:val="5B29206D"/>
    <w:rsid w:val="5B3532A1"/>
    <w:rsid w:val="5B495C8F"/>
    <w:rsid w:val="5B4A32A6"/>
    <w:rsid w:val="5B4D38B8"/>
    <w:rsid w:val="5B5555A3"/>
    <w:rsid w:val="5B600190"/>
    <w:rsid w:val="5B607227"/>
    <w:rsid w:val="5B8C3BA4"/>
    <w:rsid w:val="5B9D1002"/>
    <w:rsid w:val="5BB42DFB"/>
    <w:rsid w:val="5BCA22A4"/>
    <w:rsid w:val="5BD078E2"/>
    <w:rsid w:val="5BD5481D"/>
    <w:rsid w:val="5BE13E4A"/>
    <w:rsid w:val="5BE7036D"/>
    <w:rsid w:val="5BEF147D"/>
    <w:rsid w:val="5BF540A3"/>
    <w:rsid w:val="5BF542F8"/>
    <w:rsid w:val="5BFF3EDE"/>
    <w:rsid w:val="5C131AB6"/>
    <w:rsid w:val="5C132486"/>
    <w:rsid w:val="5C1417EE"/>
    <w:rsid w:val="5C237623"/>
    <w:rsid w:val="5C2802A0"/>
    <w:rsid w:val="5C2E0A01"/>
    <w:rsid w:val="5C312C4C"/>
    <w:rsid w:val="5C312EC2"/>
    <w:rsid w:val="5C3E7200"/>
    <w:rsid w:val="5C3F2410"/>
    <w:rsid w:val="5C451DC4"/>
    <w:rsid w:val="5C543270"/>
    <w:rsid w:val="5C6A7092"/>
    <w:rsid w:val="5C6C0FCA"/>
    <w:rsid w:val="5C6E54C7"/>
    <w:rsid w:val="5C7F550B"/>
    <w:rsid w:val="5C85297F"/>
    <w:rsid w:val="5CAC7CC0"/>
    <w:rsid w:val="5CAE6C2F"/>
    <w:rsid w:val="5CC24B7F"/>
    <w:rsid w:val="5CCB5CF1"/>
    <w:rsid w:val="5CCD7556"/>
    <w:rsid w:val="5CD379D5"/>
    <w:rsid w:val="5CDA155E"/>
    <w:rsid w:val="5CDA28CD"/>
    <w:rsid w:val="5CE40CFE"/>
    <w:rsid w:val="5CE67179"/>
    <w:rsid w:val="5CF75A42"/>
    <w:rsid w:val="5CFB1B0F"/>
    <w:rsid w:val="5D0134C1"/>
    <w:rsid w:val="5D080CF3"/>
    <w:rsid w:val="5D196710"/>
    <w:rsid w:val="5D1C5040"/>
    <w:rsid w:val="5D2D32A9"/>
    <w:rsid w:val="5D393182"/>
    <w:rsid w:val="5D3D2FA1"/>
    <w:rsid w:val="5D4317E3"/>
    <w:rsid w:val="5D4453EA"/>
    <w:rsid w:val="5D456999"/>
    <w:rsid w:val="5D4E4A23"/>
    <w:rsid w:val="5D4F0442"/>
    <w:rsid w:val="5D52247E"/>
    <w:rsid w:val="5D535A6E"/>
    <w:rsid w:val="5D775E79"/>
    <w:rsid w:val="5D7C454F"/>
    <w:rsid w:val="5D7C60C2"/>
    <w:rsid w:val="5D8A401F"/>
    <w:rsid w:val="5D9962A0"/>
    <w:rsid w:val="5D9A213D"/>
    <w:rsid w:val="5DA2512C"/>
    <w:rsid w:val="5DA63676"/>
    <w:rsid w:val="5DA90129"/>
    <w:rsid w:val="5DAE06D6"/>
    <w:rsid w:val="5DAF0173"/>
    <w:rsid w:val="5DB0404A"/>
    <w:rsid w:val="5DB41276"/>
    <w:rsid w:val="5DBB0ECC"/>
    <w:rsid w:val="5DE02EE5"/>
    <w:rsid w:val="5DE20598"/>
    <w:rsid w:val="5DF229EA"/>
    <w:rsid w:val="5DFE0853"/>
    <w:rsid w:val="5E034781"/>
    <w:rsid w:val="5E0917A9"/>
    <w:rsid w:val="5E1C292B"/>
    <w:rsid w:val="5E2746D5"/>
    <w:rsid w:val="5E364283"/>
    <w:rsid w:val="5E4F650C"/>
    <w:rsid w:val="5E5103B5"/>
    <w:rsid w:val="5E6316EC"/>
    <w:rsid w:val="5E651F35"/>
    <w:rsid w:val="5E801335"/>
    <w:rsid w:val="5E85375C"/>
    <w:rsid w:val="5E875879"/>
    <w:rsid w:val="5E8C595F"/>
    <w:rsid w:val="5E962156"/>
    <w:rsid w:val="5E983EC9"/>
    <w:rsid w:val="5EAD5768"/>
    <w:rsid w:val="5EBE1EF3"/>
    <w:rsid w:val="5ED36DA4"/>
    <w:rsid w:val="5EE412EC"/>
    <w:rsid w:val="5EE52771"/>
    <w:rsid w:val="5EEA189E"/>
    <w:rsid w:val="5EEE40BE"/>
    <w:rsid w:val="5EF21434"/>
    <w:rsid w:val="5F0446C3"/>
    <w:rsid w:val="5F294A3B"/>
    <w:rsid w:val="5F2973FB"/>
    <w:rsid w:val="5F2B4289"/>
    <w:rsid w:val="5F2C4BBF"/>
    <w:rsid w:val="5F32022E"/>
    <w:rsid w:val="5F3A62AD"/>
    <w:rsid w:val="5F3D73D8"/>
    <w:rsid w:val="5F40294E"/>
    <w:rsid w:val="5F525B18"/>
    <w:rsid w:val="5F6923CE"/>
    <w:rsid w:val="5F7000AE"/>
    <w:rsid w:val="5F7C6A1A"/>
    <w:rsid w:val="5F904A18"/>
    <w:rsid w:val="5F906E0B"/>
    <w:rsid w:val="5FA03A44"/>
    <w:rsid w:val="5FAC7702"/>
    <w:rsid w:val="5FB213EA"/>
    <w:rsid w:val="5FB73321"/>
    <w:rsid w:val="5FC10688"/>
    <w:rsid w:val="5FC351C6"/>
    <w:rsid w:val="5FD01870"/>
    <w:rsid w:val="5FD736DD"/>
    <w:rsid w:val="5FDD34A1"/>
    <w:rsid w:val="5FE20098"/>
    <w:rsid w:val="5FE2260F"/>
    <w:rsid w:val="60242C79"/>
    <w:rsid w:val="60365D26"/>
    <w:rsid w:val="60602BF4"/>
    <w:rsid w:val="60633BD9"/>
    <w:rsid w:val="60647225"/>
    <w:rsid w:val="607A5524"/>
    <w:rsid w:val="607F64D0"/>
    <w:rsid w:val="608341CD"/>
    <w:rsid w:val="608910E2"/>
    <w:rsid w:val="6093262F"/>
    <w:rsid w:val="60A92C83"/>
    <w:rsid w:val="60BA69E4"/>
    <w:rsid w:val="60E05881"/>
    <w:rsid w:val="60E315F5"/>
    <w:rsid w:val="60E4380B"/>
    <w:rsid w:val="60EE33A3"/>
    <w:rsid w:val="60F46256"/>
    <w:rsid w:val="60F52490"/>
    <w:rsid w:val="60FF393F"/>
    <w:rsid w:val="610225C6"/>
    <w:rsid w:val="611272FB"/>
    <w:rsid w:val="611509E4"/>
    <w:rsid w:val="61154ABB"/>
    <w:rsid w:val="61180DAF"/>
    <w:rsid w:val="6121083C"/>
    <w:rsid w:val="612468BE"/>
    <w:rsid w:val="613954C1"/>
    <w:rsid w:val="614709F8"/>
    <w:rsid w:val="615A61EA"/>
    <w:rsid w:val="61637A45"/>
    <w:rsid w:val="617A7CE6"/>
    <w:rsid w:val="617E0474"/>
    <w:rsid w:val="617E4756"/>
    <w:rsid w:val="618C7D36"/>
    <w:rsid w:val="61930DA7"/>
    <w:rsid w:val="619C1515"/>
    <w:rsid w:val="619D7E40"/>
    <w:rsid w:val="61C45CFB"/>
    <w:rsid w:val="61CB7FE6"/>
    <w:rsid w:val="61D408F5"/>
    <w:rsid w:val="61F52D6A"/>
    <w:rsid w:val="61F8223C"/>
    <w:rsid w:val="62077E12"/>
    <w:rsid w:val="62160904"/>
    <w:rsid w:val="621A024D"/>
    <w:rsid w:val="622A590E"/>
    <w:rsid w:val="62315661"/>
    <w:rsid w:val="6247104A"/>
    <w:rsid w:val="625C6455"/>
    <w:rsid w:val="626117E9"/>
    <w:rsid w:val="62613A81"/>
    <w:rsid w:val="62822396"/>
    <w:rsid w:val="628E0B46"/>
    <w:rsid w:val="629564DF"/>
    <w:rsid w:val="62977F42"/>
    <w:rsid w:val="62AB544C"/>
    <w:rsid w:val="62B731F0"/>
    <w:rsid w:val="62C81944"/>
    <w:rsid w:val="62D039FC"/>
    <w:rsid w:val="62D67085"/>
    <w:rsid w:val="62E06CB3"/>
    <w:rsid w:val="62E62FBF"/>
    <w:rsid w:val="62EB0015"/>
    <w:rsid w:val="62F0419F"/>
    <w:rsid w:val="62F624A0"/>
    <w:rsid w:val="630B0C7C"/>
    <w:rsid w:val="6311570F"/>
    <w:rsid w:val="631E1194"/>
    <w:rsid w:val="63325669"/>
    <w:rsid w:val="633D2245"/>
    <w:rsid w:val="634C3DA8"/>
    <w:rsid w:val="63644599"/>
    <w:rsid w:val="638F78B4"/>
    <w:rsid w:val="63B57E46"/>
    <w:rsid w:val="63F126C5"/>
    <w:rsid w:val="63FE1D71"/>
    <w:rsid w:val="640B0270"/>
    <w:rsid w:val="64106D9B"/>
    <w:rsid w:val="6411769D"/>
    <w:rsid w:val="641B3CAE"/>
    <w:rsid w:val="641F0E68"/>
    <w:rsid w:val="64462AD1"/>
    <w:rsid w:val="644636D7"/>
    <w:rsid w:val="64544BBF"/>
    <w:rsid w:val="64666493"/>
    <w:rsid w:val="647D7F4C"/>
    <w:rsid w:val="649E1FD7"/>
    <w:rsid w:val="64A137D4"/>
    <w:rsid w:val="64AC0DC8"/>
    <w:rsid w:val="64BC0F97"/>
    <w:rsid w:val="64C00105"/>
    <w:rsid w:val="64C112FA"/>
    <w:rsid w:val="64E169E0"/>
    <w:rsid w:val="64E518BD"/>
    <w:rsid w:val="64E52C92"/>
    <w:rsid w:val="64EC385F"/>
    <w:rsid w:val="64F02F65"/>
    <w:rsid w:val="64F61BCC"/>
    <w:rsid w:val="64FA4DDF"/>
    <w:rsid w:val="65006A35"/>
    <w:rsid w:val="651602AE"/>
    <w:rsid w:val="6526764A"/>
    <w:rsid w:val="653C1D18"/>
    <w:rsid w:val="653E102A"/>
    <w:rsid w:val="65433C41"/>
    <w:rsid w:val="654645F8"/>
    <w:rsid w:val="65476131"/>
    <w:rsid w:val="654B069F"/>
    <w:rsid w:val="65520C12"/>
    <w:rsid w:val="6560611F"/>
    <w:rsid w:val="65631613"/>
    <w:rsid w:val="657D5DC4"/>
    <w:rsid w:val="65847C4C"/>
    <w:rsid w:val="65A20981"/>
    <w:rsid w:val="65A5138D"/>
    <w:rsid w:val="65AE3B75"/>
    <w:rsid w:val="65B45404"/>
    <w:rsid w:val="65B45A79"/>
    <w:rsid w:val="65B460FC"/>
    <w:rsid w:val="65BE09CA"/>
    <w:rsid w:val="65C25013"/>
    <w:rsid w:val="65D603E9"/>
    <w:rsid w:val="65D80372"/>
    <w:rsid w:val="65ED6843"/>
    <w:rsid w:val="65FB7A23"/>
    <w:rsid w:val="65FF3AAA"/>
    <w:rsid w:val="65FF695F"/>
    <w:rsid w:val="66024CA7"/>
    <w:rsid w:val="66037C61"/>
    <w:rsid w:val="661E1E4F"/>
    <w:rsid w:val="662358B6"/>
    <w:rsid w:val="66253E69"/>
    <w:rsid w:val="66315645"/>
    <w:rsid w:val="66386871"/>
    <w:rsid w:val="664239E8"/>
    <w:rsid w:val="664E5145"/>
    <w:rsid w:val="6667042C"/>
    <w:rsid w:val="666C07EF"/>
    <w:rsid w:val="668673B3"/>
    <w:rsid w:val="669741E4"/>
    <w:rsid w:val="66B01FBB"/>
    <w:rsid w:val="66C85BBB"/>
    <w:rsid w:val="66CF72B9"/>
    <w:rsid w:val="66D43ED1"/>
    <w:rsid w:val="66DC66B0"/>
    <w:rsid w:val="66E06ECD"/>
    <w:rsid w:val="66E934D5"/>
    <w:rsid w:val="66EA65A5"/>
    <w:rsid w:val="66ED334A"/>
    <w:rsid w:val="6707372F"/>
    <w:rsid w:val="6716438D"/>
    <w:rsid w:val="67183C29"/>
    <w:rsid w:val="67184229"/>
    <w:rsid w:val="67184FE4"/>
    <w:rsid w:val="671B5E3A"/>
    <w:rsid w:val="67202CB7"/>
    <w:rsid w:val="672607AA"/>
    <w:rsid w:val="67273BE9"/>
    <w:rsid w:val="674472EB"/>
    <w:rsid w:val="674853FA"/>
    <w:rsid w:val="675D2F98"/>
    <w:rsid w:val="676E43A6"/>
    <w:rsid w:val="678A2DDE"/>
    <w:rsid w:val="679B2087"/>
    <w:rsid w:val="67A5218D"/>
    <w:rsid w:val="67A7314B"/>
    <w:rsid w:val="67A85DBA"/>
    <w:rsid w:val="67AF5974"/>
    <w:rsid w:val="67AF6CB8"/>
    <w:rsid w:val="67C36383"/>
    <w:rsid w:val="67FC42E9"/>
    <w:rsid w:val="680701AD"/>
    <w:rsid w:val="682A7FA6"/>
    <w:rsid w:val="683C0169"/>
    <w:rsid w:val="68477D96"/>
    <w:rsid w:val="684A54EC"/>
    <w:rsid w:val="684D415C"/>
    <w:rsid w:val="688C4126"/>
    <w:rsid w:val="68950BA4"/>
    <w:rsid w:val="689C2BB3"/>
    <w:rsid w:val="68AF29EC"/>
    <w:rsid w:val="68B52EC7"/>
    <w:rsid w:val="68B741B8"/>
    <w:rsid w:val="68B913B1"/>
    <w:rsid w:val="68C306F8"/>
    <w:rsid w:val="68CA03EB"/>
    <w:rsid w:val="68D74C22"/>
    <w:rsid w:val="68D753B3"/>
    <w:rsid w:val="690610D8"/>
    <w:rsid w:val="690A5646"/>
    <w:rsid w:val="690B6D75"/>
    <w:rsid w:val="690D0F7F"/>
    <w:rsid w:val="690F38AA"/>
    <w:rsid w:val="69175623"/>
    <w:rsid w:val="6929351C"/>
    <w:rsid w:val="69491D33"/>
    <w:rsid w:val="694D2057"/>
    <w:rsid w:val="696862AB"/>
    <w:rsid w:val="69721046"/>
    <w:rsid w:val="69744BDA"/>
    <w:rsid w:val="697B30C1"/>
    <w:rsid w:val="697D64DC"/>
    <w:rsid w:val="69885E71"/>
    <w:rsid w:val="699B23E8"/>
    <w:rsid w:val="699D56B3"/>
    <w:rsid w:val="69CA7513"/>
    <w:rsid w:val="69CD0C68"/>
    <w:rsid w:val="69D44C53"/>
    <w:rsid w:val="69DB1129"/>
    <w:rsid w:val="69E05E4D"/>
    <w:rsid w:val="69E12E3E"/>
    <w:rsid w:val="69EA3820"/>
    <w:rsid w:val="69F90592"/>
    <w:rsid w:val="6A0E1FF8"/>
    <w:rsid w:val="6A2E5893"/>
    <w:rsid w:val="6A310F3A"/>
    <w:rsid w:val="6A3425A2"/>
    <w:rsid w:val="6A372AF5"/>
    <w:rsid w:val="6A49497B"/>
    <w:rsid w:val="6A4E712E"/>
    <w:rsid w:val="6A4F7718"/>
    <w:rsid w:val="6A57494B"/>
    <w:rsid w:val="6A5E5E9E"/>
    <w:rsid w:val="6A625FC2"/>
    <w:rsid w:val="6A76018B"/>
    <w:rsid w:val="6A7606BF"/>
    <w:rsid w:val="6A773DF9"/>
    <w:rsid w:val="6A860B9B"/>
    <w:rsid w:val="6A97256E"/>
    <w:rsid w:val="6AA02BD2"/>
    <w:rsid w:val="6AA27947"/>
    <w:rsid w:val="6AA87672"/>
    <w:rsid w:val="6AB24690"/>
    <w:rsid w:val="6ABA6F5A"/>
    <w:rsid w:val="6ABE13F8"/>
    <w:rsid w:val="6AC15F10"/>
    <w:rsid w:val="6AC221BD"/>
    <w:rsid w:val="6AE00FB0"/>
    <w:rsid w:val="6AE0369E"/>
    <w:rsid w:val="6AF5115B"/>
    <w:rsid w:val="6B112E08"/>
    <w:rsid w:val="6B1D35AA"/>
    <w:rsid w:val="6B2C492E"/>
    <w:rsid w:val="6B323130"/>
    <w:rsid w:val="6B3275DF"/>
    <w:rsid w:val="6B3D24B0"/>
    <w:rsid w:val="6B402FDE"/>
    <w:rsid w:val="6B4653F3"/>
    <w:rsid w:val="6B5D41BF"/>
    <w:rsid w:val="6B693845"/>
    <w:rsid w:val="6B8533E7"/>
    <w:rsid w:val="6B870295"/>
    <w:rsid w:val="6B8B2F56"/>
    <w:rsid w:val="6B8E58E5"/>
    <w:rsid w:val="6BAB5AC7"/>
    <w:rsid w:val="6BB078D0"/>
    <w:rsid w:val="6BB25B5C"/>
    <w:rsid w:val="6BBB7F5C"/>
    <w:rsid w:val="6BBC3D01"/>
    <w:rsid w:val="6BC70EAF"/>
    <w:rsid w:val="6BCB5C91"/>
    <w:rsid w:val="6BD5057A"/>
    <w:rsid w:val="6BF400DD"/>
    <w:rsid w:val="6BFB3C55"/>
    <w:rsid w:val="6BFB5D8C"/>
    <w:rsid w:val="6C076822"/>
    <w:rsid w:val="6C0935ED"/>
    <w:rsid w:val="6C0D6AE2"/>
    <w:rsid w:val="6C1241FE"/>
    <w:rsid w:val="6C18338E"/>
    <w:rsid w:val="6C3577F7"/>
    <w:rsid w:val="6C3855D1"/>
    <w:rsid w:val="6C435452"/>
    <w:rsid w:val="6C502023"/>
    <w:rsid w:val="6C6954F4"/>
    <w:rsid w:val="6C9200A2"/>
    <w:rsid w:val="6C926292"/>
    <w:rsid w:val="6C9F5448"/>
    <w:rsid w:val="6CA05AC7"/>
    <w:rsid w:val="6CA14CD2"/>
    <w:rsid w:val="6CD554B2"/>
    <w:rsid w:val="6CDD70FB"/>
    <w:rsid w:val="6CE2526B"/>
    <w:rsid w:val="6CE47E15"/>
    <w:rsid w:val="6CE77CE5"/>
    <w:rsid w:val="6CE8003F"/>
    <w:rsid w:val="6CF10609"/>
    <w:rsid w:val="6CF20FF8"/>
    <w:rsid w:val="6CF74145"/>
    <w:rsid w:val="6D005A75"/>
    <w:rsid w:val="6D017589"/>
    <w:rsid w:val="6D0868E4"/>
    <w:rsid w:val="6D0B55B5"/>
    <w:rsid w:val="6D1C6A20"/>
    <w:rsid w:val="6D1D289A"/>
    <w:rsid w:val="6D1D2917"/>
    <w:rsid w:val="6D2E360A"/>
    <w:rsid w:val="6D321978"/>
    <w:rsid w:val="6D4443B9"/>
    <w:rsid w:val="6D4E3204"/>
    <w:rsid w:val="6D5864FB"/>
    <w:rsid w:val="6D782F92"/>
    <w:rsid w:val="6D832068"/>
    <w:rsid w:val="6D906E6B"/>
    <w:rsid w:val="6D975104"/>
    <w:rsid w:val="6D9A0FB0"/>
    <w:rsid w:val="6D9A5C70"/>
    <w:rsid w:val="6D9C4E61"/>
    <w:rsid w:val="6DA1478B"/>
    <w:rsid w:val="6DC47B78"/>
    <w:rsid w:val="6DC841A3"/>
    <w:rsid w:val="6DCD7875"/>
    <w:rsid w:val="6DD62421"/>
    <w:rsid w:val="6DDC7156"/>
    <w:rsid w:val="6DE14F20"/>
    <w:rsid w:val="6DEB155E"/>
    <w:rsid w:val="6DEB156F"/>
    <w:rsid w:val="6DEF29BF"/>
    <w:rsid w:val="6DF12B2C"/>
    <w:rsid w:val="6DF22208"/>
    <w:rsid w:val="6DFA6FCB"/>
    <w:rsid w:val="6DFB4E9F"/>
    <w:rsid w:val="6DFE2F42"/>
    <w:rsid w:val="6E0E31F0"/>
    <w:rsid w:val="6E11269E"/>
    <w:rsid w:val="6E2B618E"/>
    <w:rsid w:val="6E376F09"/>
    <w:rsid w:val="6E413BDA"/>
    <w:rsid w:val="6E516944"/>
    <w:rsid w:val="6E803D10"/>
    <w:rsid w:val="6E894100"/>
    <w:rsid w:val="6E972266"/>
    <w:rsid w:val="6EA510C8"/>
    <w:rsid w:val="6EA940EE"/>
    <w:rsid w:val="6EC33ADD"/>
    <w:rsid w:val="6EDA6267"/>
    <w:rsid w:val="6EE00A53"/>
    <w:rsid w:val="6EE64558"/>
    <w:rsid w:val="6EE76183"/>
    <w:rsid w:val="6EF242F7"/>
    <w:rsid w:val="6F086D3C"/>
    <w:rsid w:val="6F0A1030"/>
    <w:rsid w:val="6F0A2FCD"/>
    <w:rsid w:val="6F0D3DD0"/>
    <w:rsid w:val="6F114910"/>
    <w:rsid w:val="6F147463"/>
    <w:rsid w:val="6F176A70"/>
    <w:rsid w:val="6F1D2108"/>
    <w:rsid w:val="6F301FA1"/>
    <w:rsid w:val="6F423CCF"/>
    <w:rsid w:val="6F5510BA"/>
    <w:rsid w:val="6F6A4E38"/>
    <w:rsid w:val="6F6E4157"/>
    <w:rsid w:val="6F73169B"/>
    <w:rsid w:val="6F973D2F"/>
    <w:rsid w:val="6F98725F"/>
    <w:rsid w:val="6FA9573C"/>
    <w:rsid w:val="6FAA5759"/>
    <w:rsid w:val="6FCE3309"/>
    <w:rsid w:val="6FCF6A6D"/>
    <w:rsid w:val="6FDD7DBD"/>
    <w:rsid w:val="6FE01083"/>
    <w:rsid w:val="6FF70ACE"/>
    <w:rsid w:val="700C6EC9"/>
    <w:rsid w:val="701D4AAD"/>
    <w:rsid w:val="701F3A18"/>
    <w:rsid w:val="702F2E9A"/>
    <w:rsid w:val="703B5E98"/>
    <w:rsid w:val="70433D80"/>
    <w:rsid w:val="704C0E0E"/>
    <w:rsid w:val="70536F68"/>
    <w:rsid w:val="706D648D"/>
    <w:rsid w:val="7079278F"/>
    <w:rsid w:val="707B6C1F"/>
    <w:rsid w:val="708D6DC2"/>
    <w:rsid w:val="70925631"/>
    <w:rsid w:val="709C3C56"/>
    <w:rsid w:val="709D705B"/>
    <w:rsid w:val="70A26911"/>
    <w:rsid w:val="70A33E9E"/>
    <w:rsid w:val="70AB3CA0"/>
    <w:rsid w:val="70B33B40"/>
    <w:rsid w:val="70B37806"/>
    <w:rsid w:val="70B42BBA"/>
    <w:rsid w:val="70B826E4"/>
    <w:rsid w:val="70BF3967"/>
    <w:rsid w:val="70C51657"/>
    <w:rsid w:val="70F11F27"/>
    <w:rsid w:val="70FA499F"/>
    <w:rsid w:val="710B6238"/>
    <w:rsid w:val="71161111"/>
    <w:rsid w:val="711A240E"/>
    <w:rsid w:val="711B59F5"/>
    <w:rsid w:val="712437F4"/>
    <w:rsid w:val="712464C2"/>
    <w:rsid w:val="712F15BB"/>
    <w:rsid w:val="71331707"/>
    <w:rsid w:val="71362FA1"/>
    <w:rsid w:val="713B10F5"/>
    <w:rsid w:val="713B35FE"/>
    <w:rsid w:val="715013AA"/>
    <w:rsid w:val="715603C6"/>
    <w:rsid w:val="715F5EDE"/>
    <w:rsid w:val="716B4AC7"/>
    <w:rsid w:val="71733778"/>
    <w:rsid w:val="7175031F"/>
    <w:rsid w:val="71756AEF"/>
    <w:rsid w:val="71826D7F"/>
    <w:rsid w:val="71896EA1"/>
    <w:rsid w:val="719C678B"/>
    <w:rsid w:val="71A11959"/>
    <w:rsid w:val="71AD3215"/>
    <w:rsid w:val="71AE7C5E"/>
    <w:rsid w:val="71B54CB0"/>
    <w:rsid w:val="71B87651"/>
    <w:rsid w:val="71C91A3D"/>
    <w:rsid w:val="71CB1E97"/>
    <w:rsid w:val="71D86588"/>
    <w:rsid w:val="71D94B09"/>
    <w:rsid w:val="71DA1B10"/>
    <w:rsid w:val="71E0478B"/>
    <w:rsid w:val="71E2383E"/>
    <w:rsid w:val="71E65A9A"/>
    <w:rsid w:val="71FA33A4"/>
    <w:rsid w:val="7215553F"/>
    <w:rsid w:val="722F6861"/>
    <w:rsid w:val="725F207E"/>
    <w:rsid w:val="72755D41"/>
    <w:rsid w:val="72792E38"/>
    <w:rsid w:val="727A5D97"/>
    <w:rsid w:val="72804FFD"/>
    <w:rsid w:val="728914EC"/>
    <w:rsid w:val="728E1843"/>
    <w:rsid w:val="729938C4"/>
    <w:rsid w:val="72D265E9"/>
    <w:rsid w:val="72D904CE"/>
    <w:rsid w:val="72DF649F"/>
    <w:rsid w:val="72E83A2D"/>
    <w:rsid w:val="72EE7659"/>
    <w:rsid w:val="72F52512"/>
    <w:rsid w:val="73031A44"/>
    <w:rsid w:val="730A2952"/>
    <w:rsid w:val="73345FDC"/>
    <w:rsid w:val="73593A32"/>
    <w:rsid w:val="735B70DA"/>
    <w:rsid w:val="735D0698"/>
    <w:rsid w:val="735F0E6E"/>
    <w:rsid w:val="737D3908"/>
    <w:rsid w:val="738B5106"/>
    <w:rsid w:val="738C65AF"/>
    <w:rsid w:val="739C1D3D"/>
    <w:rsid w:val="739E7864"/>
    <w:rsid w:val="73A34078"/>
    <w:rsid w:val="73A54F3B"/>
    <w:rsid w:val="73B12917"/>
    <w:rsid w:val="73C23BE8"/>
    <w:rsid w:val="73E2455F"/>
    <w:rsid w:val="73ED01D9"/>
    <w:rsid w:val="73ED6137"/>
    <w:rsid w:val="73EE0197"/>
    <w:rsid w:val="73F1720B"/>
    <w:rsid w:val="74277B02"/>
    <w:rsid w:val="743775C9"/>
    <w:rsid w:val="744A028F"/>
    <w:rsid w:val="745A4981"/>
    <w:rsid w:val="74626BE8"/>
    <w:rsid w:val="74710701"/>
    <w:rsid w:val="74757EB5"/>
    <w:rsid w:val="74925A7C"/>
    <w:rsid w:val="7499046C"/>
    <w:rsid w:val="74A35E80"/>
    <w:rsid w:val="74AB2EC2"/>
    <w:rsid w:val="74B7306B"/>
    <w:rsid w:val="74B831C7"/>
    <w:rsid w:val="74C030B1"/>
    <w:rsid w:val="74CB3D8A"/>
    <w:rsid w:val="74D00950"/>
    <w:rsid w:val="74D800EE"/>
    <w:rsid w:val="74DE0F3C"/>
    <w:rsid w:val="74EF466C"/>
    <w:rsid w:val="74FE1A7A"/>
    <w:rsid w:val="75081E0D"/>
    <w:rsid w:val="7508698A"/>
    <w:rsid w:val="75156511"/>
    <w:rsid w:val="753608B4"/>
    <w:rsid w:val="753E1C07"/>
    <w:rsid w:val="755721F8"/>
    <w:rsid w:val="75651A92"/>
    <w:rsid w:val="75660041"/>
    <w:rsid w:val="756E5753"/>
    <w:rsid w:val="75775FF2"/>
    <w:rsid w:val="757E2CCD"/>
    <w:rsid w:val="75823D4D"/>
    <w:rsid w:val="75892D14"/>
    <w:rsid w:val="759043D7"/>
    <w:rsid w:val="759058D2"/>
    <w:rsid w:val="759355B6"/>
    <w:rsid w:val="75A14771"/>
    <w:rsid w:val="75A178F0"/>
    <w:rsid w:val="75B04417"/>
    <w:rsid w:val="75B35796"/>
    <w:rsid w:val="75D477FA"/>
    <w:rsid w:val="75E106E2"/>
    <w:rsid w:val="75E77AB4"/>
    <w:rsid w:val="75ED4AD2"/>
    <w:rsid w:val="75F17519"/>
    <w:rsid w:val="76033702"/>
    <w:rsid w:val="76262E38"/>
    <w:rsid w:val="762C3231"/>
    <w:rsid w:val="7634061A"/>
    <w:rsid w:val="76510B91"/>
    <w:rsid w:val="7661778C"/>
    <w:rsid w:val="767D7C04"/>
    <w:rsid w:val="767F22A6"/>
    <w:rsid w:val="76895A21"/>
    <w:rsid w:val="76902CF2"/>
    <w:rsid w:val="76B85354"/>
    <w:rsid w:val="76BD0E7D"/>
    <w:rsid w:val="76D07500"/>
    <w:rsid w:val="76E704D2"/>
    <w:rsid w:val="76E8280C"/>
    <w:rsid w:val="76ED0AE2"/>
    <w:rsid w:val="76EE21FF"/>
    <w:rsid w:val="76F8368F"/>
    <w:rsid w:val="76F97AE8"/>
    <w:rsid w:val="772250BB"/>
    <w:rsid w:val="77234DB2"/>
    <w:rsid w:val="77300E16"/>
    <w:rsid w:val="774E48A0"/>
    <w:rsid w:val="775D17E4"/>
    <w:rsid w:val="7769238E"/>
    <w:rsid w:val="778B7901"/>
    <w:rsid w:val="778F5AC3"/>
    <w:rsid w:val="779D1359"/>
    <w:rsid w:val="77B042D0"/>
    <w:rsid w:val="77BA3CD0"/>
    <w:rsid w:val="77C242D9"/>
    <w:rsid w:val="77C67767"/>
    <w:rsid w:val="77C86861"/>
    <w:rsid w:val="77D13000"/>
    <w:rsid w:val="77DD7267"/>
    <w:rsid w:val="77E45C17"/>
    <w:rsid w:val="77E9573E"/>
    <w:rsid w:val="77F90AA9"/>
    <w:rsid w:val="77FB4310"/>
    <w:rsid w:val="78020A07"/>
    <w:rsid w:val="780A7853"/>
    <w:rsid w:val="780E1478"/>
    <w:rsid w:val="780E5BB2"/>
    <w:rsid w:val="78105C9C"/>
    <w:rsid w:val="78131CBF"/>
    <w:rsid w:val="78136D3E"/>
    <w:rsid w:val="78145D1D"/>
    <w:rsid w:val="781B6B5A"/>
    <w:rsid w:val="78280CA0"/>
    <w:rsid w:val="78425C10"/>
    <w:rsid w:val="78580431"/>
    <w:rsid w:val="78681A29"/>
    <w:rsid w:val="787A6C36"/>
    <w:rsid w:val="7882251B"/>
    <w:rsid w:val="789733D4"/>
    <w:rsid w:val="789763B7"/>
    <w:rsid w:val="78997F37"/>
    <w:rsid w:val="789C66BA"/>
    <w:rsid w:val="789E4426"/>
    <w:rsid w:val="78C53AE4"/>
    <w:rsid w:val="78D56A31"/>
    <w:rsid w:val="78D852B6"/>
    <w:rsid w:val="78D86077"/>
    <w:rsid w:val="78E109CD"/>
    <w:rsid w:val="78EE0877"/>
    <w:rsid w:val="79064364"/>
    <w:rsid w:val="7913245D"/>
    <w:rsid w:val="79133F4A"/>
    <w:rsid w:val="791F5A14"/>
    <w:rsid w:val="79251E67"/>
    <w:rsid w:val="792F4E04"/>
    <w:rsid w:val="79352037"/>
    <w:rsid w:val="7936118A"/>
    <w:rsid w:val="79571F12"/>
    <w:rsid w:val="79595506"/>
    <w:rsid w:val="797804A8"/>
    <w:rsid w:val="798D6073"/>
    <w:rsid w:val="79900DE0"/>
    <w:rsid w:val="79A82FFF"/>
    <w:rsid w:val="79B5011B"/>
    <w:rsid w:val="79B57C3A"/>
    <w:rsid w:val="79C84E2E"/>
    <w:rsid w:val="79C87188"/>
    <w:rsid w:val="79CF00C3"/>
    <w:rsid w:val="79D479C0"/>
    <w:rsid w:val="79D57965"/>
    <w:rsid w:val="79DA2BBF"/>
    <w:rsid w:val="79EA1785"/>
    <w:rsid w:val="7A0675CC"/>
    <w:rsid w:val="7A1268B5"/>
    <w:rsid w:val="7A22097C"/>
    <w:rsid w:val="7A2C2127"/>
    <w:rsid w:val="7A2E0F6E"/>
    <w:rsid w:val="7A383F3C"/>
    <w:rsid w:val="7A3B6E46"/>
    <w:rsid w:val="7A404093"/>
    <w:rsid w:val="7A460B5B"/>
    <w:rsid w:val="7A48577B"/>
    <w:rsid w:val="7A5D5732"/>
    <w:rsid w:val="7A7C3147"/>
    <w:rsid w:val="7A803C26"/>
    <w:rsid w:val="7A8B2E39"/>
    <w:rsid w:val="7A964086"/>
    <w:rsid w:val="7A9A299F"/>
    <w:rsid w:val="7A9B4D65"/>
    <w:rsid w:val="7AA241E1"/>
    <w:rsid w:val="7ABA6D8E"/>
    <w:rsid w:val="7AC07674"/>
    <w:rsid w:val="7ADB3F81"/>
    <w:rsid w:val="7AF2785A"/>
    <w:rsid w:val="7AFE74B7"/>
    <w:rsid w:val="7B0B68AC"/>
    <w:rsid w:val="7B1F38BA"/>
    <w:rsid w:val="7B3D7962"/>
    <w:rsid w:val="7B4714C4"/>
    <w:rsid w:val="7B5F5597"/>
    <w:rsid w:val="7B6D717D"/>
    <w:rsid w:val="7B7648AB"/>
    <w:rsid w:val="7B7E7B96"/>
    <w:rsid w:val="7B8016BC"/>
    <w:rsid w:val="7B807E11"/>
    <w:rsid w:val="7B82312D"/>
    <w:rsid w:val="7BAB25BC"/>
    <w:rsid w:val="7BBB07A3"/>
    <w:rsid w:val="7BCA5334"/>
    <w:rsid w:val="7BD31E46"/>
    <w:rsid w:val="7BD62C94"/>
    <w:rsid w:val="7BD731A5"/>
    <w:rsid w:val="7BE028F0"/>
    <w:rsid w:val="7BE32CB4"/>
    <w:rsid w:val="7BE51BE0"/>
    <w:rsid w:val="7BF05F09"/>
    <w:rsid w:val="7BF91328"/>
    <w:rsid w:val="7BFF5F04"/>
    <w:rsid w:val="7C262D58"/>
    <w:rsid w:val="7C29357E"/>
    <w:rsid w:val="7C2971A7"/>
    <w:rsid w:val="7C2A6D0B"/>
    <w:rsid w:val="7C364A46"/>
    <w:rsid w:val="7C422662"/>
    <w:rsid w:val="7C433DCF"/>
    <w:rsid w:val="7C592674"/>
    <w:rsid w:val="7C610561"/>
    <w:rsid w:val="7C6F4A24"/>
    <w:rsid w:val="7C701BA6"/>
    <w:rsid w:val="7C770812"/>
    <w:rsid w:val="7C7B26F6"/>
    <w:rsid w:val="7C7C1199"/>
    <w:rsid w:val="7C850DDB"/>
    <w:rsid w:val="7C8A3B35"/>
    <w:rsid w:val="7CA83428"/>
    <w:rsid w:val="7CB15647"/>
    <w:rsid w:val="7CB333B2"/>
    <w:rsid w:val="7CB95D19"/>
    <w:rsid w:val="7CD023CB"/>
    <w:rsid w:val="7CDF67AD"/>
    <w:rsid w:val="7CF14EA8"/>
    <w:rsid w:val="7CFB7AD5"/>
    <w:rsid w:val="7CFE48E2"/>
    <w:rsid w:val="7D172F1E"/>
    <w:rsid w:val="7D207B95"/>
    <w:rsid w:val="7D2855DE"/>
    <w:rsid w:val="7D366046"/>
    <w:rsid w:val="7D3E47B2"/>
    <w:rsid w:val="7D421DFB"/>
    <w:rsid w:val="7D501A14"/>
    <w:rsid w:val="7D507837"/>
    <w:rsid w:val="7D5703DE"/>
    <w:rsid w:val="7D816932"/>
    <w:rsid w:val="7D956BA9"/>
    <w:rsid w:val="7D985264"/>
    <w:rsid w:val="7DAE3CDE"/>
    <w:rsid w:val="7DB27BB0"/>
    <w:rsid w:val="7DBD1455"/>
    <w:rsid w:val="7DC84371"/>
    <w:rsid w:val="7DE02AAB"/>
    <w:rsid w:val="7DE96BC0"/>
    <w:rsid w:val="7E0F68EB"/>
    <w:rsid w:val="7E191417"/>
    <w:rsid w:val="7E270B68"/>
    <w:rsid w:val="7E3D1DAF"/>
    <w:rsid w:val="7E555FA6"/>
    <w:rsid w:val="7E562592"/>
    <w:rsid w:val="7E5D397C"/>
    <w:rsid w:val="7E6C7EE5"/>
    <w:rsid w:val="7E6D33F7"/>
    <w:rsid w:val="7E7464D9"/>
    <w:rsid w:val="7E7A1F55"/>
    <w:rsid w:val="7E825BBC"/>
    <w:rsid w:val="7E9B6AB3"/>
    <w:rsid w:val="7E9C52E7"/>
    <w:rsid w:val="7EA667AD"/>
    <w:rsid w:val="7ECD1A28"/>
    <w:rsid w:val="7EE47AC9"/>
    <w:rsid w:val="7EE67AFD"/>
    <w:rsid w:val="7EF903C3"/>
    <w:rsid w:val="7EFB28CE"/>
    <w:rsid w:val="7F031310"/>
    <w:rsid w:val="7F086B30"/>
    <w:rsid w:val="7F18242E"/>
    <w:rsid w:val="7F352966"/>
    <w:rsid w:val="7F37486B"/>
    <w:rsid w:val="7F3945C5"/>
    <w:rsid w:val="7F3F3AA5"/>
    <w:rsid w:val="7F463D55"/>
    <w:rsid w:val="7F4E3BA6"/>
    <w:rsid w:val="7F4F5EB6"/>
    <w:rsid w:val="7F6363E5"/>
    <w:rsid w:val="7FB96DD4"/>
    <w:rsid w:val="7FC3320D"/>
    <w:rsid w:val="7FCA0CC7"/>
    <w:rsid w:val="7FD5033D"/>
    <w:rsid w:val="7FDB21BE"/>
    <w:rsid w:val="7FDB509A"/>
    <w:rsid w:val="7FDB59FB"/>
    <w:rsid w:val="7FED3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outlineLvl w:val="0"/>
    </w:pPr>
  </w:style>
  <w:style w:type="paragraph" w:styleId="3">
    <w:name w:val="heading 2"/>
    <w:basedOn w:val="1"/>
    <w:next w:val="4"/>
    <w:link w:val="38"/>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before="260" w:after="260" w:line="416" w:lineRule="auto"/>
      <w:jc w:val="center"/>
      <w:outlineLvl w:val="2"/>
    </w:pPr>
    <w:rPr>
      <w:rFonts w:ascii="宋体" w:eastAsia="仿宋_GB2312"/>
      <w:b/>
      <w:bCs/>
      <w:sz w:val="32"/>
      <w:szCs w:val="32"/>
    </w:rPr>
  </w:style>
  <w:style w:type="paragraph" w:styleId="6">
    <w:name w:val="heading 4"/>
    <w:basedOn w:val="1"/>
    <w:next w:val="1"/>
    <w:link w:val="39"/>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40"/>
    <w:qFormat/>
    <w:uiPriority w:val="0"/>
    <w:pPr>
      <w:keepNext/>
      <w:keepLines/>
      <w:spacing w:before="280" w:after="290" w:line="376" w:lineRule="auto"/>
      <w:outlineLvl w:val="4"/>
    </w:pPr>
    <w:rPr>
      <w:b/>
      <w:bCs/>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autoSpaceDE/>
      <w:autoSpaceDN/>
      <w:adjustRightInd/>
      <w:ind w:firstLine="420" w:firstLineChars="200"/>
    </w:pPr>
    <w:rPr>
      <w:rFonts w:ascii="Times New Roman"/>
      <w:sz w:val="20"/>
      <w:szCs w:val="20"/>
    </w:rPr>
  </w:style>
  <w:style w:type="paragraph" w:styleId="9">
    <w:name w:val="Document Map"/>
    <w:basedOn w:val="1"/>
    <w:link w:val="41"/>
    <w:qFormat/>
    <w:uiPriority w:val="0"/>
    <w:rPr>
      <w:rFonts w:ascii="宋体"/>
      <w:sz w:val="18"/>
      <w:szCs w:val="18"/>
    </w:rPr>
  </w:style>
  <w:style w:type="paragraph" w:styleId="10">
    <w:name w:val="annotation text"/>
    <w:basedOn w:val="1"/>
    <w:link w:val="42"/>
    <w:semiHidden/>
    <w:qFormat/>
    <w:uiPriority w:val="0"/>
    <w:pPr>
      <w:adjustRightInd w:val="0"/>
      <w:spacing w:line="360" w:lineRule="atLeast"/>
      <w:jc w:val="left"/>
    </w:pPr>
    <w:rPr>
      <w:kern w:val="0"/>
      <w:sz w:val="24"/>
      <w:szCs w:val="20"/>
    </w:rPr>
  </w:style>
  <w:style w:type="paragraph" w:styleId="11">
    <w:name w:val="Body Text"/>
    <w:basedOn w:val="1"/>
    <w:next w:val="1"/>
    <w:link w:val="43"/>
    <w:qFormat/>
    <w:uiPriority w:val="0"/>
    <w:rPr>
      <w:sz w:val="28"/>
    </w:rPr>
  </w:style>
  <w:style w:type="paragraph" w:styleId="12">
    <w:name w:val="Body Text Indent"/>
    <w:basedOn w:val="1"/>
    <w:qFormat/>
    <w:uiPriority w:val="0"/>
    <w:pPr>
      <w:spacing w:after="120"/>
      <w:ind w:left="420"/>
    </w:pPr>
    <w:rPr>
      <w:kern w:val="1"/>
    </w:rPr>
  </w:style>
  <w:style w:type="paragraph" w:styleId="13">
    <w:name w:val="Plain Text"/>
    <w:basedOn w:val="1"/>
    <w:link w:val="44"/>
    <w:qFormat/>
    <w:uiPriority w:val="0"/>
    <w:rPr>
      <w:rFonts w:ascii="宋体" w:hAnsi="Courier New" w:eastAsia="仿宋_GB2312"/>
      <w:sz w:val="32"/>
      <w:szCs w:val="32"/>
    </w:rPr>
  </w:style>
  <w:style w:type="paragraph" w:styleId="14">
    <w:name w:val="Date"/>
    <w:basedOn w:val="1"/>
    <w:next w:val="1"/>
    <w:qFormat/>
    <w:uiPriority w:val="0"/>
    <w:pPr>
      <w:ind w:left="100" w:leftChars="2500"/>
    </w:pPr>
    <w:rPr>
      <w:sz w:val="28"/>
    </w:rPr>
  </w:style>
  <w:style w:type="paragraph" w:styleId="15">
    <w:name w:val="Balloon Text"/>
    <w:basedOn w:val="1"/>
    <w:link w:val="45"/>
    <w:qFormat/>
    <w:uiPriority w:val="0"/>
    <w:rPr>
      <w:sz w:val="18"/>
      <w:szCs w:val="18"/>
    </w:rPr>
  </w:style>
  <w:style w:type="paragraph" w:styleId="16">
    <w:name w:val="footer"/>
    <w:basedOn w:val="1"/>
    <w:link w:val="46"/>
    <w:qFormat/>
    <w:uiPriority w:val="99"/>
    <w:pPr>
      <w:tabs>
        <w:tab w:val="center" w:pos="4153"/>
        <w:tab w:val="right" w:pos="8306"/>
      </w:tabs>
      <w:snapToGrid w:val="0"/>
      <w:jc w:val="left"/>
    </w:pPr>
    <w:rPr>
      <w:sz w:val="18"/>
      <w:szCs w:val="18"/>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39"/>
    <w:pPr>
      <w:ind w:left="420" w:leftChars="200"/>
    </w:pPr>
  </w:style>
  <w:style w:type="paragraph" w:styleId="20">
    <w:name w:val="Body Text 2"/>
    <w:basedOn w:val="1"/>
    <w:qFormat/>
    <w:uiPriority w:val="0"/>
    <w:pPr>
      <w:spacing w:line="440" w:lineRule="exact"/>
    </w:pPr>
    <w:rPr>
      <w:sz w:val="24"/>
      <w:szCs w:val="24"/>
    </w:rPr>
  </w:style>
  <w:style w:type="paragraph" w:styleId="21">
    <w:name w:val="Normal (Web)"/>
    <w:basedOn w:val="1"/>
    <w:link w:val="48"/>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10"/>
    <w:next w:val="10"/>
    <w:link w:val="49"/>
    <w:qFormat/>
    <w:uiPriority w:val="0"/>
    <w:pPr>
      <w:adjustRightInd/>
      <w:spacing w:line="240" w:lineRule="auto"/>
    </w:pPr>
    <w:rPr>
      <w:b/>
      <w:bCs/>
      <w:kern w:val="2"/>
      <w:sz w:val="21"/>
      <w:szCs w:val="24"/>
    </w:rPr>
  </w:style>
  <w:style w:type="paragraph" w:styleId="23">
    <w:name w:val="Body Text First Indent"/>
    <w:basedOn w:val="11"/>
    <w:next w:val="1"/>
    <w:qFormat/>
    <w:uiPriority w:val="0"/>
    <w:pPr>
      <w:autoSpaceDE w:val="0"/>
      <w:autoSpaceDN w:val="0"/>
      <w:spacing w:line="560" w:lineRule="exact"/>
      <w:ind w:firstLine="420" w:firstLineChars="100"/>
    </w:pPr>
    <w:rPr>
      <w:rFonts w:hAnsi="宋体"/>
      <w:szCs w:val="24"/>
    </w:rPr>
  </w:style>
  <w:style w:type="paragraph" w:styleId="24">
    <w:name w:val="Body Text First Indent 2"/>
    <w:basedOn w:val="12"/>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style>
  <w:style w:type="character" w:styleId="32">
    <w:name w:val="HTML Definition"/>
    <w:basedOn w:val="27"/>
    <w:qFormat/>
    <w:uiPriority w:val="0"/>
    <w:rPr>
      <w:i/>
    </w:rPr>
  </w:style>
  <w:style w:type="character" w:styleId="33">
    <w:name w:val="Hyperlink"/>
    <w:basedOn w:val="27"/>
    <w:qFormat/>
    <w:uiPriority w:val="0"/>
    <w:rPr>
      <w:color w:val="333333"/>
      <w:u w:val="none"/>
    </w:rPr>
  </w:style>
  <w:style w:type="character" w:styleId="34">
    <w:name w:val="HTML Code"/>
    <w:basedOn w:val="27"/>
    <w:qFormat/>
    <w:uiPriority w:val="0"/>
    <w:rPr>
      <w:rFonts w:hint="default" w:ascii="Consolas" w:hAnsi="Consolas" w:eastAsia="Consolas" w:cs="Consolas"/>
      <w:color w:val="C7254E"/>
      <w:sz w:val="21"/>
      <w:szCs w:val="21"/>
      <w:shd w:val="clear" w:color="auto" w:fill="F9F2F4"/>
    </w:rPr>
  </w:style>
  <w:style w:type="character" w:styleId="35">
    <w:name w:val="annotation reference"/>
    <w:basedOn w:val="27"/>
    <w:qFormat/>
    <w:uiPriority w:val="0"/>
    <w:rPr>
      <w:sz w:val="21"/>
      <w:szCs w:val="21"/>
    </w:rPr>
  </w:style>
  <w:style w:type="character" w:styleId="36">
    <w:name w:val="HTML Keyboard"/>
    <w:basedOn w:val="27"/>
    <w:qFormat/>
    <w:uiPriority w:val="0"/>
    <w:rPr>
      <w:rFonts w:hint="default" w:ascii="Consolas" w:hAnsi="Consolas" w:eastAsia="Consolas" w:cs="Consolas"/>
      <w:color w:val="FFFFFF"/>
      <w:sz w:val="21"/>
      <w:szCs w:val="21"/>
      <w:shd w:val="clear" w:color="auto" w:fill="333333"/>
    </w:rPr>
  </w:style>
  <w:style w:type="character" w:styleId="37">
    <w:name w:val="HTML Sample"/>
    <w:basedOn w:val="27"/>
    <w:qFormat/>
    <w:uiPriority w:val="0"/>
    <w:rPr>
      <w:rFonts w:ascii="Consolas" w:hAnsi="Consolas" w:eastAsia="Consolas" w:cs="Consolas"/>
      <w:sz w:val="21"/>
      <w:szCs w:val="21"/>
    </w:rPr>
  </w:style>
  <w:style w:type="character" w:customStyle="1" w:styleId="38">
    <w:name w:val="标题 2 Char"/>
    <w:basedOn w:val="27"/>
    <w:link w:val="3"/>
    <w:qFormat/>
    <w:uiPriority w:val="0"/>
    <w:rPr>
      <w:rFonts w:ascii="Cambria" w:hAnsi="Cambria" w:eastAsia="宋体" w:cs="Times New Roman"/>
      <w:b/>
      <w:bCs/>
      <w:kern w:val="2"/>
      <w:sz w:val="32"/>
      <w:szCs w:val="32"/>
    </w:rPr>
  </w:style>
  <w:style w:type="character" w:customStyle="1" w:styleId="39">
    <w:name w:val="标题 4 Char"/>
    <w:basedOn w:val="27"/>
    <w:link w:val="6"/>
    <w:semiHidden/>
    <w:qFormat/>
    <w:uiPriority w:val="0"/>
    <w:rPr>
      <w:rFonts w:ascii="Cambria" w:hAnsi="Cambria" w:eastAsia="宋体" w:cs="Times New Roman"/>
      <w:b/>
      <w:bCs/>
      <w:kern w:val="2"/>
      <w:sz w:val="28"/>
      <w:szCs w:val="28"/>
    </w:rPr>
  </w:style>
  <w:style w:type="character" w:customStyle="1" w:styleId="40">
    <w:name w:val="标题 5 Char"/>
    <w:basedOn w:val="27"/>
    <w:link w:val="7"/>
    <w:semiHidden/>
    <w:qFormat/>
    <w:uiPriority w:val="0"/>
    <w:rPr>
      <w:b/>
      <w:bCs/>
      <w:kern w:val="2"/>
      <w:sz w:val="28"/>
      <w:szCs w:val="28"/>
    </w:rPr>
  </w:style>
  <w:style w:type="character" w:customStyle="1" w:styleId="41">
    <w:name w:val="文档结构图 Char"/>
    <w:basedOn w:val="27"/>
    <w:link w:val="9"/>
    <w:qFormat/>
    <w:uiPriority w:val="0"/>
    <w:rPr>
      <w:rFonts w:ascii="宋体"/>
      <w:kern w:val="2"/>
      <w:sz w:val="18"/>
      <w:szCs w:val="18"/>
    </w:rPr>
  </w:style>
  <w:style w:type="character" w:customStyle="1" w:styleId="42">
    <w:name w:val="批注文字 Char"/>
    <w:basedOn w:val="27"/>
    <w:link w:val="10"/>
    <w:semiHidden/>
    <w:qFormat/>
    <w:uiPriority w:val="0"/>
    <w:rPr>
      <w:sz w:val="24"/>
    </w:rPr>
  </w:style>
  <w:style w:type="character" w:customStyle="1" w:styleId="43">
    <w:name w:val="正文文本 Char"/>
    <w:link w:val="11"/>
    <w:qFormat/>
    <w:uiPriority w:val="0"/>
    <w:rPr>
      <w:rFonts w:eastAsia="宋体"/>
      <w:kern w:val="2"/>
      <w:sz w:val="28"/>
      <w:szCs w:val="24"/>
      <w:lang w:val="en-US" w:eastAsia="zh-CN" w:bidi="ar-SA"/>
    </w:rPr>
  </w:style>
  <w:style w:type="character" w:customStyle="1" w:styleId="44">
    <w:name w:val="纯文本 Char"/>
    <w:basedOn w:val="27"/>
    <w:link w:val="13"/>
    <w:qFormat/>
    <w:uiPriority w:val="0"/>
    <w:rPr>
      <w:rFonts w:ascii="宋体" w:hAnsi="Courier New" w:eastAsia="仿宋_GB2312"/>
      <w:kern w:val="2"/>
      <w:sz w:val="32"/>
      <w:szCs w:val="32"/>
    </w:rPr>
  </w:style>
  <w:style w:type="character" w:customStyle="1" w:styleId="45">
    <w:name w:val="批注框文本 Char"/>
    <w:basedOn w:val="27"/>
    <w:link w:val="15"/>
    <w:qFormat/>
    <w:uiPriority w:val="0"/>
    <w:rPr>
      <w:kern w:val="2"/>
      <w:sz w:val="18"/>
      <w:szCs w:val="18"/>
    </w:rPr>
  </w:style>
  <w:style w:type="character" w:customStyle="1" w:styleId="46">
    <w:name w:val="页脚 Char"/>
    <w:basedOn w:val="27"/>
    <w:link w:val="16"/>
    <w:qFormat/>
    <w:uiPriority w:val="99"/>
    <w:rPr>
      <w:kern w:val="2"/>
      <w:sz w:val="18"/>
      <w:szCs w:val="18"/>
    </w:rPr>
  </w:style>
  <w:style w:type="character" w:customStyle="1" w:styleId="47">
    <w:name w:val="页眉 Char"/>
    <w:basedOn w:val="27"/>
    <w:link w:val="17"/>
    <w:qFormat/>
    <w:uiPriority w:val="0"/>
    <w:rPr>
      <w:kern w:val="2"/>
      <w:sz w:val="18"/>
      <w:szCs w:val="18"/>
    </w:rPr>
  </w:style>
  <w:style w:type="character" w:customStyle="1" w:styleId="48">
    <w:name w:val="普通(网站) Char"/>
    <w:link w:val="21"/>
    <w:qFormat/>
    <w:locked/>
    <w:uiPriority w:val="0"/>
    <w:rPr>
      <w:rFonts w:ascii="宋体" w:hAnsi="宋体"/>
      <w:sz w:val="24"/>
    </w:rPr>
  </w:style>
  <w:style w:type="character" w:customStyle="1" w:styleId="49">
    <w:name w:val="批注主题 Char"/>
    <w:basedOn w:val="42"/>
    <w:link w:val="22"/>
    <w:qFormat/>
    <w:uiPriority w:val="0"/>
  </w:style>
  <w:style w:type="character" w:customStyle="1" w:styleId="50">
    <w:name w:val="button"/>
    <w:basedOn w:val="27"/>
    <w:qFormat/>
    <w:uiPriority w:val="0"/>
  </w:style>
  <w:style w:type="character" w:customStyle="1" w:styleId="51">
    <w:name w:val="stclosebtn"/>
    <w:basedOn w:val="27"/>
    <w:qFormat/>
    <w:uiPriority w:val="0"/>
  </w:style>
  <w:style w:type="character" w:customStyle="1" w:styleId="52">
    <w:name w:val="hover3"/>
    <w:basedOn w:val="27"/>
    <w:qFormat/>
    <w:uiPriority w:val="0"/>
    <w:rPr>
      <w:shd w:val="clear" w:color="auto" w:fill="EEEEEE"/>
    </w:rPr>
  </w:style>
  <w:style w:type="character" w:customStyle="1" w:styleId="53">
    <w:name w:val="old"/>
    <w:basedOn w:val="27"/>
    <w:qFormat/>
    <w:uiPriority w:val="0"/>
    <w:rPr>
      <w:color w:val="999999"/>
    </w:rPr>
  </w:style>
  <w:style w:type="character" w:customStyle="1" w:styleId="54">
    <w:name w:val="font-title25"/>
    <w:basedOn w:val="27"/>
    <w:qFormat/>
    <w:uiPriority w:val="0"/>
  </w:style>
  <w:style w:type="character" w:customStyle="1" w:styleId="55">
    <w:name w:val="indent"/>
    <w:basedOn w:val="27"/>
    <w:qFormat/>
    <w:uiPriority w:val="0"/>
  </w:style>
  <w:style w:type="character" w:customStyle="1" w:styleId="56">
    <w:name w:val="tmpztreemove_arrow"/>
    <w:basedOn w:val="27"/>
    <w:qFormat/>
    <w:uiPriority w:val="0"/>
    <w:rPr>
      <w:shd w:val="clear" w:color="auto" w:fill="FFFFFF"/>
    </w:rPr>
  </w:style>
  <w:style w:type="character" w:customStyle="1" w:styleId="57">
    <w:name w:val="number"/>
    <w:basedOn w:val="27"/>
    <w:qFormat/>
    <w:uiPriority w:val="0"/>
    <w:rPr>
      <w:color w:val="FF8833"/>
      <w:sz w:val="14"/>
      <w:szCs w:val="14"/>
    </w:rPr>
  </w:style>
  <w:style w:type="character" w:customStyle="1" w:styleId="58">
    <w:name w:val="hour_am"/>
    <w:basedOn w:val="27"/>
    <w:qFormat/>
    <w:uiPriority w:val="0"/>
  </w:style>
  <w:style w:type="character" w:customStyle="1" w:styleId="59">
    <w:name w:val="CharAttribute14"/>
    <w:qFormat/>
    <w:uiPriority w:val="0"/>
    <w:rPr>
      <w:rFonts w:hint="eastAsia" w:ascii="宋体" w:hAnsi="宋体" w:eastAsia="宋体"/>
      <w:sz w:val="24"/>
    </w:rPr>
  </w:style>
  <w:style w:type="character" w:customStyle="1" w:styleId="60">
    <w:name w:val="proollist"/>
    <w:basedOn w:val="27"/>
    <w:qFormat/>
    <w:uiPriority w:val="0"/>
  </w:style>
  <w:style w:type="character" w:customStyle="1" w:styleId="61">
    <w:name w:val="glyphicon4"/>
    <w:basedOn w:val="27"/>
    <w:qFormat/>
    <w:uiPriority w:val="0"/>
  </w:style>
  <w:style w:type="character" w:customStyle="1" w:styleId="62">
    <w:name w:val="beforeinfotext"/>
    <w:basedOn w:val="27"/>
    <w:qFormat/>
    <w:uiPriority w:val="0"/>
    <w:rPr>
      <w:color w:val="666666"/>
    </w:rPr>
  </w:style>
  <w:style w:type="character" w:customStyle="1" w:styleId="63">
    <w:name w:val="hour_pm"/>
    <w:basedOn w:val="27"/>
    <w:qFormat/>
    <w:uiPriority w:val="0"/>
  </w:style>
  <w:style w:type="character" w:customStyle="1" w:styleId="64">
    <w:name w:val="font01"/>
    <w:basedOn w:val="27"/>
    <w:qFormat/>
    <w:uiPriority w:val="0"/>
    <w:rPr>
      <w:rFonts w:hint="default" w:ascii="Times New Roman" w:hAnsi="Times New Roman" w:cs="Times New Roman"/>
      <w:color w:val="000000"/>
      <w:sz w:val="26"/>
      <w:szCs w:val="26"/>
      <w:u w:val="none"/>
    </w:rPr>
  </w:style>
  <w:style w:type="character" w:customStyle="1" w:styleId="65">
    <w:name w:val="font11"/>
    <w:basedOn w:val="27"/>
    <w:qFormat/>
    <w:uiPriority w:val="0"/>
    <w:rPr>
      <w:rFonts w:hint="eastAsia" w:ascii="宋体" w:hAnsi="宋体" w:eastAsia="宋体" w:cs="宋体"/>
      <w:color w:val="000000"/>
      <w:sz w:val="26"/>
      <w:szCs w:val="26"/>
      <w:u w:val="none"/>
    </w:rPr>
  </w:style>
  <w:style w:type="character" w:customStyle="1" w:styleId="66">
    <w:name w:val="phone"/>
    <w:basedOn w:val="27"/>
    <w:qFormat/>
    <w:uiPriority w:val="0"/>
    <w:rPr>
      <w:color w:val="FF8833"/>
      <w:sz w:val="14"/>
      <w:szCs w:val="14"/>
    </w:rPr>
  </w:style>
  <w:style w:type="paragraph" w:customStyle="1" w:styleId="67">
    <w:name w:val="目录"/>
    <w:basedOn w:val="1"/>
    <w:qFormat/>
    <w:uiPriority w:val="0"/>
    <w:pPr>
      <w:widowControl/>
      <w:jc w:val="center"/>
    </w:pPr>
    <w:rPr>
      <w:rFonts w:ascii="宋体"/>
      <w:b/>
      <w:kern w:val="0"/>
      <w:sz w:val="36"/>
      <w:szCs w:val="20"/>
    </w:rPr>
  </w:style>
  <w:style w:type="paragraph" w:customStyle="1" w:styleId="68">
    <w:name w:val="样式 标题 1 + 宋体 小二 居中 段前: 15.6 磅 段后: 23.4 磅 行距: 单倍行距"/>
    <w:basedOn w:val="2"/>
    <w:qFormat/>
    <w:uiPriority w:val="0"/>
    <w:pPr>
      <w:spacing w:before="0" w:after="0" w:line="240" w:lineRule="auto"/>
      <w:jc w:val="center"/>
    </w:pPr>
    <w:rPr>
      <w:rFonts w:ascii="宋体" w:hAnsi="宋体" w:cs="宋体"/>
      <w:sz w:val="36"/>
      <w:szCs w:val="20"/>
    </w:rPr>
  </w:style>
  <w:style w:type="paragraph" w:customStyle="1" w:styleId="69">
    <w:name w:val="_Style 23"/>
    <w:basedOn w:val="1"/>
    <w:qFormat/>
    <w:uiPriority w:val="0"/>
    <w:pPr>
      <w:adjustRightInd w:val="0"/>
      <w:spacing w:line="360" w:lineRule="atLeast"/>
      <w:jc w:val="left"/>
    </w:pPr>
    <w:rPr>
      <w:szCs w:val="20"/>
    </w:rPr>
  </w:style>
  <w:style w:type="paragraph" w:customStyle="1" w:styleId="70">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71">
    <w:name w:val="_Style 5"/>
    <w:basedOn w:val="2"/>
    <w:next w:val="1"/>
    <w:qFormat/>
    <w:uiPriority w:val="0"/>
    <w:pPr>
      <w:outlineLvl w:val="9"/>
    </w:pPr>
  </w:style>
  <w:style w:type="paragraph" w:customStyle="1" w:styleId="72">
    <w:name w:val="Char Char Char Char Char Char Char1 Char"/>
    <w:basedOn w:val="1"/>
    <w:qFormat/>
    <w:uiPriority w:val="0"/>
    <w:rPr>
      <w:rFonts w:ascii="Tahoma" w:hAnsi="Tahoma" w:eastAsia="仿宋_GB2312"/>
      <w:sz w:val="24"/>
      <w:szCs w:val="32"/>
    </w:rPr>
  </w:style>
  <w:style w:type="paragraph" w:customStyle="1" w:styleId="73">
    <w:name w:val="正文首行缩进两字符"/>
    <w:basedOn w:val="1"/>
    <w:qFormat/>
    <w:uiPriority w:val="0"/>
    <w:pPr>
      <w:spacing w:line="360" w:lineRule="auto"/>
      <w:ind w:firstLine="200" w:firstLineChars="200"/>
    </w:pPr>
  </w:style>
  <w:style w:type="paragraph" w:customStyle="1" w:styleId="74">
    <w:name w:val="列出段落1"/>
    <w:basedOn w:val="1"/>
    <w:qFormat/>
    <w:uiPriority w:val="99"/>
    <w:pPr>
      <w:ind w:firstLine="420" w:firstLineChars="200"/>
    </w:pPr>
    <w:rPr>
      <w:rFonts w:ascii="Calibri" w:hAnsi="Calibri"/>
      <w:szCs w:val="20"/>
    </w:rPr>
  </w:style>
  <w:style w:type="paragraph" w:customStyle="1" w:styleId="7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7">
    <w:name w:val="ParaAttribute3"/>
    <w:qFormat/>
    <w:uiPriority w:val="0"/>
    <w:pPr>
      <w:widowControl w:val="0"/>
      <w:wordWrap w:val="0"/>
      <w:jc w:val="both"/>
    </w:pPr>
    <w:rPr>
      <w:rFonts w:ascii="Times New Roman" w:hAnsi="Times New Roman" w:eastAsia="Batang" w:cs="Times New Roman"/>
      <w:lang w:val="en-US" w:eastAsia="zh-CN" w:bidi="ar-SA"/>
    </w:rPr>
  </w:style>
  <w:style w:type="paragraph" w:customStyle="1" w:styleId="78">
    <w:name w:val="Char"/>
    <w:basedOn w:val="1"/>
    <w:qFormat/>
    <w:uiPriority w:val="0"/>
    <w:rPr>
      <w:sz w:val="24"/>
    </w:rPr>
  </w:style>
  <w:style w:type="paragraph" w:customStyle="1" w:styleId="79">
    <w:name w:val="Body text|1"/>
    <w:basedOn w:val="1"/>
    <w:qFormat/>
    <w:uiPriority w:val="0"/>
    <w:pPr>
      <w:widowControl w:val="0"/>
      <w:shd w:val="clear" w:color="auto" w:fill="auto"/>
      <w:spacing w:line="480" w:lineRule="auto"/>
    </w:pPr>
    <w:rPr>
      <w:rFonts w:ascii="MingLiU" w:hAnsi="MingLiU" w:eastAsia="MingLiU" w:cs="MingLiU"/>
      <w:sz w:val="19"/>
      <w:szCs w:val="19"/>
      <w:u w:val="none"/>
      <w:shd w:val="clear" w:color="auto" w:fill="auto"/>
      <w:lang w:val="zh-TW" w:eastAsia="zh-TW" w:bidi="zh-TW"/>
    </w:rPr>
  </w:style>
  <w:style w:type="paragraph" w:customStyle="1" w:styleId="80">
    <w:name w:val="Footer"/>
    <w:basedOn w:val="1"/>
    <w:qFormat/>
    <w:uiPriority w:val="0"/>
    <w:pPr>
      <w:tabs>
        <w:tab w:val="center" w:pos="4153"/>
        <w:tab w:val="right" w:pos="8306"/>
      </w:tabs>
      <w:snapToGrid w:val="0"/>
      <w:jc w:val="left"/>
    </w:pPr>
    <w:rPr>
      <w:sz w:val="18"/>
      <w:szCs w:val="18"/>
    </w:rPr>
  </w:style>
  <w:style w:type="paragraph" w:customStyle="1" w:styleId="81">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82">
    <w:name w:val="List Paragraph"/>
    <w:basedOn w:val="1"/>
    <w:unhideWhenUsed/>
    <w:qFormat/>
    <w:uiPriority w:val="99"/>
    <w:pPr>
      <w:ind w:firstLine="420" w:firstLineChars="200"/>
    </w:pPr>
  </w:style>
  <w:style w:type="paragraph" w:customStyle="1" w:styleId="83">
    <w:name w:val="xl31"/>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paragraph" w:customStyle="1" w:styleId="84">
    <w:name w:val="list_item_address"/>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6">
    <w:name w:val="报告正文"/>
    <w:basedOn w:val="1"/>
    <w:qFormat/>
    <w:uiPriority w:val="99"/>
    <w:pPr>
      <w:adjustRightInd w:val="0"/>
      <w:snapToGrid w:val="0"/>
      <w:spacing w:line="288" w:lineRule="auto"/>
      <w:ind w:left="3060" w:leftChars="1700"/>
    </w:pPr>
    <w:rPr>
      <w:rFonts w:ascii="华文细黑" w:hAnsi="华文细黑" w:eastAsia="华文细黑" w:cs="宋体"/>
      <w:szCs w:val="20"/>
    </w:rPr>
  </w:style>
  <w:style w:type="paragraph" w:customStyle="1" w:styleId="87">
    <w:name w:val="※正文"/>
    <w:basedOn w:val="1"/>
    <w:next w:val="1"/>
    <w:qFormat/>
    <w:uiPriority w:val="0"/>
    <w:pPr>
      <w:wordWrap w:val="0"/>
      <w:adjustRightInd/>
      <w:snapToGrid/>
      <w:spacing w:after="0" w:line="400" w:lineRule="exact"/>
      <w:jc w:val="both"/>
    </w:pPr>
    <w:rPr>
      <w:rFonts w:ascii="Calibri Light" w:hAnsi="Calibri Light" w:eastAsia="华文仿宋"/>
      <w:kern w:val="2"/>
      <w:sz w:val="28"/>
      <w:szCs w:val="28"/>
    </w:rPr>
  </w:style>
  <w:style w:type="paragraph" w:customStyle="1" w:styleId="88">
    <w:name w:val="保留正文"/>
    <w:basedOn w:val="11"/>
    <w:qFormat/>
    <w:uiPriority w:val="0"/>
    <w:pPr>
      <w:keepNext/>
      <w:autoSpaceDE/>
      <w:autoSpaceDN/>
      <w:adjustRightInd/>
      <w:spacing w:after="160" w:afterLines="0"/>
      <w:ind w:right="0"/>
      <w:jc w:val="both"/>
    </w:pPr>
    <w:rPr>
      <w:rFonts w:ascii="Times New Roman"/>
      <w:sz w:val="21"/>
      <w:szCs w:val="24"/>
      <w:lang w:val="en-US"/>
    </w:rPr>
  </w:style>
  <w:style w:type="character" w:customStyle="1" w:styleId="89">
    <w:name w:val="font91"/>
    <w:basedOn w:val="27"/>
    <w:qFormat/>
    <w:uiPriority w:val="0"/>
    <w:rPr>
      <w:rFonts w:hint="eastAsia" w:ascii="宋体" w:hAnsi="宋体" w:eastAsia="宋体" w:cs="宋体"/>
      <w:color w:val="000000"/>
      <w:sz w:val="22"/>
      <w:szCs w:val="22"/>
      <w:u w:val="none"/>
      <w:vertAlign w:val="superscript"/>
    </w:rPr>
  </w:style>
  <w:style w:type="character" w:customStyle="1" w:styleId="90">
    <w:name w:val="font31"/>
    <w:basedOn w:val="27"/>
    <w:qFormat/>
    <w:uiPriority w:val="0"/>
    <w:rPr>
      <w:rFonts w:hint="eastAsia" w:ascii="宋体" w:hAnsi="宋体" w:eastAsia="宋体" w:cs="宋体"/>
      <w:color w:val="000000"/>
      <w:sz w:val="22"/>
      <w:szCs w:val="22"/>
      <w:u w:val="none"/>
      <w:vertAlign w:val="subscript"/>
    </w:rPr>
  </w:style>
  <w:style w:type="character" w:customStyle="1" w:styleId="91">
    <w:name w:val="font51"/>
    <w:basedOn w:val="27"/>
    <w:qFormat/>
    <w:uiPriority w:val="0"/>
    <w:rPr>
      <w:rFonts w:hint="eastAsia" w:ascii="宋体" w:hAnsi="宋体" w:eastAsia="宋体" w:cs="宋体"/>
      <w:color w:val="000000"/>
      <w:sz w:val="22"/>
      <w:szCs w:val="22"/>
      <w:u w:val="none"/>
    </w:rPr>
  </w:style>
  <w:style w:type="character" w:customStyle="1" w:styleId="92">
    <w:name w:val="font101"/>
    <w:basedOn w:val="27"/>
    <w:qFormat/>
    <w:uiPriority w:val="0"/>
    <w:rPr>
      <w:rFonts w:hint="eastAsia" w:ascii="宋体" w:hAnsi="宋体" w:eastAsia="宋体" w:cs="宋体"/>
      <w:color w:val="000000"/>
      <w:sz w:val="24"/>
      <w:szCs w:val="24"/>
      <w:u w:val="single"/>
    </w:rPr>
  </w:style>
  <w:style w:type="character" w:customStyle="1" w:styleId="93">
    <w:name w:val="font21"/>
    <w:basedOn w:val="27"/>
    <w:qFormat/>
    <w:uiPriority w:val="0"/>
    <w:rPr>
      <w:rFonts w:hint="default" w:ascii="楷体_GB2312" w:eastAsia="楷体_GB2312" w:cs="楷体_GB2312"/>
      <w:color w:val="000000"/>
      <w:sz w:val="24"/>
      <w:szCs w:val="24"/>
      <w:u w:val="single"/>
    </w:rPr>
  </w:style>
  <w:style w:type="character" w:customStyle="1" w:styleId="94">
    <w:name w:val="font71"/>
    <w:basedOn w:val="27"/>
    <w:qFormat/>
    <w:uiPriority w:val="0"/>
    <w:rPr>
      <w:rFonts w:hint="default" w:ascii="楷体_GB2312" w:eastAsia="楷体_GB2312" w:cs="楷体_GB2312"/>
      <w:b/>
      <w:bCs/>
      <w:color w:val="000000"/>
      <w:sz w:val="22"/>
      <w:szCs w:val="22"/>
      <w:u w:val="none"/>
    </w:rPr>
  </w:style>
  <w:style w:type="character" w:customStyle="1" w:styleId="95">
    <w:name w:val="font112"/>
    <w:basedOn w:val="27"/>
    <w:qFormat/>
    <w:uiPriority w:val="0"/>
    <w:rPr>
      <w:rFonts w:hint="eastAsia" w:ascii="宋体" w:hAnsi="宋体" w:eastAsia="宋体" w:cs="宋体"/>
      <w:color w:val="000000"/>
      <w:sz w:val="22"/>
      <w:szCs w:val="22"/>
      <w:u w:val="none"/>
      <w:vertAlign w:val="subscript"/>
    </w:rPr>
  </w:style>
  <w:style w:type="character" w:customStyle="1" w:styleId="96">
    <w:name w:val="font41"/>
    <w:basedOn w:val="27"/>
    <w:qFormat/>
    <w:uiPriority w:val="0"/>
    <w:rPr>
      <w:rFonts w:hint="eastAsia" w:ascii="宋体" w:hAnsi="宋体" w:eastAsia="宋体" w:cs="宋体"/>
      <w:color w:val="000000"/>
      <w:sz w:val="20"/>
      <w:szCs w:val="20"/>
      <w:u w:val="single"/>
    </w:rPr>
  </w:style>
  <w:style w:type="character" w:customStyle="1" w:styleId="97">
    <w:name w:val="font61"/>
    <w:basedOn w:val="27"/>
    <w:qFormat/>
    <w:uiPriority w:val="0"/>
    <w:rPr>
      <w:rFonts w:hint="eastAsia" w:ascii="宋体" w:hAnsi="宋体" w:eastAsia="宋体" w:cs="宋体"/>
      <w:color w:val="000000"/>
      <w:sz w:val="20"/>
      <w:szCs w:val="20"/>
      <w:u w:val="single"/>
    </w:rPr>
  </w:style>
  <w:style w:type="character" w:customStyle="1" w:styleId="98">
    <w:name w:val="font81"/>
    <w:basedOn w:val="27"/>
    <w:qFormat/>
    <w:uiPriority w:val="0"/>
    <w:rPr>
      <w:rFonts w:hint="eastAsia" w:ascii="宋体" w:hAnsi="宋体" w:eastAsia="宋体" w:cs="宋体"/>
      <w:color w:val="000000"/>
      <w:sz w:val="20"/>
      <w:szCs w:val="20"/>
      <w:u w:val="none"/>
    </w:rPr>
  </w:style>
  <w:style w:type="paragraph" w:customStyle="1" w:styleId="99">
    <w:name w:val="WPSOffice手动目录 1"/>
    <w:qFormat/>
    <w:uiPriority w:val="0"/>
    <w:pPr>
      <w:ind w:leftChars="0"/>
    </w:pPr>
    <w:rPr>
      <w:rFonts w:ascii="Times New Roman" w:hAnsi="Times New Roman" w:eastAsia="宋体" w:cs="Times New Roman"/>
      <w:sz w:val="20"/>
      <w:szCs w:val="20"/>
    </w:rPr>
  </w:style>
  <w:style w:type="paragraph" w:customStyle="1" w:styleId="10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126</Pages>
  <Words>210</Words>
  <Characters>228</Characters>
  <Lines>172</Lines>
  <Paragraphs>48</Paragraphs>
  <TotalTime>7</TotalTime>
  <ScaleCrop>false</ScaleCrop>
  <LinksUpToDate>false</LinksUpToDate>
  <CharactersWithSpaces>272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2017-03-15T10:52:00Z</dcterms:created>
  <dc:creator> </dc:creator>
  <cp:lastModifiedBy>。。。</cp:lastModifiedBy>
  <cp:lastPrinted>2025-05-22T01:25:00Z</cp:lastPrinted>
  <dcterms:modified xsi:type="dcterms:W3CDTF">2025-06-03T10:49:15Z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44035387811C4226AD6D698973DCBE8A_13</vt:lpwstr>
  </property>
  <property fmtid="{D5CDD505-2E9C-101B-9397-08002B2CF9AE}" pid="4" name="KSOTemplateDocerSaveRecord">
    <vt:lpwstr>eyJoZGlkIjoiMmQwNzM2NzQ4MjRiOTYwNmIxMjJlZDMzMThjNDEwMWIiLCJ1c2VySWQiOiI3MDQ3MzM1MjIifQ==</vt:lpwstr>
  </property>
</Properties>
</file>