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2450A">
      <w:pPr>
        <w:pStyle w:val="3"/>
        <w:jc w:val="center"/>
        <w:rPr>
          <w:rFonts w:hint="eastAsia" w:ascii="宋体" w:hAnsi="宋体" w:cs="宋体"/>
          <w:b/>
          <w:color w:val="auto"/>
          <w:sz w:val="44"/>
        </w:rPr>
      </w:pPr>
      <w:r>
        <w:rPr>
          <w:rFonts w:hint="eastAsia" w:ascii="宋体" w:hAnsi="宋体" w:cs="宋体"/>
          <w:b/>
          <w:color w:val="auto"/>
          <w:sz w:val="44"/>
        </w:rPr>
        <w:t>采购需求</w:t>
      </w:r>
    </w:p>
    <w:p w14:paraId="5F4BB9F8">
      <w:pPr>
        <w:pStyle w:val="6"/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napToGrid/>
        <w:spacing w:line="240" w:lineRule="auto"/>
        <w:ind w:right="0" w:right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项目概况</w:t>
      </w:r>
    </w:p>
    <w:p w14:paraId="56984D16">
      <w:pPr>
        <w:pStyle w:val="6"/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napToGrid/>
        <w:spacing w:line="240" w:lineRule="auto"/>
        <w:ind w:left="0" w:leftChars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西安市第一社会福利院2025年检验科全自动血液细胞分析仪采购</w:t>
      </w:r>
    </w:p>
    <w:p w14:paraId="09EB9FF2">
      <w:pPr>
        <w:keepNext w:val="0"/>
        <w:keepLines w:val="0"/>
        <w:pageBreakBefore w:val="0"/>
        <w:overflowPunct/>
        <w:topLinePunct w:val="0"/>
        <w:bidi w:val="0"/>
        <w:snapToGrid/>
        <w:spacing w:line="240" w:lineRule="auto"/>
        <w:ind w:right="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二、采购预算及最高限价</w:t>
      </w:r>
    </w:p>
    <w:p w14:paraId="7E288DAA">
      <w:pPr>
        <w:keepNext w:val="0"/>
        <w:keepLines w:val="0"/>
        <w:pageBreakBefore w:val="0"/>
        <w:overflowPunct/>
        <w:topLinePunct w:val="0"/>
        <w:bidi w:val="0"/>
        <w:snapToGrid/>
        <w:spacing w:line="240" w:lineRule="auto"/>
        <w:ind w:left="0" w:leftChars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采购预算金额：22万；最高限价：22万</w:t>
      </w:r>
    </w:p>
    <w:p w14:paraId="609D21AF">
      <w:pPr>
        <w:pStyle w:val="6"/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napToGrid/>
        <w:spacing w:line="240" w:lineRule="auto"/>
        <w:ind w:right="0" w:rightChars="0"/>
        <w:jc w:val="both"/>
        <w:rPr>
          <w:rFonts w:hint="eastAsia"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采购内容及要求（其中实质性条款用★标识）</w:t>
      </w:r>
    </w:p>
    <w:p w14:paraId="0407ADE3">
      <w:pPr>
        <w:pStyle w:val="2"/>
        <w:keepNext w:val="0"/>
        <w:keepLines w:val="0"/>
        <w:pageBreakBefore w:val="0"/>
        <w:overflowPunct/>
        <w:topLinePunct w:val="0"/>
        <w:bidi w:val="0"/>
        <w:snapToGrid/>
        <w:spacing w:after="0" w:line="240" w:lineRule="auto"/>
        <w:ind w:right="0" w:firstLine="480" w:firstLineChars="200"/>
        <w:jc w:val="both"/>
        <w:rPr>
          <w:rFonts w:hint="eastAsia" w:ascii="宋体" w:hAnsi="宋体" w:eastAsia="宋体" w:cs="仿宋"/>
          <w:color w:val="000000"/>
          <w:sz w:val="24"/>
          <w:szCs w:val="24"/>
        </w:rPr>
      </w:pPr>
      <w:r>
        <w:rPr>
          <w:rFonts w:ascii="宋体" w:hAnsi="宋体" w:eastAsia="宋体" w:cs="仿宋"/>
          <w:color w:val="000000"/>
          <w:sz w:val="24"/>
          <w:szCs w:val="24"/>
        </w:rPr>
        <w:t>注1:实质性条款指技术要求、服务要求、商务要求等中不允许出现负偏差的条款， 该条款在评审(谈判、磋商、协商)阶段应当是可评判的。</w:t>
      </w:r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6945"/>
        <w:gridCol w:w="709"/>
      </w:tblGrid>
      <w:tr w14:paraId="158D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shd w:val="clear" w:color="auto" w:fill="D8D8D8"/>
            <w:noWrap w:val="0"/>
            <w:vAlign w:val="center"/>
          </w:tcPr>
          <w:p w14:paraId="23FDE1DE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5" w:type="dxa"/>
            <w:shd w:val="clear" w:color="auto" w:fill="D8D8D8"/>
            <w:noWrap w:val="0"/>
            <w:vAlign w:val="center"/>
          </w:tcPr>
          <w:p w14:paraId="6D3D533F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采购品目</w:t>
            </w:r>
          </w:p>
        </w:tc>
        <w:tc>
          <w:tcPr>
            <w:tcW w:w="6945" w:type="dxa"/>
            <w:shd w:val="clear" w:color="auto" w:fill="D8D8D8"/>
            <w:noWrap w:val="0"/>
            <w:vAlign w:val="center"/>
          </w:tcPr>
          <w:p w14:paraId="0CC5372B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技术参数</w:t>
            </w:r>
          </w:p>
          <w:p w14:paraId="335D43BE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（不得</w:t>
            </w:r>
            <w:r>
              <w:rPr>
                <w:rFonts w:ascii="宋体" w:hAnsi="宋体" w:eastAsia="宋体" w:cs="仿宋"/>
                <w:b/>
                <w:bCs/>
                <w:sz w:val="24"/>
                <w:szCs w:val="24"/>
              </w:rPr>
              <w:t>指定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或</w:t>
            </w:r>
            <w:r>
              <w:rPr>
                <w:rFonts w:ascii="宋体" w:hAnsi="宋体" w:eastAsia="宋体" w:cs="仿宋"/>
                <w:b/>
                <w:bCs/>
                <w:sz w:val="24"/>
                <w:szCs w:val="24"/>
              </w:rPr>
              <w:t>变相指定产品品牌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09" w:type="dxa"/>
            <w:shd w:val="clear" w:color="auto" w:fill="D8D8D8"/>
            <w:noWrap w:val="0"/>
            <w:vAlign w:val="center"/>
          </w:tcPr>
          <w:p w14:paraId="5538A08A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both"/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</w:rPr>
              <w:t>数量</w:t>
            </w:r>
          </w:p>
        </w:tc>
      </w:tr>
      <w:tr w14:paraId="4BC9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5BC886ED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 w14:paraId="5662398F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全</w:t>
            </w:r>
          </w:p>
          <w:p w14:paraId="01D05233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自</w:t>
            </w:r>
          </w:p>
          <w:p w14:paraId="4620B54E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动</w:t>
            </w:r>
          </w:p>
          <w:p w14:paraId="054493AE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血</w:t>
            </w:r>
          </w:p>
          <w:p w14:paraId="5E5EF3A7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液</w:t>
            </w:r>
          </w:p>
          <w:p w14:paraId="44719D0C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细</w:t>
            </w:r>
          </w:p>
          <w:p w14:paraId="0DD9B06E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胞</w:t>
            </w:r>
          </w:p>
          <w:p w14:paraId="6AC1C08B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分</w:t>
            </w:r>
          </w:p>
          <w:p w14:paraId="2D45B633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析</w:t>
            </w:r>
          </w:p>
          <w:p w14:paraId="56AD0E0A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仪</w:t>
            </w:r>
          </w:p>
        </w:tc>
        <w:tc>
          <w:tcPr>
            <w:tcW w:w="6945" w:type="dxa"/>
            <w:noWrap w:val="0"/>
            <w:vAlign w:val="center"/>
          </w:tcPr>
          <w:p w14:paraId="51DB715A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检测原理：采用激光散射法对白细胞进行准确的五分类检测，采用免疫散射比浊法进行C-反应蛋白（CRP）测定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1E49E109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1台</w:t>
            </w:r>
          </w:p>
        </w:tc>
      </w:tr>
      <w:tr w14:paraId="5A8F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5F7DFF92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7F8988C6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2F28053A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分类通道：具有独立的嗜碱性粒细胞通道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21A6E3D5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741B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0F65C06A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3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6CEA44AC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0D9F880B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检测参数：≥28项可报告参数（不含散点图和直方图）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59857D1E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2328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034990C7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4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1A240D71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7D01DF38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检测模式：具有CBC、CBC+DIFF、CBC+DIFF+CRP、CBC+CRP、CRP等5种及以上全血检测模式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7111D092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50C3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6F87383A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5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7E3606F7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24F72F04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进样方式：全自动进样，单管封闭进样；急诊位有单管封闭进样仓，有效降低生物污染风险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59255D83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7932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3F074C1D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6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6B47A1E8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1DCECA60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进样器容量：≥38个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07D7C59D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0192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1C5075C9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7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4FEA98EC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0DCE322A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进样模式：具有独立的静脉全血、末梢全血、预稀释血检测模式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411CE986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79C5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6BDCDEE6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8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15A83B98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55C1D8F1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样本用量：五分类+CRP模式≤40μl，CRP模式≤20μl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754B1077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0C5E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70148698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9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5610E3A3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2DB11B62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检测速度：五分类+CRP模式≥45个样本/小时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36BE00AC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344F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2F84404F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10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4F400A98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38E876C8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预稀释模式：自动定量打出稀释液，具备五分类+CRP功能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7BB7A203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4AEF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28DCD963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11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5802EB52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1DA9FA75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线性范围：WBC：0~400×10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vertAlign w:val="superscript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/L，PLT：0～5000×10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vertAlign w:val="superscript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/L，HGB：0-250g/L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55F9F821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2BA4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36ADE776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12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44385128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097E171B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CRP线性范围：0.3~300mg/L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75AAB926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4974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1B1E236F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13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2685CE53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4033333C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CRP试剂包装规格按人份数注册避免使用浪费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4263DCAD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0AEF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295FC4DD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14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6A9BC907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4B2BD748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仿宋"/>
                <w:color w:val="00000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全血CRP检测时可校正红细胞、白细胞、血小板体积的干扰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4B623263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63AC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0F337676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15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5F15A4BC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7A5436B8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操作系统：全中文操作分析报告软件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51577BE9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5001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5933060F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16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3CF803CC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1609B091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排堵方式：正反冲洗，高压灼烧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77FFDF85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5E25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322530FE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17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3CB28512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65F9A8FB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具有原厂配套的试剂、校准品、质控品，并提供校准品溯源性文件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42045F30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017F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7E161D22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18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6B9DA9FD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3F487C1D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投标厂家的仪器的血球质控品、校准品均获得FDA认证，保证其溯源性和准确性得到更严格的法规验证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203532D5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7D9D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5" w:type="dxa"/>
            <w:noWrap w:val="0"/>
            <w:vAlign w:val="center"/>
          </w:tcPr>
          <w:p w14:paraId="780B7139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19</w:t>
            </w:r>
          </w:p>
        </w:tc>
        <w:tc>
          <w:tcPr>
            <w:tcW w:w="805" w:type="dxa"/>
            <w:vMerge w:val="continue"/>
            <w:noWrap w:val="0"/>
            <w:vAlign w:val="center"/>
          </w:tcPr>
          <w:p w14:paraId="3DCB85FC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6945" w:type="dxa"/>
            <w:noWrap w:val="0"/>
            <w:vAlign w:val="center"/>
          </w:tcPr>
          <w:p w14:paraId="7C32222D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所投血球产品在卫生部临检中心室间质评中具有单独分组，有利于室间质评的开展和实验室质量管理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04442695">
            <w:pPr>
              <w:keepNext w:val="0"/>
              <w:keepLines w:val="0"/>
              <w:pageBreakBefore w:val="0"/>
              <w:overflowPunct/>
              <w:topLinePunct w:val="0"/>
              <w:bidi w:val="0"/>
              <w:snapToGrid/>
              <w:spacing w:line="240" w:lineRule="auto"/>
              <w:ind w:left="0" w:leftChars="0" w:right="0" w:firstLine="480" w:firstLineChars="200"/>
              <w:jc w:val="both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</w:tbl>
    <w:p w14:paraId="1B67BB08">
      <w:pPr>
        <w:pStyle w:val="2"/>
        <w:keepNext w:val="0"/>
        <w:keepLines w:val="0"/>
        <w:pageBreakBefore w:val="0"/>
        <w:overflowPunct/>
        <w:topLinePunct w:val="0"/>
        <w:bidi w:val="0"/>
        <w:snapToGrid/>
        <w:spacing w:after="0" w:line="240" w:lineRule="auto"/>
        <w:ind w:left="0" w:leftChars="0" w:right="0" w:firstLine="480" w:firstLineChars="200"/>
        <w:jc w:val="both"/>
        <w:rPr>
          <w:rFonts w:ascii="宋体" w:hAnsi="宋体" w:eastAsia="宋体" w:cs="仿宋"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color w:val="000000"/>
          <w:sz w:val="24"/>
          <w:szCs w:val="24"/>
        </w:rPr>
        <w:t>对于</w:t>
      </w:r>
      <w:r>
        <w:rPr>
          <w:rFonts w:ascii="宋体" w:hAnsi="宋体" w:eastAsia="宋体" w:cs="仿宋"/>
          <w:color w:val="000000"/>
          <w:sz w:val="24"/>
          <w:szCs w:val="24"/>
        </w:rPr>
        <w:t>关键技术指标建议标注“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★</w:t>
      </w:r>
      <w:r>
        <w:rPr>
          <w:rFonts w:ascii="宋体" w:hAnsi="宋体" w:eastAsia="宋体" w:cs="仿宋"/>
          <w:color w:val="000000"/>
          <w:sz w:val="24"/>
          <w:szCs w:val="24"/>
        </w:rPr>
        <w:t>”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，</w:t>
      </w:r>
      <w:r>
        <w:rPr>
          <w:rFonts w:ascii="宋体" w:hAnsi="宋体" w:eastAsia="宋体" w:cs="仿宋"/>
          <w:color w:val="000000"/>
          <w:sz w:val="24"/>
          <w:szCs w:val="24"/>
        </w:rPr>
        <w:t>表示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实质性要求</w:t>
      </w:r>
      <w:r>
        <w:rPr>
          <w:rFonts w:ascii="宋体" w:hAnsi="宋体" w:eastAsia="宋体" w:cs="仿宋"/>
          <w:color w:val="000000"/>
          <w:sz w:val="24"/>
          <w:szCs w:val="24"/>
        </w:rPr>
        <w:t>，不允许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出现</w:t>
      </w:r>
      <w:r>
        <w:rPr>
          <w:rFonts w:ascii="宋体" w:hAnsi="宋体" w:eastAsia="宋体" w:cs="仿宋"/>
          <w:color w:val="000000"/>
          <w:sz w:val="24"/>
          <w:szCs w:val="24"/>
        </w:rPr>
        <w:t>任何负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偏差</w:t>
      </w:r>
      <w:r>
        <w:rPr>
          <w:rFonts w:ascii="宋体" w:hAnsi="宋体" w:eastAsia="宋体" w:cs="仿宋"/>
          <w:color w:val="000000"/>
          <w:sz w:val="24"/>
          <w:szCs w:val="24"/>
        </w:rPr>
        <w:t>；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对于</w:t>
      </w:r>
      <w:r>
        <w:rPr>
          <w:rFonts w:ascii="宋体" w:hAnsi="宋体" w:eastAsia="宋体" w:cs="仿宋"/>
          <w:color w:val="000000"/>
          <w:sz w:val="24"/>
          <w:szCs w:val="24"/>
        </w:rPr>
        <w:t>重要技术指标建议标注“▲”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，</w:t>
      </w:r>
      <w:r>
        <w:rPr>
          <w:rFonts w:ascii="宋体" w:hAnsi="宋体" w:eastAsia="宋体" w:cs="仿宋"/>
          <w:color w:val="000000"/>
          <w:sz w:val="24"/>
          <w:szCs w:val="24"/>
        </w:rPr>
        <w:t>表示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重要指标</w:t>
      </w:r>
      <w:r>
        <w:rPr>
          <w:rFonts w:ascii="宋体" w:hAnsi="宋体" w:eastAsia="宋体" w:cs="仿宋"/>
          <w:color w:val="000000"/>
          <w:sz w:val="24"/>
          <w:szCs w:val="24"/>
        </w:rPr>
        <w:t>要求，不满足时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将</w:t>
      </w:r>
      <w:r>
        <w:rPr>
          <w:rFonts w:ascii="宋体" w:hAnsi="宋体" w:eastAsia="宋体" w:cs="仿宋"/>
          <w:color w:val="000000"/>
          <w:sz w:val="24"/>
          <w:szCs w:val="24"/>
        </w:rPr>
        <w:t>予以扣分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（如</w:t>
      </w:r>
      <w:r>
        <w:rPr>
          <w:rFonts w:ascii="宋体" w:hAnsi="宋体" w:eastAsia="宋体" w:cs="仿宋"/>
          <w:color w:val="000000"/>
          <w:sz w:val="24"/>
          <w:szCs w:val="24"/>
        </w:rPr>
        <w:t>有一项不满足扣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2分）</w:t>
      </w:r>
      <w:r>
        <w:rPr>
          <w:rFonts w:ascii="宋体" w:hAnsi="宋体" w:eastAsia="宋体" w:cs="仿宋"/>
          <w:color w:val="000000"/>
          <w:sz w:val="24"/>
          <w:szCs w:val="24"/>
        </w:rPr>
        <w:t>；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其他一般</w:t>
      </w:r>
      <w:r>
        <w:rPr>
          <w:rFonts w:ascii="宋体" w:hAnsi="宋体" w:eastAsia="宋体" w:cs="仿宋"/>
          <w:color w:val="000000"/>
          <w:sz w:val="24"/>
          <w:szCs w:val="24"/>
        </w:rPr>
        <w:t>性参数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不</w:t>
      </w:r>
      <w:r>
        <w:rPr>
          <w:rFonts w:ascii="宋体" w:hAnsi="宋体" w:eastAsia="宋体" w:cs="仿宋"/>
          <w:color w:val="000000"/>
          <w:sz w:val="24"/>
          <w:szCs w:val="24"/>
        </w:rPr>
        <w:t>用标记，不满足时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可</w:t>
      </w:r>
      <w:r>
        <w:rPr>
          <w:rFonts w:ascii="宋体" w:hAnsi="宋体" w:eastAsia="宋体" w:cs="仿宋"/>
          <w:color w:val="000000"/>
          <w:sz w:val="24"/>
          <w:szCs w:val="24"/>
        </w:rPr>
        <w:t>予以扣分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（扣分</w:t>
      </w:r>
      <w:r>
        <w:rPr>
          <w:rFonts w:ascii="宋体" w:hAnsi="宋体" w:eastAsia="宋体" w:cs="仿宋"/>
          <w:color w:val="000000"/>
          <w:sz w:val="24"/>
          <w:szCs w:val="24"/>
        </w:rPr>
        <w:t>分值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相对较小</w:t>
      </w:r>
      <w:r>
        <w:rPr>
          <w:rFonts w:ascii="宋体" w:hAnsi="宋体" w:eastAsia="宋体" w:cs="仿宋"/>
          <w:color w:val="000000"/>
          <w:sz w:val="24"/>
          <w:szCs w:val="24"/>
        </w:rPr>
        <w:t>，如有一项不满足扣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0</w:t>
      </w:r>
      <w:r>
        <w:rPr>
          <w:rFonts w:ascii="宋体" w:hAnsi="宋体" w:eastAsia="宋体" w:cs="仿宋"/>
          <w:color w:val="000000"/>
          <w:sz w:val="24"/>
          <w:szCs w:val="24"/>
        </w:rPr>
        <w:t>.5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分）</w:t>
      </w:r>
      <w:r>
        <w:rPr>
          <w:rFonts w:ascii="宋体" w:hAnsi="宋体" w:eastAsia="宋体" w:cs="仿宋"/>
          <w:color w:val="000000"/>
          <w:sz w:val="24"/>
          <w:szCs w:val="24"/>
        </w:rPr>
        <w:t>。</w:t>
      </w:r>
    </w:p>
    <w:p w14:paraId="2373F6EE">
      <w:pPr>
        <w:pStyle w:val="2"/>
        <w:keepNext w:val="0"/>
        <w:keepLines w:val="0"/>
        <w:pageBreakBefore w:val="0"/>
        <w:overflowPunct/>
        <w:topLinePunct w:val="0"/>
        <w:bidi w:val="0"/>
        <w:snapToGrid/>
        <w:spacing w:after="0" w:line="240" w:lineRule="auto"/>
        <w:ind w:right="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、商务要求</w:t>
      </w:r>
    </w:p>
    <w:p w14:paraId="58BFC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1.交货期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15 </w:t>
      </w:r>
      <w:r>
        <w:rPr>
          <w:rFonts w:hint="eastAsia" w:ascii="宋体" w:hAnsi="宋体" w:eastAsia="宋体" w:cs="宋体"/>
          <w:sz w:val="28"/>
          <w:szCs w:val="28"/>
        </w:rPr>
        <w:t>工作日</w:t>
      </w:r>
    </w:p>
    <w:p w14:paraId="124FB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质保</w:t>
      </w:r>
      <w:r>
        <w:rPr>
          <w:rFonts w:hint="eastAsia" w:ascii="宋体" w:hAnsi="宋体" w:eastAsia="宋体" w:cs="宋体"/>
          <w:sz w:val="28"/>
          <w:szCs w:val="28"/>
        </w:rPr>
        <w:t>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1 </w:t>
      </w:r>
      <w:r>
        <w:rPr>
          <w:rFonts w:hint="eastAsia" w:ascii="宋体" w:hAnsi="宋体" w:eastAsia="宋体" w:cs="宋体"/>
          <w:sz w:val="28"/>
          <w:szCs w:val="28"/>
        </w:rPr>
        <w:t>年</w:t>
      </w:r>
    </w:p>
    <w:p w14:paraId="4CB41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3.售后服务响应时间（质保期内）：即时响应（包括电话响应）；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 4 </w:t>
      </w:r>
      <w:r>
        <w:rPr>
          <w:rFonts w:hint="eastAsia" w:ascii="宋体" w:hAnsi="宋体" w:eastAsia="宋体" w:cs="宋体"/>
          <w:sz w:val="28"/>
          <w:szCs w:val="28"/>
        </w:rPr>
        <w:t>小时内到达现场（如电话响应无法解决）。修复时间（质保期内）：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 12  </w:t>
      </w:r>
      <w:r>
        <w:rPr>
          <w:rFonts w:hint="eastAsia" w:ascii="宋体" w:hAnsi="宋体" w:eastAsia="宋体" w:cs="宋体"/>
          <w:sz w:val="28"/>
          <w:szCs w:val="28"/>
        </w:rPr>
        <w:t>小时内解决；如在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 12 </w:t>
      </w:r>
      <w:r>
        <w:rPr>
          <w:rFonts w:hint="eastAsia" w:ascii="宋体" w:hAnsi="宋体" w:eastAsia="宋体" w:cs="宋体"/>
          <w:sz w:val="28"/>
          <w:szCs w:val="28"/>
        </w:rPr>
        <w:t>小时内无法修复，则提供部件冗余服务或采取应急措施，提供相同产品或不低于故障产品规格档次的备用产品供采购人使用，以确保货物的正常使用。</w:t>
      </w:r>
    </w:p>
    <w:p w14:paraId="7B6A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4.付款时间、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付款额度和付款方式。</w:t>
      </w:r>
    </w:p>
    <w:p w14:paraId="2D3FB981">
      <w:r>
        <w:rPr>
          <w:rFonts w:hint="eastAsia" w:ascii="宋体" w:hAnsi="宋体" w:eastAsia="宋体" w:cs="宋体"/>
          <w:sz w:val="28"/>
          <w:szCs w:val="28"/>
        </w:rPr>
        <w:t>设备安装、验收、培训、使用科室确认合格之日起30日内付合同总款价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95</w:t>
      </w:r>
      <w:r>
        <w:rPr>
          <w:rFonts w:hint="eastAsia" w:ascii="宋体" w:hAnsi="宋体" w:eastAsia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质保期后付剩余5%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80E77"/>
    <w:rsid w:val="2C58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Calibri" w:hAnsi="Calibri"/>
      <w:kern w:val="0"/>
      <w:sz w:val="16"/>
      <w:szCs w:val="16"/>
    </w:rPr>
  </w:style>
  <w:style w:type="paragraph" w:styleId="3">
    <w:name w:val="Body Text"/>
    <w:basedOn w:val="1"/>
    <w:qFormat/>
    <w:uiPriority w:val="0"/>
    <w:rPr>
      <w:color w:val="993300"/>
      <w:sz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2025-06-19T09:49:00Z</dcterms:created>
  <dc:creator>不言而喻</dc:creator>
  <cp:lastModifiedBy>不言而喻</cp:lastModifiedBy>
  <dcterms:modified xsi:type="dcterms:W3CDTF">2025-06-19T09:49:33Z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BC6F8B8B2DDC43178440EF8EF125DA56_11</vt:lpwstr>
  </property>
  <property fmtid="{D5CDD505-2E9C-101B-9397-08002B2CF9AE}" pid="4" name="KSOTemplateDocerSaveRecord">
    <vt:lpwstr>eyJoZGlkIjoiOGM4ZTc3ZTllOTVhZjY4NmY2NzVjMmFkNWNjZDQxZGUiLCJ1c2VySWQiOiIyODQwNzc2OTEifQ==</vt:lpwstr>
  </property>
</Properties>
</file>