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24E6">
      <w:pPr>
        <w:pStyle w:val="2"/>
        <w:pageBreakBefore w:val="0"/>
        <w:numPr>
          <w:ilvl w:val="0"/>
          <w:numId w:val="1"/>
        </w:numPr>
        <w:kinsoku/>
        <w:wordWrap/>
        <w:topLinePunct w:val="0"/>
        <w:bidi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采购内容及要求</w:t>
      </w:r>
    </w:p>
    <w:p w14:paraId="569BA7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" w:line="360" w:lineRule="auto"/>
        <w:ind w:right="135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一、材料参数要求</w:t>
      </w:r>
    </w:p>
    <w:tbl>
      <w:tblPr>
        <w:tblStyle w:val="3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035"/>
      </w:tblGrid>
      <w:tr w14:paraId="2823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C84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草丝材质</w:t>
            </w:r>
          </w:p>
        </w:tc>
        <w:tc>
          <w:tcPr>
            <w:tcW w:w="6035" w:type="dxa"/>
            <w:noWrap w:val="0"/>
            <w:vAlign w:val="center"/>
          </w:tcPr>
          <w:p w14:paraId="0F0B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改性高分子材料</w:t>
            </w:r>
          </w:p>
        </w:tc>
      </w:tr>
      <w:tr w14:paraId="58D3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290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草坪高度</w:t>
            </w:r>
          </w:p>
        </w:tc>
        <w:tc>
          <w:tcPr>
            <w:tcW w:w="6035" w:type="dxa"/>
            <w:noWrap w:val="0"/>
            <w:vAlign w:val="center"/>
          </w:tcPr>
          <w:p w14:paraId="2913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1mm</w:t>
            </w:r>
          </w:p>
        </w:tc>
      </w:tr>
      <w:tr w14:paraId="7AA8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E7F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草丝颜色</w:t>
            </w:r>
          </w:p>
        </w:tc>
        <w:tc>
          <w:tcPr>
            <w:tcW w:w="6035" w:type="dxa"/>
            <w:noWrap w:val="0"/>
            <w:vAlign w:val="center"/>
          </w:tcPr>
          <w:p w14:paraId="2A0D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绿/深蓝/浅蓝/灰</w:t>
            </w:r>
          </w:p>
        </w:tc>
      </w:tr>
      <w:tr w14:paraId="2D92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8CA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草丝纤度（Dtex）</w:t>
            </w:r>
          </w:p>
        </w:tc>
        <w:tc>
          <w:tcPr>
            <w:tcW w:w="6035" w:type="dxa"/>
            <w:noWrap w:val="0"/>
            <w:vAlign w:val="center"/>
          </w:tcPr>
          <w:p w14:paraId="3EA0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7000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±5%</w:t>
            </w:r>
          </w:p>
        </w:tc>
      </w:tr>
      <w:tr w14:paraId="6038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0243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横向密度（inch）</w:t>
            </w:r>
          </w:p>
        </w:tc>
        <w:tc>
          <w:tcPr>
            <w:tcW w:w="6035" w:type="dxa"/>
            <w:noWrap w:val="0"/>
            <w:vAlign w:val="center"/>
          </w:tcPr>
          <w:p w14:paraId="3D1E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210行/m     </w:t>
            </w:r>
          </w:p>
        </w:tc>
      </w:tr>
      <w:tr w14:paraId="155F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293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纵向密度（簇/m）</w:t>
            </w:r>
          </w:p>
        </w:tc>
        <w:tc>
          <w:tcPr>
            <w:tcW w:w="6035" w:type="dxa"/>
            <w:noWrap w:val="0"/>
            <w:vAlign w:val="center"/>
          </w:tcPr>
          <w:p w14:paraId="7C38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305簇/m      ±2%</w:t>
            </w:r>
          </w:p>
        </w:tc>
      </w:tr>
      <w:tr w14:paraId="6707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06F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簇密度（簇/㎡）</w:t>
            </w:r>
          </w:p>
        </w:tc>
        <w:tc>
          <w:tcPr>
            <w:tcW w:w="6035" w:type="dxa"/>
            <w:noWrap w:val="0"/>
            <w:vAlign w:val="center"/>
          </w:tcPr>
          <w:p w14:paraId="09D9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9300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簇/㎡</w:t>
            </w:r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±2%</w:t>
            </w:r>
          </w:p>
        </w:tc>
      </w:tr>
      <w:tr w14:paraId="7A76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246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底布材料</w:t>
            </w:r>
          </w:p>
        </w:tc>
        <w:tc>
          <w:tcPr>
            <w:tcW w:w="6035" w:type="dxa"/>
            <w:noWrap w:val="0"/>
            <w:vAlign w:val="center"/>
          </w:tcPr>
          <w:p w14:paraId="621D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双层PP增强毛面基布+特种网格底布</w:t>
            </w:r>
          </w:p>
        </w:tc>
      </w:tr>
      <w:tr w14:paraId="3B88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32C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背胶材料</w:t>
            </w:r>
          </w:p>
        </w:tc>
        <w:tc>
          <w:tcPr>
            <w:tcW w:w="6035" w:type="dxa"/>
            <w:noWrap w:val="0"/>
            <w:vAlign w:val="center"/>
          </w:tcPr>
          <w:p w14:paraId="167D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绿色环保亮面SPU背胶</w:t>
            </w:r>
          </w:p>
        </w:tc>
      </w:tr>
      <w:tr w14:paraId="31D1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D90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渗水孔直径（mm）</w:t>
            </w:r>
          </w:p>
        </w:tc>
        <w:tc>
          <w:tcPr>
            <w:tcW w:w="6035" w:type="dxa"/>
            <w:noWrap w:val="0"/>
            <w:vAlign w:val="center"/>
          </w:tcPr>
          <w:p w14:paraId="16DD9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  ±2mm</w:t>
            </w:r>
          </w:p>
        </w:tc>
      </w:tr>
      <w:tr w14:paraId="479D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5984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渗水性</w:t>
            </w:r>
          </w:p>
        </w:tc>
        <w:tc>
          <w:tcPr>
            <w:tcW w:w="6035" w:type="dxa"/>
            <w:noWrap w:val="0"/>
            <w:vAlign w:val="center"/>
          </w:tcPr>
          <w:p w14:paraId="2AD5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孔式排水  透水率:≧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升/分钟/ ㎡(无填充物)</w:t>
            </w:r>
          </w:p>
        </w:tc>
      </w:tr>
      <w:tr w14:paraId="1CF5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7B9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幅宽（m）</w:t>
            </w:r>
          </w:p>
        </w:tc>
        <w:tc>
          <w:tcPr>
            <w:tcW w:w="6035" w:type="dxa"/>
            <w:noWrap w:val="0"/>
            <w:vAlign w:val="center"/>
          </w:tcPr>
          <w:p w14:paraId="2FFE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   ±2cm</w:t>
            </w:r>
          </w:p>
        </w:tc>
      </w:tr>
      <w:tr w14:paraId="016A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6FDD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卷长（m）</w:t>
            </w:r>
          </w:p>
        </w:tc>
        <w:tc>
          <w:tcPr>
            <w:tcW w:w="6035" w:type="dxa"/>
            <w:noWrap w:val="0"/>
            <w:vAlign w:val="center"/>
          </w:tcPr>
          <w:p w14:paraId="2130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25   ±20cm</w:t>
            </w:r>
          </w:p>
        </w:tc>
      </w:tr>
      <w:tr w14:paraId="4126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746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阻燃性</w:t>
            </w:r>
          </w:p>
        </w:tc>
        <w:tc>
          <w:tcPr>
            <w:tcW w:w="6035" w:type="dxa"/>
            <w:noWrap w:val="0"/>
            <w:vAlign w:val="center"/>
          </w:tcPr>
          <w:p w14:paraId="718D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1级</w:t>
            </w:r>
          </w:p>
        </w:tc>
      </w:tr>
      <w:tr w14:paraId="3547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D7A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色牢度</w:t>
            </w:r>
          </w:p>
        </w:tc>
        <w:tc>
          <w:tcPr>
            <w:tcW w:w="6035" w:type="dxa"/>
            <w:noWrap w:val="0"/>
            <w:vAlign w:val="center"/>
          </w:tcPr>
          <w:p w14:paraId="03D3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&gt;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10B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0B72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6035" w:type="dxa"/>
            <w:noWrap w:val="0"/>
            <w:vAlign w:val="center"/>
          </w:tcPr>
          <w:p w14:paraId="1A302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场地图案除生产宽度限制外，需为一体定制，不能采用拼接；</w:t>
            </w:r>
          </w:p>
          <w:p w14:paraId="47D88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标线、色块、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站点需为一体定制。</w:t>
            </w:r>
          </w:p>
        </w:tc>
      </w:tr>
      <w:tr w14:paraId="04CC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95C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样品提供</w:t>
            </w:r>
          </w:p>
        </w:tc>
        <w:tc>
          <w:tcPr>
            <w:tcW w:w="6035" w:type="dxa"/>
            <w:noWrap w:val="0"/>
            <w:vAlign w:val="center"/>
          </w:tcPr>
          <w:p w14:paraId="1A691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为现场检验产品质量及后期比样验收，需提供绿色/深蓝/浅蓝/灰80cmX80cm以上规格的样品各一块</w:t>
            </w:r>
          </w:p>
        </w:tc>
      </w:tr>
      <w:tr w14:paraId="1272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09A4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适合场地</w:t>
            </w:r>
          </w:p>
        </w:tc>
        <w:tc>
          <w:tcPr>
            <w:tcW w:w="6035" w:type="dxa"/>
            <w:noWrap w:val="0"/>
            <w:vAlign w:val="center"/>
          </w:tcPr>
          <w:p w14:paraId="707DA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幼儿园活动场地、休闲景观场地等</w:t>
            </w:r>
          </w:p>
        </w:tc>
      </w:tr>
      <w:tr w14:paraId="77ED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80A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铺设面积</w:t>
            </w:r>
          </w:p>
        </w:tc>
        <w:tc>
          <w:tcPr>
            <w:tcW w:w="6035" w:type="dxa"/>
            <w:noWrap w:val="0"/>
            <w:vAlign w:val="center"/>
          </w:tcPr>
          <w:p w14:paraId="4D8CB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约2037平方米；施工过程中含损耗、辅料、拆除、垃圾控运等</w:t>
            </w:r>
          </w:p>
        </w:tc>
      </w:tr>
    </w:tbl>
    <w:p w14:paraId="2F69FB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1、样品要求</w:t>
      </w:r>
    </w:p>
    <w:p w14:paraId="1DE15D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样品制作的标准和要求：各供应商的样品必须满足采购人参数要求。</w:t>
      </w:r>
    </w:p>
    <w:p w14:paraId="4E74CF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2、样品的递交</w:t>
      </w:r>
    </w:p>
    <w:p w14:paraId="1696C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（1）递交样品截止时间：同提交响应文件截止时间，随响应文件一起递交。</w:t>
      </w:r>
    </w:p>
    <w:p w14:paraId="3EF84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（2）递交地点：同响应文件提交地点。</w:t>
      </w:r>
    </w:p>
    <w:p w14:paraId="1A08E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（3）供应商代表必须在递交样品截止时间前将样品送达指定地点，逾期不予受理。</w:t>
      </w:r>
    </w:p>
    <w:p w14:paraId="3E25B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（4）采购人、采购代理机构对递交的样品进行检查，统一编号并封样留存，作为产品检验的依据。</w:t>
      </w:r>
    </w:p>
    <w:p w14:paraId="7BEC6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（5）评审样品中有重大缺陷的将无法通过符合性审查。</w:t>
      </w:r>
    </w:p>
    <w:p w14:paraId="111AB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（6）现场评审内容:</w:t>
      </w:r>
    </w:p>
    <w:p w14:paraId="52985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外观：应无破损，表而应无明显胶斑，底背涂胶应均匀，应无明显漏针</w:t>
      </w:r>
    </w:p>
    <w:p w14:paraId="716DA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纵向密度：305簇/m ±2%</w:t>
      </w:r>
    </w:p>
    <w:p w14:paraId="2DA5F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横向密度：210行/米</w:t>
      </w:r>
    </w:p>
    <w:p w14:paraId="13804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底背：涂胶均匀，绿色亮面，不掉渣</w:t>
      </w:r>
    </w:p>
    <w:p w14:paraId="1BF6EF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20" w:lineRule="exact"/>
        <w:ind w:right="-29" w:firstLine="261" w:firstLineChars="100"/>
        <w:jc w:val="both"/>
        <w:textAlignment w:val="auto"/>
        <w:rPr>
          <w:rFonts w:hint="default"/>
          <w:b/>
          <w:color w:val="auto"/>
          <w:spacing w:val="10"/>
          <w:sz w:val="24"/>
          <w:lang w:val="en-US" w:eastAsia="zh-CN"/>
        </w:rPr>
      </w:pPr>
      <w:r>
        <w:rPr>
          <w:rFonts w:hint="eastAsia"/>
          <w:b/>
          <w:color w:val="auto"/>
          <w:spacing w:val="10"/>
          <w:sz w:val="24"/>
          <w:lang w:val="en-US" w:eastAsia="zh-CN"/>
        </w:rPr>
        <w:t>二、相关检测要求</w:t>
      </w:r>
    </w:p>
    <w:p w14:paraId="287A15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为保证人造草坪质量，投标文件中需提供具有CMA、CNAS认可的第三方检测机构出具的通过新国标GB36246-2018《中小学合成材料面层运动场地》标准，对有害物质含量、有害物质释放量、物理机械性能检测结果均为合格的检测报告，加盖生产厂商公章；</w:t>
      </w:r>
    </w:p>
    <w:p w14:paraId="179BB7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2、为保证人造草坪质量，投标文件中需提供具有CMA、CNAS认可的第三方检测机构出具的通过新国标GB/T20394-2019《体育用人造草》28项检测结果均为合格的检测报告，加盖生产厂商公章；</w:t>
      </w:r>
    </w:p>
    <w:p w14:paraId="1F7153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3、为保证厂家及产品对环境的环保，投标文件中需提供依据GB/T24021-2001idt ISO14021:1999《环境管理环境标志与声明 自我环境声明（Ⅱ型环保标志）》要求的中国环境标志(Ⅱ型)产品认证证书，加盖生产厂商公章；</w:t>
      </w:r>
    </w:p>
    <w:p w14:paraId="7B339D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4、为保证人造草坪的环保性能，投标文件中需提供依据欧盟第1907/2006号REACH法规对人造草坪的249种高关注物质进行筛分的SGS检测报告，加盖生产厂商公章；</w:t>
      </w:r>
    </w:p>
    <w:p w14:paraId="27B944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5、为保证人造草坪的环保安全无毒害，投标文件中需提供对人造草坪的草丝、底布、背胶分别进行特定元素迁移测试检测，检测结果均未超过限量的检测报告，加盖生产厂商公章；</w:t>
      </w:r>
    </w:p>
    <w:p w14:paraId="2498C8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6、为保证人造草坪的阻燃性能，投标文件中需提供具有CMA、CNAS认可的第三方检测机构出具的符合GB 8624-2012《建筑材料及制品燃烧性能分级》标准，达到B1级阻燃检测报告，加盖生产厂商公章；</w:t>
      </w:r>
    </w:p>
    <w:p w14:paraId="6A7671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7、为保证人造草坪的抗静电性能，投标文件中需提供第三方检测机构出具的依据GB/T12703.4-2010《静电性能的评定》标准，抗静电等级为B级以上的的检测报告，加盖生产厂商公章；</w:t>
      </w:r>
    </w:p>
    <w:p w14:paraId="7D091D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8、为保证人造草坪的环保性能和无毒无害，提供所供产品的人造草坪厂家根据 《ASTM G21-15》标准， 由国内权威检测机构出具的草坪不含真菌的检测报告。 所检测真菌种类为：黑曲霉、绿色木霉、球毛壳霉、出芽短梗霉、绳状青霉，检测级别为:0 级，加盖生产厂商公章；</w:t>
      </w:r>
    </w:p>
    <w:p w14:paraId="21D10A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9、为保证人造草坪的环保性能和无毒无害，提供具有CMA、CNAS认可的第三方检测机构出具的依据《GB/T21604-2022化学品急性皮肤刺激性/腐蚀性试验方法》标准，无刺激性的检测报告，加盖生产厂商公章。</w:t>
      </w:r>
    </w:p>
    <w:p w14:paraId="7F728B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注：以上要求的所有检测报告供应商须全部提供，未提供视为重大负偏离，按无效响应文件处理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946DC"/>
    <w:multiLevelType w:val="singleLevel"/>
    <w:tmpl w:val="A9D946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D42CFE"/>
    <w:multiLevelType w:val="singleLevel"/>
    <w:tmpl w:val="5BD42CFE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2025-06-24T07:19:49Z</dcterms:created>
  <dc:creator>Administrator</dc:creator>
  <cp:lastModifiedBy>招标代理公司-宋璟雯</cp:lastModifiedBy>
  <dcterms:modified xsi:type="dcterms:W3CDTF">2025-06-24T07:26:54Z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B41CF24C2F774146A48DAD90B0ABC43C_12</vt:lpwstr>
  </property>
</Properties>
</file>