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2A7AE">
      <w:pPr>
        <w:pStyle w:val="4"/>
        <w:widowControl/>
        <w:spacing w:before="750" w:beforeAutospacing="0" w:after="750" w:afterAutospacing="0" w:line="540" w:lineRule="atLeast"/>
        <w:ind w:right="376"/>
        <w:jc w:val="both"/>
        <w:rPr>
          <w:rFonts w:cs="宋体"/>
          <w:color w:val="333333"/>
          <w:sz w:val="78"/>
          <w:szCs w:val="78"/>
        </w:rPr>
      </w:pPr>
      <w:r>
        <w:rPr>
          <w:rFonts w:cs="宋体"/>
          <w:color w:val="333333"/>
          <w:sz w:val="78"/>
          <w:szCs w:val="78"/>
        </w:rPr>
        <w:t>政府采购项目采购需求</w:t>
      </w:r>
    </w:p>
    <w:p w14:paraId="08135F0B"/>
    <w:p w14:paraId="5AE27242">
      <w:pPr>
        <w:pStyle w:val="5"/>
        <w:widowControl/>
        <w:spacing w:before="750" w:beforeAutospacing="0" w:after="750" w:afterAutospacing="0" w:line="360" w:lineRule="atLeast"/>
        <w:ind w:left="376" w:right="376"/>
        <w:jc w:val="both"/>
        <w:rPr>
          <w:rFonts w:cs="宋体"/>
          <w:b w:val="0"/>
          <w:bCs w:val="0"/>
          <w:color w:val="000000"/>
        </w:rPr>
      </w:pPr>
      <w:r>
        <w:rPr>
          <w:rFonts w:cs="宋体"/>
          <w:b w:val="0"/>
          <w:bCs w:val="0"/>
          <w:color w:val="333333"/>
        </w:rPr>
        <w:t>采购单位：</w:t>
      </w:r>
      <w:r>
        <w:rPr>
          <w:rFonts w:cs="宋体"/>
          <w:b w:val="0"/>
          <w:bCs w:val="0"/>
          <w:color w:val="000000"/>
        </w:rPr>
        <w:t>陕西省市场监督管理局</w:t>
      </w:r>
    </w:p>
    <w:p w14:paraId="3239277B">
      <w:pPr>
        <w:pStyle w:val="5"/>
        <w:widowControl/>
        <w:spacing w:before="750" w:beforeAutospacing="0" w:after="750" w:afterAutospacing="0" w:line="360" w:lineRule="atLeast"/>
        <w:ind w:left="376" w:right="376"/>
        <w:jc w:val="both"/>
        <w:rPr>
          <w:rFonts w:cs="宋体"/>
          <w:b w:val="0"/>
          <w:bCs w:val="0"/>
          <w:color w:val="000000"/>
        </w:rPr>
      </w:pPr>
      <w:r>
        <w:rPr>
          <w:rFonts w:cs="宋体"/>
          <w:b w:val="0"/>
          <w:bCs w:val="0"/>
          <w:color w:val="000000"/>
        </w:rPr>
        <w:t>所属年度：</w:t>
      </w:r>
      <w:r>
        <w:rPr>
          <w:rFonts w:hint="eastAsia" w:cs="宋体"/>
          <w:b w:val="0"/>
          <w:bCs w:val="0"/>
          <w:color w:val="000000"/>
          <w:lang w:val="en-US" w:eastAsia="zh-CN"/>
        </w:rPr>
        <w:t>1</w:t>
      </w:r>
      <w:r>
        <w:rPr>
          <w:rFonts w:cs="宋体"/>
          <w:b w:val="0"/>
          <w:bCs w:val="0"/>
          <w:color w:val="000000"/>
        </w:rPr>
        <w:t>年</w:t>
      </w:r>
    </w:p>
    <w:p w14:paraId="40B3F84F">
      <w:pPr>
        <w:pStyle w:val="5"/>
        <w:widowControl/>
        <w:spacing w:before="750" w:beforeAutospacing="0" w:after="750" w:afterAutospacing="0" w:line="360" w:lineRule="atLeast"/>
        <w:ind w:left="376" w:right="376"/>
        <w:jc w:val="both"/>
        <w:rPr>
          <w:rFonts w:cs="宋体"/>
          <w:b w:val="0"/>
          <w:bCs w:val="0"/>
          <w:color w:val="000000"/>
        </w:rPr>
      </w:pPr>
      <w:r>
        <w:rPr>
          <w:rFonts w:cs="宋体"/>
          <w:b w:val="0"/>
          <w:bCs w:val="0"/>
          <w:color w:val="000000"/>
        </w:rPr>
        <w:t>编制单位：陕西省市场监督管理局</w:t>
      </w:r>
    </w:p>
    <w:p w14:paraId="56527E53">
      <w:pPr>
        <w:pStyle w:val="5"/>
        <w:widowControl/>
        <w:spacing w:before="750" w:beforeAutospacing="0" w:after="750" w:afterAutospacing="0" w:line="360" w:lineRule="atLeast"/>
        <w:ind w:left="376" w:right="376"/>
        <w:jc w:val="both"/>
        <w:rPr>
          <w:rFonts w:cs="宋体"/>
          <w:b w:val="0"/>
          <w:bCs w:val="0"/>
        </w:rPr>
      </w:pPr>
      <w:r>
        <w:rPr>
          <w:rFonts w:cs="宋体"/>
          <w:b w:val="0"/>
          <w:bCs w:val="0"/>
          <w:color w:val="333333"/>
        </w:rPr>
        <w:t>编制时间：2025年0</w:t>
      </w:r>
      <w:r>
        <w:rPr>
          <w:rFonts w:hint="eastAsia" w:cs="宋体"/>
          <w:b w:val="0"/>
          <w:bCs w:val="0"/>
          <w:color w:val="333333"/>
          <w:lang w:val="en-US" w:eastAsia="zh-CN"/>
        </w:rPr>
        <w:t>6</w:t>
      </w:r>
      <w:r>
        <w:rPr>
          <w:rFonts w:cs="宋体"/>
          <w:b w:val="0"/>
          <w:bCs w:val="0"/>
          <w:color w:val="333333"/>
        </w:rPr>
        <w:t>月</w:t>
      </w:r>
      <w:r>
        <w:rPr>
          <w:rFonts w:hint="eastAsia" w:cs="宋体"/>
          <w:b w:val="0"/>
          <w:bCs w:val="0"/>
          <w:color w:val="333333"/>
          <w:lang w:val="en-US" w:eastAsia="zh-CN"/>
        </w:rPr>
        <w:t>24</w:t>
      </w:r>
      <w:r>
        <w:rPr>
          <w:rFonts w:cs="宋体"/>
          <w:b w:val="0"/>
          <w:bCs w:val="0"/>
          <w:color w:val="333333"/>
        </w:rPr>
        <w:t>日</w:t>
      </w:r>
    </w:p>
    <w:p w14:paraId="13C4D379">
      <w:pPr>
        <w:pStyle w:val="5"/>
        <w:widowControl/>
        <w:spacing w:before="750" w:beforeAutospacing="0" w:after="750" w:afterAutospacing="0" w:line="360" w:lineRule="atLeast"/>
        <w:ind w:left="376" w:right="376"/>
        <w:rPr>
          <w:rFonts w:cs="宋体"/>
          <w:color w:val="333333"/>
        </w:rPr>
      </w:pPr>
    </w:p>
    <w:p w14:paraId="24763562">
      <w:pPr>
        <w:pStyle w:val="5"/>
        <w:widowControl/>
        <w:spacing w:before="750" w:beforeAutospacing="0" w:after="750" w:afterAutospacing="0" w:line="360" w:lineRule="atLeast"/>
        <w:ind w:left="376" w:right="376"/>
        <w:rPr>
          <w:rFonts w:cs="宋体"/>
          <w:color w:val="333333"/>
        </w:rPr>
      </w:pPr>
    </w:p>
    <w:p w14:paraId="073907DC">
      <w:pPr>
        <w:pStyle w:val="5"/>
        <w:widowControl/>
        <w:spacing w:before="750" w:beforeAutospacing="0" w:after="750" w:afterAutospacing="0" w:line="360" w:lineRule="atLeast"/>
        <w:ind w:left="376" w:right="376"/>
        <w:rPr>
          <w:rFonts w:cs="宋体"/>
          <w:color w:val="333333"/>
        </w:rPr>
      </w:pPr>
    </w:p>
    <w:p w14:paraId="32D3EBF2">
      <w:pPr>
        <w:pStyle w:val="5"/>
        <w:widowControl/>
        <w:spacing w:before="750" w:beforeAutospacing="0" w:after="750" w:afterAutospacing="0" w:line="360" w:lineRule="atLeast"/>
        <w:ind w:left="376" w:right="376"/>
        <w:rPr>
          <w:rFonts w:cs="宋体"/>
        </w:rPr>
      </w:pPr>
      <w:r>
        <w:rPr>
          <w:rFonts w:cs="宋体"/>
          <w:color w:val="333333"/>
        </w:rPr>
        <w:t>一、项目总体情况</w:t>
      </w:r>
    </w:p>
    <w:p w14:paraId="6CC0858C">
      <w:pPr>
        <w:pStyle w:val="7"/>
        <w:widowControl/>
        <w:spacing w:before="750" w:beforeAutospacing="0" w:after="750" w:afterAutospacing="0" w:line="480" w:lineRule="atLeast"/>
        <w:ind w:right="376"/>
        <w:rPr>
          <w:rFonts w:hint="eastAsia" w:ascii="宋体" w:hAnsi="宋体" w:cs="宋体"/>
          <w:color w:val="333333"/>
          <w:sz w:val="21"/>
          <w:szCs w:val="21"/>
        </w:rPr>
      </w:pPr>
      <w:r>
        <w:rPr>
          <w:rFonts w:hint="eastAsia" w:ascii="宋体" w:hAnsi="宋体" w:cs="宋体"/>
          <w:color w:val="333333"/>
          <w:sz w:val="21"/>
          <w:szCs w:val="21"/>
        </w:rPr>
        <w:t>（一）项目名称： </w:t>
      </w:r>
      <w:r>
        <w:rPr>
          <w:rFonts w:hint="eastAsia" w:ascii="宋体" w:hAnsi="宋体" w:cs="宋体"/>
          <w:color w:val="333333"/>
          <w:sz w:val="21"/>
          <w:szCs w:val="21"/>
          <w:lang w:eastAsia="zh-CN"/>
        </w:rPr>
        <w:t>凝聚广告力量、助力乡村振兴公益行动</w:t>
      </w:r>
    </w:p>
    <w:p w14:paraId="0F6CDEFB">
      <w:pPr>
        <w:pStyle w:val="7"/>
        <w:widowControl/>
        <w:spacing w:before="750" w:beforeAutospacing="0" w:after="750" w:afterAutospacing="0" w:line="480" w:lineRule="atLeast"/>
        <w:ind w:right="376"/>
        <w:rPr>
          <w:rFonts w:hint="default" w:ascii="宋体" w:hAnsi="宋体" w:eastAsia="宋体" w:cs="宋体"/>
          <w:lang w:val="en-US" w:eastAsia="zh-CN"/>
        </w:rPr>
      </w:pPr>
      <w:r>
        <w:rPr>
          <w:rFonts w:hint="eastAsia" w:ascii="宋体" w:hAnsi="宋体" w:cs="宋体"/>
          <w:color w:val="333333"/>
          <w:sz w:val="21"/>
          <w:szCs w:val="21"/>
        </w:rPr>
        <w:t>（二）项目所属年度：</w:t>
      </w:r>
      <w:r>
        <w:rPr>
          <w:rFonts w:hint="eastAsia" w:ascii="宋体" w:hAnsi="宋体" w:cs="宋体"/>
          <w:color w:val="333333"/>
          <w:sz w:val="21"/>
          <w:szCs w:val="21"/>
          <w:lang w:val="en-US" w:eastAsia="zh-CN"/>
        </w:rPr>
        <w:t>1年</w:t>
      </w:r>
    </w:p>
    <w:p w14:paraId="1287C6CB">
      <w:pPr>
        <w:pStyle w:val="7"/>
        <w:widowControl/>
        <w:spacing w:before="750" w:beforeAutospacing="0" w:after="750" w:afterAutospacing="0" w:line="480" w:lineRule="atLeast"/>
        <w:ind w:right="376"/>
        <w:rPr>
          <w:rFonts w:hint="eastAsia" w:ascii="宋体" w:hAnsi="宋体" w:cs="宋体"/>
        </w:rPr>
      </w:pPr>
      <w:r>
        <w:rPr>
          <w:rFonts w:hint="eastAsia" w:ascii="宋体" w:hAnsi="宋体" w:cs="宋体"/>
          <w:color w:val="333333"/>
          <w:sz w:val="21"/>
          <w:szCs w:val="21"/>
        </w:rPr>
        <w:t>（三）项目所属分类： 服务</w:t>
      </w:r>
    </w:p>
    <w:p w14:paraId="701FBB09">
      <w:pPr>
        <w:pStyle w:val="7"/>
        <w:widowControl/>
        <w:spacing w:before="750" w:beforeAutospacing="0" w:after="750" w:afterAutospacing="0" w:line="480" w:lineRule="atLeast"/>
        <w:ind w:right="376"/>
        <w:rPr>
          <w:rFonts w:hint="eastAsia" w:ascii="宋体" w:hAnsi="宋体" w:cs="宋体"/>
          <w:color w:val="000000"/>
        </w:rPr>
      </w:pPr>
      <w:r>
        <w:rPr>
          <w:rFonts w:hint="eastAsia" w:ascii="宋体" w:hAnsi="宋体" w:cs="宋体"/>
          <w:color w:val="333333"/>
          <w:sz w:val="21"/>
          <w:szCs w:val="21"/>
        </w:rPr>
        <w:t>（四）预算金额（元）：</w:t>
      </w:r>
      <w:r>
        <w:rPr>
          <w:rFonts w:hint="eastAsia" w:ascii="宋体" w:hAnsi="宋体" w:cs="宋体"/>
          <w:color w:val="000000"/>
          <w:sz w:val="21"/>
          <w:szCs w:val="21"/>
          <w:lang w:val="en-US" w:eastAsia="zh-CN"/>
        </w:rPr>
        <w:t>21</w:t>
      </w:r>
      <w:r>
        <w:rPr>
          <w:rFonts w:hint="eastAsia" w:ascii="宋体" w:hAnsi="宋体" w:cs="宋体"/>
          <w:color w:val="000000"/>
          <w:sz w:val="21"/>
          <w:szCs w:val="21"/>
        </w:rPr>
        <w:t>0,000.00元 ，大写（人民币）：</w:t>
      </w:r>
      <w:r>
        <w:rPr>
          <w:rFonts w:hint="eastAsia" w:ascii="宋体" w:hAnsi="宋体" w:cs="宋体"/>
          <w:color w:val="000000"/>
          <w:sz w:val="21"/>
          <w:szCs w:val="21"/>
          <w:lang w:val="en-US" w:eastAsia="zh-CN"/>
        </w:rPr>
        <w:t>贰拾壹</w:t>
      </w:r>
      <w:r>
        <w:rPr>
          <w:rFonts w:hint="eastAsia" w:ascii="宋体" w:hAnsi="宋体" w:cs="宋体"/>
          <w:color w:val="000000"/>
          <w:sz w:val="21"/>
          <w:szCs w:val="21"/>
        </w:rPr>
        <w:t>万元整</w:t>
      </w:r>
    </w:p>
    <w:p w14:paraId="1FF114E3">
      <w:pPr>
        <w:spacing w:line="360" w:lineRule="auto"/>
        <w:rPr>
          <w:rFonts w:hint="eastAsia" w:ascii="宋体" w:hAnsi="宋体" w:cs="宋体"/>
          <w:color w:val="333333"/>
          <w:sz w:val="21"/>
          <w:szCs w:val="21"/>
        </w:rPr>
      </w:pPr>
      <w:r>
        <w:rPr>
          <w:rFonts w:hint="eastAsia" w:ascii="宋体" w:hAnsi="宋体" w:cs="宋体"/>
          <w:color w:val="333333"/>
          <w:sz w:val="21"/>
          <w:szCs w:val="21"/>
        </w:rPr>
        <w:t>（五）项目概况：</w:t>
      </w:r>
      <w:r>
        <w:rPr>
          <w:rFonts w:hint="eastAsia" w:ascii="宋体" w:hAnsi="宋体" w:cs="宋体"/>
          <w:color w:val="333333"/>
          <w:sz w:val="21"/>
          <w:szCs w:val="21"/>
          <w:lang w:val="en-US" w:eastAsia="zh-CN"/>
        </w:rPr>
        <w:t>陕西省凝聚广告力量、助力乡村振兴公益行动项目应运而生，旨在通过广告的力量，推动乡村经济、文化和社会的发展，助力乡村振兴战略的实施</w:t>
      </w:r>
      <w:r>
        <w:rPr>
          <w:rFonts w:hint="eastAsia" w:ascii="宋体" w:hAnsi="宋体" w:cs="宋体"/>
          <w:color w:val="333333"/>
          <w:sz w:val="21"/>
          <w:szCs w:val="21"/>
        </w:rPr>
        <w:t>。</w:t>
      </w:r>
    </w:p>
    <w:p w14:paraId="44818646">
      <w:pPr>
        <w:spacing w:line="360" w:lineRule="auto"/>
        <w:rPr>
          <w:rFonts w:hint="eastAsia" w:ascii="宋体" w:hAnsi="宋体" w:eastAsia="宋体" w:cs="宋体"/>
          <w:color w:val="000000"/>
          <w:sz w:val="24"/>
        </w:rPr>
      </w:pPr>
    </w:p>
    <w:p w14:paraId="755EE387">
      <w:pPr>
        <w:bidi w:val="0"/>
        <w:rPr>
          <w:rFonts w:hint="eastAsia" w:ascii="宋体" w:hAnsi="宋体" w:eastAsia="宋体" w:cs="宋体"/>
          <w:color w:val="333333"/>
          <w:sz w:val="21"/>
          <w:szCs w:val="21"/>
          <w:lang w:eastAsia="zh-CN"/>
        </w:rPr>
      </w:pPr>
      <w:r>
        <w:rPr>
          <w:rFonts w:hint="eastAsia" w:ascii="宋体" w:hAnsi="宋体" w:cs="宋体"/>
          <w:color w:val="333333"/>
          <w:sz w:val="21"/>
          <w:szCs w:val="21"/>
        </w:rPr>
        <w:t>（六）本项目是否有为采购项目提供整体设计、规范编制或者项目管理、监理、检测等服务的供应商：</w:t>
      </w:r>
      <w:r>
        <w:rPr>
          <w:rFonts w:hint="eastAsia" w:ascii="宋体" w:hAnsi="宋体" w:eastAsia="宋体" w:cs="宋体"/>
          <w:color w:val="333333"/>
          <w:sz w:val="21"/>
          <w:szCs w:val="21"/>
          <w:lang w:val="en-US" w:eastAsia="zh-CN"/>
        </w:rPr>
        <w:t>否</w:t>
      </w:r>
    </w:p>
    <w:p w14:paraId="520C7985">
      <w:pPr>
        <w:pStyle w:val="5"/>
        <w:widowControl/>
        <w:spacing w:before="750" w:beforeAutospacing="0" w:after="750" w:afterAutospacing="0" w:line="360" w:lineRule="atLeast"/>
        <w:ind w:right="376"/>
        <w:rPr>
          <w:rFonts w:cs="宋体"/>
          <w:color w:val="333333"/>
        </w:rPr>
      </w:pPr>
      <w:r>
        <w:rPr>
          <w:rFonts w:cs="宋体"/>
          <w:color w:val="333333"/>
        </w:rPr>
        <w:t>二、项目需求调查情况</w:t>
      </w:r>
    </w:p>
    <w:p w14:paraId="511851E2">
      <w:pPr>
        <w:pStyle w:val="5"/>
        <w:widowControl/>
        <w:spacing w:before="750" w:beforeAutospacing="0" w:after="750" w:afterAutospacing="0" w:line="360" w:lineRule="atLeast"/>
        <w:ind w:right="376"/>
        <w:rPr>
          <w:rFonts w:hint="eastAsia" w:ascii="宋体" w:hAnsi="宋体" w:eastAsia="宋体" w:cs="宋体"/>
          <w:color w:val="333333"/>
          <w:sz w:val="21"/>
          <w:szCs w:val="21"/>
          <w:lang w:val="en-US" w:eastAsia="zh-CN"/>
        </w:rPr>
      </w:pPr>
      <w:r>
        <w:rPr>
          <w:rFonts w:hint="eastAsia" w:ascii="宋体" w:hAnsi="宋体" w:cs="宋体"/>
          <w:color w:val="333333"/>
          <w:sz w:val="21"/>
          <w:szCs w:val="21"/>
        </w:rPr>
        <w:t>依据《政府采购需求管理办法》的规定，本项目需求调查，具体情况如下</w:t>
      </w:r>
      <w:r>
        <w:rPr>
          <w:rFonts w:hint="eastAsia" w:ascii="宋体" w:hAnsi="宋体" w:eastAsia="宋体" w:cs="宋体"/>
          <w:color w:val="333333"/>
          <w:sz w:val="21"/>
          <w:szCs w:val="21"/>
        </w:rPr>
        <w:t>：</w:t>
      </w:r>
      <w:r>
        <w:rPr>
          <w:rFonts w:hint="eastAsia" w:ascii="宋体" w:hAnsi="宋体" w:eastAsia="宋体" w:cs="宋体"/>
          <w:color w:val="333333"/>
          <w:sz w:val="21"/>
          <w:szCs w:val="21"/>
          <w:lang w:val="en-US" w:eastAsia="zh-CN"/>
        </w:rPr>
        <w:t>否</w:t>
      </w:r>
    </w:p>
    <w:p w14:paraId="15A7151D">
      <w:pPr>
        <w:pStyle w:val="7"/>
        <w:widowControl/>
        <w:spacing w:before="750" w:beforeAutospacing="0" w:after="750" w:afterAutospacing="0" w:line="480" w:lineRule="atLeast"/>
        <w:ind w:left="376" w:right="376" w:firstLine="420"/>
        <w:rPr>
          <w:rFonts w:hint="eastAsia" w:ascii="宋体" w:hAnsi="宋体" w:cs="宋体"/>
        </w:rPr>
      </w:pPr>
      <w:r>
        <w:rPr>
          <w:rFonts w:hint="eastAsia" w:ascii="宋体" w:hAnsi="宋体" w:cs="宋体"/>
          <w:color w:val="333333"/>
          <w:sz w:val="21"/>
          <w:szCs w:val="21"/>
        </w:rPr>
        <w:t>（一）需求调查方式</w:t>
      </w:r>
    </w:p>
    <w:p w14:paraId="03E93747">
      <w:pPr>
        <w:pStyle w:val="7"/>
        <w:widowControl/>
        <w:spacing w:before="750" w:beforeAutospacing="0" w:after="750" w:afterAutospacing="0" w:line="480" w:lineRule="atLeast"/>
        <w:ind w:left="376" w:right="376" w:firstLine="420"/>
        <w:rPr>
          <w:rFonts w:hint="eastAsia" w:ascii="宋体" w:hAnsi="宋体" w:cs="宋体"/>
        </w:rPr>
      </w:pPr>
      <w:r>
        <w:rPr>
          <w:rFonts w:hint="eastAsia" w:ascii="宋体" w:hAnsi="宋体" w:cs="宋体"/>
          <w:color w:val="333333"/>
          <w:sz w:val="21"/>
          <w:szCs w:val="21"/>
        </w:rPr>
        <w:t>（二）需求调查对象</w:t>
      </w:r>
    </w:p>
    <w:p w14:paraId="3327C423">
      <w:pPr>
        <w:pStyle w:val="7"/>
        <w:widowControl/>
        <w:spacing w:before="750" w:beforeAutospacing="0" w:after="750" w:afterAutospacing="0" w:line="480" w:lineRule="atLeast"/>
        <w:ind w:left="376" w:right="376" w:firstLine="420"/>
        <w:rPr>
          <w:rFonts w:hint="eastAsia" w:ascii="宋体" w:hAnsi="宋体" w:cs="宋体"/>
        </w:rPr>
      </w:pPr>
      <w:r>
        <w:rPr>
          <w:rFonts w:hint="eastAsia" w:ascii="宋体" w:hAnsi="宋体" w:cs="宋体"/>
          <w:color w:val="333333"/>
          <w:sz w:val="21"/>
          <w:szCs w:val="21"/>
        </w:rPr>
        <w:t>（三）需求调查结果</w:t>
      </w:r>
    </w:p>
    <w:p w14:paraId="1781C385">
      <w:pPr>
        <w:pStyle w:val="7"/>
        <w:widowControl/>
        <w:spacing w:before="750" w:beforeAutospacing="0" w:after="750" w:afterAutospacing="0" w:line="480" w:lineRule="atLeast"/>
        <w:ind w:left="376" w:right="376" w:firstLine="840"/>
        <w:rPr>
          <w:rFonts w:hint="eastAsia" w:ascii="宋体" w:hAnsi="宋体" w:cs="宋体"/>
        </w:rPr>
      </w:pPr>
      <w:r>
        <w:rPr>
          <w:rFonts w:hint="eastAsia" w:ascii="宋体" w:hAnsi="宋体" w:cs="宋体"/>
          <w:color w:val="333333"/>
          <w:sz w:val="21"/>
          <w:szCs w:val="21"/>
        </w:rPr>
        <w:t>1.相关产业发展情况</w:t>
      </w:r>
    </w:p>
    <w:p w14:paraId="6935C128">
      <w:pPr>
        <w:pStyle w:val="7"/>
        <w:widowControl/>
        <w:spacing w:before="750" w:beforeAutospacing="0" w:after="750" w:afterAutospacing="0" w:line="480" w:lineRule="atLeast"/>
        <w:ind w:left="376" w:right="376" w:firstLine="840"/>
        <w:rPr>
          <w:rFonts w:hint="eastAsia" w:ascii="宋体" w:hAnsi="宋体" w:cs="宋体"/>
        </w:rPr>
      </w:pPr>
      <w:r>
        <w:rPr>
          <w:rFonts w:hint="eastAsia" w:ascii="宋体" w:hAnsi="宋体" w:cs="宋体"/>
          <w:color w:val="333333"/>
          <w:sz w:val="21"/>
          <w:szCs w:val="21"/>
        </w:rPr>
        <w:t>2.市场供给情况</w:t>
      </w:r>
    </w:p>
    <w:p w14:paraId="7CE29A99">
      <w:pPr>
        <w:pStyle w:val="7"/>
        <w:widowControl/>
        <w:spacing w:before="750" w:beforeAutospacing="0" w:after="750" w:afterAutospacing="0" w:line="480" w:lineRule="atLeast"/>
        <w:ind w:left="376" w:right="376" w:firstLine="840"/>
        <w:rPr>
          <w:rFonts w:hint="eastAsia" w:ascii="宋体" w:hAnsi="宋体" w:cs="宋体"/>
        </w:rPr>
      </w:pPr>
      <w:r>
        <w:rPr>
          <w:rFonts w:hint="eastAsia" w:ascii="宋体" w:hAnsi="宋体" w:cs="宋体"/>
          <w:color w:val="333333"/>
          <w:sz w:val="21"/>
          <w:szCs w:val="21"/>
        </w:rPr>
        <w:t>3.同类采购项目历史成交信息情况</w:t>
      </w:r>
    </w:p>
    <w:p w14:paraId="303ACDCE">
      <w:pPr>
        <w:pStyle w:val="7"/>
        <w:widowControl/>
        <w:spacing w:before="750" w:beforeAutospacing="0" w:after="750" w:afterAutospacing="0" w:line="480" w:lineRule="atLeast"/>
        <w:ind w:left="376" w:right="376" w:firstLine="840"/>
        <w:rPr>
          <w:rFonts w:hint="eastAsia" w:ascii="宋体" w:hAnsi="宋体" w:cs="宋体"/>
        </w:rPr>
      </w:pPr>
      <w:r>
        <w:rPr>
          <w:rFonts w:hint="eastAsia" w:ascii="宋体" w:hAnsi="宋体" w:cs="宋体"/>
          <w:color w:val="333333"/>
          <w:sz w:val="21"/>
          <w:szCs w:val="21"/>
        </w:rPr>
        <w:t>4.可能涉及的运行维护、升级更新、备品备件、耗材等后续采购情况</w:t>
      </w:r>
    </w:p>
    <w:p w14:paraId="0EADFB54">
      <w:pPr>
        <w:pStyle w:val="7"/>
        <w:widowControl/>
        <w:spacing w:before="750" w:beforeAutospacing="0" w:after="750" w:afterAutospacing="0" w:line="480" w:lineRule="atLeast"/>
        <w:ind w:left="376" w:right="376" w:firstLine="840"/>
        <w:rPr>
          <w:rFonts w:hint="eastAsia" w:ascii="宋体" w:hAnsi="宋体" w:cs="宋体"/>
        </w:rPr>
      </w:pPr>
      <w:r>
        <w:rPr>
          <w:rFonts w:hint="eastAsia" w:ascii="宋体" w:hAnsi="宋体" w:cs="宋体"/>
          <w:color w:val="333333"/>
          <w:sz w:val="21"/>
          <w:szCs w:val="21"/>
        </w:rPr>
        <w:t>5.其他相关情况</w:t>
      </w:r>
    </w:p>
    <w:p w14:paraId="5DB69076">
      <w:pPr>
        <w:pStyle w:val="5"/>
        <w:widowControl/>
        <w:spacing w:before="750" w:beforeAutospacing="0" w:after="750" w:afterAutospacing="0" w:line="360" w:lineRule="atLeast"/>
        <w:ind w:left="376" w:right="376"/>
        <w:rPr>
          <w:rFonts w:cs="宋体"/>
        </w:rPr>
      </w:pPr>
      <w:r>
        <w:rPr>
          <w:rFonts w:cs="宋体"/>
          <w:color w:val="333333"/>
        </w:rPr>
        <w:t>三、项目采购实施计划</w:t>
      </w:r>
    </w:p>
    <w:p w14:paraId="5A20AF50">
      <w:pPr>
        <w:pStyle w:val="7"/>
        <w:widowControl/>
        <w:spacing w:before="750" w:beforeAutospacing="0" w:after="750" w:afterAutospacing="0" w:line="480" w:lineRule="atLeast"/>
        <w:ind w:left="376" w:right="376" w:firstLine="420"/>
        <w:rPr>
          <w:rFonts w:hint="eastAsia" w:ascii="宋体" w:hAnsi="宋体" w:cs="宋体"/>
          <w:color w:val="000000"/>
        </w:rPr>
      </w:pPr>
      <w:r>
        <w:rPr>
          <w:rFonts w:hint="eastAsia" w:ascii="宋体" w:hAnsi="宋体" w:cs="宋体"/>
          <w:color w:val="000000"/>
          <w:sz w:val="21"/>
          <w:szCs w:val="21"/>
        </w:rPr>
        <w:t>（一）采购组织形式：部门集中采购</w:t>
      </w:r>
    </w:p>
    <w:p w14:paraId="628EEB20">
      <w:pPr>
        <w:pStyle w:val="7"/>
        <w:widowControl/>
        <w:spacing w:before="750" w:beforeAutospacing="0" w:after="750" w:afterAutospacing="0" w:line="480" w:lineRule="atLeast"/>
        <w:ind w:left="376" w:right="376" w:firstLine="420"/>
        <w:rPr>
          <w:rFonts w:hint="eastAsia" w:ascii="宋体" w:hAnsi="宋体" w:cs="宋体"/>
          <w:color w:val="000000"/>
        </w:rPr>
      </w:pPr>
      <w:r>
        <w:rPr>
          <w:rFonts w:hint="eastAsia" w:ascii="宋体" w:hAnsi="宋体" w:cs="宋体"/>
          <w:color w:val="000000"/>
          <w:sz w:val="21"/>
          <w:szCs w:val="21"/>
        </w:rPr>
        <w:t>（二）采购方式：竞争性磋商</w:t>
      </w:r>
    </w:p>
    <w:p w14:paraId="7FFF30C9">
      <w:pPr>
        <w:pStyle w:val="7"/>
        <w:widowControl/>
        <w:spacing w:before="750" w:beforeAutospacing="0" w:after="750" w:afterAutospacing="0" w:line="480" w:lineRule="atLeast"/>
        <w:ind w:left="376" w:right="376" w:firstLine="420"/>
        <w:rPr>
          <w:rFonts w:hint="eastAsia" w:ascii="宋体" w:hAnsi="宋体" w:cs="宋体"/>
        </w:rPr>
      </w:pPr>
      <w:r>
        <w:rPr>
          <w:rFonts w:hint="eastAsia" w:ascii="宋体" w:hAnsi="宋体" w:cs="宋体"/>
          <w:color w:val="333333"/>
          <w:sz w:val="21"/>
          <w:szCs w:val="21"/>
        </w:rPr>
        <w:t>（三）本项目是否单位自行组织采购：否</w:t>
      </w:r>
    </w:p>
    <w:p w14:paraId="53341B3B">
      <w:pPr>
        <w:pStyle w:val="7"/>
        <w:widowControl/>
        <w:spacing w:before="750" w:beforeAutospacing="0" w:after="750" w:afterAutospacing="0" w:line="480" w:lineRule="atLeast"/>
        <w:ind w:left="376" w:right="376" w:firstLine="420"/>
        <w:rPr>
          <w:rFonts w:hint="eastAsia" w:ascii="宋体" w:hAnsi="宋体" w:cs="宋体"/>
        </w:rPr>
      </w:pPr>
      <w:r>
        <w:rPr>
          <w:rFonts w:hint="eastAsia" w:ascii="宋体" w:hAnsi="宋体" w:cs="宋体"/>
          <w:color w:val="333333"/>
          <w:sz w:val="21"/>
          <w:szCs w:val="21"/>
        </w:rPr>
        <w:t>（四）采购包划分：不分包采购</w:t>
      </w:r>
    </w:p>
    <w:p w14:paraId="41A8BD0E">
      <w:pPr>
        <w:pStyle w:val="7"/>
        <w:widowControl/>
        <w:spacing w:before="750" w:beforeAutospacing="0" w:after="750" w:afterAutospacing="0" w:line="480" w:lineRule="atLeast"/>
        <w:ind w:left="376" w:right="376" w:firstLine="420"/>
        <w:rPr>
          <w:rFonts w:hint="eastAsia" w:ascii="宋体" w:hAnsi="宋体" w:cs="宋体"/>
        </w:rPr>
      </w:pPr>
      <w:r>
        <w:rPr>
          <w:rFonts w:hint="eastAsia" w:ascii="宋体" w:hAnsi="宋体" w:cs="宋体"/>
          <w:color w:val="333333"/>
          <w:sz w:val="21"/>
          <w:szCs w:val="21"/>
        </w:rPr>
        <w:t>（五）执行政府采购促进中小企业发展的相关政策</w:t>
      </w:r>
    </w:p>
    <w:p w14:paraId="57843753">
      <w:pPr>
        <w:pStyle w:val="7"/>
        <w:widowControl/>
        <w:spacing w:before="750" w:beforeAutospacing="0" w:after="750" w:afterAutospacing="0" w:line="480" w:lineRule="atLeast"/>
        <w:ind w:left="376" w:right="376" w:firstLine="840"/>
        <w:rPr>
          <w:rFonts w:hint="eastAsia" w:ascii="宋体" w:hAnsi="宋体" w:cs="宋体"/>
          <w:color w:val="000000"/>
        </w:rPr>
      </w:pPr>
      <w:r>
        <w:rPr>
          <w:rFonts w:hint="eastAsia" w:ascii="宋体" w:hAnsi="宋体" w:cs="宋体"/>
          <w:color w:val="000000"/>
          <w:sz w:val="21"/>
          <w:szCs w:val="21"/>
        </w:rPr>
        <w:t>1. </w:t>
      </w:r>
      <w:r>
        <w:rPr>
          <w:rFonts w:hint="eastAsia" w:ascii="宋体" w:hAnsi="宋体" w:cs="宋体"/>
          <w:color w:val="000000"/>
          <w:sz w:val="21"/>
          <w:szCs w:val="21"/>
          <w:lang w:val="en-US" w:eastAsia="zh-CN"/>
        </w:rPr>
        <w:t>不</w:t>
      </w:r>
      <w:r>
        <w:rPr>
          <w:rFonts w:hint="eastAsia" w:ascii="宋体" w:hAnsi="宋体" w:cs="宋体"/>
          <w:color w:val="000000"/>
          <w:sz w:val="21"/>
          <w:szCs w:val="21"/>
        </w:rPr>
        <w:t>专门面向中小企业采购</w:t>
      </w:r>
    </w:p>
    <w:p w14:paraId="3202134C">
      <w:pPr>
        <w:pStyle w:val="7"/>
        <w:widowControl/>
        <w:spacing w:before="750" w:beforeAutospacing="0" w:after="750" w:afterAutospacing="0" w:line="480" w:lineRule="atLeast"/>
        <w:ind w:left="376" w:right="376" w:firstLine="840"/>
        <w:rPr>
          <w:rFonts w:hint="eastAsia" w:ascii="宋体" w:hAnsi="宋体" w:cs="宋体"/>
        </w:rPr>
      </w:pPr>
      <w:r>
        <w:rPr>
          <w:rFonts w:hint="eastAsia" w:ascii="宋体" w:hAnsi="宋体" w:cs="宋体"/>
          <w:i/>
          <w:iCs/>
          <w:color w:val="333333"/>
          <w:sz w:val="21"/>
          <w:szCs w:val="21"/>
        </w:rPr>
        <w:t>注：监狱企业和残疾人福利单位视同小微企业。</w:t>
      </w:r>
    </w:p>
    <w:p w14:paraId="5BFB5B1D">
      <w:pPr>
        <w:pStyle w:val="7"/>
        <w:widowControl/>
        <w:spacing w:before="750" w:beforeAutospacing="0" w:after="750" w:afterAutospacing="0" w:line="480" w:lineRule="atLeast"/>
        <w:ind w:left="376" w:right="376" w:firstLine="420"/>
        <w:rPr>
          <w:rFonts w:hint="eastAsia" w:ascii="宋体" w:hAnsi="宋体" w:cs="宋体"/>
        </w:rPr>
      </w:pPr>
      <w:r>
        <w:rPr>
          <w:rFonts w:hint="eastAsia" w:ascii="宋体" w:hAnsi="宋体" w:cs="宋体"/>
          <w:color w:val="333333"/>
          <w:sz w:val="21"/>
          <w:szCs w:val="21"/>
        </w:rPr>
        <w:t>（六）是否采购环境标识产品：否</w:t>
      </w:r>
    </w:p>
    <w:p w14:paraId="6EA5DAAF">
      <w:pPr>
        <w:pStyle w:val="7"/>
        <w:widowControl/>
        <w:spacing w:before="750" w:beforeAutospacing="0" w:after="750" w:afterAutospacing="0" w:line="480" w:lineRule="atLeast"/>
        <w:ind w:left="376" w:right="376" w:firstLine="420"/>
        <w:rPr>
          <w:rFonts w:hint="eastAsia" w:ascii="宋体" w:hAnsi="宋体" w:cs="宋体"/>
        </w:rPr>
      </w:pPr>
      <w:r>
        <w:rPr>
          <w:rFonts w:hint="eastAsia" w:ascii="宋体" w:hAnsi="宋体" w:cs="宋体"/>
          <w:color w:val="333333"/>
          <w:sz w:val="21"/>
          <w:szCs w:val="21"/>
        </w:rPr>
        <w:t>（七）是否采购节能产品：否</w:t>
      </w:r>
    </w:p>
    <w:p w14:paraId="6E591B87">
      <w:pPr>
        <w:pStyle w:val="7"/>
        <w:widowControl/>
        <w:spacing w:before="750" w:beforeAutospacing="0" w:after="750" w:afterAutospacing="0" w:line="480" w:lineRule="atLeast"/>
        <w:ind w:left="376" w:right="376" w:firstLine="420"/>
        <w:rPr>
          <w:rFonts w:hint="eastAsia" w:ascii="宋体" w:hAnsi="宋体" w:cs="宋体"/>
        </w:rPr>
      </w:pPr>
      <w:r>
        <w:rPr>
          <w:rFonts w:hint="eastAsia" w:ascii="宋体" w:hAnsi="宋体" w:cs="宋体"/>
          <w:color w:val="333333"/>
          <w:sz w:val="21"/>
          <w:szCs w:val="21"/>
        </w:rPr>
        <w:t>（八）项目的采购标的是否包含进口产品：否</w:t>
      </w:r>
    </w:p>
    <w:p w14:paraId="62479F28">
      <w:pPr>
        <w:pStyle w:val="7"/>
        <w:widowControl/>
        <w:spacing w:before="750" w:beforeAutospacing="0" w:after="750" w:afterAutospacing="0" w:line="480" w:lineRule="atLeast"/>
        <w:ind w:left="376" w:right="376" w:firstLine="420"/>
        <w:rPr>
          <w:rFonts w:hint="eastAsia" w:ascii="宋体" w:hAnsi="宋体" w:cs="宋体"/>
        </w:rPr>
      </w:pPr>
      <w:r>
        <w:rPr>
          <w:rFonts w:hint="eastAsia" w:ascii="宋体" w:hAnsi="宋体" w:cs="宋体"/>
          <w:color w:val="333333"/>
          <w:sz w:val="21"/>
          <w:szCs w:val="21"/>
        </w:rPr>
        <w:t>（九）采购标的是否属于政府购买服务：否</w:t>
      </w:r>
    </w:p>
    <w:p w14:paraId="59608FC3">
      <w:pPr>
        <w:pStyle w:val="7"/>
        <w:widowControl/>
        <w:spacing w:before="750" w:beforeAutospacing="0" w:after="750" w:afterAutospacing="0" w:line="480" w:lineRule="atLeast"/>
        <w:ind w:left="376" w:right="376" w:firstLine="420"/>
        <w:rPr>
          <w:rFonts w:hint="eastAsia" w:ascii="宋体" w:hAnsi="宋体" w:cs="宋体"/>
        </w:rPr>
      </w:pPr>
      <w:r>
        <w:rPr>
          <w:rFonts w:hint="eastAsia" w:ascii="宋体" w:hAnsi="宋体" w:cs="宋体"/>
          <w:color w:val="333333"/>
          <w:sz w:val="21"/>
          <w:szCs w:val="21"/>
        </w:rPr>
        <w:t>（十）是否属于政务信息系统项目：否</w:t>
      </w:r>
    </w:p>
    <w:p w14:paraId="280D55FD">
      <w:pPr>
        <w:pStyle w:val="4"/>
        <w:bidi w:val="0"/>
        <w:ind w:firstLine="840" w:firstLineChars="400"/>
        <w:rPr>
          <w:rFonts w:hint="eastAsia" w:ascii="宋体" w:hAnsi="宋体" w:eastAsia="宋体" w:cs="宋体"/>
          <w:b w:val="0"/>
          <w:bCs w:val="0"/>
          <w:color w:val="333333"/>
          <w:kern w:val="0"/>
          <w:sz w:val="21"/>
          <w:szCs w:val="21"/>
          <w:lang w:val="en-US" w:eastAsia="zh-CN" w:bidi="ar"/>
        </w:rPr>
      </w:pPr>
      <w:r>
        <w:rPr>
          <w:rFonts w:hint="eastAsia" w:ascii="宋体" w:hAnsi="宋体" w:eastAsia="宋体" w:cs="宋体"/>
          <w:b w:val="0"/>
          <w:bCs w:val="0"/>
          <w:color w:val="333333"/>
          <w:kern w:val="0"/>
          <w:sz w:val="21"/>
          <w:szCs w:val="21"/>
          <w:lang w:val="en-US" w:eastAsia="zh-CN" w:bidi="ar"/>
        </w:rPr>
        <w:t>（十一）是否属于高校、科研院所的科研仪器设备采购：否</w:t>
      </w:r>
    </w:p>
    <w:p w14:paraId="01AB7204">
      <w:pPr>
        <w:pStyle w:val="7"/>
        <w:widowControl/>
        <w:spacing w:before="750" w:beforeAutospacing="0" w:after="750" w:afterAutospacing="0" w:line="480" w:lineRule="atLeast"/>
        <w:ind w:left="376" w:right="376" w:firstLine="420"/>
        <w:rPr>
          <w:rFonts w:hint="eastAsia" w:ascii="宋体" w:hAnsi="宋体" w:cs="宋体"/>
        </w:rPr>
      </w:pPr>
      <w:r>
        <w:rPr>
          <w:rFonts w:hint="eastAsia" w:ascii="宋体" w:hAnsi="宋体" w:cs="宋体"/>
          <w:color w:val="333333"/>
          <w:sz w:val="21"/>
          <w:szCs w:val="21"/>
        </w:rPr>
        <w:t>（十二）是否属于一签多年项目：否</w:t>
      </w:r>
    </w:p>
    <w:p w14:paraId="5825FC5B">
      <w:pPr>
        <w:pStyle w:val="5"/>
        <w:widowControl/>
        <w:spacing w:before="750" w:beforeAutospacing="0" w:after="750" w:afterAutospacing="0" w:line="360" w:lineRule="atLeast"/>
        <w:ind w:left="376" w:right="376"/>
        <w:rPr>
          <w:rFonts w:cs="宋体"/>
        </w:rPr>
      </w:pPr>
      <w:r>
        <w:rPr>
          <w:rFonts w:cs="宋体"/>
          <w:color w:val="333333"/>
        </w:rPr>
        <w:t>四、项目需求及分包情况、采购标的</w:t>
      </w:r>
    </w:p>
    <w:p w14:paraId="0FFC898A">
      <w:pPr>
        <w:pStyle w:val="7"/>
        <w:widowControl/>
        <w:spacing w:before="750" w:beforeAutospacing="0" w:after="750" w:afterAutospacing="0" w:line="480" w:lineRule="atLeast"/>
        <w:ind w:left="376" w:right="376" w:firstLine="420"/>
        <w:rPr>
          <w:rFonts w:hint="eastAsia" w:cs="宋体"/>
          <w:color w:val="333333"/>
          <w:sz w:val="24"/>
          <w:szCs w:val="24"/>
        </w:rPr>
      </w:pPr>
      <w:r>
        <w:rPr>
          <w:rFonts w:cs="宋体"/>
          <w:color w:val="333333"/>
          <w:sz w:val="24"/>
          <w:szCs w:val="24"/>
        </w:rPr>
        <w:t>（一）分包名称：</w:t>
      </w:r>
      <w:r>
        <w:rPr>
          <w:rFonts w:hint="eastAsia" w:cs="宋体"/>
          <w:color w:val="333333"/>
          <w:sz w:val="24"/>
          <w:szCs w:val="24"/>
          <w:lang w:eastAsia="zh-CN"/>
        </w:rPr>
        <w:t>凝聚广告力量、助力乡村振兴公益行动</w:t>
      </w:r>
      <w:r>
        <w:rPr>
          <w:rFonts w:hint="eastAsia" w:cs="宋体"/>
          <w:color w:val="333333"/>
          <w:sz w:val="24"/>
          <w:szCs w:val="24"/>
        </w:rPr>
        <w:t>项目</w:t>
      </w:r>
    </w:p>
    <w:p w14:paraId="534A9D22">
      <w:pPr>
        <w:pStyle w:val="7"/>
        <w:widowControl/>
        <w:spacing w:before="750" w:beforeAutospacing="0" w:after="750" w:afterAutospacing="0" w:line="480" w:lineRule="atLeast"/>
        <w:ind w:left="376" w:right="376" w:firstLine="420"/>
        <w:rPr>
          <w:rFonts w:hint="eastAsia" w:ascii="宋体" w:hAnsi="宋体" w:cs="宋体"/>
          <w:color w:val="333333"/>
          <w:sz w:val="21"/>
          <w:szCs w:val="21"/>
        </w:rPr>
      </w:pPr>
      <w:r>
        <w:rPr>
          <w:rFonts w:hint="eastAsia" w:ascii="宋体" w:hAnsi="宋体" w:cs="宋体"/>
          <w:color w:val="333333"/>
          <w:sz w:val="21"/>
          <w:szCs w:val="21"/>
        </w:rPr>
        <w:t>1、执行政府采购促进中小企业发展的相关政策</w:t>
      </w:r>
    </w:p>
    <w:p w14:paraId="28F6891C">
      <w:pPr>
        <w:pStyle w:val="7"/>
        <w:widowControl/>
        <w:spacing w:before="750" w:beforeAutospacing="0" w:after="750" w:afterAutospacing="0" w:line="480" w:lineRule="atLeast"/>
        <w:ind w:left="376" w:right="376" w:firstLine="420"/>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lang w:val="en-US" w:eastAsia="zh-CN"/>
        </w:rPr>
        <w:t>不</w:t>
      </w:r>
      <w:r>
        <w:rPr>
          <w:rFonts w:hint="eastAsia" w:ascii="宋体" w:hAnsi="宋体" w:eastAsia="宋体" w:cs="宋体"/>
          <w:i w:val="0"/>
          <w:iCs w:val="0"/>
          <w:caps w:val="0"/>
          <w:color w:val="000000"/>
          <w:spacing w:val="0"/>
          <w:sz w:val="24"/>
          <w:szCs w:val="24"/>
          <w:shd w:val="clear" w:color="auto" w:fill="FFFFFF"/>
        </w:rPr>
        <w:t>专门面向中小企业采购</w:t>
      </w:r>
    </w:p>
    <w:p w14:paraId="0D5449F6">
      <w:pPr>
        <w:pStyle w:val="7"/>
        <w:widowControl/>
        <w:spacing w:before="750" w:beforeAutospacing="0" w:after="750" w:afterAutospacing="0" w:line="480" w:lineRule="atLeast"/>
        <w:ind w:right="376"/>
        <w:rPr>
          <w:rFonts w:hint="eastAsia" w:ascii="宋体" w:hAnsi="宋体" w:cs="宋体"/>
          <w:color w:val="000000"/>
        </w:rPr>
      </w:pPr>
      <w:r>
        <w:rPr>
          <w:rFonts w:hint="eastAsia" w:ascii="宋体" w:hAnsi="宋体" w:cs="宋体"/>
          <w:color w:val="333333"/>
          <w:sz w:val="21"/>
          <w:szCs w:val="21"/>
        </w:rPr>
        <w:t>2、预算金额（元）：</w:t>
      </w:r>
      <w:r>
        <w:rPr>
          <w:rFonts w:hint="eastAsia" w:ascii="宋体" w:hAnsi="宋体" w:cs="宋体"/>
          <w:color w:val="000000"/>
          <w:sz w:val="21"/>
          <w:szCs w:val="21"/>
          <w:lang w:val="en-US" w:eastAsia="zh-CN"/>
        </w:rPr>
        <w:t>21</w:t>
      </w:r>
      <w:r>
        <w:rPr>
          <w:rFonts w:hint="eastAsia" w:ascii="宋体" w:hAnsi="宋体" w:cs="宋体"/>
          <w:color w:val="000000"/>
          <w:sz w:val="21"/>
          <w:szCs w:val="21"/>
        </w:rPr>
        <w:t>0,000.00 ，大写（人民币）： </w:t>
      </w:r>
      <w:r>
        <w:rPr>
          <w:rFonts w:hint="eastAsia" w:ascii="宋体" w:hAnsi="宋体" w:cs="宋体"/>
          <w:color w:val="000000"/>
          <w:sz w:val="21"/>
          <w:szCs w:val="21"/>
          <w:lang w:val="en-US" w:eastAsia="zh-CN"/>
        </w:rPr>
        <w:t>贰拾壹</w:t>
      </w:r>
      <w:r>
        <w:rPr>
          <w:rFonts w:hint="eastAsia" w:ascii="宋体" w:hAnsi="宋体" w:cs="宋体"/>
          <w:color w:val="000000"/>
          <w:sz w:val="21"/>
          <w:szCs w:val="21"/>
        </w:rPr>
        <w:t>万元整</w:t>
      </w:r>
      <w:bookmarkStart w:id="0" w:name="_GoBack"/>
      <w:bookmarkEnd w:id="0"/>
    </w:p>
    <w:p w14:paraId="269684CC">
      <w:pPr>
        <w:pStyle w:val="7"/>
        <w:widowControl/>
        <w:spacing w:before="750" w:beforeAutospacing="0" w:after="750" w:afterAutospacing="0" w:line="480" w:lineRule="atLeast"/>
        <w:ind w:right="376"/>
        <w:rPr>
          <w:rFonts w:hint="eastAsia" w:ascii="宋体" w:hAnsi="宋体" w:cs="宋体"/>
          <w:color w:val="000000"/>
        </w:rPr>
      </w:pPr>
      <w:r>
        <w:rPr>
          <w:rFonts w:hint="eastAsia" w:ascii="宋体" w:hAnsi="宋体" w:cs="宋体"/>
          <w:color w:val="000000"/>
          <w:sz w:val="21"/>
          <w:szCs w:val="21"/>
        </w:rPr>
        <w:t>最高限价（元）： </w:t>
      </w:r>
      <w:r>
        <w:rPr>
          <w:rFonts w:hint="eastAsia" w:ascii="宋体" w:hAnsi="宋体" w:cs="宋体"/>
          <w:color w:val="000000"/>
          <w:sz w:val="21"/>
          <w:szCs w:val="21"/>
          <w:lang w:val="en-US" w:eastAsia="zh-CN"/>
        </w:rPr>
        <w:t>21</w:t>
      </w:r>
      <w:r>
        <w:rPr>
          <w:rFonts w:hint="eastAsia" w:ascii="宋体" w:hAnsi="宋体" w:cs="宋体"/>
          <w:color w:val="000000"/>
          <w:sz w:val="21"/>
          <w:szCs w:val="21"/>
        </w:rPr>
        <w:t>0,000.00 ，大写（人民币）： </w:t>
      </w:r>
      <w:r>
        <w:rPr>
          <w:rFonts w:hint="eastAsia" w:ascii="宋体" w:hAnsi="宋体" w:cs="宋体"/>
          <w:color w:val="000000"/>
          <w:sz w:val="21"/>
          <w:szCs w:val="21"/>
          <w:lang w:val="en-US" w:eastAsia="zh-CN"/>
        </w:rPr>
        <w:t>贰拾壹</w:t>
      </w:r>
      <w:r>
        <w:rPr>
          <w:rFonts w:hint="eastAsia" w:ascii="宋体" w:hAnsi="宋体" w:cs="宋体"/>
          <w:color w:val="000000"/>
          <w:sz w:val="21"/>
          <w:szCs w:val="21"/>
        </w:rPr>
        <w:t>万元整</w:t>
      </w:r>
    </w:p>
    <w:tbl>
      <w:tblPr>
        <w:tblStyle w:val="9"/>
        <w:tblpPr w:leftFromText="180" w:rightFromText="180" w:vertAnchor="text" w:horzAnchor="margin" w:tblpXSpec="center" w:tblpY="773"/>
        <w:tblOverlap w:val="never"/>
        <w:tblW w:w="9901" w:type="dxa"/>
        <w:tblInd w:w="0" w:type="dxa"/>
        <w:shd w:val="clear" w:color="auto" w:fill="FFFF00"/>
        <w:tblLayout w:type="autofit"/>
        <w:tblCellMar>
          <w:top w:w="0" w:type="dxa"/>
          <w:left w:w="0" w:type="dxa"/>
          <w:bottom w:w="0" w:type="dxa"/>
          <w:right w:w="0" w:type="dxa"/>
        </w:tblCellMar>
      </w:tblPr>
      <w:tblGrid>
        <w:gridCol w:w="611"/>
        <w:gridCol w:w="1225"/>
        <w:gridCol w:w="4288"/>
        <w:gridCol w:w="1225"/>
        <w:gridCol w:w="2552"/>
      </w:tblGrid>
      <w:tr w14:paraId="193B4ED5">
        <w:tblPrEx>
          <w:shd w:val="clear" w:color="auto" w:fill="FFFF00"/>
          <w:tblCellMar>
            <w:top w:w="0" w:type="dxa"/>
            <w:left w:w="0" w:type="dxa"/>
            <w:bottom w:w="0" w:type="dxa"/>
            <w:right w:w="0" w:type="dxa"/>
          </w:tblCellMar>
        </w:tblPrEx>
        <w:trPr>
          <w:trHeight w:val="759" w:hRule="atLeast"/>
        </w:trPr>
        <w:tc>
          <w:tcPr>
            <w:tcW w:w="611" w:type="dxa"/>
            <w:vMerge w:val="restart"/>
            <w:tcBorders>
              <w:top w:val="single" w:color="000000" w:sz="6" w:space="0"/>
              <w:left w:val="single" w:color="000000" w:sz="6" w:space="0"/>
              <w:bottom w:val="single" w:color="000000" w:sz="6" w:space="0"/>
              <w:right w:val="single" w:color="000000" w:sz="6" w:space="0"/>
            </w:tcBorders>
            <w:shd w:val="clear" w:color="auto" w:fill="FFFF00"/>
            <w:noWrap w:val="0"/>
            <w:tcMar>
              <w:left w:w="120" w:type="dxa"/>
              <w:right w:w="120" w:type="dxa"/>
            </w:tcMar>
            <w:vAlign w:val="center"/>
          </w:tcPr>
          <w:p w14:paraId="64500D5F">
            <w:pPr>
              <w:widowControl/>
              <w:wordWrap w:val="0"/>
              <w:spacing w:line="480" w:lineRule="atLeast"/>
              <w:jc w:val="left"/>
              <w:rPr>
                <w:rFonts w:hint="eastAsia" w:ascii="宋体" w:hAnsi="宋体" w:cs="宋体"/>
                <w:color w:val="auto"/>
                <w:highlight w:val="none"/>
              </w:rPr>
            </w:pPr>
            <w:r>
              <w:rPr>
                <w:rFonts w:hint="eastAsia" w:ascii="宋体" w:hAnsi="宋体" w:cs="宋体"/>
                <w:color w:val="auto"/>
                <w:kern w:val="0"/>
                <w:sz w:val="24"/>
                <w:highlight w:val="none"/>
                <w:lang w:bidi="ar"/>
              </w:rPr>
              <w:t>1</w:t>
            </w:r>
          </w:p>
        </w:tc>
        <w:tc>
          <w:tcPr>
            <w:tcW w:w="1225" w:type="dxa"/>
            <w:tcBorders>
              <w:top w:val="single" w:color="000000" w:sz="6" w:space="0"/>
              <w:left w:val="single" w:color="000000" w:sz="6" w:space="0"/>
              <w:bottom w:val="single" w:color="000000" w:sz="6" w:space="0"/>
              <w:right w:val="single" w:color="000000" w:sz="6" w:space="0"/>
            </w:tcBorders>
            <w:shd w:val="clear" w:color="auto" w:fill="FFFF00"/>
            <w:noWrap w:val="0"/>
            <w:tcMar>
              <w:left w:w="120" w:type="dxa"/>
              <w:right w:w="120" w:type="dxa"/>
            </w:tcMar>
            <w:vAlign w:val="center"/>
          </w:tcPr>
          <w:p w14:paraId="3771BBEF">
            <w:pPr>
              <w:widowControl/>
              <w:wordWrap w:val="0"/>
              <w:spacing w:line="480" w:lineRule="atLeast"/>
              <w:jc w:val="center"/>
              <w:rPr>
                <w:rFonts w:hint="eastAsia" w:ascii="宋体" w:hAnsi="宋体" w:cs="宋体"/>
                <w:b/>
                <w:bCs/>
                <w:color w:val="auto"/>
                <w:highlight w:val="none"/>
              </w:rPr>
            </w:pPr>
            <w:r>
              <w:rPr>
                <w:rFonts w:hint="eastAsia" w:ascii="宋体" w:hAnsi="宋体" w:cs="宋体"/>
                <w:b/>
                <w:bCs/>
                <w:color w:val="auto"/>
                <w:kern w:val="0"/>
                <w:sz w:val="24"/>
                <w:highlight w:val="none"/>
                <w:lang w:bidi="ar"/>
              </w:rPr>
              <w:t>采购品目</w:t>
            </w:r>
          </w:p>
        </w:tc>
        <w:tc>
          <w:tcPr>
            <w:tcW w:w="4288" w:type="dxa"/>
            <w:tcBorders>
              <w:top w:val="single" w:color="000000" w:sz="6" w:space="0"/>
              <w:left w:val="single" w:color="000000" w:sz="6" w:space="0"/>
              <w:bottom w:val="single" w:color="000000" w:sz="6" w:space="0"/>
              <w:right w:val="single" w:color="000000" w:sz="6" w:space="0"/>
            </w:tcBorders>
            <w:shd w:val="clear" w:color="auto" w:fill="FFFF00"/>
            <w:noWrap w:val="0"/>
            <w:tcMar>
              <w:left w:w="120" w:type="dxa"/>
              <w:right w:w="120" w:type="dxa"/>
            </w:tcMar>
            <w:vAlign w:val="center"/>
          </w:tcPr>
          <w:p w14:paraId="48805DD4">
            <w:pPr>
              <w:widowControl/>
              <w:wordWrap w:val="0"/>
              <w:spacing w:line="480" w:lineRule="atLeast"/>
              <w:jc w:val="left"/>
              <w:rPr>
                <w:rFonts w:hint="eastAsia" w:ascii="宋体" w:hAnsi="宋体" w:cs="宋体"/>
                <w:color w:val="auto"/>
                <w:highlight w:val="none"/>
              </w:rPr>
            </w:pPr>
            <w:r>
              <w:rPr>
                <w:rFonts w:hint="eastAsia" w:ascii="宋体" w:hAnsi="宋体" w:cs="宋体"/>
                <w:color w:val="auto"/>
                <w:kern w:val="0"/>
                <w:sz w:val="24"/>
                <w:highlight w:val="none"/>
                <w:lang w:bidi="ar"/>
              </w:rPr>
              <w:t>其他专业技术服务</w:t>
            </w:r>
          </w:p>
        </w:tc>
        <w:tc>
          <w:tcPr>
            <w:tcW w:w="1225" w:type="dxa"/>
            <w:tcBorders>
              <w:top w:val="single" w:color="000000" w:sz="6" w:space="0"/>
              <w:left w:val="single" w:color="000000" w:sz="6" w:space="0"/>
              <w:bottom w:val="single" w:color="000000" w:sz="6" w:space="0"/>
              <w:right w:val="single" w:color="000000" w:sz="6" w:space="0"/>
            </w:tcBorders>
            <w:shd w:val="clear" w:color="auto" w:fill="FFFF00"/>
            <w:noWrap w:val="0"/>
            <w:tcMar>
              <w:left w:w="120" w:type="dxa"/>
              <w:right w:w="120" w:type="dxa"/>
            </w:tcMar>
            <w:vAlign w:val="center"/>
          </w:tcPr>
          <w:p w14:paraId="7F6ABC79">
            <w:pPr>
              <w:widowControl/>
              <w:wordWrap w:val="0"/>
              <w:spacing w:line="480" w:lineRule="atLeast"/>
              <w:jc w:val="center"/>
              <w:rPr>
                <w:rFonts w:hint="eastAsia" w:ascii="宋体" w:hAnsi="宋体" w:cs="宋体"/>
                <w:b/>
                <w:bCs/>
                <w:color w:val="auto"/>
                <w:highlight w:val="none"/>
              </w:rPr>
            </w:pPr>
            <w:r>
              <w:rPr>
                <w:rFonts w:hint="eastAsia" w:ascii="宋体" w:hAnsi="宋体" w:cs="宋体"/>
                <w:b/>
                <w:bCs/>
                <w:color w:val="auto"/>
                <w:kern w:val="0"/>
                <w:sz w:val="24"/>
                <w:highlight w:val="none"/>
                <w:lang w:bidi="ar"/>
              </w:rPr>
              <w:t>标的名称</w:t>
            </w:r>
          </w:p>
        </w:tc>
        <w:tc>
          <w:tcPr>
            <w:tcW w:w="2552" w:type="dxa"/>
            <w:tcBorders>
              <w:top w:val="single" w:color="000000" w:sz="6" w:space="0"/>
              <w:left w:val="single" w:color="000000" w:sz="6" w:space="0"/>
              <w:bottom w:val="single" w:color="000000" w:sz="6" w:space="0"/>
              <w:right w:val="single" w:color="000000" w:sz="6" w:space="0"/>
            </w:tcBorders>
            <w:shd w:val="clear" w:color="auto" w:fill="FFFF00"/>
            <w:noWrap w:val="0"/>
            <w:tcMar>
              <w:left w:w="120" w:type="dxa"/>
              <w:right w:w="120" w:type="dxa"/>
            </w:tcMar>
            <w:vAlign w:val="center"/>
          </w:tcPr>
          <w:p w14:paraId="474BEA08">
            <w:pPr>
              <w:widowControl/>
              <w:wordWrap w:val="0"/>
              <w:spacing w:line="480" w:lineRule="atLeast"/>
              <w:jc w:val="left"/>
              <w:rPr>
                <w:rFonts w:hint="eastAsia" w:ascii="宋体" w:hAnsi="宋体" w:cs="宋体"/>
                <w:color w:val="auto"/>
                <w:highlight w:val="none"/>
              </w:rPr>
            </w:pPr>
            <w:r>
              <w:rPr>
                <w:rFonts w:hint="eastAsia" w:cs="宋体"/>
                <w:color w:val="auto"/>
                <w:sz w:val="24"/>
                <w:szCs w:val="24"/>
                <w:highlight w:val="none"/>
                <w:lang w:eastAsia="zh-CN"/>
              </w:rPr>
              <w:t>凝聚广告力量、助力乡村振兴公益行动</w:t>
            </w:r>
          </w:p>
        </w:tc>
      </w:tr>
      <w:tr w14:paraId="0ED3375C">
        <w:tblPrEx>
          <w:shd w:val="clear" w:color="auto" w:fill="FFFF00"/>
          <w:tblCellMar>
            <w:top w:w="0" w:type="dxa"/>
            <w:left w:w="0" w:type="dxa"/>
            <w:bottom w:w="0" w:type="dxa"/>
            <w:right w:w="0" w:type="dxa"/>
          </w:tblCellMar>
        </w:tblPrEx>
        <w:trPr>
          <w:trHeight w:val="385" w:hRule="atLeast"/>
        </w:trPr>
        <w:tc>
          <w:tcPr>
            <w:tcW w:w="611" w:type="dxa"/>
            <w:vMerge w:val="continue"/>
            <w:tcBorders>
              <w:top w:val="single" w:color="000000" w:sz="6" w:space="0"/>
              <w:left w:val="single" w:color="000000" w:sz="6" w:space="0"/>
              <w:bottom w:val="single" w:color="000000" w:sz="6" w:space="0"/>
              <w:right w:val="single" w:color="000000" w:sz="6" w:space="0"/>
            </w:tcBorders>
            <w:shd w:val="clear" w:color="auto" w:fill="FFFF00"/>
            <w:noWrap w:val="0"/>
            <w:tcMar>
              <w:left w:w="120" w:type="dxa"/>
              <w:right w:w="120" w:type="dxa"/>
            </w:tcMar>
            <w:vAlign w:val="center"/>
          </w:tcPr>
          <w:p w14:paraId="03669FE0">
            <w:pPr>
              <w:rPr>
                <w:rFonts w:hint="eastAsia" w:ascii="宋体" w:hAnsi="宋体" w:cs="宋体"/>
                <w:color w:val="auto"/>
                <w:sz w:val="24"/>
                <w:highlight w:val="none"/>
              </w:rPr>
            </w:pPr>
          </w:p>
        </w:tc>
        <w:tc>
          <w:tcPr>
            <w:tcW w:w="1225" w:type="dxa"/>
            <w:tcBorders>
              <w:top w:val="single" w:color="000000" w:sz="6" w:space="0"/>
              <w:left w:val="single" w:color="000000" w:sz="6" w:space="0"/>
              <w:bottom w:val="single" w:color="000000" w:sz="6" w:space="0"/>
              <w:right w:val="single" w:color="000000" w:sz="6" w:space="0"/>
            </w:tcBorders>
            <w:shd w:val="clear" w:color="auto" w:fill="FFFF00"/>
            <w:noWrap w:val="0"/>
            <w:tcMar>
              <w:left w:w="120" w:type="dxa"/>
              <w:right w:w="120" w:type="dxa"/>
            </w:tcMar>
            <w:vAlign w:val="center"/>
          </w:tcPr>
          <w:p w14:paraId="028CC35B">
            <w:pPr>
              <w:widowControl/>
              <w:wordWrap w:val="0"/>
              <w:spacing w:line="480" w:lineRule="atLeast"/>
              <w:jc w:val="center"/>
              <w:rPr>
                <w:rFonts w:hint="eastAsia" w:ascii="宋体" w:hAnsi="宋体" w:cs="宋体"/>
                <w:b/>
                <w:bCs/>
                <w:color w:val="auto"/>
                <w:highlight w:val="none"/>
              </w:rPr>
            </w:pPr>
            <w:r>
              <w:rPr>
                <w:rFonts w:hint="eastAsia" w:ascii="宋体" w:hAnsi="宋体" w:cs="宋体"/>
                <w:b/>
                <w:bCs/>
                <w:color w:val="auto"/>
                <w:kern w:val="0"/>
                <w:sz w:val="24"/>
                <w:highlight w:val="none"/>
                <w:lang w:bidi="ar"/>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FFFF00"/>
            <w:noWrap w:val="0"/>
            <w:tcMar>
              <w:left w:w="120" w:type="dxa"/>
              <w:right w:w="120" w:type="dxa"/>
            </w:tcMar>
            <w:vAlign w:val="center"/>
          </w:tcPr>
          <w:p w14:paraId="2F3F2300">
            <w:pPr>
              <w:widowControl/>
              <w:wordWrap w:val="0"/>
              <w:spacing w:line="480" w:lineRule="atLeast"/>
              <w:jc w:val="right"/>
              <w:rPr>
                <w:rFonts w:hint="eastAsia" w:ascii="宋体" w:hAnsi="宋体" w:cs="宋体"/>
                <w:color w:val="auto"/>
                <w:highlight w:val="none"/>
              </w:rPr>
            </w:pPr>
            <w:r>
              <w:rPr>
                <w:rFonts w:hint="eastAsia" w:ascii="宋体" w:hAnsi="宋体" w:cs="宋体"/>
                <w:color w:val="auto"/>
                <w:kern w:val="0"/>
                <w:sz w:val="24"/>
                <w:highlight w:val="none"/>
                <w:lang w:bidi="ar"/>
              </w:rPr>
              <w:t>1.00</w:t>
            </w:r>
          </w:p>
        </w:tc>
        <w:tc>
          <w:tcPr>
            <w:tcW w:w="1225" w:type="dxa"/>
            <w:tcBorders>
              <w:top w:val="single" w:color="000000" w:sz="6" w:space="0"/>
              <w:left w:val="single" w:color="000000" w:sz="6" w:space="0"/>
              <w:bottom w:val="single" w:color="000000" w:sz="6" w:space="0"/>
              <w:right w:val="single" w:color="000000" w:sz="6" w:space="0"/>
            </w:tcBorders>
            <w:shd w:val="clear" w:color="auto" w:fill="FFFF00"/>
            <w:noWrap w:val="0"/>
            <w:tcMar>
              <w:left w:w="120" w:type="dxa"/>
              <w:right w:w="120" w:type="dxa"/>
            </w:tcMar>
            <w:vAlign w:val="center"/>
          </w:tcPr>
          <w:p w14:paraId="74B35ABD">
            <w:pPr>
              <w:widowControl/>
              <w:wordWrap w:val="0"/>
              <w:spacing w:line="480" w:lineRule="atLeast"/>
              <w:jc w:val="center"/>
              <w:rPr>
                <w:rFonts w:hint="eastAsia" w:ascii="宋体" w:hAnsi="宋体" w:cs="宋体"/>
                <w:b/>
                <w:bCs/>
                <w:color w:val="auto"/>
                <w:highlight w:val="none"/>
              </w:rPr>
            </w:pPr>
            <w:r>
              <w:rPr>
                <w:rFonts w:hint="eastAsia" w:ascii="宋体" w:hAnsi="宋体" w:cs="宋体"/>
                <w:b/>
                <w:bCs/>
                <w:color w:val="auto"/>
                <w:kern w:val="0"/>
                <w:sz w:val="24"/>
                <w:highlight w:val="none"/>
                <w:lang w:bidi="ar"/>
              </w:rPr>
              <w:t>单位</w:t>
            </w:r>
          </w:p>
        </w:tc>
        <w:tc>
          <w:tcPr>
            <w:tcW w:w="2552" w:type="dxa"/>
            <w:tcBorders>
              <w:top w:val="single" w:color="000000" w:sz="6" w:space="0"/>
              <w:left w:val="single" w:color="000000" w:sz="6" w:space="0"/>
              <w:bottom w:val="single" w:color="000000" w:sz="6" w:space="0"/>
              <w:right w:val="single" w:color="000000" w:sz="6" w:space="0"/>
            </w:tcBorders>
            <w:shd w:val="clear" w:color="auto" w:fill="FFFF00"/>
            <w:noWrap w:val="0"/>
            <w:tcMar>
              <w:left w:w="120" w:type="dxa"/>
              <w:right w:w="120" w:type="dxa"/>
            </w:tcMar>
            <w:vAlign w:val="center"/>
          </w:tcPr>
          <w:p w14:paraId="6F607774">
            <w:pPr>
              <w:widowControl/>
              <w:wordWrap w:val="0"/>
              <w:spacing w:line="480" w:lineRule="atLeast"/>
              <w:jc w:val="left"/>
              <w:rPr>
                <w:rFonts w:hint="eastAsia" w:ascii="宋体" w:hAnsi="宋体" w:cs="宋体"/>
                <w:color w:val="auto"/>
                <w:highlight w:val="none"/>
              </w:rPr>
            </w:pPr>
            <w:r>
              <w:rPr>
                <w:rFonts w:hint="eastAsia" w:ascii="宋体" w:hAnsi="宋体" w:cs="宋体"/>
                <w:color w:val="auto"/>
                <w:kern w:val="0"/>
                <w:sz w:val="24"/>
                <w:highlight w:val="none"/>
                <w:lang w:bidi="ar"/>
              </w:rPr>
              <w:t>项</w:t>
            </w:r>
          </w:p>
        </w:tc>
      </w:tr>
      <w:tr w14:paraId="03DEF110">
        <w:tblPrEx>
          <w:shd w:val="clear" w:color="auto" w:fill="FFFF00"/>
          <w:tblCellMar>
            <w:top w:w="0" w:type="dxa"/>
            <w:left w:w="0" w:type="dxa"/>
            <w:bottom w:w="0" w:type="dxa"/>
            <w:right w:w="0" w:type="dxa"/>
          </w:tblCellMar>
        </w:tblPrEx>
        <w:trPr>
          <w:trHeight w:val="759" w:hRule="atLeast"/>
        </w:trPr>
        <w:tc>
          <w:tcPr>
            <w:tcW w:w="611" w:type="dxa"/>
            <w:vMerge w:val="continue"/>
            <w:tcBorders>
              <w:top w:val="single" w:color="000000" w:sz="6" w:space="0"/>
              <w:left w:val="single" w:color="000000" w:sz="6" w:space="0"/>
              <w:bottom w:val="single" w:color="000000" w:sz="6" w:space="0"/>
              <w:right w:val="single" w:color="000000" w:sz="6" w:space="0"/>
            </w:tcBorders>
            <w:shd w:val="clear" w:color="auto" w:fill="FFFF00"/>
            <w:noWrap w:val="0"/>
            <w:tcMar>
              <w:left w:w="120" w:type="dxa"/>
              <w:right w:w="120" w:type="dxa"/>
            </w:tcMar>
            <w:vAlign w:val="center"/>
          </w:tcPr>
          <w:p w14:paraId="5D8DAA7B">
            <w:pPr>
              <w:rPr>
                <w:rFonts w:hint="eastAsia" w:ascii="宋体" w:hAnsi="宋体" w:cs="宋体"/>
                <w:color w:val="auto"/>
                <w:sz w:val="24"/>
                <w:highlight w:val="none"/>
              </w:rPr>
            </w:pPr>
          </w:p>
        </w:tc>
        <w:tc>
          <w:tcPr>
            <w:tcW w:w="1225" w:type="dxa"/>
            <w:tcBorders>
              <w:top w:val="single" w:color="000000" w:sz="6" w:space="0"/>
              <w:left w:val="single" w:color="000000" w:sz="6" w:space="0"/>
              <w:bottom w:val="single" w:color="000000" w:sz="6" w:space="0"/>
              <w:right w:val="single" w:color="000000" w:sz="6" w:space="0"/>
            </w:tcBorders>
            <w:shd w:val="clear" w:color="auto" w:fill="FFFF00"/>
            <w:noWrap w:val="0"/>
            <w:tcMar>
              <w:left w:w="120" w:type="dxa"/>
              <w:right w:w="120" w:type="dxa"/>
            </w:tcMar>
            <w:vAlign w:val="center"/>
          </w:tcPr>
          <w:p w14:paraId="246BB72C">
            <w:pPr>
              <w:widowControl/>
              <w:wordWrap w:val="0"/>
              <w:spacing w:line="480" w:lineRule="atLeast"/>
              <w:jc w:val="center"/>
              <w:rPr>
                <w:rFonts w:hint="eastAsia" w:ascii="宋体" w:hAnsi="宋体" w:cs="宋体"/>
                <w:b/>
                <w:bCs/>
                <w:color w:val="auto"/>
                <w:highlight w:val="none"/>
              </w:rPr>
            </w:pPr>
            <w:r>
              <w:rPr>
                <w:rFonts w:hint="eastAsia" w:ascii="宋体" w:hAnsi="宋体" w:cs="宋体"/>
                <w:b/>
                <w:bCs/>
                <w:color w:val="auto"/>
                <w:kern w:val="0"/>
                <w:sz w:val="24"/>
                <w:highlight w:val="none"/>
                <w:lang w:bidi="ar"/>
              </w:rPr>
              <w:t>合计金额（元）</w:t>
            </w:r>
          </w:p>
        </w:tc>
        <w:tc>
          <w:tcPr>
            <w:tcW w:w="0" w:type="auto"/>
            <w:tcBorders>
              <w:top w:val="single" w:color="000000" w:sz="6" w:space="0"/>
              <w:left w:val="single" w:color="000000" w:sz="6" w:space="0"/>
              <w:bottom w:val="single" w:color="000000" w:sz="6" w:space="0"/>
              <w:right w:val="single" w:color="000000" w:sz="6" w:space="0"/>
            </w:tcBorders>
            <w:shd w:val="clear" w:color="auto" w:fill="FFFF00"/>
            <w:noWrap w:val="0"/>
            <w:tcMar>
              <w:left w:w="120" w:type="dxa"/>
              <w:right w:w="120" w:type="dxa"/>
            </w:tcMar>
            <w:vAlign w:val="center"/>
          </w:tcPr>
          <w:p w14:paraId="365D3202">
            <w:pPr>
              <w:widowControl/>
              <w:wordWrap w:val="0"/>
              <w:spacing w:line="480" w:lineRule="atLeast"/>
              <w:jc w:val="right"/>
              <w:rPr>
                <w:rFonts w:hint="eastAsia" w:ascii="宋体" w:hAnsi="宋体" w:cs="宋体"/>
                <w:color w:val="auto"/>
                <w:highlight w:val="none"/>
              </w:rPr>
            </w:pPr>
            <w:r>
              <w:rPr>
                <w:rFonts w:hint="eastAsia" w:ascii="宋体" w:hAnsi="宋体" w:cs="宋体"/>
                <w:color w:val="auto"/>
                <w:kern w:val="0"/>
                <w:sz w:val="24"/>
                <w:highlight w:val="none"/>
                <w:lang w:val="en-US" w:eastAsia="zh-CN" w:bidi="ar"/>
              </w:rPr>
              <w:t>21</w:t>
            </w:r>
            <w:r>
              <w:rPr>
                <w:rFonts w:hint="eastAsia" w:ascii="宋体" w:hAnsi="宋体" w:cs="宋体"/>
                <w:color w:val="auto"/>
                <w:kern w:val="0"/>
                <w:sz w:val="24"/>
                <w:highlight w:val="none"/>
                <w:lang w:bidi="ar"/>
              </w:rPr>
              <w:t>0,000.00</w:t>
            </w:r>
          </w:p>
        </w:tc>
        <w:tc>
          <w:tcPr>
            <w:tcW w:w="1225" w:type="dxa"/>
            <w:tcBorders>
              <w:top w:val="single" w:color="000000" w:sz="6" w:space="0"/>
              <w:left w:val="single" w:color="000000" w:sz="6" w:space="0"/>
              <w:bottom w:val="single" w:color="000000" w:sz="6" w:space="0"/>
              <w:right w:val="single" w:color="000000" w:sz="6" w:space="0"/>
            </w:tcBorders>
            <w:shd w:val="clear" w:color="auto" w:fill="FFFF00"/>
            <w:noWrap w:val="0"/>
            <w:tcMar>
              <w:left w:w="120" w:type="dxa"/>
              <w:right w:w="120" w:type="dxa"/>
            </w:tcMar>
            <w:vAlign w:val="center"/>
          </w:tcPr>
          <w:p w14:paraId="531C641C">
            <w:pPr>
              <w:widowControl/>
              <w:wordWrap w:val="0"/>
              <w:spacing w:line="480" w:lineRule="atLeast"/>
              <w:jc w:val="center"/>
              <w:rPr>
                <w:rFonts w:hint="eastAsia" w:ascii="宋体" w:hAnsi="宋体" w:cs="宋体"/>
                <w:b/>
                <w:bCs/>
                <w:color w:val="auto"/>
                <w:highlight w:val="none"/>
              </w:rPr>
            </w:pPr>
            <w:r>
              <w:rPr>
                <w:rFonts w:hint="eastAsia" w:ascii="宋体" w:hAnsi="宋体" w:cs="宋体"/>
                <w:b/>
                <w:bCs/>
                <w:color w:val="auto"/>
                <w:kern w:val="0"/>
                <w:sz w:val="24"/>
                <w:highlight w:val="none"/>
                <w:lang w:bidi="ar"/>
              </w:rPr>
              <w:t>单价（元）</w:t>
            </w:r>
          </w:p>
        </w:tc>
        <w:tc>
          <w:tcPr>
            <w:tcW w:w="2552" w:type="dxa"/>
            <w:tcBorders>
              <w:top w:val="single" w:color="000000" w:sz="6" w:space="0"/>
              <w:left w:val="single" w:color="000000" w:sz="6" w:space="0"/>
              <w:bottom w:val="single" w:color="000000" w:sz="6" w:space="0"/>
              <w:right w:val="single" w:color="000000" w:sz="6" w:space="0"/>
            </w:tcBorders>
            <w:shd w:val="clear" w:color="auto" w:fill="FFFF00"/>
            <w:noWrap w:val="0"/>
            <w:tcMar>
              <w:left w:w="120" w:type="dxa"/>
              <w:right w:w="120" w:type="dxa"/>
            </w:tcMar>
            <w:vAlign w:val="center"/>
          </w:tcPr>
          <w:p w14:paraId="419C361F">
            <w:pPr>
              <w:widowControl/>
              <w:wordWrap w:val="0"/>
              <w:spacing w:line="480" w:lineRule="atLeast"/>
              <w:jc w:val="right"/>
              <w:rPr>
                <w:rFonts w:hint="eastAsia" w:ascii="宋体" w:hAnsi="宋体" w:cs="宋体"/>
                <w:color w:val="auto"/>
                <w:highlight w:val="none"/>
              </w:rPr>
            </w:pPr>
            <w:r>
              <w:rPr>
                <w:rFonts w:hint="eastAsia" w:ascii="宋体" w:hAnsi="宋体" w:cs="宋体"/>
                <w:color w:val="auto"/>
                <w:kern w:val="0"/>
                <w:sz w:val="24"/>
                <w:highlight w:val="none"/>
                <w:lang w:val="en-US" w:eastAsia="zh-CN" w:bidi="ar"/>
              </w:rPr>
              <w:t>21</w:t>
            </w:r>
            <w:r>
              <w:rPr>
                <w:rFonts w:hint="eastAsia" w:ascii="宋体" w:hAnsi="宋体" w:cs="宋体"/>
                <w:color w:val="auto"/>
                <w:kern w:val="0"/>
                <w:sz w:val="24"/>
                <w:highlight w:val="none"/>
                <w:lang w:bidi="ar"/>
              </w:rPr>
              <w:t>0,000.00</w:t>
            </w:r>
          </w:p>
        </w:tc>
      </w:tr>
      <w:tr w14:paraId="6A75EDEB">
        <w:tblPrEx>
          <w:shd w:val="clear" w:color="auto" w:fill="FFFF00"/>
          <w:tblCellMar>
            <w:top w:w="0" w:type="dxa"/>
            <w:left w:w="0" w:type="dxa"/>
            <w:bottom w:w="0" w:type="dxa"/>
            <w:right w:w="0" w:type="dxa"/>
          </w:tblCellMar>
        </w:tblPrEx>
        <w:trPr>
          <w:trHeight w:val="759" w:hRule="atLeast"/>
        </w:trPr>
        <w:tc>
          <w:tcPr>
            <w:tcW w:w="611" w:type="dxa"/>
            <w:vMerge w:val="continue"/>
            <w:tcBorders>
              <w:top w:val="single" w:color="000000" w:sz="6" w:space="0"/>
              <w:left w:val="single" w:color="000000" w:sz="6" w:space="0"/>
              <w:bottom w:val="single" w:color="000000" w:sz="6" w:space="0"/>
              <w:right w:val="single" w:color="000000" w:sz="6" w:space="0"/>
            </w:tcBorders>
            <w:shd w:val="clear" w:color="auto" w:fill="FFFF00"/>
            <w:noWrap w:val="0"/>
            <w:tcMar>
              <w:left w:w="120" w:type="dxa"/>
              <w:right w:w="120" w:type="dxa"/>
            </w:tcMar>
            <w:vAlign w:val="center"/>
          </w:tcPr>
          <w:p w14:paraId="35F3AAD0">
            <w:pPr>
              <w:rPr>
                <w:rFonts w:hint="eastAsia" w:ascii="宋体" w:hAnsi="宋体" w:cs="宋体"/>
                <w:color w:val="auto"/>
                <w:sz w:val="24"/>
                <w:highlight w:val="none"/>
              </w:rPr>
            </w:pPr>
          </w:p>
        </w:tc>
        <w:tc>
          <w:tcPr>
            <w:tcW w:w="1225" w:type="dxa"/>
            <w:tcBorders>
              <w:top w:val="single" w:color="000000" w:sz="6" w:space="0"/>
              <w:left w:val="single" w:color="000000" w:sz="6" w:space="0"/>
              <w:bottom w:val="single" w:color="000000" w:sz="6" w:space="0"/>
              <w:right w:val="single" w:color="000000" w:sz="6" w:space="0"/>
            </w:tcBorders>
            <w:shd w:val="clear" w:color="auto" w:fill="FFFF00"/>
            <w:noWrap w:val="0"/>
            <w:tcMar>
              <w:left w:w="120" w:type="dxa"/>
              <w:right w:w="120" w:type="dxa"/>
            </w:tcMar>
            <w:vAlign w:val="center"/>
          </w:tcPr>
          <w:p w14:paraId="75228B1F">
            <w:pPr>
              <w:widowControl/>
              <w:wordWrap w:val="0"/>
              <w:spacing w:line="480" w:lineRule="atLeast"/>
              <w:jc w:val="center"/>
              <w:rPr>
                <w:rFonts w:hint="eastAsia" w:ascii="宋体" w:hAnsi="宋体" w:cs="宋体"/>
                <w:b/>
                <w:bCs/>
                <w:color w:val="auto"/>
                <w:highlight w:val="none"/>
              </w:rPr>
            </w:pPr>
            <w:r>
              <w:rPr>
                <w:rFonts w:hint="eastAsia" w:ascii="宋体" w:hAnsi="宋体" w:cs="宋体"/>
                <w:b/>
                <w:bCs/>
                <w:color w:val="auto"/>
                <w:kern w:val="0"/>
                <w:sz w:val="24"/>
                <w:highlight w:val="none"/>
                <w:lang w:bidi="ar"/>
              </w:rPr>
              <w:t>是否采购节能产品</w:t>
            </w:r>
          </w:p>
        </w:tc>
        <w:tc>
          <w:tcPr>
            <w:tcW w:w="0" w:type="auto"/>
            <w:tcBorders>
              <w:top w:val="single" w:color="000000" w:sz="6" w:space="0"/>
              <w:left w:val="single" w:color="000000" w:sz="6" w:space="0"/>
              <w:bottom w:val="single" w:color="000000" w:sz="6" w:space="0"/>
              <w:right w:val="single" w:color="000000" w:sz="6" w:space="0"/>
            </w:tcBorders>
            <w:shd w:val="clear" w:color="auto" w:fill="FFFF00"/>
            <w:noWrap w:val="0"/>
            <w:tcMar>
              <w:left w:w="120" w:type="dxa"/>
              <w:right w:w="120" w:type="dxa"/>
            </w:tcMar>
            <w:vAlign w:val="center"/>
          </w:tcPr>
          <w:p w14:paraId="0DB585F4">
            <w:pPr>
              <w:widowControl/>
              <w:wordWrap w:val="0"/>
              <w:spacing w:line="480" w:lineRule="atLeast"/>
              <w:jc w:val="left"/>
              <w:rPr>
                <w:rFonts w:hint="eastAsia" w:ascii="宋体" w:hAnsi="宋体" w:cs="宋体"/>
                <w:color w:val="auto"/>
                <w:highlight w:val="none"/>
              </w:rPr>
            </w:pPr>
            <w:r>
              <w:rPr>
                <w:rFonts w:hint="eastAsia" w:ascii="宋体" w:hAnsi="宋体" w:cs="宋体"/>
                <w:color w:val="auto"/>
                <w:kern w:val="0"/>
                <w:sz w:val="24"/>
                <w:highlight w:val="none"/>
                <w:lang w:bidi="ar"/>
              </w:rPr>
              <w:t>否</w:t>
            </w:r>
          </w:p>
        </w:tc>
        <w:tc>
          <w:tcPr>
            <w:tcW w:w="1225" w:type="dxa"/>
            <w:tcBorders>
              <w:top w:val="single" w:color="000000" w:sz="6" w:space="0"/>
              <w:left w:val="single" w:color="000000" w:sz="6" w:space="0"/>
              <w:bottom w:val="single" w:color="000000" w:sz="6" w:space="0"/>
              <w:right w:val="single" w:color="000000" w:sz="6" w:space="0"/>
            </w:tcBorders>
            <w:shd w:val="clear" w:color="auto" w:fill="FFFF00"/>
            <w:noWrap w:val="0"/>
            <w:tcMar>
              <w:left w:w="120" w:type="dxa"/>
              <w:right w:w="120" w:type="dxa"/>
            </w:tcMar>
            <w:vAlign w:val="center"/>
          </w:tcPr>
          <w:p w14:paraId="2ACC3BB7">
            <w:pPr>
              <w:widowControl/>
              <w:wordWrap w:val="0"/>
              <w:spacing w:line="480" w:lineRule="atLeast"/>
              <w:jc w:val="center"/>
              <w:rPr>
                <w:rFonts w:hint="eastAsia" w:ascii="宋体" w:hAnsi="宋体" w:cs="宋体"/>
                <w:b/>
                <w:bCs/>
                <w:color w:val="auto"/>
                <w:highlight w:val="none"/>
              </w:rPr>
            </w:pPr>
            <w:r>
              <w:rPr>
                <w:rFonts w:hint="eastAsia" w:ascii="宋体" w:hAnsi="宋体" w:cs="宋体"/>
                <w:b/>
                <w:bCs/>
                <w:color w:val="auto"/>
                <w:kern w:val="0"/>
                <w:sz w:val="24"/>
                <w:highlight w:val="none"/>
                <w:lang w:bidi="ar"/>
              </w:rPr>
              <w:t>未采购节能产品原因</w:t>
            </w:r>
          </w:p>
        </w:tc>
        <w:tc>
          <w:tcPr>
            <w:tcW w:w="2552" w:type="dxa"/>
            <w:tcBorders>
              <w:top w:val="single" w:color="000000" w:sz="6" w:space="0"/>
              <w:left w:val="single" w:color="000000" w:sz="6" w:space="0"/>
              <w:bottom w:val="single" w:color="000000" w:sz="6" w:space="0"/>
              <w:right w:val="single" w:color="000000" w:sz="6" w:space="0"/>
            </w:tcBorders>
            <w:shd w:val="clear" w:color="auto" w:fill="FFFF00"/>
            <w:noWrap w:val="0"/>
            <w:tcMar>
              <w:left w:w="120" w:type="dxa"/>
              <w:right w:w="120" w:type="dxa"/>
            </w:tcMar>
            <w:vAlign w:val="center"/>
          </w:tcPr>
          <w:p w14:paraId="6957AC56">
            <w:pPr>
              <w:widowControl/>
              <w:wordWrap w:val="0"/>
              <w:spacing w:line="480" w:lineRule="atLeast"/>
              <w:jc w:val="left"/>
              <w:rPr>
                <w:rFonts w:hint="eastAsia" w:ascii="宋体" w:hAnsi="宋体" w:cs="宋体"/>
                <w:color w:val="auto"/>
                <w:highlight w:val="none"/>
              </w:rPr>
            </w:pPr>
            <w:r>
              <w:rPr>
                <w:rFonts w:hint="eastAsia" w:ascii="宋体" w:hAnsi="宋体" w:cs="宋体"/>
                <w:color w:val="auto"/>
                <w:kern w:val="0"/>
                <w:sz w:val="24"/>
                <w:highlight w:val="none"/>
                <w:lang w:bidi="ar"/>
              </w:rPr>
              <w:t>无</w:t>
            </w:r>
          </w:p>
        </w:tc>
      </w:tr>
      <w:tr w14:paraId="459DB3E4">
        <w:tblPrEx>
          <w:shd w:val="clear" w:color="auto" w:fill="FFFF00"/>
          <w:tblCellMar>
            <w:top w:w="0" w:type="dxa"/>
            <w:left w:w="0" w:type="dxa"/>
            <w:bottom w:w="0" w:type="dxa"/>
            <w:right w:w="0" w:type="dxa"/>
          </w:tblCellMar>
        </w:tblPrEx>
        <w:trPr>
          <w:trHeight w:val="385" w:hRule="atLeast"/>
        </w:trPr>
        <w:tc>
          <w:tcPr>
            <w:tcW w:w="611" w:type="dxa"/>
            <w:vMerge w:val="continue"/>
            <w:tcBorders>
              <w:top w:val="single" w:color="000000" w:sz="6" w:space="0"/>
              <w:left w:val="single" w:color="000000" w:sz="6" w:space="0"/>
              <w:bottom w:val="single" w:color="000000" w:sz="6" w:space="0"/>
              <w:right w:val="single" w:color="000000" w:sz="6" w:space="0"/>
            </w:tcBorders>
            <w:shd w:val="clear" w:color="auto" w:fill="FFFF00"/>
            <w:noWrap w:val="0"/>
            <w:tcMar>
              <w:left w:w="120" w:type="dxa"/>
              <w:right w:w="120" w:type="dxa"/>
            </w:tcMar>
            <w:vAlign w:val="center"/>
          </w:tcPr>
          <w:p w14:paraId="300F431C">
            <w:pPr>
              <w:rPr>
                <w:rFonts w:hint="eastAsia" w:ascii="宋体" w:hAnsi="宋体" w:cs="宋体"/>
                <w:color w:val="auto"/>
                <w:sz w:val="24"/>
                <w:highlight w:val="none"/>
              </w:rPr>
            </w:pPr>
          </w:p>
        </w:tc>
        <w:tc>
          <w:tcPr>
            <w:tcW w:w="1225" w:type="dxa"/>
            <w:tcBorders>
              <w:top w:val="single" w:color="000000" w:sz="6" w:space="0"/>
              <w:left w:val="single" w:color="000000" w:sz="6" w:space="0"/>
              <w:bottom w:val="single" w:color="000000" w:sz="6" w:space="0"/>
              <w:right w:val="single" w:color="000000" w:sz="6" w:space="0"/>
            </w:tcBorders>
            <w:shd w:val="clear" w:color="auto" w:fill="FFFF00"/>
            <w:noWrap w:val="0"/>
            <w:tcMar>
              <w:left w:w="120" w:type="dxa"/>
              <w:right w:w="120" w:type="dxa"/>
            </w:tcMar>
            <w:vAlign w:val="center"/>
          </w:tcPr>
          <w:p w14:paraId="49C37194">
            <w:pPr>
              <w:widowControl/>
              <w:wordWrap w:val="0"/>
              <w:spacing w:line="480" w:lineRule="atLeast"/>
              <w:jc w:val="center"/>
              <w:rPr>
                <w:rFonts w:hint="eastAsia" w:ascii="宋体" w:hAnsi="宋体" w:cs="宋体"/>
                <w:b/>
                <w:bCs/>
                <w:color w:val="auto"/>
                <w:highlight w:val="none"/>
              </w:rPr>
            </w:pPr>
            <w:r>
              <w:rPr>
                <w:rFonts w:hint="eastAsia" w:ascii="宋体" w:hAnsi="宋体" w:cs="宋体"/>
                <w:b/>
                <w:bCs/>
                <w:color w:val="auto"/>
                <w:kern w:val="0"/>
                <w:sz w:val="24"/>
                <w:highlight w:val="none"/>
                <w:lang w:bidi="ar"/>
              </w:rPr>
              <w:t>是否采购环保产品</w:t>
            </w:r>
          </w:p>
        </w:tc>
        <w:tc>
          <w:tcPr>
            <w:tcW w:w="0" w:type="auto"/>
            <w:tcBorders>
              <w:top w:val="single" w:color="000000" w:sz="6" w:space="0"/>
              <w:left w:val="single" w:color="000000" w:sz="6" w:space="0"/>
              <w:bottom w:val="single" w:color="000000" w:sz="6" w:space="0"/>
              <w:right w:val="single" w:color="000000" w:sz="6" w:space="0"/>
            </w:tcBorders>
            <w:shd w:val="clear" w:color="auto" w:fill="FFFF00"/>
            <w:noWrap w:val="0"/>
            <w:tcMar>
              <w:left w:w="120" w:type="dxa"/>
              <w:right w:w="120" w:type="dxa"/>
            </w:tcMar>
            <w:vAlign w:val="center"/>
          </w:tcPr>
          <w:p w14:paraId="41AB9F04">
            <w:pPr>
              <w:widowControl/>
              <w:wordWrap w:val="0"/>
              <w:spacing w:line="480" w:lineRule="atLeast"/>
              <w:jc w:val="left"/>
              <w:rPr>
                <w:rFonts w:hint="eastAsia" w:ascii="宋体" w:hAnsi="宋体" w:cs="宋体"/>
                <w:color w:val="auto"/>
                <w:highlight w:val="none"/>
              </w:rPr>
            </w:pPr>
            <w:r>
              <w:rPr>
                <w:rFonts w:hint="eastAsia" w:ascii="宋体" w:hAnsi="宋体" w:cs="宋体"/>
                <w:color w:val="auto"/>
                <w:kern w:val="0"/>
                <w:sz w:val="24"/>
                <w:highlight w:val="none"/>
                <w:lang w:bidi="ar"/>
              </w:rPr>
              <w:t>否</w:t>
            </w:r>
          </w:p>
        </w:tc>
        <w:tc>
          <w:tcPr>
            <w:tcW w:w="1225" w:type="dxa"/>
            <w:tcBorders>
              <w:top w:val="single" w:color="000000" w:sz="6" w:space="0"/>
              <w:left w:val="single" w:color="000000" w:sz="6" w:space="0"/>
              <w:bottom w:val="single" w:color="000000" w:sz="6" w:space="0"/>
              <w:right w:val="single" w:color="000000" w:sz="6" w:space="0"/>
            </w:tcBorders>
            <w:shd w:val="clear" w:color="auto" w:fill="FFFF00"/>
            <w:noWrap w:val="0"/>
            <w:tcMar>
              <w:left w:w="120" w:type="dxa"/>
              <w:right w:w="120" w:type="dxa"/>
            </w:tcMar>
            <w:vAlign w:val="center"/>
          </w:tcPr>
          <w:p w14:paraId="0549F37C">
            <w:pPr>
              <w:widowControl/>
              <w:wordWrap w:val="0"/>
              <w:spacing w:line="480" w:lineRule="atLeast"/>
              <w:jc w:val="center"/>
              <w:rPr>
                <w:rFonts w:hint="eastAsia" w:ascii="宋体" w:hAnsi="宋体" w:cs="宋体"/>
                <w:b/>
                <w:bCs/>
                <w:color w:val="auto"/>
                <w:highlight w:val="none"/>
              </w:rPr>
            </w:pPr>
            <w:r>
              <w:rPr>
                <w:rFonts w:hint="eastAsia" w:ascii="宋体" w:hAnsi="宋体" w:cs="宋体"/>
                <w:b/>
                <w:bCs/>
                <w:color w:val="auto"/>
                <w:kern w:val="0"/>
                <w:sz w:val="24"/>
                <w:highlight w:val="none"/>
                <w:lang w:bidi="ar"/>
              </w:rPr>
              <w:t>未采购环保产品原因</w:t>
            </w:r>
          </w:p>
        </w:tc>
        <w:tc>
          <w:tcPr>
            <w:tcW w:w="2552" w:type="dxa"/>
            <w:tcBorders>
              <w:top w:val="single" w:color="000000" w:sz="6" w:space="0"/>
              <w:left w:val="single" w:color="000000" w:sz="6" w:space="0"/>
              <w:bottom w:val="single" w:color="000000" w:sz="6" w:space="0"/>
              <w:right w:val="single" w:color="000000" w:sz="6" w:space="0"/>
            </w:tcBorders>
            <w:shd w:val="clear" w:color="auto" w:fill="FFFF00"/>
            <w:noWrap w:val="0"/>
            <w:tcMar>
              <w:left w:w="120" w:type="dxa"/>
              <w:right w:w="120" w:type="dxa"/>
            </w:tcMar>
            <w:vAlign w:val="center"/>
          </w:tcPr>
          <w:p w14:paraId="49C9D978">
            <w:pPr>
              <w:widowControl/>
              <w:wordWrap w:val="0"/>
              <w:spacing w:line="480" w:lineRule="atLeast"/>
              <w:jc w:val="left"/>
              <w:rPr>
                <w:rFonts w:hint="eastAsia" w:ascii="宋体" w:hAnsi="宋体" w:cs="宋体"/>
                <w:color w:val="auto"/>
                <w:highlight w:val="none"/>
              </w:rPr>
            </w:pPr>
            <w:r>
              <w:rPr>
                <w:rFonts w:hint="eastAsia" w:ascii="宋体" w:hAnsi="宋体" w:cs="宋体"/>
                <w:color w:val="auto"/>
                <w:kern w:val="0"/>
                <w:sz w:val="24"/>
                <w:highlight w:val="none"/>
                <w:lang w:bidi="ar"/>
              </w:rPr>
              <w:t>无</w:t>
            </w:r>
          </w:p>
        </w:tc>
      </w:tr>
      <w:tr w14:paraId="259CD236">
        <w:tblPrEx>
          <w:shd w:val="clear" w:color="auto" w:fill="FFFF00"/>
          <w:tblCellMar>
            <w:top w:w="0" w:type="dxa"/>
            <w:left w:w="0" w:type="dxa"/>
            <w:bottom w:w="0" w:type="dxa"/>
            <w:right w:w="0" w:type="dxa"/>
          </w:tblCellMar>
        </w:tblPrEx>
        <w:trPr>
          <w:trHeight w:val="770" w:hRule="atLeast"/>
        </w:trPr>
        <w:tc>
          <w:tcPr>
            <w:tcW w:w="611" w:type="dxa"/>
            <w:vMerge w:val="continue"/>
            <w:tcBorders>
              <w:top w:val="single" w:color="000000" w:sz="6" w:space="0"/>
              <w:left w:val="single" w:color="000000" w:sz="6" w:space="0"/>
              <w:bottom w:val="single" w:color="000000" w:sz="6" w:space="0"/>
              <w:right w:val="single" w:color="000000" w:sz="6" w:space="0"/>
            </w:tcBorders>
            <w:shd w:val="clear" w:color="auto" w:fill="FFFF00"/>
            <w:noWrap w:val="0"/>
            <w:tcMar>
              <w:left w:w="120" w:type="dxa"/>
              <w:right w:w="120" w:type="dxa"/>
            </w:tcMar>
            <w:vAlign w:val="center"/>
          </w:tcPr>
          <w:p w14:paraId="1038E29F">
            <w:pPr>
              <w:rPr>
                <w:rFonts w:hint="eastAsia" w:ascii="宋体" w:hAnsi="宋体" w:cs="宋体"/>
                <w:color w:val="auto"/>
                <w:sz w:val="24"/>
                <w:highlight w:val="none"/>
              </w:rPr>
            </w:pPr>
          </w:p>
        </w:tc>
        <w:tc>
          <w:tcPr>
            <w:tcW w:w="1225" w:type="dxa"/>
            <w:tcBorders>
              <w:top w:val="single" w:color="000000" w:sz="6" w:space="0"/>
              <w:left w:val="single" w:color="000000" w:sz="6" w:space="0"/>
              <w:bottom w:val="single" w:color="000000" w:sz="6" w:space="0"/>
              <w:right w:val="single" w:color="000000" w:sz="6" w:space="0"/>
            </w:tcBorders>
            <w:shd w:val="clear" w:color="auto" w:fill="FFFF00"/>
            <w:noWrap w:val="0"/>
            <w:tcMar>
              <w:left w:w="120" w:type="dxa"/>
              <w:right w:w="120" w:type="dxa"/>
            </w:tcMar>
            <w:vAlign w:val="center"/>
          </w:tcPr>
          <w:p w14:paraId="37D2FBAF">
            <w:pPr>
              <w:widowControl/>
              <w:wordWrap w:val="0"/>
              <w:spacing w:line="480" w:lineRule="atLeast"/>
              <w:jc w:val="center"/>
              <w:rPr>
                <w:rFonts w:hint="eastAsia" w:ascii="宋体" w:hAnsi="宋体" w:cs="宋体"/>
                <w:b/>
                <w:bCs/>
                <w:color w:val="auto"/>
                <w:highlight w:val="none"/>
              </w:rPr>
            </w:pPr>
            <w:r>
              <w:rPr>
                <w:rFonts w:hint="eastAsia" w:ascii="宋体" w:hAnsi="宋体" w:cs="宋体"/>
                <w:b/>
                <w:bCs/>
                <w:color w:val="auto"/>
                <w:kern w:val="0"/>
                <w:sz w:val="24"/>
                <w:highlight w:val="none"/>
                <w:lang w:bidi="ar"/>
              </w:rPr>
              <w:t>是否采购进口产品</w:t>
            </w:r>
          </w:p>
        </w:tc>
        <w:tc>
          <w:tcPr>
            <w:tcW w:w="0" w:type="auto"/>
            <w:tcBorders>
              <w:top w:val="single" w:color="000000" w:sz="6" w:space="0"/>
              <w:left w:val="single" w:color="000000" w:sz="6" w:space="0"/>
              <w:bottom w:val="single" w:color="000000" w:sz="6" w:space="0"/>
              <w:right w:val="single" w:color="000000" w:sz="6" w:space="0"/>
            </w:tcBorders>
            <w:shd w:val="clear" w:color="auto" w:fill="FFFF00"/>
            <w:noWrap w:val="0"/>
            <w:tcMar>
              <w:left w:w="120" w:type="dxa"/>
              <w:right w:w="120" w:type="dxa"/>
            </w:tcMar>
            <w:vAlign w:val="center"/>
          </w:tcPr>
          <w:p w14:paraId="4F9C6D70">
            <w:pPr>
              <w:widowControl/>
              <w:wordWrap w:val="0"/>
              <w:spacing w:line="480" w:lineRule="atLeast"/>
              <w:jc w:val="left"/>
              <w:rPr>
                <w:rFonts w:hint="eastAsia" w:ascii="宋体" w:hAnsi="宋体" w:cs="宋体"/>
                <w:color w:val="auto"/>
                <w:highlight w:val="none"/>
              </w:rPr>
            </w:pPr>
            <w:r>
              <w:rPr>
                <w:rFonts w:hint="eastAsia" w:ascii="宋体" w:hAnsi="宋体" w:cs="宋体"/>
                <w:color w:val="auto"/>
                <w:kern w:val="0"/>
                <w:sz w:val="24"/>
                <w:highlight w:val="none"/>
                <w:lang w:bidi="ar"/>
              </w:rPr>
              <w:t>否</w:t>
            </w:r>
          </w:p>
        </w:tc>
        <w:tc>
          <w:tcPr>
            <w:tcW w:w="1225" w:type="dxa"/>
            <w:tcBorders>
              <w:top w:val="single" w:color="000000" w:sz="6" w:space="0"/>
              <w:left w:val="single" w:color="000000" w:sz="6" w:space="0"/>
              <w:bottom w:val="single" w:color="000000" w:sz="6" w:space="0"/>
              <w:right w:val="single" w:color="000000" w:sz="6" w:space="0"/>
            </w:tcBorders>
            <w:shd w:val="clear" w:color="auto" w:fill="FFFF00"/>
            <w:noWrap w:val="0"/>
            <w:tcMar>
              <w:left w:w="120" w:type="dxa"/>
              <w:right w:w="120" w:type="dxa"/>
            </w:tcMar>
            <w:vAlign w:val="center"/>
          </w:tcPr>
          <w:p w14:paraId="586C10B4">
            <w:pPr>
              <w:widowControl/>
              <w:wordWrap w:val="0"/>
              <w:spacing w:line="480" w:lineRule="atLeast"/>
              <w:jc w:val="center"/>
              <w:rPr>
                <w:rFonts w:hint="eastAsia" w:ascii="宋体" w:hAnsi="宋体" w:cs="宋体"/>
                <w:b/>
                <w:bCs/>
                <w:color w:val="auto"/>
                <w:highlight w:val="none"/>
              </w:rPr>
            </w:pPr>
            <w:r>
              <w:rPr>
                <w:rFonts w:hint="eastAsia" w:ascii="宋体" w:hAnsi="宋体" w:cs="宋体"/>
                <w:b/>
                <w:bCs/>
                <w:color w:val="auto"/>
                <w:kern w:val="0"/>
                <w:sz w:val="24"/>
                <w:highlight w:val="none"/>
                <w:lang w:bidi="ar"/>
              </w:rPr>
              <w:t>标的物所属行业</w:t>
            </w:r>
          </w:p>
        </w:tc>
        <w:tc>
          <w:tcPr>
            <w:tcW w:w="2552" w:type="dxa"/>
            <w:tcBorders>
              <w:top w:val="single" w:color="000000" w:sz="6" w:space="0"/>
              <w:left w:val="single" w:color="000000" w:sz="6" w:space="0"/>
              <w:bottom w:val="single" w:color="000000" w:sz="6" w:space="0"/>
              <w:right w:val="single" w:color="000000" w:sz="6" w:space="0"/>
            </w:tcBorders>
            <w:shd w:val="clear" w:color="auto" w:fill="FFFF00"/>
            <w:noWrap w:val="0"/>
            <w:tcMar>
              <w:left w:w="120" w:type="dxa"/>
              <w:right w:w="120" w:type="dxa"/>
            </w:tcMar>
            <w:vAlign w:val="center"/>
          </w:tcPr>
          <w:p w14:paraId="3291D257">
            <w:pPr>
              <w:widowControl/>
              <w:wordWrap w:val="0"/>
              <w:spacing w:line="480" w:lineRule="atLeast"/>
              <w:jc w:val="left"/>
              <w:rPr>
                <w:rFonts w:hint="eastAsia" w:ascii="宋体" w:hAnsi="宋体" w:cs="宋体"/>
                <w:color w:val="auto"/>
                <w:highlight w:val="none"/>
              </w:rPr>
            </w:pPr>
            <w:r>
              <w:rPr>
                <w:rFonts w:hint="eastAsia" w:ascii="宋体" w:hAnsi="宋体" w:cs="宋体"/>
                <w:color w:val="auto"/>
                <w:kern w:val="0"/>
                <w:sz w:val="24"/>
                <w:highlight w:val="none"/>
                <w:lang w:bidi="ar"/>
              </w:rPr>
              <w:t>其他未列明行业</w:t>
            </w:r>
          </w:p>
        </w:tc>
      </w:tr>
    </w:tbl>
    <w:p w14:paraId="13DC891B">
      <w:pPr>
        <w:pStyle w:val="7"/>
        <w:widowControl/>
        <w:spacing w:before="750" w:beforeAutospacing="0" w:after="750" w:afterAutospacing="0" w:line="480" w:lineRule="atLeast"/>
        <w:ind w:left="376" w:right="376" w:firstLine="420"/>
        <w:rPr>
          <w:rFonts w:hint="eastAsia" w:ascii="宋体" w:hAnsi="宋体" w:cs="宋体"/>
        </w:rPr>
      </w:pPr>
      <w:r>
        <w:rPr>
          <w:rFonts w:hint="eastAsia" w:ascii="宋体" w:hAnsi="宋体" w:cs="宋体"/>
          <w:color w:val="333333"/>
          <w:sz w:val="21"/>
          <w:szCs w:val="21"/>
        </w:rPr>
        <w:t>3、评审方法：综合评分法</w:t>
      </w:r>
    </w:p>
    <w:p w14:paraId="23EE02D7">
      <w:pPr>
        <w:pStyle w:val="7"/>
        <w:widowControl/>
        <w:spacing w:before="750" w:beforeAutospacing="0" w:after="750" w:afterAutospacing="0" w:line="480" w:lineRule="atLeast"/>
        <w:ind w:left="376" w:right="376" w:firstLine="420"/>
        <w:rPr>
          <w:rFonts w:hint="eastAsia" w:ascii="宋体" w:hAnsi="宋体" w:eastAsia="宋体" w:cs="宋体"/>
          <w:color w:val="333333"/>
          <w:sz w:val="21"/>
          <w:szCs w:val="21"/>
        </w:rPr>
      </w:pPr>
      <w:r>
        <w:rPr>
          <w:rFonts w:hint="eastAsia" w:ascii="宋体" w:hAnsi="宋体" w:cs="宋体"/>
          <w:color w:val="333333"/>
          <w:sz w:val="21"/>
          <w:szCs w:val="21"/>
        </w:rPr>
        <w:t>4、是否支持联合体投标：</w:t>
      </w:r>
      <w:r>
        <w:rPr>
          <w:rFonts w:hint="eastAsia" w:ascii="宋体" w:hAnsi="宋体" w:eastAsia="宋体" w:cs="宋体"/>
          <w:color w:val="333333"/>
          <w:sz w:val="21"/>
          <w:szCs w:val="21"/>
        </w:rPr>
        <w:t>{</w:t>
      </w:r>
      <w:r>
        <w:rPr>
          <w:rFonts w:hint="eastAsia" w:ascii="宋体" w:hAnsi="宋体" w:eastAsia="宋体" w:cs="宋体"/>
          <w:color w:val="333333"/>
          <w:sz w:val="21"/>
          <w:szCs w:val="21"/>
          <w:lang w:val="en-US" w:eastAsia="zh-CN"/>
        </w:rPr>
        <w:t>否</w:t>
      </w:r>
      <w:r>
        <w:rPr>
          <w:rFonts w:hint="eastAsia" w:ascii="宋体" w:hAnsi="宋体" w:eastAsia="宋体" w:cs="宋体"/>
          <w:color w:val="333333"/>
          <w:sz w:val="21"/>
          <w:szCs w:val="21"/>
        </w:rPr>
        <w:t>}</w:t>
      </w:r>
    </w:p>
    <w:p w14:paraId="662A7F1A">
      <w:pPr>
        <w:pStyle w:val="4"/>
        <w:bidi w:val="0"/>
        <w:ind w:firstLine="840" w:firstLineChars="400"/>
        <w:rPr>
          <w:rFonts w:hint="eastAsia" w:ascii="宋体" w:hAnsi="宋体" w:eastAsia="宋体" w:cs="宋体"/>
          <w:b w:val="0"/>
          <w:bCs w:val="0"/>
          <w:color w:val="333333"/>
          <w:kern w:val="0"/>
          <w:sz w:val="21"/>
          <w:szCs w:val="21"/>
          <w:lang w:val="en-US" w:eastAsia="zh-CN" w:bidi="ar"/>
        </w:rPr>
      </w:pPr>
      <w:r>
        <w:rPr>
          <w:rFonts w:hint="eastAsia" w:ascii="宋体" w:hAnsi="宋体" w:eastAsia="宋体" w:cs="宋体"/>
          <w:b w:val="0"/>
          <w:bCs w:val="0"/>
          <w:color w:val="333333"/>
          <w:kern w:val="0"/>
          <w:sz w:val="21"/>
          <w:szCs w:val="21"/>
          <w:lang w:val="en-US" w:eastAsia="zh-CN" w:bidi="ar"/>
        </w:rPr>
        <w:t>5、是否允许合同分包选项：{{否}}</w:t>
      </w:r>
    </w:p>
    <w:p w14:paraId="23744E43">
      <w:pPr>
        <w:pStyle w:val="7"/>
        <w:widowControl/>
        <w:spacing w:before="750" w:beforeAutospacing="0" w:after="750" w:afterAutospacing="0" w:line="480" w:lineRule="atLeast"/>
        <w:ind w:left="376" w:right="376" w:firstLine="420"/>
        <w:rPr>
          <w:rFonts w:hint="eastAsia" w:ascii="宋体" w:hAnsi="宋体" w:cs="宋体"/>
          <w:color w:val="000000"/>
        </w:rPr>
      </w:pPr>
      <w:r>
        <w:rPr>
          <w:rFonts w:hint="eastAsia" w:ascii="宋体" w:hAnsi="宋体" w:cs="宋体"/>
          <w:color w:val="000000"/>
          <w:sz w:val="21"/>
          <w:szCs w:val="21"/>
        </w:rPr>
        <w:t>6、拟采购标的的技术要求</w:t>
      </w:r>
    </w:p>
    <w:p w14:paraId="6DFD776C">
      <w:pPr>
        <w:pStyle w:val="7"/>
        <w:widowControl/>
        <w:spacing w:before="750" w:beforeAutospacing="0" w:after="750" w:afterAutospacing="0" w:line="480" w:lineRule="atLeast"/>
        <w:ind w:left="376" w:right="376" w:firstLine="420"/>
        <w:rPr>
          <w:rFonts w:hint="eastAsia" w:ascii="宋体" w:hAnsi="宋体" w:cs="宋体"/>
          <w:color w:val="000000"/>
        </w:rPr>
      </w:pPr>
      <w:r>
        <w:rPr>
          <w:rFonts w:hint="eastAsia" w:ascii="宋体" w:hAnsi="宋体" w:eastAsia="宋体" w:cs="宋体"/>
          <w:color w:val="000000"/>
          <w:sz w:val="21"/>
          <w:szCs w:val="21"/>
        </w:rPr>
        <w:t>标的名称</w:t>
      </w:r>
      <w:r>
        <w:rPr>
          <w:rFonts w:hint="eastAsia" w:ascii="宋体" w:hAnsi="宋体" w:eastAsia="宋体" w:cs="宋体"/>
          <w:color w:val="000000"/>
          <w:sz w:val="21"/>
          <w:szCs w:val="21"/>
          <w:lang w:eastAsia="zh-CN"/>
        </w:rPr>
        <w:t>：凝聚广告力量、助力乡村振兴公益行动</w:t>
      </w:r>
    </w:p>
    <w:tbl>
      <w:tblPr>
        <w:tblStyle w:val="9"/>
        <w:tblW w:w="11139" w:type="dxa"/>
        <w:tblInd w:w="-14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38"/>
        <w:gridCol w:w="595"/>
        <w:gridCol w:w="1432"/>
        <w:gridCol w:w="8374"/>
      </w:tblGrid>
      <w:tr w14:paraId="4C2D03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4" w:hRule="atLeast"/>
        </w:trPr>
        <w:tc>
          <w:tcPr>
            <w:tcW w:w="738"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011BC470">
            <w:pPr>
              <w:widowControl/>
              <w:wordWrap w:val="0"/>
              <w:spacing w:line="480" w:lineRule="atLeast"/>
              <w:jc w:val="left"/>
              <w:rPr>
                <w:rFonts w:hint="eastAsia" w:ascii="宋体" w:hAnsi="宋体" w:cs="宋体"/>
                <w:b/>
                <w:bCs/>
                <w:color w:val="000000"/>
              </w:rPr>
            </w:pPr>
            <w:r>
              <w:rPr>
                <w:rFonts w:hint="eastAsia" w:ascii="宋体" w:hAnsi="宋体" w:cs="宋体"/>
                <w:b/>
                <w:bCs/>
                <w:color w:val="000000"/>
                <w:kern w:val="0"/>
                <w:sz w:val="24"/>
                <w:lang w:bidi="ar"/>
              </w:rPr>
              <w:t>参数性质</w:t>
            </w:r>
          </w:p>
        </w:tc>
        <w:tc>
          <w:tcPr>
            <w:tcW w:w="595"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05BF4BAF">
            <w:pPr>
              <w:widowControl/>
              <w:wordWrap w:val="0"/>
              <w:spacing w:line="480" w:lineRule="atLeast"/>
              <w:jc w:val="left"/>
              <w:rPr>
                <w:rFonts w:hint="eastAsia" w:ascii="宋体" w:hAnsi="宋体" w:cs="宋体"/>
                <w:b/>
                <w:bCs/>
                <w:color w:val="000000"/>
              </w:rPr>
            </w:pPr>
            <w:r>
              <w:rPr>
                <w:rFonts w:hint="eastAsia" w:ascii="宋体" w:hAnsi="宋体" w:cs="宋体"/>
                <w:b/>
                <w:bCs/>
                <w:color w:val="000000"/>
                <w:kern w:val="0"/>
                <w:sz w:val="24"/>
                <w:lang w:bidi="ar"/>
              </w:rPr>
              <w:t>序号</w:t>
            </w:r>
          </w:p>
        </w:tc>
        <w:tc>
          <w:tcPr>
            <w:tcW w:w="1432"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4882EDE4">
            <w:pPr>
              <w:widowControl/>
              <w:wordWrap w:val="0"/>
              <w:spacing w:line="480" w:lineRule="atLeast"/>
              <w:jc w:val="left"/>
              <w:rPr>
                <w:rFonts w:hint="eastAsia" w:ascii="宋体" w:hAnsi="宋体" w:cs="宋体"/>
                <w:b/>
                <w:bCs/>
                <w:color w:val="000000"/>
              </w:rPr>
            </w:pPr>
            <w:r>
              <w:rPr>
                <w:rFonts w:hint="eastAsia" w:ascii="宋体" w:hAnsi="宋体" w:cs="宋体"/>
                <w:b/>
                <w:bCs/>
                <w:color w:val="000000"/>
                <w:kern w:val="0"/>
                <w:sz w:val="24"/>
                <w:lang w:bidi="ar"/>
              </w:rPr>
              <w:t>技术要求名称</w:t>
            </w:r>
          </w:p>
        </w:tc>
        <w:tc>
          <w:tcPr>
            <w:tcW w:w="0" w:type="auto"/>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7391AFB1">
            <w:pPr>
              <w:widowControl/>
              <w:wordWrap w:val="0"/>
              <w:spacing w:line="480" w:lineRule="atLeast"/>
              <w:jc w:val="left"/>
              <w:rPr>
                <w:rFonts w:hint="eastAsia" w:ascii="宋体" w:hAnsi="宋体" w:cs="宋体"/>
                <w:b/>
                <w:bCs/>
                <w:color w:val="000000"/>
              </w:rPr>
            </w:pPr>
            <w:r>
              <w:rPr>
                <w:rFonts w:hint="eastAsia" w:ascii="宋体" w:hAnsi="宋体" w:cs="宋体"/>
                <w:b/>
                <w:bCs/>
                <w:color w:val="000000"/>
                <w:kern w:val="0"/>
                <w:sz w:val="24"/>
                <w:lang w:bidi="ar"/>
              </w:rPr>
              <w:t>技术参数与性能指标</w:t>
            </w:r>
          </w:p>
        </w:tc>
      </w:tr>
      <w:tr w14:paraId="4A91E4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7" w:hRule="atLeast"/>
        </w:trPr>
        <w:tc>
          <w:tcPr>
            <w:tcW w:w="2765" w:type="dxa"/>
            <w:gridSpan w:val="3"/>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1913EEAC">
            <w:pPr>
              <w:widowControl/>
              <w:wordWrap w:val="0"/>
              <w:spacing w:line="480" w:lineRule="atLeast"/>
              <w:jc w:val="left"/>
              <w:rPr>
                <w:rFonts w:hint="eastAsia" w:ascii="宋体" w:hAnsi="宋体" w:cs="宋体"/>
                <w:color w:val="000000"/>
              </w:rPr>
            </w:pPr>
            <w:r>
              <w:rPr>
                <w:rFonts w:hint="eastAsia" w:ascii="宋体" w:hAnsi="宋体" w:cs="宋体"/>
                <w:color w:val="000000"/>
                <w:kern w:val="0"/>
                <w:sz w:val="24"/>
                <w:lang w:bidi="ar"/>
              </w:rPr>
              <w:t>暂无数据</w:t>
            </w:r>
          </w:p>
        </w:tc>
        <w:tc>
          <w:tcPr>
            <w:tcW w:w="0" w:type="auto"/>
            <w:tcBorders>
              <w:top w:val="outset" w:color="auto" w:sz="6" w:space="0"/>
              <w:left w:val="single" w:color="auto" w:sz="0" w:space="0"/>
              <w:bottom w:val="outset" w:color="auto" w:sz="6" w:space="0"/>
              <w:right w:val="outset" w:color="auto" w:sz="6" w:space="0"/>
            </w:tcBorders>
            <w:noWrap w:val="0"/>
            <w:vAlign w:val="center"/>
          </w:tcPr>
          <w:p w14:paraId="671C85B5">
            <w:pPr>
              <w:pStyle w:val="8"/>
              <w:spacing w:line="360" w:lineRule="auto"/>
              <w:ind w:left="0" w:leftChars="0" w:firstLine="0" w:firstLineChars="0"/>
              <w:rPr>
                <w:rFonts w:hint="eastAsia"/>
                <w:sz w:val="24"/>
                <w:szCs w:val="24"/>
                <w:highlight w:val="none"/>
                <w:lang w:val="en-US" w:eastAsia="zh-CN"/>
              </w:rPr>
            </w:pPr>
            <w:r>
              <w:rPr>
                <w:rFonts w:hint="eastAsia"/>
                <w:b/>
                <w:bCs/>
                <w:color w:val="000000"/>
                <w:sz w:val="24"/>
                <w:szCs w:val="24"/>
                <w:highlight w:val="none"/>
                <w:lang w:eastAsia="zh-CN"/>
              </w:rPr>
              <w:t>一、建设</w:t>
            </w:r>
            <w:r>
              <w:rPr>
                <w:rFonts w:hint="eastAsia"/>
                <w:b/>
                <w:bCs/>
                <w:color w:val="000000"/>
                <w:sz w:val="24"/>
                <w:szCs w:val="24"/>
                <w:highlight w:val="none"/>
              </w:rPr>
              <w:t>背景</w:t>
            </w:r>
          </w:p>
          <w:p w14:paraId="17D74AED">
            <w:pPr>
              <w:pStyle w:val="8"/>
              <w:spacing w:line="360" w:lineRule="auto"/>
              <w:ind w:left="0" w:leftChars="0" w:firstLine="480" w:firstLineChars="200"/>
              <w:rPr>
                <w:rFonts w:hint="eastAsia"/>
                <w:sz w:val="24"/>
                <w:szCs w:val="24"/>
                <w:highlight w:val="none"/>
              </w:rPr>
            </w:pPr>
            <w:r>
              <w:rPr>
                <w:rFonts w:hint="eastAsia"/>
                <w:sz w:val="24"/>
                <w:szCs w:val="24"/>
                <w:highlight w:val="none"/>
                <w:lang w:val="en-US" w:eastAsia="zh-CN"/>
              </w:rPr>
              <w:t>陕西省作为中国西部地区的重要省份，拥有丰富的自然资源和深厚的文化底蕴，但部分乡村地区仍面临经济发展滞后、基础设施薄弱、信息不对称等问题。乡村振兴战略是国家的重要战略部署，旨在通过产业、人才、文化、生态和组织振兴，推动乡村全面发展。广告作为信息传播的重要工具，具有强大的影响力和广泛的覆盖面，能够有效提升乡村品牌形象、推广特色产品、吸引投资和人才。因此，陕西省凝聚广告力量、助力乡村振兴公益行动项目应运而生，旨在通过广告的力量，推动乡村经济、文化和社会的发展，助力乡村振兴战略的实施</w:t>
            </w:r>
            <w:r>
              <w:rPr>
                <w:rFonts w:hint="eastAsia"/>
                <w:sz w:val="24"/>
                <w:szCs w:val="24"/>
                <w:highlight w:val="none"/>
              </w:rPr>
              <w:t>。</w:t>
            </w:r>
          </w:p>
          <w:p w14:paraId="3431C2D8">
            <w:pPr>
              <w:pStyle w:val="8"/>
              <w:spacing w:line="360" w:lineRule="auto"/>
              <w:ind w:left="0" w:leftChars="0" w:firstLine="0" w:firstLineChars="0"/>
              <w:rPr>
                <w:rFonts w:hint="eastAsia"/>
                <w:b/>
                <w:bCs/>
                <w:sz w:val="24"/>
                <w:szCs w:val="24"/>
                <w:highlight w:val="none"/>
                <w:lang w:val="en-US" w:eastAsia="zh-CN"/>
              </w:rPr>
            </w:pPr>
            <w:r>
              <w:rPr>
                <w:rFonts w:hint="eastAsia"/>
                <w:b/>
                <w:bCs/>
                <w:sz w:val="24"/>
                <w:szCs w:val="24"/>
                <w:highlight w:val="none"/>
                <w:lang w:val="en-US" w:eastAsia="zh-CN"/>
              </w:rPr>
              <w:t>二、建设依据</w:t>
            </w:r>
          </w:p>
          <w:p w14:paraId="37A0923B">
            <w:pPr>
              <w:pStyle w:val="8"/>
              <w:spacing w:line="360" w:lineRule="auto"/>
              <w:ind w:left="0" w:leftChars="0" w:firstLine="480" w:firstLineChars="200"/>
              <w:rPr>
                <w:rFonts w:hint="eastAsia"/>
                <w:sz w:val="24"/>
                <w:szCs w:val="24"/>
                <w:highlight w:val="none"/>
                <w:lang w:val="en-US" w:eastAsia="zh-CN"/>
              </w:rPr>
            </w:pPr>
            <w:r>
              <w:rPr>
                <w:rFonts w:hint="eastAsia"/>
                <w:sz w:val="24"/>
                <w:szCs w:val="24"/>
                <w:highlight w:val="none"/>
                <w:lang w:val="en-US" w:eastAsia="zh-CN"/>
              </w:rPr>
              <w:t>国家颁布的《乡村振兴战略规划</w:t>
            </w:r>
            <w:r>
              <w:rPr>
                <w:rFonts w:hint="eastAsia" w:ascii="宋体" w:hAnsi="宋体" w:eastAsia="宋体" w:cs="宋体"/>
                <w:sz w:val="24"/>
                <w:szCs w:val="24"/>
                <w:highlight w:val="none"/>
                <w:lang w:val="en-US" w:eastAsia="zh-CN"/>
              </w:rPr>
              <w:t>（2018-2022年）》文件</w:t>
            </w:r>
            <w:r>
              <w:rPr>
                <w:rFonts w:hint="eastAsia"/>
                <w:sz w:val="24"/>
                <w:szCs w:val="24"/>
                <w:highlight w:val="none"/>
                <w:lang w:val="en-US" w:eastAsia="zh-CN"/>
              </w:rPr>
              <w:t>明确提出，要充分发挥市场机制作用，引导社会力量参与乡村振兴。广告作为市场机制的重要组成部分，能够有效推动乡村资源的市场化配置。</w:t>
            </w:r>
          </w:p>
          <w:p w14:paraId="45A0AF71">
            <w:pPr>
              <w:pStyle w:val="8"/>
              <w:spacing w:line="360" w:lineRule="auto"/>
              <w:ind w:left="0" w:leftChars="0" w:firstLine="0" w:firstLineChars="0"/>
              <w:rPr>
                <w:rFonts w:hint="eastAsia"/>
                <w:b/>
                <w:bCs/>
                <w:sz w:val="24"/>
                <w:szCs w:val="24"/>
                <w:highlight w:val="none"/>
                <w:lang w:eastAsia="zh-CN"/>
              </w:rPr>
            </w:pPr>
            <w:r>
              <w:rPr>
                <w:rFonts w:hint="eastAsia"/>
                <w:b/>
                <w:bCs/>
                <w:sz w:val="24"/>
                <w:szCs w:val="24"/>
                <w:highlight w:val="none"/>
                <w:lang w:val="en-US" w:eastAsia="zh-CN"/>
              </w:rPr>
              <w:t>三</w:t>
            </w:r>
            <w:r>
              <w:rPr>
                <w:rFonts w:hint="eastAsia"/>
                <w:b/>
                <w:bCs/>
                <w:sz w:val="24"/>
                <w:szCs w:val="24"/>
                <w:highlight w:val="none"/>
                <w:lang w:eastAsia="zh-CN"/>
              </w:rPr>
              <w:t>、建设目标</w:t>
            </w:r>
          </w:p>
          <w:p w14:paraId="2AA475F8">
            <w:pPr>
              <w:pStyle w:val="8"/>
              <w:spacing w:line="360" w:lineRule="auto"/>
              <w:ind w:left="0" w:leftChars="0" w:firstLine="480" w:firstLineChars="200"/>
              <w:rPr>
                <w:rFonts w:hint="eastAsia"/>
                <w:sz w:val="24"/>
                <w:szCs w:val="24"/>
                <w:highlight w:val="none"/>
                <w:lang w:val="en-US" w:eastAsia="zh-CN"/>
              </w:rPr>
            </w:pPr>
            <w:r>
              <w:rPr>
                <w:rFonts w:hint="eastAsia"/>
                <w:sz w:val="24"/>
                <w:szCs w:val="24"/>
                <w:highlight w:val="none"/>
                <w:lang w:val="en-US" w:eastAsia="zh-CN"/>
              </w:rPr>
              <w:t>通过广告创意和传播，塑造乡村地区的独特品牌形象，提升乡村旅游和乡村产业在省内外的知名度和美誉度；帮助乡村地区的特色农产品、手工艺品等通过广告渠道走向更广阔的市场，增加农民收入，推动乡村经济发展；通过广告的形式进行传播乡村历史文化、民俗风情等，增强乡村文化的吸引力和影响力，促进乡村旅游和文化产业的发展；通过广告宣传，吸引更多的投资者、企业和人才关注乡村，推动乡村产业升级和人才回流。</w:t>
            </w:r>
          </w:p>
          <w:p w14:paraId="79031574">
            <w:pPr>
              <w:pStyle w:val="8"/>
              <w:spacing w:line="360" w:lineRule="auto"/>
              <w:ind w:left="0" w:leftChars="0" w:firstLine="0" w:firstLineChars="0"/>
              <w:rPr>
                <w:rFonts w:hint="eastAsia"/>
                <w:sz w:val="24"/>
                <w:szCs w:val="24"/>
                <w:highlight w:val="none"/>
              </w:rPr>
            </w:pPr>
            <w:r>
              <w:rPr>
                <w:rFonts w:hint="eastAsia"/>
                <w:b/>
                <w:bCs/>
                <w:sz w:val="24"/>
                <w:szCs w:val="24"/>
                <w:highlight w:val="none"/>
                <w:lang w:val="en-US" w:eastAsia="zh-CN"/>
              </w:rPr>
              <w:t>四</w:t>
            </w:r>
            <w:r>
              <w:rPr>
                <w:rFonts w:hint="eastAsia"/>
                <w:b/>
                <w:bCs/>
                <w:sz w:val="24"/>
                <w:szCs w:val="24"/>
                <w:highlight w:val="none"/>
                <w:lang w:eastAsia="zh-CN"/>
              </w:rPr>
              <w:t>、</w:t>
            </w:r>
            <w:r>
              <w:rPr>
                <w:rFonts w:hint="eastAsia"/>
                <w:b/>
                <w:bCs/>
                <w:sz w:val="24"/>
                <w:szCs w:val="24"/>
                <w:highlight w:val="none"/>
              </w:rPr>
              <w:t>服务要求</w:t>
            </w:r>
          </w:p>
          <w:p w14:paraId="5D72C7E8">
            <w:pPr>
              <w:pStyle w:val="8"/>
              <w:spacing w:line="360" w:lineRule="auto"/>
              <w:ind w:left="0" w:leftChars="0" w:firstLine="480" w:firstLineChars="200"/>
              <w:rPr>
                <w:rFonts w:hint="eastAsia"/>
                <w:sz w:val="24"/>
                <w:szCs w:val="24"/>
                <w:highlight w:val="none"/>
                <w:lang w:val="en-US" w:eastAsia="zh-CN"/>
              </w:rPr>
            </w:pPr>
            <w:r>
              <w:rPr>
                <w:rFonts w:hint="eastAsia"/>
                <w:sz w:val="24"/>
                <w:szCs w:val="24"/>
                <w:highlight w:val="none"/>
                <w:lang w:val="en-US" w:eastAsia="zh-CN"/>
              </w:rPr>
              <w:t>根据乡村地区的特色和需求，提供定制化的广告创意和设计方案，确保广告内容具有吸引力和传播力；利用电视、广播、互联网、社交媒体等多种传播渠道，确保广告信息能够覆盖更广泛的受众群体；为乡村地区的特色产品、旅游景点、文化资源等提供品牌推广服务，帮助其建立市场认知度和美誉度；通过广告传播乡村的历史文化、民俗风情等，增强乡村文化的吸引力和影响力，促进乡村旅游和文化产业的发展；在项目的实施过程中确保项目的公益性和社会</w:t>
            </w:r>
            <w:r>
              <w:rPr>
                <w:rFonts w:hint="eastAsia" w:ascii="宋体" w:hAnsi="宋体" w:eastAsia="宋体" w:cs="宋体"/>
                <w:sz w:val="24"/>
                <w:szCs w:val="24"/>
                <w:highlight w:val="none"/>
                <w:lang w:val="en-US" w:eastAsia="zh-CN"/>
              </w:rPr>
              <w:t>效益，服务期限为1年。</w:t>
            </w:r>
          </w:p>
          <w:p w14:paraId="676D5C46">
            <w:pPr>
              <w:pStyle w:val="8"/>
              <w:spacing w:line="360" w:lineRule="auto"/>
              <w:ind w:left="0" w:leftChars="0" w:firstLine="0" w:firstLineChars="0"/>
              <w:rPr>
                <w:rFonts w:hint="eastAsia"/>
                <w:sz w:val="24"/>
                <w:szCs w:val="24"/>
                <w:highlight w:val="none"/>
                <w:lang w:val="en-US" w:eastAsia="zh-CN"/>
              </w:rPr>
            </w:pPr>
            <w:r>
              <w:rPr>
                <w:rFonts w:hint="eastAsia"/>
                <w:sz w:val="24"/>
                <w:szCs w:val="24"/>
                <w:highlight w:val="none"/>
                <w:lang w:val="en-US" w:eastAsia="zh-CN"/>
              </w:rPr>
              <w:t>（一）广告的创意和设计要求</w:t>
            </w:r>
          </w:p>
          <w:p w14:paraId="0568FF06">
            <w:pPr>
              <w:pStyle w:val="8"/>
              <w:spacing w:line="360" w:lineRule="auto"/>
              <w:ind w:left="0" w:leftChars="0" w:firstLine="480" w:firstLineChars="200"/>
              <w:rPr>
                <w:rFonts w:hint="eastAsia"/>
                <w:sz w:val="24"/>
                <w:szCs w:val="24"/>
                <w:highlight w:val="none"/>
                <w:lang w:val="en-US" w:eastAsia="zh-CN"/>
              </w:rPr>
            </w:pPr>
            <w:r>
              <w:rPr>
                <w:rFonts w:hint="eastAsia"/>
                <w:sz w:val="24"/>
                <w:szCs w:val="24"/>
                <w:highlight w:val="none"/>
                <w:lang w:val="en-US" w:eastAsia="zh-CN"/>
              </w:rPr>
              <w:t>依据企业的实际需求，对企业进行整体的形象进行视觉化设计，对企业产品进行包装设计；广告设计应注重情感表达，通过讲述乡村故事、展现农民生活、传递乡土情怀等方式，引发受众的情感共鸣。在设计的过程中保证色彩、构图的可识别性；与企业的产品和文化深度融合，凸显企业在推广和宣传中的视觉优势，广告创意应具有创新性，避免千篇一律的表达方式。可以通过新颖的视角、独特的叙事手法或互动性强的设计，吸引受众的注意力。例如，利用人工智能技术，让消费者通过手机扫描广告，直观感受乡村产品的生产过程或文化背景。</w:t>
            </w:r>
          </w:p>
          <w:p w14:paraId="63C84A39">
            <w:pPr>
              <w:pStyle w:val="8"/>
              <w:spacing w:line="360" w:lineRule="auto"/>
              <w:ind w:left="0" w:leftChars="0" w:firstLine="0" w:firstLineChars="0"/>
              <w:rPr>
                <w:rFonts w:hint="eastAsia"/>
                <w:sz w:val="24"/>
                <w:szCs w:val="24"/>
                <w:highlight w:val="none"/>
                <w:lang w:val="en-US" w:eastAsia="zh-CN"/>
              </w:rPr>
            </w:pPr>
            <w:r>
              <w:rPr>
                <w:rFonts w:hint="eastAsia"/>
                <w:sz w:val="24"/>
                <w:szCs w:val="24"/>
                <w:highlight w:val="none"/>
                <w:lang w:val="en-US" w:eastAsia="zh-CN"/>
              </w:rPr>
              <w:t xml:space="preserve">    （二）新媒体品牌传播要求</w:t>
            </w:r>
          </w:p>
          <w:p w14:paraId="6214D8E8">
            <w:pPr>
              <w:pStyle w:val="8"/>
              <w:spacing w:line="360" w:lineRule="auto"/>
              <w:ind w:left="0" w:leftChars="0" w:firstLine="480" w:firstLineChars="200"/>
              <w:rPr>
                <w:rFonts w:hint="eastAsia"/>
                <w:sz w:val="24"/>
                <w:szCs w:val="24"/>
                <w:highlight w:val="none"/>
                <w:lang w:val="en-US" w:eastAsia="zh-CN"/>
              </w:rPr>
            </w:pPr>
            <w:r>
              <w:rPr>
                <w:rFonts w:hint="eastAsia"/>
                <w:sz w:val="24"/>
                <w:szCs w:val="24"/>
                <w:highlight w:val="none"/>
                <w:lang w:val="en-US" w:eastAsia="zh-CN"/>
              </w:rPr>
              <w:t>依据企业提出的实际需求进行新媒运营策划，对品牌的传播进行平台选择。利用大数据和人工智能技术，分析受众的兴趣和行为特征，实现广告内容的精准投放。例如，针对城市消费者，可以推送乡村优质农产品的广告；针对旅游爱好者，可以推送乡村文化旅游的广告，提高传播的针对性和转化率。制定宣传的时间节点方法，通过短视频和直播的形式对企业的品牌进行有效宣传，通过直播的形式进行产品销售，其中部分产品可以以出海的实行进行有效的传播。新媒体传播需建立完善的数据监测和效果评估机制，通过点击量、转发量、评论量、转化率等指标，实时跟踪广告传播效果，及时调整传播策略，确保传播效果的最大化。</w:t>
            </w:r>
          </w:p>
          <w:p w14:paraId="6041D5A2">
            <w:pPr>
              <w:rPr>
                <w:rFonts w:hint="eastAsia" w:ascii="宋体" w:hAnsi="宋体" w:cs="宋体"/>
                <w:color w:val="000000"/>
                <w:sz w:val="24"/>
              </w:rPr>
            </w:pPr>
          </w:p>
        </w:tc>
      </w:tr>
    </w:tbl>
    <w:p w14:paraId="20AC06E3">
      <w:pPr>
        <w:pStyle w:val="7"/>
        <w:widowControl/>
        <w:numPr>
          <w:ilvl w:val="0"/>
          <w:numId w:val="1"/>
        </w:numPr>
        <w:spacing w:before="750" w:beforeAutospacing="0" w:after="750" w:afterAutospacing="0" w:line="480" w:lineRule="atLeast"/>
        <w:ind w:left="376" w:right="376" w:firstLine="420"/>
        <w:rPr>
          <w:rFonts w:hint="eastAsia" w:ascii="宋体" w:hAnsi="宋体" w:cs="宋体"/>
          <w:color w:val="000000"/>
          <w:sz w:val="21"/>
          <w:szCs w:val="21"/>
        </w:rPr>
      </w:pPr>
      <w:r>
        <w:rPr>
          <w:rFonts w:hint="eastAsia" w:ascii="宋体" w:hAnsi="宋体" w:cs="宋体"/>
          <w:color w:val="000000"/>
          <w:sz w:val="21"/>
          <w:szCs w:val="21"/>
        </w:rPr>
        <w:t>供应商一般资格要求</w:t>
      </w:r>
    </w:p>
    <w:tbl>
      <w:tblPr>
        <w:tblStyle w:val="9"/>
        <w:tblW w:w="9908" w:type="dxa"/>
        <w:tblInd w:w="-82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5"/>
        <w:gridCol w:w="3460"/>
        <w:gridCol w:w="5443"/>
      </w:tblGrid>
      <w:tr w14:paraId="5F429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5" w:type="dxa"/>
            <w:noWrap w:val="0"/>
            <w:vAlign w:val="top"/>
          </w:tcPr>
          <w:p w14:paraId="662632E7">
            <w:pPr>
              <w:pStyle w:val="11"/>
            </w:pPr>
            <w:r>
              <w:t>序号</w:t>
            </w:r>
          </w:p>
        </w:tc>
        <w:tc>
          <w:tcPr>
            <w:tcW w:w="3460" w:type="dxa"/>
            <w:noWrap w:val="0"/>
            <w:vAlign w:val="top"/>
          </w:tcPr>
          <w:p w14:paraId="15D5F2EB">
            <w:pPr>
              <w:pStyle w:val="11"/>
            </w:pPr>
            <w:r>
              <w:t>资格要求名称</w:t>
            </w:r>
          </w:p>
        </w:tc>
        <w:tc>
          <w:tcPr>
            <w:tcW w:w="5443" w:type="dxa"/>
            <w:noWrap w:val="0"/>
            <w:vAlign w:val="top"/>
          </w:tcPr>
          <w:p w14:paraId="603130F3">
            <w:pPr>
              <w:pStyle w:val="11"/>
            </w:pPr>
            <w:r>
              <w:t>资格要求详细说明</w:t>
            </w:r>
          </w:p>
        </w:tc>
      </w:tr>
      <w:tr w14:paraId="2FB158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5" w:type="dxa"/>
            <w:noWrap w:val="0"/>
            <w:vAlign w:val="center"/>
          </w:tcPr>
          <w:p w14:paraId="0945767A">
            <w:pPr>
              <w:pStyle w:val="11"/>
              <w:jc w:val="center"/>
            </w:pPr>
            <w:r>
              <w:t>1</w:t>
            </w:r>
          </w:p>
        </w:tc>
        <w:tc>
          <w:tcPr>
            <w:tcW w:w="3460" w:type="dxa"/>
            <w:noWrap w:val="0"/>
            <w:vAlign w:val="center"/>
          </w:tcPr>
          <w:p w14:paraId="7ACB56DD">
            <w:pPr>
              <w:pStyle w:val="11"/>
              <w:jc w:val="center"/>
            </w:pPr>
            <w:r>
              <w:t>供应商应具备《中华人民共和国政府采购法》第二十二条规定的条件</w:t>
            </w:r>
          </w:p>
        </w:tc>
        <w:tc>
          <w:tcPr>
            <w:tcW w:w="5443" w:type="dxa"/>
            <w:noWrap w:val="0"/>
            <w:vAlign w:val="center"/>
          </w:tcPr>
          <w:p w14:paraId="1993F203">
            <w:pPr>
              <w:pStyle w:val="11"/>
              <w:jc w:val="center"/>
            </w:pPr>
            <w:r>
              <w:t>供应商需在项目电子化交易系统中按要求填写《投标函》完成承诺并进行电子签章。</w:t>
            </w:r>
          </w:p>
        </w:tc>
      </w:tr>
      <w:tr w14:paraId="24ADD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5" w:type="dxa"/>
            <w:noWrap w:val="0"/>
            <w:vAlign w:val="center"/>
          </w:tcPr>
          <w:p w14:paraId="47E8F412">
            <w:pPr>
              <w:pStyle w:val="11"/>
              <w:jc w:val="center"/>
            </w:pPr>
            <w:r>
              <w:t>2</w:t>
            </w:r>
          </w:p>
        </w:tc>
        <w:tc>
          <w:tcPr>
            <w:tcW w:w="3460" w:type="dxa"/>
            <w:noWrap w:val="0"/>
            <w:vAlign w:val="center"/>
          </w:tcPr>
          <w:p w14:paraId="3DF3BCB6">
            <w:pPr>
              <w:pStyle w:val="11"/>
              <w:jc w:val="center"/>
            </w:pPr>
            <w:r>
              <w:t>供应商应提供健全的财务会计制度的证明材料；</w:t>
            </w:r>
          </w:p>
        </w:tc>
        <w:tc>
          <w:tcPr>
            <w:tcW w:w="5443" w:type="dxa"/>
            <w:noWrap w:val="0"/>
            <w:vAlign w:val="center"/>
          </w:tcPr>
          <w:p w14:paraId="63B399E1">
            <w:pPr>
              <w:pStyle w:val="11"/>
              <w:jc w:val="center"/>
            </w:pPr>
            <w:r>
              <w:rPr>
                <w:rFonts w:hint="eastAsia"/>
                <w:lang w:eastAsia="zh-CN"/>
              </w:rPr>
              <w:t>提供经审计的2023年度的财务报告或提交磋商响应文件截止时间前六个月银行资信证明；或政府采购信用担保机构出具的投标担保函</w:t>
            </w:r>
            <w:r>
              <w:t>；供应商需在项目电子化交易系统中按要求上传相应证明文件并进行电子签章。</w:t>
            </w:r>
          </w:p>
        </w:tc>
      </w:tr>
      <w:tr w14:paraId="0DC9E1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5" w:type="dxa"/>
            <w:noWrap w:val="0"/>
            <w:vAlign w:val="center"/>
          </w:tcPr>
          <w:p w14:paraId="539DF2E1">
            <w:pPr>
              <w:pStyle w:val="11"/>
              <w:jc w:val="center"/>
            </w:pPr>
            <w:r>
              <w:t>3</w:t>
            </w:r>
          </w:p>
        </w:tc>
        <w:tc>
          <w:tcPr>
            <w:tcW w:w="3460" w:type="dxa"/>
            <w:noWrap w:val="0"/>
            <w:vAlign w:val="center"/>
          </w:tcPr>
          <w:p w14:paraId="3AD37284">
            <w:pPr>
              <w:pStyle w:val="11"/>
              <w:jc w:val="center"/>
            </w:pPr>
            <w: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w="5443" w:type="dxa"/>
            <w:noWrap w:val="0"/>
            <w:vAlign w:val="center"/>
          </w:tcPr>
          <w:p w14:paraId="49BB0A6F">
            <w:pPr>
              <w:pStyle w:val="11"/>
              <w:jc w:val="center"/>
            </w:pPr>
            <w:r>
              <w:t>供应商需在项目电子化交易系统中按要求填写《投标函》完成承诺并进行电子签章。</w:t>
            </w:r>
          </w:p>
        </w:tc>
      </w:tr>
    </w:tbl>
    <w:p w14:paraId="725F8508">
      <w:pPr>
        <w:pStyle w:val="7"/>
        <w:widowControl/>
        <w:numPr>
          <w:ilvl w:val="0"/>
          <w:numId w:val="1"/>
        </w:numPr>
        <w:spacing w:before="750" w:beforeAutospacing="0" w:after="750" w:afterAutospacing="0" w:line="480" w:lineRule="atLeast"/>
        <w:ind w:left="376" w:leftChars="0" w:right="376" w:firstLine="420" w:firstLineChars="0"/>
        <w:rPr>
          <w:rFonts w:hint="eastAsia" w:ascii="宋体" w:hAnsi="宋体" w:cs="宋体"/>
          <w:color w:val="333333"/>
          <w:sz w:val="21"/>
          <w:szCs w:val="21"/>
        </w:rPr>
      </w:pPr>
      <w:r>
        <w:rPr>
          <w:rFonts w:hint="eastAsia" w:ascii="宋体" w:hAnsi="宋体" w:cs="宋体"/>
          <w:color w:val="333333"/>
          <w:sz w:val="21"/>
          <w:szCs w:val="21"/>
        </w:rPr>
        <w:t>供应商特殊资格要求</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9"/>
        <w:gridCol w:w="2573"/>
        <w:gridCol w:w="5919"/>
      </w:tblGrid>
      <w:tr w14:paraId="73C551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2" w:hRule="atLeast"/>
        </w:trPr>
        <w:tc>
          <w:tcPr>
            <w:tcW w:w="759" w:type="dxa"/>
            <w:noWrap w:val="0"/>
            <w:vAlign w:val="center"/>
          </w:tcPr>
          <w:p w14:paraId="55205E07">
            <w:pPr>
              <w:pStyle w:val="11"/>
              <w:jc w:val="center"/>
              <w:rPr>
                <w:color w:val="auto"/>
              </w:rPr>
            </w:pPr>
            <w:r>
              <w:rPr>
                <w:color w:val="auto"/>
              </w:rPr>
              <w:t>序号</w:t>
            </w:r>
          </w:p>
        </w:tc>
        <w:tc>
          <w:tcPr>
            <w:tcW w:w="2573" w:type="dxa"/>
            <w:noWrap w:val="0"/>
            <w:vAlign w:val="center"/>
          </w:tcPr>
          <w:p w14:paraId="1B66D3C7">
            <w:pPr>
              <w:pStyle w:val="11"/>
              <w:jc w:val="center"/>
              <w:rPr>
                <w:color w:val="auto"/>
              </w:rPr>
            </w:pPr>
            <w:r>
              <w:rPr>
                <w:color w:val="auto"/>
              </w:rPr>
              <w:t>资格要求名称</w:t>
            </w:r>
          </w:p>
        </w:tc>
        <w:tc>
          <w:tcPr>
            <w:tcW w:w="5919" w:type="dxa"/>
            <w:noWrap w:val="0"/>
            <w:vAlign w:val="center"/>
          </w:tcPr>
          <w:p w14:paraId="0197359E">
            <w:pPr>
              <w:pStyle w:val="11"/>
              <w:jc w:val="center"/>
              <w:rPr>
                <w:color w:val="auto"/>
              </w:rPr>
            </w:pPr>
            <w:r>
              <w:rPr>
                <w:color w:val="auto"/>
              </w:rPr>
              <w:t>资格要求详细说明</w:t>
            </w:r>
          </w:p>
        </w:tc>
      </w:tr>
      <w:tr w14:paraId="324B1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23" w:hRule="atLeast"/>
        </w:trPr>
        <w:tc>
          <w:tcPr>
            <w:tcW w:w="759" w:type="dxa"/>
            <w:noWrap w:val="0"/>
            <w:vAlign w:val="center"/>
          </w:tcPr>
          <w:p w14:paraId="3A8544CC">
            <w:pPr>
              <w:pStyle w:val="11"/>
              <w:jc w:val="center"/>
              <w:rPr>
                <w:color w:val="auto"/>
              </w:rPr>
            </w:pPr>
            <w:r>
              <w:rPr>
                <w:color w:val="auto"/>
              </w:rPr>
              <w:t>1</w:t>
            </w:r>
          </w:p>
        </w:tc>
        <w:tc>
          <w:tcPr>
            <w:tcW w:w="2573" w:type="dxa"/>
            <w:noWrap w:val="0"/>
            <w:vAlign w:val="center"/>
          </w:tcPr>
          <w:p w14:paraId="24C1FA4D">
            <w:pPr>
              <w:pStyle w:val="11"/>
              <w:jc w:val="center"/>
              <w:rPr>
                <w:color w:val="auto"/>
              </w:rPr>
            </w:pPr>
            <w:r>
              <w:rPr>
                <w:color w:val="auto"/>
              </w:rPr>
              <w:t>具有独立承担民事责任能力的法人、其他组织或自然人</w:t>
            </w:r>
          </w:p>
        </w:tc>
        <w:tc>
          <w:tcPr>
            <w:tcW w:w="5919" w:type="dxa"/>
            <w:noWrap w:val="0"/>
            <w:vAlign w:val="center"/>
          </w:tcPr>
          <w:p w14:paraId="79A15346">
            <w:pPr>
              <w:pStyle w:val="11"/>
              <w:jc w:val="center"/>
              <w:rPr>
                <w:color w:val="auto"/>
              </w:rPr>
            </w:pPr>
            <w:r>
              <w:rPr>
                <w:rFonts w:hint="eastAsia"/>
                <w:color w:val="auto"/>
                <w:lang w:eastAsia="zh-CN"/>
              </w:rPr>
              <w:t>具有独立承担民事责任能力的法人、其他组织或自然人，提供营业执照/事业单位法人证书/非企业专业服务机构执业许可证/自然人身份证</w:t>
            </w:r>
            <w:r>
              <w:rPr>
                <w:color w:val="auto"/>
              </w:rPr>
              <w:t>；供应商需在项目电子化交易系统中按要求上传相应证明文件并进行电子签章。</w:t>
            </w:r>
          </w:p>
        </w:tc>
      </w:tr>
      <w:tr w14:paraId="3BF88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66" w:hRule="atLeast"/>
        </w:trPr>
        <w:tc>
          <w:tcPr>
            <w:tcW w:w="759" w:type="dxa"/>
            <w:noWrap w:val="0"/>
            <w:vAlign w:val="center"/>
          </w:tcPr>
          <w:p w14:paraId="2CF76C03">
            <w:pPr>
              <w:pStyle w:val="11"/>
              <w:jc w:val="center"/>
              <w:rPr>
                <w:color w:val="auto"/>
              </w:rPr>
            </w:pPr>
            <w:r>
              <w:rPr>
                <w:color w:val="auto"/>
              </w:rPr>
              <w:t>2</w:t>
            </w:r>
          </w:p>
        </w:tc>
        <w:tc>
          <w:tcPr>
            <w:tcW w:w="2573" w:type="dxa"/>
            <w:noWrap w:val="0"/>
            <w:vAlign w:val="center"/>
          </w:tcPr>
          <w:p w14:paraId="110F48D7">
            <w:pPr>
              <w:pStyle w:val="11"/>
              <w:jc w:val="center"/>
              <w:rPr>
                <w:color w:val="auto"/>
              </w:rPr>
            </w:pPr>
            <w:r>
              <w:rPr>
                <w:color w:val="auto"/>
              </w:rPr>
              <w:t>法定代表人参加投标时，提供本人身份证；授权代表参加投标时，提供法定代表人授权书和被授权人身份证；非法人单位参照执行</w:t>
            </w:r>
          </w:p>
        </w:tc>
        <w:tc>
          <w:tcPr>
            <w:tcW w:w="5919" w:type="dxa"/>
            <w:noWrap w:val="0"/>
            <w:vAlign w:val="center"/>
          </w:tcPr>
          <w:p w14:paraId="2DE69AA1">
            <w:pPr>
              <w:pStyle w:val="11"/>
              <w:jc w:val="center"/>
              <w:rPr>
                <w:color w:val="auto"/>
              </w:rPr>
            </w:pPr>
            <w:r>
              <w:rPr>
                <w:color w:val="auto"/>
              </w:rPr>
              <w:t>法定代表人参加投标时，提供本人身份证；授权代表参加投标时，提供法定代表人授权书和被授权人身份证；非法人单位参照执行；供应商需在项目电子化交易系统中按要求上传相应证明文件并进行电子签章。</w:t>
            </w:r>
          </w:p>
        </w:tc>
      </w:tr>
      <w:tr w14:paraId="559412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33" w:hRule="atLeast"/>
        </w:trPr>
        <w:tc>
          <w:tcPr>
            <w:tcW w:w="759" w:type="dxa"/>
            <w:noWrap w:val="0"/>
            <w:vAlign w:val="center"/>
          </w:tcPr>
          <w:p w14:paraId="69763985">
            <w:pPr>
              <w:pStyle w:val="11"/>
              <w:jc w:val="center"/>
              <w:rPr>
                <w:color w:val="auto"/>
              </w:rPr>
            </w:pPr>
            <w:r>
              <w:rPr>
                <w:color w:val="auto"/>
              </w:rPr>
              <w:t>3</w:t>
            </w:r>
          </w:p>
        </w:tc>
        <w:tc>
          <w:tcPr>
            <w:tcW w:w="2573" w:type="dxa"/>
            <w:noWrap w:val="0"/>
            <w:vAlign w:val="center"/>
          </w:tcPr>
          <w:p w14:paraId="3552E3DB">
            <w:pPr>
              <w:pStyle w:val="11"/>
              <w:jc w:val="center"/>
              <w:rPr>
                <w:color w:val="auto"/>
              </w:rPr>
            </w:pPr>
            <w:r>
              <w:rPr>
                <w:color w:val="auto"/>
              </w:rPr>
              <w:t>参加政府采购活动前三年内，在经营活动中没有重大违法记录的书面声明</w:t>
            </w:r>
          </w:p>
        </w:tc>
        <w:tc>
          <w:tcPr>
            <w:tcW w:w="5919" w:type="dxa"/>
            <w:noWrap w:val="0"/>
            <w:vAlign w:val="center"/>
          </w:tcPr>
          <w:p w14:paraId="556B1727">
            <w:pPr>
              <w:pStyle w:val="11"/>
              <w:jc w:val="left"/>
              <w:rPr>
                <w:color w:val="auto"/>
              </w:rPr>
            </w:pPr>
            <w:r>
              <w:rPr>
                <w:color w:val="auto"/>
              </w:rPr>
              <w:t>参加政府采购活动前三年内，在经营活动中没有重大违法记录的书面声明；供应商需在项目电子化交易系统中按要求上传相应证明文件并进行电子签章。</w:t>
            </w:r>
          </w:p>
        </w:tc>
      </w:tr>
      <w:tr w14:paraId="7115E6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7" w:hRule="atLeast"/>
        </w:trPr>
        <w:tc>
          <w:tcPr>
            <w:tcW w:w="759" w:type="dxa"/>
            <w:noWrap w:val="0"/>
            <w:vAlign w:val="center"/>
          </w:tcPr>
          <w:p w14:paraId="167B64F8">
            <w:pPr>
              <w:pStyle w:val="11"/>
              <w:jc w:val="center"/>
              <w:rPr>
                <w:rFonts w:hint="eastAsia" w:eastAsia="宋体"/>
                <w:color w:val="auto"/>
                <w:lang w:val="en-US" w:eastAsia="zh-CN"/>
              </w:rPr>
            </w:pPr>
            <w:r>
              <w:rPr>
                <w:rFonts w:hint="eastAsia"/>
                <w:color w:val="auto"/>
                <w:lang w:val="en-US" w:eastAsia="zh-CN"/>
              </w:rPr>
              <w:t>4</w:t>
            </w:r>
          </w:p>
        </w:tc>
        <w:tc>
          <w:tcPr>
            <w:tcW w:w="2573" w:type="dxa"/>
            <w:noWrap w:val="0"/>
            <w:vAlign w:val="center"/>
          </w:tcPr>
          <w:p w14:paraId="361E06B0">
            <w:pPr>
              <w:pStyle w:val="11"/>
              <w:jc w:val="center"/>
              <w:rPr>
                <w:color w:val="auto"/>
              </w:rPr>
            </w:pPr>
            <w:r>
              <w:rPr>
                <w:color w:val="auto"/>
              </w:rPr>
              <w:t>供应商提供具有履行合同所必需的设备和专业技术能力的承诺</w:t>
            </w:r>
          </w:p>
        </w:tc>
        <w:tc>
          <w:tcPr>
            <w:tcW w:w="5919" w:type="dxa"/>
            <w:noWrap w:val="0"/>
            <w:vAlign w:val="center"/>
          </w:tcPr>
          <w:p w14:paraId="6908B143">
            <w:pPr>
              <w:pStyle w:val="11"/>
              <w:jc w:val="left"/>
              <w:rPr>
                <w:rFonts w:hint="eastAsia" w:eastAsia="宋体"/>
                <w:color w:val="auto"/>
                <w:lang w:eastAsia="zh-CN"/>
              </w:rPr>
            </w:pPr>
            <w:r>
              <w:rPr>
                <w:color w:val="auto"/>
              </w:rPr>
              <w:t>供应商提供具有履行合同所必需的设备和专业技术能力的承诺</w:t>
            </w:r>
            <w:r>
              <w:rPr>
                <w:rFonts w:hint="eastAsia"/>
                <w:color w:val="auto"/>
                <w:lang w:eastAsia="zh-CN"/>
              </w:rPr>
              <w:t>，</w:t>
            </w:r>
            <w:r>
              <w:rPr>
                <w:color w:val="auto"/>
              </w:rPr>
              <w:t>供应商需在项目电子化交易系统中按要求上传相应证明文件并进行电子签章。</w:t>
            </w:r>
          </w:p>
        </w:tc>
      </w:tr>
      <w:tr w14:paraId="3A1A6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00" w:hRule="atLeast"/>
        </w:trPr>
        <w:tc>
          <w:tcPr>
            <w:tcW w:w="759" w:type="dxa"/>
            <w:noWrap w:val="0"/>
            <w:vAlign w:val="center"/>
          </w:tcPr>
          <w:p w14:paraId="1AD4CAAC">
            <w:pPr>
              <w:pStyle w:val="11"/>
              <w:jc w:val="center"/>
              <w:rPr>
                <w:rFonts w:hint="eastAsia" w:eastAsia="宋体"/>
                <w:color w:val="auto"/>
                <w:lang w:eastAsia="zh-CN"/>
              </w:rPr>
            </w:pPr>
            <w:r>
              <w:rPr>
                <w:rFonts w:hint="eastAsia"/>
                <w:color w:val="auto"/>
                <w:lang w:val="en-US" w:eastAsia="zh-CN"/>
              </w:rPr>
              <w:t>5</w:t>
            </w:r>
          </w:p>
        </w:tc>
        <w:tc>
          <w:tcPr>
            <w:tcW w:w="2573" w:type="dxa"/>
            <w:noWrap w:val="0"/>
            <w:vAlign w:val="center"/>
          </w:tcPr>
          <w:p w14:paraId="2F2097CC">
            <w:pPr>
              <w:pStyle w:val="11"/>
              <w:jc w:val="center"/>
              <w:rPr>
                <w:color w:val="auto"/>
              </w:rPr>
            </w:pPr>
            <w:r>
              <w:rPr>
                <w:color w:val="auto"/>
              </w:rPr>
              <w:t>税收证明</w:t>
            </w:r>
          </w:p>
        </w:tc>
        <w:tc>
          <w:tcPr>
            <w:tcW w:w="5919" w:type="dxa"/>
            <w:noWrap w:val="0"/>
            <w:vAlign w:val="center"/>
          </w:tcPr>
          <w:p w14:paraId="76105B7F">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00" w:firstLineChars="200"/>
              <w:jc w:val="both"/>
              <w:textAlignment w:val="baseline"/>
              <w:rPr>
                <w:color w:val="auto"/>
              </w:rPr>
            </w:pPr>
            <w:r>
              <w:rPr>
                <w:rFonts w:hint="eastAsia" w:ascii="Calibri" w:hAnsi="Calibri" w:eastAsia="宋体" w:cs="Times New Roman"/>
                <w:color w:val="auto"/>
                <w:kern w:val="0"/>
                <w:sz w:val="20"/>
                <w:lang w:val="en-US" w:eastAsia="zh-CN"/>
              </w:rPr>
              <w:t>提供磋商响应文件递交截止时间近六个月内至少一个月已缴纳的纳税凭据或完税证明；依法免税的供应商应提供相关文件证明</w:t>
            </w:r>
            <w:r>
              <w:rPr>
                <w:rFonts w:hint="eastAsia" w:ascii="Calibri" w:hAnsi="Calibri" w:eastAsia="宋体" w:cs="Times New Roman"/>
                <w:color w:val="auto"/>
                <w:kern w:val="0"/>
                <w:sz w:val="20"/>
                <w:lang w:val="en-US" w:eastAsia="zh-Hans"/>
              </w:rPr>
              <w:t>；供应商需在项目电子化交易系统中按要求上传相应证明文件并进行电子签章</w:t>
            </w:r>
            <w:r>
              <w:rPr>
                <w:color w:val="auto"/>
              </w:rPr>
              <w:t>。</w:t>
            </w:r>
          </w:p>
        </w:tc>
      </w:tr>
      <w:tr w14:paraId="27B79D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03" w:hRule="atLeast"/>
        </w:trPr>
        <w:tc>
          <w:tcPr>
            <w:tcW w:w="759" w:type="dxa"/>
            <w:noWrap w:val="0"/>
            <w:vAlign w:val="center"/>
          </w:tcPr>
          <w:p w14:paraId="14515602">
            <w:pPr>
              <w:pStyle w:val="11"/>
              <w:jc w:val="center"/>
              <w:rPr>
                <w:rFonts w:hint="eastAsia" w:eastAsia="宋体"/>
                <w:color w:val="auto"/>
                <w:lang w:eastAsia="zh-CN"/>
              </w:rPr>
            </w:pPr>
            <w:r>
              <w:rPr>
                <w:rFonts w:hint="eastAsia"/>
                <w:color w:val="auto"/>
                <w:lang w:val="en-US" w:eastAsia="zh-CN"/>
              </w:rPr>
              <w:t>6</w:t>
            </w:r>
          </w:p>
        </w:tc>
        <w:tc>
          <w:tcPr>
            <w:tcW w:w="2573" w:type="dxa"/>
            <w:noWrap w:val="0"/>
            <w:vAlign w:val="center"/>
          </w:tcPr>
          <w:p w14:paraId="275EE82C">
            <w:pPr>
              <w:pStyle w:val="11"/>
              <w:jc w:val="center"/>
              <w:rPr>
                <w:color w:val="auto"/>
              </w:rPr>
            </w:pPr>
            <w:r>
              <w:rPr>
                <w:color w:val="auto"/>
              </w:rPr>
              <w:t>社会保障资金缴纳证明</w:t>
            </w:r>
          </w:p>
        </w:tc>
        <w:tc>
          <w:tcPr>
            <w:tcW w:w="5919" w:type="dxa"/>
            <w:noWrap w:val="0"/>
            <w:vAlign w:val="center"/>
          </w:tcPr>
          <w:p w14:paraId="4167C10F">
            <w:pPr>
              <w:pStyle w:val="11"/>
              <w:jc w:val="center"/>
              <w:rPr>
                <w:color w:val="auto"/>
              </w:rPr>
            </w:pPr>
            <w:r>
              <w:rPr>
                <w:rFonts w:hint="eastAsia"/>
                <w:color w:val="auto"/>
                <w:lang w:eastAsia="zh-CN"/>
              </w:rPr>
              <w:t>提供磋商响应文件截止时间前六个月内已缴存的至少一个月的社会保障资金缴存单据或社保机构开具的社会保险参保缴费情况证明，依法不需要缴纳社会保障资金的单位应提供相关证明材料</w:t>
            </w:r>
            <w:r>
              <w:rPr>
                <w:color w:val="auto"/>
              </w:rPr>
              <w:t>；供应商需在项目电子化交易系统中按要求上传相应证明文件并进行电子签章。</w:t>
            </w:r>
          </w:p>
        </w:tc>
      </w:tr>
      <w:tr w14:paraId="4351F7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24" w:hRule="atLeast"/>
        </w:trPr>
        <w:tc>
          <w:tcPr>
            <w:tcW w:w="759" w:type="dxa"/>
            <w:noWrap w:val="0"/>
            <w:vAlign w:val="center"/>
          </w:tcPr>
          <w:p w14:paraId="1B9A26C9">
            <w:pPr>
              <w:pStyle w:val="11"/>
              <w:jc w:val="center"/>
              <w:rPr>
                <w:rFonts w:hint="eastAsia" w:eastAsia="宋体"/>
                <w:color w:val="auto"/>
                <w:lang w:eastAsia="zh-CN"/>
              </w:rPr>
            </w:pPr>
            <w:r>
              <w:rPr>
                <w:rFonts w:hint="eastAsia"/>
                <w:color w:val="auto"/>
                <w:lang w:val="en-US" w:eastAsia="zh-CN"/>
              </w:rPr>
              <w:t>7</w:t>
            </w:r>
          </w:p>
        </w:tc>
        <w:tc>
          <w:tcPr>
            <w:tcW w:w="2573" w:type="dxa"/>
            <w:noWrap w:val="0"/>
            <w:vAlign w:val="center"/>
          </w:tcPr>
          <w:p w14:paraId="04FA7AF6">
            <w:pPr>
              <w:pStyle w:val="11"/>
              <w:jc w:val="center"/>
              <w:rPr>
                <w:rFonts w:hint="default" w:eastAsia="宋体"/>
                <w:color w:val="auto"/>
                <w:lang w:val="en-US" w:eastAsia="zh-CN"/>
              </w:rPr>
            </w:pPr>
            <w:r>
              <w:rPr>
                <w:rFonts w:hint="eastAsia"/>
                <w:color w:val="auto"/>
                <w:lang w:val="en-US" w:eastAsia="zh-CN"/>
              </w:rPr>
              <w:t>信用查询</w:t>
            </w:r>
          </w:p>
        </w:tc>
        <w:tc>
          <w:tcPr>
            <w:tcW w:w="5919" w:type="dxa"/>
            <w:noWrap w:val="0"/>
            <w:vAlign w:val="center"/>
          </w:tcPr>
          <w:p w14:paraId="0BCBB58E">
            <w:pPr>
              <w:pStyle w:val="11"/>
              <w:jc w:val="left"/>
              <w:rPr>
                <w:color w:val="auto"/>
              </w:rPr>
            </w:pPr>
            <w:r>
              <w:rPr>
                <w:color w:val="auto"/>
              </w:rPr>
              <w:t>供应商不得为“信用中国”网站（www.creditchina.gov.cn）或“中国执信公开网”中被列入失信被执行人、重大税收违法案件当事人名单和中国政府采购网（www.ccgp.gov.cn）被列入政府采购严重违法失信行为记录名单的单位。供应商需在项目电子化交易系统中按要求上传相应证明文件并进行电子签章。</w:t>
            </w:r>
          </w:p>
        </w:tc>
      </w:tr>
      <w:tr w14:paraId="3376AC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99" w:hRule="atLeast"/>
        </w:trPr>
        <w:tc>
          <w:tcPr>
            <w:tcW w:w="759" w:type="dxa"/>
            <w:noWrap w:val="0"/>
            <w:vAlign w:val="center"/>
          </w:tcPr>
          <w:p w14:paraId="2181A3C8">
            <w:pPr>
              <w:pStyle w:val="11"/>
              <w:jc w:val="center"/>
              <w:rPr>
                <w:rFonts w:hint="eastAsia" w:eastAsia="宋体"/>
                <w:color w:val="auto"/>
                <w:lang w:eastAsia="zh-CN"/>
              </w:rPr>
            </w:pPr>
            <w:r>
              <w:rPr>
                <w:rFonts w:hint="eastAsia"/>
                <w:color w:val="auto"/>
                <w:lang w:val="en-US" w:eastAsia="zh-CN"/>
              </w:rPr>
              <w:t>8</w:t>
            </w:r>
          </w:p>
        </w:tc>
        <w:tc>
          <w:tcPr>
            <w:tcW w:w="2573" w:type="dxa"/>
            <w:noWrap w:val="0"/>
            <w:vAlign w:val="center"/>
          </w:tcPr>
          <w:p w14:paraId="44064386">
            <w:pPr>
              <w:pStyle w:val="11"/>
              <w:jc w:val="center"/>
              <w:rPr>
                <w:color w:val="auto"/>
              </w:rPr>
            </w:pPr>
            <w:r>
              <w:rPr>
                <w:color w:val="auto"/>
              </w:rPr>
              <w:t>本项目不接受联合体投标</w:t>
            </w:r>
          </w:p>
        </w:tc>
        <w:tc>
          <w:tcPr>
            <w:tcW w:w="5919" w:type="dxa"/>
            <w:noWrap w:val="0"/>
            <w:vAlign w:val="center"/>
          </w:tcPr>
          <w:p w14:paraId="2C42D329">
            <w:pPr>
              <w:pStyle w:val="11"/>
              <w:jc w:val="left"/>
              <w:rPr>
                <w:color w:val="auto"/>
              </w:rPr>
            </w:pPr>
            <w:r>
              <w:rPr>
                <w:color w:val="auto"/>
              </w:rPr>
              <w:t>本项目不接受联合体投标，供应商需在项目电子化交易系统中按要求上传相应证明文件并进行电子签章。</w:t>
            </w:r>
          </w:p>
        </w:tc>
      </w:tr>
    </w:tbl>
    <w:p w14:paraId="6F4A02FE">
      <w:pPr>
        <w:pStyle w:val="7"/>
        <w:widowControl/>
        <w:spacing w:before="750" w:beforeAutospacing="0" w:after="750" w:afterAutospacing="0" w:line="480" w:lineRule="atLeast"/>
        <w:ind w:right="376"/>
        <w:rPr>
          <w:rFonts w:hint="eastAsia" w:ascii="宋体" w:hAnsi="宋体" w:cs="宋体"/>
          <w:color w:val="333333"/>
          <w:sz w:val="21"/>
          <w:szCs w:val="21"/>
        </w:rPr>
      </w:pPr>
      <w:r>
        <w:rPr>
          <w:rFonts w:hint="eastAsia" w:ascii="宋体" w:hAnsi="宋体" w:cs="宋体"/>
          <w:color w:val="333333"/>
          <w:sz w:val="21"/>
          <w:szCs w:val="21"/>
        </w:rPr>
        <w:t>9、分包的评审条款</w:t>
      </w:r>
    </w:p>
    <w:tbl>
      <w:tblPr>
        <w:tblStyle w:val="9"/>
        <w:tblW w:w="924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6"/>
        <w:gridCol w:w="1170"/>
        <w:gridCol w:w="1439"/>
        <w:gridCol w:w="3586"/>
        <w:gridCol w:w="705"/>
        <w:gridCol w:w="1215"/>
      </w:tblGrid>
      <w:tr w14:paraId="6A3FC8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4" w:hRule="atLeast"/>
        </w:trPr>
        <w:tc>
          <w:tcPr>
            <w:tcW w:w="1126" w:type="dxa"/>
            <w:noWrap w:val="0"/>
            <w:vAlign w:val="center"/>
          </w:tcPr>
          <w:p w14:paraId="40C7A070">
            <w:pPr>
              <w:pStyle w:val="11"/>
              <w:spacing w:line="240" w:lineRule="auto"/>
              <w:jc w:val="center"/>
              <w:rPr>
                <w:color w:val="auto"/>
              </w:rPr>
            </w:pPr>
            <w:r>
              <w:rPr>
                <w:color w:val="auto"/>
              </w:rPr>
              <w:t>评审项编号</w:t>
            </w:r>
          </w:p>
        </w:tc>
        <w:tc>
          <w:tcPr>
            <w:tcW w:w="1170" w:type="dxa"/>
            <w:noWrap w:val="0"/>
            <w:vAlign w:val="center"/>
          </w:tcPr>
          <w:p w14:paraId="1A753D4D">
            <w:pPr>
              <w:pStyle w:val="11"/>
              <w:spacing w:line="240" w:lineRule="auto"/>
              <w:jc w:val="center"/>
              <w:rPr>
                <w:color w:val="auto"/>
              </w:rPr>
            </w:pPr>
            <w:r>
              <w:rPr>
                <w:color w:val="auto"/>
              </w:rPr>
              <w:t>一级评审项</w:t>
            </w:r>
          </w:p>
        </w:tc>
        <w:tc>
          <w:tcPr>
            <w:tcW w:w="1439" w:type="dxa"/>
            <w:noWrap w:val="0"/>
            <w:vAlign w:val="center"/>
          </w:tcPr>
          <w:p w14:paraId="1ABE339D">
            <w:pPr>
              <w:pStyle w:val="11"/>
              <w:spacing w:line="240" w:lineRule="auto"/>
              <w:jc w:val="center"/>
              <w:rPr>
                <w:color w:val="auto"/>
              </w:rPr>
            </w:pPr>
            <w:r>
              <w:rPr>
                <w:color w:val="auto"/>
              </w:rPr>
              <w:t>二级评审项</w:t>
            </w:r>
          </w:p>
        </w:tc>
        <w:tc>
          <w:tcPr>
            <w:tcW w:w="3586" w:type="dxa"/>
            <w:noWrap w:val="0"/>
            <w:vAlign w:val="center"/>
          </w:tcPr>
          <w:p w14:paraId="636280B2">
            <w:pPr>
              <w:pStyle w:val="11"/>
              <w:spacing w:line="240" w:lineRule="auto"/>
              <w:jc w:val="center"/>
              <w:rPr>
                <w:color w:val="auto"/>
              </w:rPr>
            </w:pPr>
            <w:r>
              <w:rPr>
                <w:color w:val="auto"/>
              </w:rPr>
              <w:t>详细要求</w:t>
            </w:r>
          </w:p>
        </w:tc>
        <w:tc>
          <w:tcPr>
            <w:tcW w:w="705" w:type="dxa"/>
            <w:noWrap w:val="0"/>
            <w:vAlign w:val="center"/>
          </w:tcPr>
          <w:p w14:paraId="05BBF819">
            <w:pPr>
              <w:pStyle w:val="11"/>
              <w:spacing w:line="240" w:lineRule="auto"/>
              <w:ind w:left="199" w:leftChars="95" w:firstLine="0" w:firstLineChars="0"/>
              <w:jc w:val="center"/>
              <w:rPr>
                <w:color w:val="auto"/>
              </w:rPr>
            </w:pPr>
            <w:r>
              <w:rPr>
                <w:color w:val="auto"/>
              </w:rPr>
              <w:t>分值</w:t>
            </w:r>
          </w:p>
        </w:tc>
        <w:tc>
          <w:tcPr>
            <w:tcW w:w="1215" w:type="dxa"/>
            <w:noWrap w:val="0"/>
            <w:vAlign w:val="center"/>
          </w:tcPr>
          <w:p w14:paraId="35E59757">
            <w:pPr>
              <w:pStyle w:val="11"/>
              <w:spacing w:line="240" w:lineRule="auto"/>
              <w:jc w:val="center"/>
              <w:rPr>
                <w:color w:val="auto"/>
              </w:rPr>
            </w:pPr>
            <w:r>
              <w:rPr>
                <w:color w:val="auto"/>
              </w:rPr>
              <w:t>客观评</w:t>
            </w:r>
          </w:p>
          <w:p w14:paraId="09BE35E8">
            <w:pPr>
              <w:pStyle w:val="11"/>
              <w:spacing w:line="240" w:lineRule="auto"/>
              <w:ind w:firstLine="200" w:firstLineChars="100"/>
              <w:jc w:val="center"/>
              <w:rPr>
                <w:color w:val="auto"/>
              </w:rPr>
            </w:pPr>
            <w:r>
              <w:rPr>
                <w:color w:val="auto"/>
              </w:rPr>
              <w:t>审项</w:t>
            </w:r>
          </w:p>
        </w:tc>
      </w:tr>
      <w:tr w14:paraId="0E474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4" w:hRule="atLeast"/>
        </w:trPr>
        <w:tc>
          <w:tcPr>
            <w:tcW w:w="1126" w:type="dxa"/>
            <w:noWrap w:val="0"/>
            <w:vAlign w:val="top"/>
          </w:tcPr>
          <w:p w14:paraId="129D57CA">
            <w:pPr>
              <w:pStyle w:val="11"/>
              <w:jc w:val="left"/>
              <w:rPr>
                <w:rFonts w:hint="eastAsia"/>
                <w:color w:val="auto"/>
              </w:rPr>
            </w:pPr>
          </w:p>
          <w:p w14:paraId="652D48B7">
            <w:pPr>
              <w:pStyle w:val="11"/>
              <w:jc w:val="left"/>
              <w:rPr>
                <w:rFonts w:hint="eastAsia"/>
                <w:color w:val="auto"/>
              </w:rPr>
            </w:pPr>
          </w:p>
          <w:p w14:paraId="012D79B6">
            <w:pPr>
              <w:pStyle w:val="11"/>
              <w:jc w:val="left"/>
              <w:rPr>
                <w:rFonts w:hint="eastAsia"/>
                <w:color w:val="auto"/>
              </w:rPr>
            </w:pPr>
          </w:p>
          <w:p w14:paraId="7A83D063">
            <w:pPr>
              <w:pStyle w:val="11"/>
              <w:jc w:val="center"/>
              <w:rPr>
                <w:rFonts w:hint="eastAsia"/>
                <w:color w:val="auto"/>
              </w:rPr>
            </w:pPr>
            <w:r>
              <w:rPr>
                <w:rFonts w:hint="eastAsia"/>
                <w:color w:val="auto"/>
              </w:rPr>
              <w:t>1</w:t>
            </w:r>
          </w:p>
        </w:tc>
        <w:tc>
          <w:tcPr>
            <w:tcW w:w="1170" w:type="dxa"/>
            <w:noWrap w:val="0"/>
            <w:vAlign w:val="center"/>
          </w:tcPr>
          <w:p w14:paraId="1A28E505">
            <w:pPr>
              <w:pStyle w:val="11"/>
              <w:jc w:val="left"/>
              <w:rPr>
                <w:rFonts w:hint="eastAsia"/>
                <w:color w:val="auto"/>
              </w:rPr>
            </w:pPr>
            <w:r>
              <w:rPr>
                <w:rFonts w:hint="eastAsia"/>
                <w:color w:val="auto"/>
              </w:rPr>
              <w:t>详细评审</w:t>
            </w:r>
          </w:p>
        </w:tc>
        <w:tc>
          <w:tcPr>
            <w:tcW w:w="1439" w:type="dxa"/>
            <w:noWrap w:val="0"/>
            <w:vAlign w:val="center"/>
          </w:tcPr>
          <w:p w14:paraId="6041C4E1">
            <w:pPr>
              <w:pStyle w:val="11"/>
              <w:jc w:val="left"/>
              <w:rPr>
                <w:rFonts w:hint="eastAsia"/>
                <w:color w:val="auto"/>
                <w:lang w:val="en-US" w:eastAsia="zh-CN"/>
              </w:rPr>
            </w:pPr>
            <w:r>
              <w:rPr>
                <w:rFonts w:hint="eastAsia"/>
                <w:color w:val="auto"/>
              </w:rPr>
              <w:t>类似业绩</w:t>
            </w:r>
          </w:p>
        </w:tc>
        <w:tc>
          <w:tcPr>
            <w:tcW w:w="3586" w:type="dxa"/>
            <w:noWrap w:val="0"/>
            <w:vAlign w:val="center"/>
          </w:tcPr>
          <w:p w14:paraId="7E3EFB55">
            <w:pPr>
              <w:pStyle w:val="11"/>
              <w:jc w:val="left"/>
              <w:rPr>
                <w:rFonts w:hint="eastAsia" w:ascii="Calibri" w:hAnsi="Calibri" w:eastAsia="宋体" w:cs="Times New Roman"/>
                <w:color w:val="auto"/>
                <w:kern w:val="0"/>
                <w:sz w:val="20"/>
                <w:szCs w:val="20"/>
                <w:lang w:val="en-US" w:eastAsia="zh-CN" w:bidi="ar-SA"/>
              </w:rPr>
            </w:pPr>
            <w:r>
              <w:rPr>
                <w:rFonts w:hint="eastAsia" w:ascii="Calibri" w:hAnsi="Calibri" w:eastAsia="宋体" w:cs="Times New Roman"/>
                <w:color w:val="auto"/>
                <w:kern w:val="0"/>
                <w:sz w:val="20"/>
                <w:szCs w:val="20"/>
                <w:lang w:val="en-US" w:eastAsia="zh-CN" w:bidi="ar-SA"/>
              </w:rPr>
              <w:t>供应商自2022年1月1日至今承担过类似项目业绩。需提供签订的合同或协议的首页、盖章页及关键信息页的复印件加盖公章（日期以合同签订时间为准）。每提供1份有效合同得2分，最多得10分。</w:t>
            </w:r>
          </w:p>
        </w:tc>
        <w:tc>
          <w:tcPr>
            <w:tcW w:w="705" w:type="dxa"/>
            <w:noWrap w:val="0"/>
            <w:vAlign w:val="center"/>
          </w:tcPr>
          <w:p w14:paraId="7679259A">
            <w:pPr>
              <w:pStyle w:val="11"/>
              <w:jc w:val="left"/>
              <w:rPr>
                <w:rFonts w:hint="eastAsia"/>
                <w:color w:val="auto"/>
              </w:rPr>
            </w:pPr>
          </w:p>
          <w:p w14:paraId="0BD503A3">
            <w:pPr>
              <w:pStyle w:val="11"/>
              <w:jc w:val="left"/>
              <w:rPr>
                <w:rFonts w:hint="eastAsia"/>
                <w:color w:val="auto"/>
                <w:lang w:val="en-US" w:eastAsia="zh-CN"/>
              </w:rPr>
            </w:pPr>
            <w:r>
              <w:rPr>
                <w:rFonts w:hint="eastAsia"/>
                <w:color w:val="auto"/>
                <w:lang w:val="en-US" w:eastAsia="zh-CN"/>
              </w:rPr>
              <w:t>10</w:t>
            </w:r>
          </w:p>
        </w:tc>
        <w:tc>
          <w:tcPr>
            <w:tcW w:w="1215" w:type="dxa"/>
            <w:noWrap w:val="0"/>
            <w:vAlign w:val="center"/>
          </w:tcPr>
          <w:p w14:paraId="2ACA0235">
            <w:pPr>
              <w:pStyle w:val="11"/>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是</w:t>
            </w:r>
          </w:p>
        </w:tc>
      </w:tr>
      <w:tr w14:paraId="32EB2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4" w:hRule="atLeast"/>
        </w:trPr>
        <w:tc>
          <w:tcPr>
            <w:tcW w:w="1126" w:type="dxa"/>
            <w:noWrap w:val="0"/>
            <w:vAlign w:val="top"/>
          </w:tcPr>
          <w:p w14:paraId="5A965D05">
            <w:pPr>
              <w:pStyle w:val="11"/>
              <w:jc w:val="center"/>
              <w:rPr>
                <w:rFonts w:hint="eastAsia"/>
                <w:color w:val="auto"/>
              </w:rPr>
            </w:pPr>
          </w:p>
          <w:p w14:paraId="0210D225">
            <w:pPr>
              <w:pStyle w:val="11"/>
              <w:jc w:val="center"/>
              <w:rPr>
                <w:rFonts w:hint="eastAsia"/>
                <w:color w:val="auto"/>
              </w:rPr>
            </w:pPr>
          </w:p>
          <w:p w14:paraId="059C93EF">
            <w:pPr>
              <w:pStyle w:val="11"/>
              <w:jc w:val="center"/>
              <w:rPr>
                <w:rFonts w:hint="eastAsia"/>
                <w:color w:val="auto"/>
              </w:rPr>
            </w:pPr>
          </w:p>
          <w:p w14:paraId="26F05732">
            <w:pPr>
              <w:pStyle w:val="11"/>
              <w:jc w:val="center"/>
              <w:rPr>
                <w:rFonts w:hint="eastAsia"/>
                <w:color w:val="auto"/>
              </w:rPr>
            </w:pPr>
          </w:p>
          <w:p w14:paraId="11ECBBBA">
            <w:pPr>
              <w:pStyle w:val="11"/>
              <w:jc w:val="center"/>
              <w:rPr>
                <w:rFonts w:hint="eastAsia"/>
                <w:color w:val="auto"/>
              </w:rPr>
            </w:pPr>
          </w:p>
          <w:p w14:paraId="05BDED0B">
            <w:pPr>
              <w:pStyle w:val="11"/>
              <w:jc w:val="center"/>
              <w:rPr>
                <w:rFonts w:hint="eastAsia"/>
                <w:color w:val="auto"/>
              </w:rPr>
            </w:pPr>
            <w:r>
              <w:rPr>
                <w:rFonts w:hint="eastAsia"/>
                <w:color w:val="auto"/>
              </w:rPr>
              <w:t>2</w:t>
            </w:r>
          </w:p>
        </w:tc>
        <w:tc>
          <w:tcPr>
            <w:tcW w:w="1170" w:type="dxa"/>
            <w:noWrap w:val="0"/>
            <w:vAlign w:val="center"/>
          </w:tcPr>
          <w:p w14:paraId="6021FB3E">
            <w:pPr>
              <w:pStyle w:val="11"/>
              <w:jc w:val="left"/>
              <w:rPr>
                <w:rFonts w:hint="eastAsia"/>
                <w:color w:val="auto"/>
              </w:rPr>
            </w:pPr>
            <w:r>
              <w:rPr>
                <w:rFonts w:hint="eastAsia"/>
                <w:color w:val="auto"/>
              </w:rPr>
              <w:t>详细评审</w:t>
            </w:r>
          </w:p>
        </w:tc>
        <w:tc>
          <w:tcPr>
            <w:tcW w:w="1439" w:type="dxa"/>
            <w:noWrap w:val="0"/>
            <w:vAlign w:val="center"/>
          </w:tcPr>
          <w:p w14:paraId="35827B04">
            <w:pPr>
              <w:pStyle w:val="11"/>
              <w:jc w:val="left"/>
              <w:rPr>
                <w:rFonts w:hint="eastAsia"/>
                <w:color w:val="auto"/>
              </w:rPr>
            </w:pPr>
            <w:r>
              <w:rPr>
                <w:rFonts w:hint="eastAsia"/>
                <w:color w:val="auto"/>
              </w:rPr>
              <w:t>项目实施方案</w:t>
            </w:r>
          </w:p>
        </w:tc>
        <w:tc>
          <w:tcPr>
            <w:tcW w:w="3586" w:type="dxa"/>
            <w:noWrap w:val="0"/>
            <w:vAlign w:val="center"/>
          </w:tcPr>
          <w:p w14:paraId="0AF57CD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Calibri" w:hAnsi="Calibri" w:eastAsia="宋体" w:cs="Times New Roman"/>
                <w:color w:val="auto"/>
                <w:kern w:val="0"/>
                <w:sz w:val="20"/>
                <w:szCs w:val="20"/>
                <w:lang w:val="en-US" w:eastAsia="zh-CN"/>
              </w:rPr>
            </w:pPr>
            <w:r>
              <w:rPr>
                <w:rFonts w:hint="eastAsia" w:ascii="Calibri" w:hAnsi="Calibri" w:eastAsia="宋体" w:cs="Times New Roman"/>
                <w:color w:val="auto"/>
                <w:kern w:val="0"/>
                <w:sz w:val="20"/>
                <w:szCs w:val="20"/>
                <w:lang w:val="en-US" w:eastAsia="zh-CN"/>
              </w:rPr>
              <w:t>供应商根据磋商文件的采购服务内容进行理解分析，项目方案包括但不限于： 项目工作计划、预期成果简述、项目负责人情况及团队成员。</w:t>
            </w:r>
          </w:p>
          <w:p w14:paraId="0D8B782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Calibri" w:hAnsi="Calibri" w:eastAsia="宋体" w:cs="Times New Roman"/>
                <w:color w:val="auto"/>
                <w:kern w:val="0"/>
                <w:sz w:val="20"/>
                <w:szCs w:val="20"/>
                <w:lang w:val="en-US" w:eastAsia="zh-CN"/>
              </w:rPr>
            </w:pPr>
            <w:r>
              <w:rPr>
                <w:rFonts w:hint="eastAsia" w:ascii="Calibri" w:hAnsi="Calibri" w:eastAsia="宋体" w:cs="Times New Roman"/>
                <w:color w:val="auto"/>
                <w:kern w:val="0"/>
                <w:sz w:val="20"/>
                <w:szCs w:val="20"/>
                <w:lang w:val="en-US" w:eastAsia="zh-CN"/>
              </w:rPr>
              <w:t>方案合理、清晰、可行，针对性强，能完全满足采购需求得14.1-20分；方案基本合理、清晰、可行，针对性一般，基本满足采购需求得6.1-14分；方案基本合理、可行、但不清晰，无针对性，不能满足采购需求得0-6分。</w:t>
            </w:r>
          </w:p>
        </w:tc>
        <w:tc>
          <w:tcPr>
            <w:tcW w:w="705" w:type="dxa"/>
            <w:noWrap w:val="0"/>
            <w:vAlign w:val="center"/>
          </w:tcPr>
          <w:p w14:paraId="61F7BE5C">
            <w:pPr>
              <w:pStyle w:val="11"/>
              <w:jc w:val="left"/>
              <w:rPr>
                <w:rFonts w:hint="default"/>
                <w:color w:val="auto"/>
                <w:lang w:val="en-US" w:eastAsia="zh-CN"/>
              </w:rPr>
            </w:pPr>
            <w:r>
              <w:rPr>
                <w:rFonts w:hint="eastAsia"/>
                <w:color w:val="auto"/>
                <w:lang w:val="en-US" w:eastAsia="zh-CN"/>
              </w:rPr>
              <w:t>20</w:t>
            </w:r>
          </w:p>
        </w:tc>
        <w:tc>
          <w:tcPr>
            <w:tcW w:w="1215" w:type="dxa"/>
            <w:noWrap w:val="0"/>
            <w:vAlign w:val="center"/>
          </w:tcPr>
          <w:p w14:paraId="1728A175">
            <w:pPr>
              <w:pStyle w:val="11"/>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否</w:t>
            </w:r>
          </w:p>
        </w:tc>
      </w:tr>
      <w:tr w14:paraId="110BD5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0" w:hRule="atLeast"/>
        </w:trPr>
        <w:tc>
          <w:tcPr>
            <w:tcW w:w="1126" w:type="dxa"/>
            <w:noWrap w:val="0"/>
            <w:vAlign w:val="top"/>
          </w:tcPr>
          <w:p w14:paraId="4C6F14BD">
            <w:pPr>
              <w:pStyle w:val="11"/>
              <w:jc w:val="left"/>
              <w:rPr>
                <w:rFonts w:hint="eastAsia"/>
                <w:color w:val="auto"/>
              </w:rPr>
            </w:pPr>
          </w:p>
          <w:p w14:paraId="77FD59F3">
            <w:pPr>
              <w:pStyle w:val="11"/>
              <w:jc w:val="left"/>
              <w:rPr>
                <w:rFonts w:hint="eastAsia"/>
                <w:color w:val="auto"/>
              </w:rPr>
            </w:pPr>
          </w:p>
          <w:p w14:paraId="20604402">
            <w:pPr>
              <w:pStyle w:val="11"/>
              <w:jc w:val="left"/>
              <w:rPr>
                <w:rFonts w:hint="eastAsia"/>
                <w:color w:val="auto"/>
              </w:rPr>
            </w:pPr>
          </w:p>
          <w:p w14:paraId="691DBE03">
            <w:pPr>
              <w:pStyle w:val="11"/>
              <w:jc w:val="left"/>
              <w:rPr>
                <w:rFonts w:hint="eastAsia"/>
                <w:color w:val="auto"/>
              </w:rPr>
            </w:pPr>
          </w:p>
          <w:p w14:paraId="0DF2DD94">
            <w:pPr>
              <w:pStyle w:val="11"/>
              <w:jc w:val="center"/>
              <w:rPr>
                <w:rFonts w:hint="eastAsia"/>
                <w:color w:val="auto"/>
              </w:rPr>
            </w:pPr>
            <w:r>
              <w:rPr>
                <w:rFonts w:hint="eastAsia"/>
                <w:color w:val="auto"/>
              </w:rPr>
              <w:t>3</w:t>
            </w:r>
          </w:p>
        </w:tc>
        <w:tc>
          <w:tcPr>
            <w:tcW w:w="1170" w:type="dxa"/>
            <w:noWrap w:val="0"/>
            <w:vAlign w:val="center"/>
          </w:tcPr>
          <w:p w14:paraId="1979E779">
            <w:pPr>
              <w:pStyle w:val="11"/>
              <w:jc w:val="left"/>
              <w:rPr>
                <w:rFonts w:hint="eastAsia"/>
                <w:color w:val="auto"/>
              </w:rPr>
            </w:pPr>
            <w:r>
              <w:rPr>
                <w:rFonts w:hint="eastAsia"/>
                <w:color w:val="auto"/>
              </w:rPr>
              <w:t>详细评审</w:t>
            </w:r>
          </w:p>
        </w:tc>
        <w:tc>
          <w:tcPr>
            <w:tcW w:w="1439" w:type="dxa"/>
            <w:noWrap w:val="0"/>
            <w:vAlign w:val="center"/>
          </w:tcPr>
          <w:p w14:paraId="196AA27A">
            <w:pPr>
              <w:pStyle w:val="11"/>
              <w:jc w:val="left"/>
              <w:rPr>
                <w:rFonts w:hint="eastAsia"/>
                <w:color w:val="auto"/>
                <w:lang w:val="en-US" w:eastAsia="zh-CN"/>
              </w:rPr>
            </w:pPr>
            <w:r>
              <w:rPr>
                <w:rFonts w:hint="eastAsia"/>
                <w:color w:val="auto"/>
                <w:lang w:val="zh-CN"/>
              </w:rPr>
              <w:t>服务周期安排</w:t>
            </w:r>
          </w:p>
        </w:tc>
        <w:tc>
          <w:tcPr>
            <w:tcW w:w="3586" w:type="dxa"/>
            <w:noWrap w:val="0"/>
            <w:vAlign w:val="center"/>
          </w:tcPr>
          <w:p w14:paraId="4A99C556">
            <w:pPr>
              <w:pStyle w:val="11"/>
              <w:jc w:val="left"/>
              <w:rPr>
                <w:rFonts w:hint="eastAsia"/>
                <w:color w:val="auto"/>
              </w:rPr>
            </w:pPr>
            <w:r>
              <w:rPr>
                <w:rFonts w:hint="eastAsia"/>
                <w:color w:val="auto"/>
                <w:lang w:val="zh-CN"/>
              </w:rPr>
              <w:t>针对</w:t>
            </w:r>
            <w:r>
              <w:rPr>
                <w:rFonts w:hint="eastAsia"/>
                <w:color w:val="auto"/>
              </w:rPr>
              <w:t>本项目</w:t>
            </w:r>
            <w:r>
              <w:rPr>
                <w:rFonts w:hint="eastAsia"/>
                <w:color w:val="auto"/>
                <w:lang w:val="zh-CN"/>
              </w:rPr>
              <w:t>工作有具体合理、详细明确的服务周期安排计划，且计划保证措施得当，</w:t>
            </w:r>
            <w:r>
              <w:rPr>
                <w:rFonts w:hint="eastAsia"/>
                <w:color w:val="auto"/>
                <w:lang w:val="en-US" w:eastAsia="zh-CN"/>
              </w:rPr>
              <w:t>得10.1-15分</w:t>
            </w:r>
            <w:r>
              <w:rPr>
                <w:rFonts w:hint="eastAsia"/>
                <w:color w:val="auto"/>
                <w:lang w:val="zh-CN"/>
              </w:rPr>
              <w:t>；服务周期安排计划完整，计划保障措施能基本满足项目需求，</w:t>
            </w:r>
            <w:r>
              <w:rPr>
                <w:rFonts w:hint="eastAsia"/>
                <w:color w:val="auto"/>
                <w:lang w:val="en-US" w:eastAsia="zh-CN"/>
              </w:rPr>
              <w:t>得5.1-10</w:t>
            </w:r>
            <w:r>
              <w:rPr>
                <w:rFonts w:hint="eastAsia"/>
                <w:color w:val="auto"/>
                <w:lang w:val="zh-CN"/>
              </w:rPr>
              <w:t>分；无服务周期安排计划或服务周期安排计划简单粗略，计划保障措施有明显缺陷无法保障服务进度，</w:t>
            </w:r>
            <w:r>
              <w:rPr>
                <w:rFonts w:hint="eastAsia"/>
                <w:color w:val="auto"/>
                <w:lang w:val="en-US" w:eastAsia="zh-CN"/>
              </w:rPr>
              <w:t>得</w:t>
            </w:r>
            <w:r>
              <w:rPr>
                <w:rFonts w:hint="eastAsia"/>
                <w:color w:val="auto"/>
                <w:lang w:val="zh-CN"/>
              </w:rPr>
              <w:t>0-</w:t>
            </w:r>
            <w:r>
              <w:rPr>
                <w:rFonts w:hint="eastAsia"/>
                <w:color w:val="auto"/>
                <w:lang w:val="en-US" w:eastAsia="zh-CN"/>
              </w:rPr>
              <w:t>5</w:t>
            </w:r>
            <w:r>
              <w:rPr>
                <w:rFonts w:hint="eastAsia"/>
                <w:color w:val="auto"/>
                <w:lang w:val="zh-CN"/>
              </w:rPr>
              <w:t>分。</w:t>
            </w:r>
          </w:p>
        </w:tc>
        <w:tc>
          <w:tcPr>
            <w:tcW w:w="705" w:type="dxa"/>
            <w:noWrap w:val="0"/>
            <w:vAlign w:val="center"/>
          </w:tcPr>
          <w:p w14:paraId="0E2EB8A5">
            <w:pPr>
              <w:pStyle w:val="11"/>
              <w:jc w:val="left"/>
              <w:rPr>
                <w:rFonts w:hint="eastAsia"/>
                <w:color w:val="auto"/>
                <w:lang w:val="en-US" w:eastAsia="zh-CN"/>
              </w:rPr>
            </w:pPr>
            <w:r>
              <w:rPr>
                <w:rFonts w:hint="eastAsia"/>
                <w:color w:val="auto"/>
                <w:lang w:val="en-US" w:eastAsia="zh-CN"/>
              </w:rPr>
              <w:t>15</w:t>
            </w:r>
          </w:p>
        </w:tc>
        <w:tc>
          <w:tcPr>
            <w:tcW w:w="1215" w:type="dxa"/>
            <w:noWrap w:val="0"/>
            <w:vAlign w:val="center"/>
          </w:tcPr>
          <w:p w14:paraId="22100A08">
            <w:pPr>
              <w:pStyle w:val="11"/>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否</w:t>
            </w:r>
          </w:p>
        </w:tc>
      </w:tr>
      <w:tr w14:paraId="365C27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4" w:hRule="atLeast"/>
        </w:trPr>
        <w:tc>
          <w:tcPr>
            <w:tcW w:w="1126" w:type="dxa"/>
            <w:noWrap w:val="0"/>
            <w:vAlign w:val="top"/>
          </w:tcPr>
          <w:p w14:paraId="2B081EB3">
            <w:pPr>
              <w:pStyle w:val="11"/>
              <w:jc w:val="left"/>
              <w:rPr>
                <w:rFonts w:hint="eastAsia"/>
                <w:color w:val="auto"/>
              </w:rPr>
            </w:pPr>
          </w:p>
          <w:p w14:paraId="003DFE50">
            <w:pPr>
              <w:pStyle w:val="11"/>
              <w:jc w:val="left"/>
              <w:rPr>
                <w:rFonts w:hint="eastAsia"/>
                <w:color w:val="auto"/>
              </w:rPr>
            </w:pPr>
          </w:p>
          <w:p w14:paraId="7685EB12">
            <w:pPr>
              <w:pStyle w:val="11"/>
              <w:jc w:val="center"/>
              <w:rPr>
                <w:rFonts w:hint="eastAsia"/>
                <w:color w:val="auto"/>
              </w:rPr>
            </w:pPr>
            <w:r>
              <w:rPr>
                <w:rFonts w:hint="eastAsia"/>
                <w:color w:val="auto"/>
              </w:rPr>
              <w:t>4</w:t>
            </w:r>
          </w:p>
        </w:tc>
        <w:tc>
          <w:tcPr>
            <w:tcW w:w="1170" w:type="dxa"/>
            <w:noWrap w:val="0"/>
            <w:vAlign w:val="center"/>
          </w:tcPr>
          <w:p w14:paraId="59B27240">
            <w:pPr>
              <w:pStyle w:val="11"/>
              <w:jc w:val="left"/>
              <w:rPr>
                <w:rFonts w:hint="eastAsia"/>
                <w:color w:val="auto"/>
              </w:rPr>
            </w:pPr>
            <w:r>
              <w:rPr>
                <w:rFonts w:hint="eastAsia"/>
                <w:color w:val="auto"/>
              </w:rPr>
              <w:t>详细评审</w:t>
            </w:r>
          </w:p>
        </w:tc>
        <w:tc>
          <w:tcPr>
            <w:tcW w:w="1439" w:type="dxa"/>
            <w:noWrap w:val="0"/>
            <w:vAlign w:val="center"/>
          </w:tcPr>
          <w:p w14:paraId="26B88A5B">
            <w:pPr>
              <w:pStyle w:val="11"/>
              <w:jc w:val="left"/>
              <w:rPr>
                <w:rFonts w:hint="eastAsia"/>
                <w:color w:val="auto"/>
                <w:lang w:val="en-US" w:eastAsia="zh-CN"/>
              </w:rPr>
            </w:pPr>
            <w:r>
              <w:rPr>
                <w:rFonts w:hint="eastAsia"/>
                <w:color w:val="auto"/>
                <w:lang w:val="zh-CN"/>
              </w:rPr>
              <w:t>人员配备</w:t>
            </w:r>
          </w:p>
        </w:tc>
        <w:tc>
          <w:tcPr>
            <w:tcW w:w="3586" w:type="dxa"/>
            <w:noWrap w:val="0"/>
            <w:vAlign w:val="center"/>
          </w:tcPr>
          <w:p w14:paraId="3FC87B72">
            <w:pPr>
              <w:pStyle w:val="11"/>
              <w:jc w:val="left"/>
              <w:rPr>
                <w:rFonts w:hint="eastAsia"/>
                <w:color w:val="auto"/>
              </w:rPr>
            </w:pPr>
            <w:r>
              <w:rPr>
                <w:rFonts w:hint="eastAsia" w:eastAsia="宋体"/>
                <w:color w:val="auto"/>
                <w:lang w:val="en-US" w:eastAsia="zh-CN"/>
              </w:rPr>
              <w:t>拟投入本项目的专业服务团队组织结构合理，人员分工明确，得10.1-15分；服务团队组织结构简单、人员分工模糊，得5.1-10分</w:t>
            </w:r>
            <w:r>
              <w:rPr>
                <w:rFonts w:hint="eastAsia" w:eastAsia="宋体"/>
                <w:color w:val="auto"/>
                <w:lang w:val="zh-CN" w:eastAsia="zh-CN"/>
              </w:rPr>
              <w:t>；</w:t>
            </w:r>
            <w:r>
              <w:rPr>
                <w:rFonts w:hint="eastAsia" w:eastAsia="宋体"/>
                <w:color w:val="auto"/>
                <w:lang w:val="en-US" w:eastAsia="zh-CN"/>
              </w:rPr>
              <w:t>服务团队组织结构简单、无人员分工，得5-0分</w:t>
            </w:r>
          </w:p>
        </w:tc>
        <w:tc>
          <w:tcPr>
            <w:tcW w:w="705" w:type="dxa"/>
            <w:noWrap w:val="0"/>
            <w:vAlign w:val="center"/>
          </w:tcPr>
          <w:p w14:paraId="4130B9BE">
            <w:pPr>
              <w:pStyle w:val="11"/>
              <w:jc w:val="left"/>
              <w:rPr>
                <w:rFonts w:hint="default"/>
                <w:color w:val="auto"/>
                <w:lang w:val="en-US" w:eastAsia="zh-CN"/>
              </w:rPr>
            </w:pPr>
            <w:r>
              <w:rPr>
                <w:rFonts w:hint="eastAsia"/>
                <w:color w:val="auto"/>
                <w:lang w:val="en-US" w:eastAsia="zh-CN"/>
              </w:rPr>
              <w:t>15</w:t>
            </w:r>
          </w:p>
        </w:tc>
        <w:tc>
          <w:tcPr>
            <w:tcW w:w="1215" w:type="dxa"/>
            <w:noWrap w:val="0"/>
            <w:vAlign w:val="center"/>
          </w:tcPr>
          <w:p w14:paraId="5936D493">
            <w:pPr>
              <w:pStyle w:val="11"/>
              <w:jc w:val="center"/>
              <w:rPr>
                <w:rFonts w:hint="eastAsia" w:ascii="宋体" w:hAnsi="宋体" w:eastAsia="宋体" w:cs="宋体"/>
                <w:color w:val="auto"/>
                <w:sz w:val="21"/>
                <w:szCs w:val="21"/>
              </w:rPr>
            </w:pPr>
            <w:r>
              <w:rPr>
                <w:rFonts w:hint="eastAsia" w:ascii="宋体" w:hAnsi="宋体" w:eastAsia="宋体" w:cs="宋体"/>
                <w:color w:val="auto"/>
                <w:sz w:val="21"/>
                <w:szCs w:val="21"/>
              </w:rPr>
              <w:t>否</w:t>
            </w:r>
          </w:p>
        </w:tc>
      </w:tr>
      <w:tr w14:paraId="0DD2C2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6" w:hRule="atLeast"/>
        </w:trPr>
        <w:tc>
          <w:tcPr>
            <w:tcW w:w="1126" w:type="dxa"/>
            <w:noWrap w:val="0"/>
            <w:vAlign w:val="top"/>
          </w:tcPr>
          <w:p w14:paraId="1389AFD5">
            <w:pPr>
              <w:pStyle w:val="11"/>
              <w:jc w:val="left"/>
              <w:rPr>
                <w:rFonts w:hint="eastAsia"/>
                <w:color w:val="auto"/>
                <w:lang w:val="en-US" w:eastAsia="zh-CN"/>
              </w:rPr>
            </w:pPr>
          </w:p>
          <w:p w14:paraId="392A63F2">
            <w:pPr>
              <w:pStyle w:val="11"/>
              <w:jc w:val="left"/>
              <w:rPr>
                <w:rFonts w:hint="eastAsia"/>
                <w:color w:val="auto"/>
                <w:lang w:val="en-US" w:eastAsia="zh-CN"/>
              </w:rPr>
            </w:pPr>
          </w:p>
          <w:p w14:paraId="20D35976">
            <w:pPr>
              <w:pStyle w:val="11"/>
              <w:jc w:val="center"/>
              <w:rPr>
                <w:rFonts w:hint="eastAsia"/>
                <w:color w:val="auto"/>
                <w:lang w:val="en-US" w:eastAsia="zh-CN"/>
              </w:rPr>
            </w:pPr>
            <w:r>
              <w:rPr>
                <w:rFonts w:hint="eastAsia"/>
                <w:color w:val="auto"/>
                <w:lang w:val="en-US" w:eastAsia="zh-CN"/>
              </w:rPr>
              <w:t>5</w:t>
            </w:r>
          </w:p>
        </w:tc>
        <w:tc>
          <w:tcPr>
            <w:tcW w:w="1170" w:type="dxa"/>
            <w:noWrap w:val="0"/>
            <w:vAlign w:val="center"/>
          </w:tcPr>
          <w:p w14:paraId="6B8D6431">
            <w:pPr>
              <w:pStyle w:val="11"/>
              <w:jc w:val="left"/>
              <w:rPr>
                <w:rFonts w:hint="eastAsia"/>
                <w:color w:val="auto"/>
                <w:lang w:val="en-US" w:eastAsia="zh-CN"/>
              </w:rPr>
            </w:pPr>
            <w:r>
              <w:rPr>
                <w:rFonts w:hint="eastAsia"/>
                <w:color w:val="auto"/>
                <w:lang w:val="en-US" w:eastAsia="zh-CN"/>
              </w:rPr>
              <w:t>详细评审</w:t>
            </w:r>
          </w:p>
        </w:tc>
        <w:tc>
          <w:tcPr>
            <w:tcW w:w="1439" w:type="dxa"/>
            <w:noWrap w:val="0"/>
            <w:vAlign w:val="center"/>
          </w:tcPr>
          <w:p w14:paraId="3D7D89C3">
            <w:pPr>
              <w:pStyle w:val="11"/>
              <w:jc w:val="left"/>
              <w:rPr>
                <w:rFonts w:hint="eastAsia"/>
                <w:color w:val="auto"/>
                <w:lang w:val="en-US" w:eastAsia="zh-CN"/>
              </w:rPr>
            </w:pPr>
            <w:r>
              <w:rPr>
                <w:rFonts w:hint="eastAsia"/>
                <w:color w:val="auto"/>
              </w:rPr>
              <w:t>服务质量保障措施</w:t>
            </w:r>
          </w:p>
        </w:tc>
        <w:tc>
          <w:tcPr>
            <w:tcW w:w="3586" w:type="dxa"/>
            <w:noWrap w:val="0"/>
            <w:vAlign w:val="center"/>
          </w:tcPr>
          <w:p w14:paraId="44164C71">
            <w:pPr>
              <w:pStyle w:val="11"/>
              <w:jc w:val="left"/>
              <w:rPr>
                <w:rFonts w:hint="eastAsia"/>
                <w:color w:val="auto"/>
              </w:rPr>
            </w:pPr>
            <w:r>
              <w:rPr>
                <w:rFonts w:hint="eastAsia"/>
                <w:color w:val="auto"/>
                <w:lang w:val="en-US" w:eastAsia="zh-CN"/>
              </w:rPr>
              <w:t>根据供应商提供的服务质量</w:t>
            </w:r>
            <w:r>
              <w:rPr>
                <w:rFonts w:hint="eastAsia"/>
                <w:color w:val="auto"/>
              </w:rPr>
              <w:t>保证措施</w:t>
            </w:r>
            <w:r>
              <w:rPr>
                <w:rFonts w:hint="eastAsia"/>
                <w:color w:val="auto"/>
                <w:lang w:eastAsia="zh-CN"/>
              </w:rPr>
              <w:t>，内容全面详细、阐述条理清晰详尽、符合本项目采购需求，</w:t>
            </w:r>
            <w:r>
              <w:rPr>
                <w:rFonts w:hint="eastAsia"/>
                <w:color w:val="auto"/>
                <w:lang w:val="en-US" w:eastAsia="zh-CN"/>
              </w:rPr>
              <w:t>得7.1-10分；方案各部分内容比较详细，可行性较高，得4.1-7分；方案各部分内容一般，可行性不高，得0-4分。</w:t>
            </w:r>
          </w:p>
        </w:tc>
        <w:tc>
          <w:tcPr>
            <w:tcW w:w="705" w:type="dxa"/>
            <w:noWrap w:val="0"/>
            <w:vAlign w:val="center"/>
          </w:tcPr>
          <w:p w14:paraId="231533AD">
            <w:pPr>
              <w:pStyle w:val="11"/>
              <w:jc w:val="left"/>
              <w:rPr>
                <w:rFonts w:hint="eastAsia"/>
                <w:color w:val="auto"/>
                <w:lang w:val="en-US" w:eastAsia="zh-CN"/>
              </w:rPr>
            </w:pPr>
            <w:r>
              <w:rPr>
                <w:rFonts w:hint="eastAsia"/>
                <w:color w:val="auto"/>
                <w:lang w:val="en-US" w:eastAsia="zh-CN"/>
              </w:rPr>
              <w:t>10</w:t>
            </w:r>
          </w:p>
        </w:tc>
        <w:tc>
          <w:tcPr>
            <w:tcW w:w="1215" w:type="dxa"/>
            <w:noWrap w:val="0"/>
            <w:vAlign w:val="center"/>
          </w:tcPr>
          <w:p w14:paraId="3C7425CF">
            <w:pPr>
              <w:pStyle w:val="11"/>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否</w:t>
            </w:r>
          </w:p>
        </w:tc>
      </w:tr>
      <w:tr w14:paraId="69449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4" w:hRule="atLeast"/>
        </w:trPr>
        <w:tc>
          <w:tcPr>
            <w:tcW w:w="1126" w:type="dxa"/>
            <w:noWrap w:val="0"/>
            <w:vAlign w:val="top"/>
          </w:tcPr>
          <w:p w14:paraId="7EDF674F">
            <w:pPr>
              <w:pStyle w:val="11"/>
              <w:jc w:val="left"/>
              <w:rPr>
                <w:rFonts w:hint="eastAsia"/>
                <w:color w:val="auto"/>
                <w:lang w:val="en-US" w:eastAsia="zh-CN"/>
              </w:rPr>
            </w:pPr>
          </w:p>
          <w:p w14:paraId="7C0573A9">
            <w:pPr>
              <w:pStyle w:val="11"/>
              <w:jc w:val="left"/>
              <w:rPr>
                <w:rFonts w:hint="eastAsia"/>
                <w:color w:val="auto"/>
                <w:lang w:val="en-US" w:eastAsia="zh-CN"/>
              </w:rPr>
            </w:pPr>
          </w:p>
          <w:p w14:paraId="7425388A">
            <w:pPr>
              <w:pStyle w:val="11"/>
              <w:jc w:val="left"/>
              <w:rPr>
                <w:rFonts w:hint="eastAsia"/>
                <w:color w:val="auto"/>
                <w:lang w:val="en-US" w:eastAsia="zh-CN"/>
              </w:rPr>
            </w:pPr>
          </w:p>
          <w:p w14:paraId="4BBA1441">
            <w:pPr>
              <w:pStyle w:val="11"/>
              <w:jc w:val="center"/>
              <w:rPr>
                <w:rFonts w:hint="eastAsia"/>
                <w:color w:val="auto"/>
                <w:lang w:eastAsia="zh-CN"/>
              </w:rPr>
            </w:pPr>
            <w:r>
              <w:rPr>
                <w:rFonts w:hint="eastAsia"/>
                <w:color w:val="auto"/>
                <w:lang w:val="en-US" w:eastAsia="zh-CN"/>
              </w:rPr>
              <w:t>6</w:t>
            </w:r>
          </w:p>
        </w:tc>
        <w:tc>
          <w:tcPr>
            <w:tcW w:w="1170" w:type="dxa"/>
            <w:noWrap w:val="0"/>
            <w:vAlign w:val="center"/>
          </w:tcPr>
          <w:p w14:paraId="43AE7B76">
            <w:pPr>
              <w:pStyle w:val="11"/>
              <w:jc w:val="left"/>
              <w:rPr>
                <w:rFonts w:hint="eastAsia"/>
                <w:color w:val="auto"/>
              </w:rPr>
            </w:pPr>
            <w:r>
              <w:rPr>
                <w:rFonts w:hint="eastAsia"/>
                <w:color w:val="auto"/>
              </w:rPr>
              <w:t>详细评审</w:t>
            </w:r>
          </w:p>
        </w:tc>
        <w:tc>
          <w:tcPr>
            <w:tcW w:w="1439" w:type="dxa"/>
            <w:noWrap w:val="0"/>
            <w:vAlign w:val="center"/>
          </w:tcPr>
          <w:p w14:paraId="6914D91A">
            <w:pPr>
              <w:pStyle w:val="11"/>
              <w:jc w:val="left"/>
              <w:rPr>
                <w:rFonts w:hint="eastAsia"/>
                <w:color w:val="auto"/>
              </w:rPr>
            </w:pPr>
            <w:r>
              <w:rPr>
                <w:rFonts w:hint="eastAsia"/>
                <w:color w:val="auto"/>
              </w:rPr>
              <w:t>服务承诺</w:t>
            </w:r>
          </w:p>
          <w:p w14:paraId="26A9B4E3">
            <w:pPr>
              <w:pStyle w:val="11"/>
              <w:jc w:val="left"/>
              <w:rPr>
                <w:rFonts w:hint="eastAsia"/>
                <w:color w:val="auto"/>
                <w:lang w:val="en-US" w:eastAsia="zh-CN"/>
              </w:rPr>
            </w:pPr>
          </w:p>
        </w:tc>
        <w:tc>
          <w:tcPr>
            <w:tcW w:w="3586" w:type="dxa"/>
            <w:noWrap w:val="0"/>
            <w:vAlign w:val="center"/>
          </w:tcPr>
          <w:p w14:paraId="57863E35">
            <w:pPr>
              <w:pStyle w:val="11"/>
              <w:jc w:val="left"/>
              <w:rPr>
                <w:rFonts w:hint="eastAsia"/>
                <w:color w:val="auto"/>
              </w:rPr>
            </w:pPr>
            <w:r>
              <w:rPr>
                <w:rFonts w:hint="eastAsia"/>
                <w:color w:val="auto"/>
                <w:lang w:val="en-US" w:eastAsia="zh-CN"/>
              </w:rPr>
              <w:t>根据供应商提供的服务质量</w:t>
            </w:r>
            <w:r>
              <w:rPr>
                <w:rFonts w:hint="eastAsia"/>
                <w:color w:val="auto"/>
              </w:rPr>
              <w:t>保证措施</w:t>
            </w:r>
            <w:r>
              <w:rPr>
                <w:rFonts w:hint="eastAsia"/>
                <w:color w:val="auto"/>
                <w:lang w:eastAsia="zh-CN"/>
              </w:rPr>
              <w:t>，内容全面详细、阐述条理清晰详尽、符合本项目采购需求，</w:t>
            </w:r>
            <w:r>
              <w:rPr>
                <w:rFonts w:hint="eastAsia"/>
                <w:color w:val="auto"/>
                <w:lang w:val="en-US" w:eastAsia="zh-CN"/>
              </w:rPr>
              <w:t>得7.1-10分；方案各部分内容比较详细，可行性较高，得4.1-7分；方案各部分内容一般，可行性不高，得0-4分。</w:t>
            </w:r>
          </w:p>
        </w:tc>
        <w:tc>
          <w:tcPr>
            <w:tcW w:w="705" w:type="dxa"/>
            <w:noWrap w:val="0"/>
            <w:vAlign w:val="center"/>
          </w:tcPr>
          <w:p w14:paraId="1650C5B3">
            <w:pPr>
              <w:pStyle w:val="11"/>
              <w:jc w:val="left"/>
              <w:rPr>
                <w:rFonts w:hint="eastAsia"/>
                <w:color w:val="auto"/>
                <w:lang w:val="en-US" w:eastAsia="zh-CN"/>
              </w:rPr>
            </w:pPr>
            <w:r>
              <w:rPr>
                <w:rFonts w:hint="eastAsia"/>
                <w:color w:val="auto"/>
                <w:lang w:val="en-US" w:eastAsia="zh-CN"/>
              </w:rPr>
              <w:t>10</w:t>
            </w:r>
          </w:p>
        </w:tc>
        <w:tc>
          <w:tcPr>
            <w:tcW w:w="1215" w:type="dxa"/>
            <w:noWrap w:val="0"/>
            <w:vAlign w:val="center"/>
          </w:tcPr>
          <w:p w14:paraId="35624274">
            <w:pPr>
              <w:pStyle w:val="11"/>
              <w:jc w:val="center"/>
              <w:rPr>
                <w:rFonts w:hint="eastAsia" w:ascii="宋体" w:hAnsi="宋体" w:eastAsia="宋体" w:cs="宋体"/>
                <w:color w:val="auto"/>
                <w:sz w:val="21"/>
                <w:szCs w:val="21"/>
              </w:rPr>
            </w:pPr>
            <w:r>
              <w:rPr>
                <w:rFonts w:hint="eastAsia" w:ascii="宋体" w:hAnsi="宋体" w:eastAsia="宋体" w:cs="宋体"/>
                <w:color w:val="auto"/>
                <w:sz w:val="21"/>
                <w:szCs w:val="21"/>
              </w:rPr>
              <w:t>否</w:t>
            </w:r>
          </w:p>
        </w:tc>
      </w:tr>
      <w:tr w14:paraId="2F752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4" w:hRule="atLeast"/>
        </w:trPr>
        <w:tc>
          <w:tcPr>
            <w:tcW w:w="1126" w:type="dxa"/>
            <w:noWrap w:val="0"/>
            <w:vAlign w:val="top"/>
          </w:tcPr>
          <w:p w14:paraId="25BFAA58">
            <w:pPr>
              <w:pStyle w:val="11"/>
              <w:jc w:val="center"/>
              <w:rPr>
                <w:rFonts w:hint="eastAsia"/>
                <w:color w:val="auto"/>
                <w:lang w:val="en-US" w:eastAsia="zh-CN"/>
              </w:rPr>
            </w:pPr>
          </w:p>
          <w:p w14:paraId="55E9FA1C">
            <w:pPr>
              <w:pStyle w:val="11"/>
              <w:jc w:val="center"/>
              <w:rPr>
                <w:rFonts w:hint="eastAsia"/>
                <w:color w:val="auto"/>
                <w:lang w:val="en-US" w:eastAsia="zh-CN"/>
              </w:rPr>
            </w:pPr>
          </w:p>
          <w:p w14:paraId="184B9561">
            <w:pPr>
              <w:pStyle w:val="11"/>
              <w:jc w:val="center"/>
              <w:rPr>
                <w:rFonts w:hint="eastAsia"/>
                <w:color w:val="auto"/>
                <w:lang w:eastAsia="zh-CN"/>
              </w:rPr>
            </w:pPr>
            <w:r>
              <w:rPr>
                <w:rFonts w:hint="eastAsia"/>
                <w:color w:val="auto"/>
                <w:lang w:val="en-US" w:eastAsia="zh-CN"/>
              </w:rPr>
              <w:t>7</w:t>
            </w:r>
          </w:p>
        </w:tc>
        <w:tc>
          <w:tcPr>
            <w:tcW w:w="1170" w:type="dxa"/>
            <w:noWrap w:val="0"/>
            <w:vAlign w:val="center"/>
          </w:tcPr>
          <w:p w14:paraId="56268C6C">
            <w:pPr>
              <w:pStyle w:val="11"/>
              <w:jc w:val="left"/>
              <w:rPr>
                <w:rFonts w:hint="eastAsia"/>
                <w:color w:val="auto"/>
              </w:rPr>
            </w:pPr>
            <w:r>
              <w:rPr>
                <w:rFonts w:hint="eastAsia"/>
                <w:color w:val="auto"/>
              </w:rPr>
              <w:t>详细评审</w:t>
            </w:r>
          </w:p>
        </w:tc>
        <w:tc>
          <w:tcPr>
            <w:tcW w:w="1439" w:type="dxa"/>
            <w:noWrap w:val="0"/>
            <w:vAlign w:val="center"/>
          </w:tcPr>
          <w:p w14:paraId="146E5DE1">
            <w:pPr>
              <w:pStyle w:val="11"/>
              <w:jc w:val="left"/>
              <w:rPr>
                <w:rFonts w:hint="eastAsia"/>
                <w:color w:val="auto"/>
                <w:lang w:val="en-US" w:eastAsia="zh-CN"/>
              </w:rPr>
            </w:pPr>
            <w:r>
              <w:rPr>
                <w:rFonts w:hint="eastAsia"/>
                <w:color w:val="auto"/>
              </w:rPr>
              <w:t>合理化建议</w:t>
            </w:r>
          </w:p>
        </w:tc>
        <w:tc>
          <w:tcPr>
            <w:tcW w:w="3586" w:type="dxa"/>
            <w:noWrap w:val="0"/>
            <w:vAlign w:val="center"/>
          </w:tcPr>
          <w:p w14:paraId="265C5F99">
            <w:pPr>
              <w:pStyle w:val="11"/>
              <w:jc w:val="left"/>
              <w:rPr>
                <w:rFonts w:hint="eastAsia"/>
                <w:color w:val="auto"/>
              </w:rPr>
            </w:pPr>
            <w:r>
              <w:rPr>
                <w:rFonts w:hint="eastAsia" w:ascii="宋体" w:hAnsi="宋体" w:eastAsia="宋体" w:cs="宋体"/>
                <w:color w:val="auto"/>
                <w:szCs w:val="22"/>
                <w:highlight w:val="none"/>
                <w:lang w:val="zh-CN"/>
              </w:rPr>
              <w:t>针对本项目提出的合理化建议，内容科学、合理，符合本项目特征</w:t>
            </w:r>
            <w:r>
              <w:rPr>
                <w:rFonts w:hint="eastAsia" w:ascii="宋体" w:hAnsi="宋体" w:eastAsia="宋体" w:cs="宋体"/>
                <w:color w:val="auto"/>
                <w:szCs w:val="22"/>
                <w:highlight w:val="none"/>
                <w:lang w:val="en-US" w:eastAsia="zh-CN"/>
              </w:rPr>
              <w:t>，得5.1-10分；</w:t>
            </w:r>
            <w:r>
              <w:rPr>
                <w:rFonts w:hint="eastAsia" w:ascii="宋体" w:hAnsi="宋体" w:eastAsia="宋体" w:cs="宋体"/>
                <w:color w:val="auto"/>
                <w:szCs w:val="22"/>
                <w:highlight w:val="none"/>
                <w:lang w:val="zh-CN"/>
              </w:rPr>
              <w:t>针对本项目提出的合理化建议，粗略、简单，不符合本项目特征，</w:t>
            </w:r>
            <w:r>
              <w:rPr>
                <w:rFonts w:hint="eastAsia" w:ascii="宋体" w:hAnsi="宋体" w:eastAsia="宋体" w:cs="宋体"/>
                <w:color w:val="auto"/>
                <w:szCs w:val="22"/>
                <w:highlight w:val="none"/>
                <w:lang w:val="en-US" w:eastAsia="zh-CN"/>
              </w:rPr>
              <w:t>得0-5分</w:t>
            </w:r>
            <w:r>
              <w:rPr>
                <w:rFonts w:hint="eastAsia" w:ascii="宋体" w:hAnsi="宋体" w:eastAsia="宋体" w:cs="宋体"/>
                <w:color w:val="auto"/>
                <w:szCs w:val="22"/>
                <w:highlight w:val="none"/>
                <w:lang w:val="zh-CN"/>
              </w:rPr>
              <w:t>。</w:t>
            </w:r>
          </w:p>
        </w:tc>
        <w:tc>
          <w:tcPr>
            <w:tcW w:w="705" w:type="dxa"/>
            <w:noWrap w:val="0"/>
            <w:vAlign w:val="center"/>
          </w:tcPr>
          <w:p w14:paraId="0F4AAAAA">
            <w:pPr>
              <w:pStyle w:val="11"/>
              <w:jc w:val="left"/>
              <w:rPr>
                <w:rFonts w:hint="eastAsia"/>
                <w:color w:val="auto"/>
                <w:lang w:val="en-US" w:eastAsia="zh-CN"/>
              </w:rPr>
            </w:pPr>
            <w:r>
              <w:rPr>
                <w:rFonts w:hint="eastAsia"/>
                <w:color w:val="auto"/>
                <w:lang w:val="en-US" w:eastAsia="zh-CN"/>
              </w:rPr>
              <w:t>10</w:t>
            </w:r>
          </w:p>
        </w:tc>
        <w:tc>
          <w:tcPr>
            <w:tcW w:w="1215" w:type="dxa"/>
            <w:noWrap w:val="0"/>
            <w:vAlign w:val="center"/>
          </w:tcPr>
          <w:p w14:paraId="617E935D">
            <w:pPr>
              <w:pStyle w:val="11"/>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否</w:t>
            </w:r>
          </w:p>
        </w:tc>
      </w:tr>
      <w:tr w14:paraId="678A3B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48" w:hRule="atLeast"/>
        </w:trPr>
        <w:tc>
          <w:tcPr>
            <w:tcW w:w="1126" w:type="dxa"/>
            <w:noWrap w:val="0"/>
            <w:vAlign w:val="top"/>
          </w:tcPr>
          <w:p w14:paraId="4A08A71D">
            <w:pPr>
              <w:pStyle w:val="11"/>
              <w:jc w:val="left"/>
              <w:rPr>
                <w:rFonts w:hint="eastAsia"/>
                <w:color w:val="auto"/>
              </w:rPr>
            </w:pPr>
          </w:p>
          <w:p w14:paraId="7C67B70C">
            <w:pPr>
              <w:pStyle w:val="11"/>
              <w:jc w:val="left"/>
              <w:rPr>
                <w:rFonts w:hint="eastAsia"/>
                <w:color w:val="auto"/>
              </w:rPr>
            </w:pPr>
          </w:p>
          <w:p w14:paraId="71F858F7">
            <w:pPr>
              <w:pStyle w:val="11"/>
              <w:jc w:val="left"/>
              <w:rPr>
                <w:rFonts w:hint="eastAsia"/>
                <w:color w:val="auto"/>
              </w:rPr>
            </w:pPr>
          </w:p>
          <w:p w14:paraId="523703B2">
            <w:pPr>
              <w:pStyle w:val="11"/>
              <w:jc w:val="left"/>
              <w:rPr>
                <w:rFonts w:hint="eastAsia"/>
                <w:color w:val="auto"/>
              </w:rPr>
            </w:pPr>
          </w:p>
          <w:p w14:paraId="71213A07">
            <w:pPr>
              <w:pStyle w:val="11"/>
              <w:jc w:val="left"/>
              <w:rPr>
                <w:rFonts w:hint="eastAsia"/>
                <w:color w:val="auto"/>
              </w:rPr>
            </w:pPr>
          </w:p>
          <w:p w14:paraId="0D8CFB67">
            <w:pPr>
              <w:pStyle w:val="11"/>
              <w:jc w:val="center"/>
              <w:rPr>
                <w:rFonts w:hint="eastAsia"/>
                <w:color w:val="auto"/>
              </w:rPr>
            </w:pPr>
            <w:r>
              <w:rPr>
                <w:rFonts w:hint="eastAsia"/>
                <w:color w:val="auto"/>
              </w:rPr>
              <w:t>1</w:t>
            </w:r>
          </w:p>
        </w:tc>
        <w:tc>
          <w:tcPr>
            <w:tcW w:w="1170" w:type="dxa"/>
            <w:noWrap w:val="0"/>
            <w:vAlign w:val="center"/>
          </w:tcPr>
          <w:p w14:paraId="773E2ED3">
            <w:pPr>
              <w:pStyle w:val="11"/>
              <w:jc w:val="left"/>
              <w:rPr>
                <w:rFonts w:hint="eastAsia"/>
                <w:color w:val="auto"/>
              </w:rPr>
            </w:pPr>
            <w:r>
              <w:rPr>
                <w:rFonts w:hint="eastAsia"/>
                <w:color w:val="auto"/>
              </w:rPr>
              <w:t>价格分</w:t>
            </w:r>
          </w:p>
        </w:tc>
        <w:tc>
          <w:tcPr>
            <w:tcW w:w="1439" w:type="dxa"/>
            <w:noWrap w:val="0"/>
            <w:vAlign w:val="center"/>
          </w:tcPr>
          <w:p w14:paraId="7C388561">
            <w:pPr>
              <w:pStyle w:val="11"/>
              <w:jc w:val="left"/>
              <w:rPr>
                <w:rFonts w:hint="eastAsia"/>
                <w:color w:val="auto"/>
              </w:rPr>
            </w:pPr>
          </w:p>
        </w:tc>
        <w:tc>
          <w:tcPr>
            <w:tcW w:w="3586" w:type="dxa"/>
            <w:noWrap w:val="0"/>
            <w:vAlign w:val="center"/>
          </w:tcPr>
          <w:p w14:paraId="478D1618">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 w:val="20"/>
                <w:szCs w:val="22"/>
                <w:highlight w:val="none"/>
                <w:lang w:val="zh-CN" w:eastAsia="zh-Hans"/>
              </w:rPr>
            </w:pPr>
            <w:r>
              <w:rPr>
                <w:rFonts w:hint="eastAsia" w:ascii="宋体" w:hAnsi="宋体" w:eastAsia="宋体" w:cs="宋体"/>
                <w:color w:val="auto"/>
                <w:kern w:val="0"/>
                <w:sz w:val="20"/>
                <w:szCs w:val="22"/>
                <w:highlight w:val="none"/>
                <w:lang w:val="zh-CN" w:eastAsia="zh-Hans"/>
              </w:rPr>
              <w:t>1.经初审合格的磋商响应文件，其磋商报价为有效磋商报价。</w:t>
            </w:r>
          </w:p>
          <w:p w14:paraId="716AA072">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 w:val="20"/>
                <w:szCs w:val="22"/>
                <w:highlight w:val="none"/>
                <w:lang w:val="zh-CN" w:eastAsia="zh-Hans"/>
              </w:rPr>
            </w:pPr>
            <w:r>
              <w:rPr>
                <w:rFonts w:hint="eastAsia" w:ascii="宋体" w:hAnsi="宋体" w:eastAsia="宋体" w:cs="宋体"/>
                <w:color w:val="auto"/>
                <w:kern w:val="0"/>
                <w:sz w:val="20"/>
                <w:szCs w:val="22"/>
                <w:highlight w:val="none"/>
                <w:lang w:val="zh-CN" w:eastAsia="zh-Hans"/>
              </w:rPr>
              <w:t>2.满足</w:t>
            </w:r>
            <w:r>
              <w:rPr>
                <w:rFonts w:hint="eastAsia" w:ascii="宋体" w:hAnsi="宋体" w:eastAsia="宋体" w:cs="宋体"/>
                <w:color w:val="auto"/>
                <w:kern w:val="0"/>
                <w:sz w:val="20"/>
                <w:szCs w:val="22"/>
                <w:highlight w:val="none"/>
                <w:lang w:val="zh-CN" w:eastAsia="zh-CN"/>
              </w:rPr>
              <w:t>竞争性磋商文件</w:t>
            </w:r>
            <w:r>
              <w:rPr>
                <w:rFonts w:hint="eastAsia" w:ascii="宋体" w:hAnsi="宋体" w:eastAsia="宋体" w:cs="宋体"/>
                <w:color w:val="auto"/>
                <w:kern w:val="0"/>
                <w:sz w:val="20"/>
                <w:szCs w:val="22"/>
                <w:highlight w:val="none"/>
                <w:lang w:val="zh-CN" w:eastAsia="zh-Hans"/>
              </w:rPr>
              <w:t>实质性要求且最终报价最低的供应商的价格为磋商基准价，其价格分为满分10分。</w:t>
            </w:r>
          </w:p>
          <w:p w14:paraId="6758C250">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 w:val="20"/>
                <w:szCs w:val="22"/>
                <w:highlight w:val="none"/>
                <w:lang w:val="zh-CN" w:eastAsia="zh-Hans"/>
              </w:rPr>
            </w:pPr>
            <w:r>
              <w:rPr>
                <w:rFonts w:hint="eastAsia" w:ascii="宋体" w:hAnsi="宋体" w:eastAsia="宋体" w:cs="宋体"/>
                <w:color w:val="auto"/>
                <w:kern w:val="0"/>
                <w:sz w:val="20"/>
                <w:szCs w:val="22"/>
                <w:highlight w:val="none"/>
                <w:lang w:val="zh-CN" w:eastAsia="zh-Hans"/>
              </w:rPr>
              <w:t>3.磋商报价得分=（磋商基准价/最终磋商报价）×10。</w:t>
            </w:r>
          </w:p>
          <w:p w14:paraId="00FF98B7">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 w:val="20"/>
                <w:szCs w:val="22"/>
                <w:highlight w:val="none"/>
                <w:lang w:val="zh-CN" w:eastAsia="zh-Hans"/>
              </w:rPr>
            </w:pPr>
            <w:r>
              <w:rPr>
                <w:rFonts w:hint="eastAsia" w:ascii="宋体" w:hAnsi="宋体" w:eastAsia="宋体" w:cs="宋体"/>
                <w:color w:val="auto"/>
                <w:kern w:val="0"/>
                <w:sz w:val="20"/>
                <w:szCs w:val="22"/>
                <w:highlight w:val="none"/>
                <w:lang w:val="zh-CN" w:eastAsia="zh-Hans"/>
              </w:rPr>
              <w:t>4.磋商报价不完整的，不进入磋商基准价的计算，本项得0分。</w:t>
            </w:r>
          </w:p>
          <w:p w14:paraId="149DE82C">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0"/>
                <w:sz w:val="20"/>
                <w:szCs w:val="22"/>
                <w:highlight w:val="none"/>
                <w:lang w:val="zh-CN" w:eastAsia="zh-Hans"/>
              </w:rPr>
            </w:pPr>
            <w:r>
              <w:rPr>
                <w:rFonts w:hint="eastAsia" w:ascii="宋体" w:hAnsi="宋体" w:eastAsia="宋体" w:cs="宋体"/>
                <w:color w:val="auto"/>
                <w:kern w:val="0"/>
                <w:sz w:val="20"/>
                <w:szCs w:val="22"/>
                <w:highlight w:val="none"/>
                <w:lang w:val="en-US" w:eastAsia="zh-CN"/>
              </w:rPr>
              <w:t>注：本次采购执行财库〔2020〕46号文件、财库〔2014〕68号文件、财库﹝2017）141号文件规定，对于按规定提供证明或真实声明的供应商，在价格评审时统一给予10%的扣除，用扣除后的价格参与评审。</w:t>
            </w:r>
          </w:p>
        </w:tc>
        <w:tc>
          <w:tcPr>
            <w:tcW w:w="705" w:type="dxa"/>
            <w:noWrap w:val="0"/>
            <w:vAlign w:val="center"/>
          </w:tcPr>
          <w:p w14:paraId="6F164CD4">
            <w:pPr>
              <w:pStyle w:val="11"/>
              <w:jc w:val="left"/>
              <w:rPr>
                <w:rFonts w:hint="eastAsia" w:ascii="宋体" w:hAnsi="宋体" w:eastAsia="宋体" w:cs="宋体"/>
                <w:color w:val="auto"/>
                <w:kern w:val="0"/>
                <w:sz w:val="20"/>
                <w:szCs w:val="22"/>
                <w:highlight w:val="none"/>
                <w:lang w:val="en-US" w:eastAsia="zh-CN"/>
              </w:rPr>
            </w:pPr>
            <w:r>
              <w:rPr>
                <w:rFonts w:hint="eastAsia" w:ascii="宋体" w:hAnsi="宋体" w:eastAsia="宋体" w:cs="宋体"/>
                <w:color w:val="auto"/>
                <w:kern w:val="0"/>
                <w:sz w:val="20"/>
                <w:szCs w:val="22"/>
                <w:highlight w:val="none"/>
                <w:lang w:val="en-US" w:eastAsia="zh-CN"/>
              </w:rPr>
              <w:t>10</w:t>
            </w:r>
          </w:p>
        </w:tc>
        <w:tc>
          <w:tcPr>
            <w:tcW w:w="1215" w:type="dxa"/>
            <w:noWrap w:val="0"/>
            <w:vAlign w:val="center"/>
          </w:tcPr>
          <w:p w14:paraId="75BDC1EF">
            <w:pPr>
              <w:pStyle w:val="11"/>
              <w:jc w:val="center"/>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bl>
    <w:p w14:paraId="468BCF04">
      <w:pPr>
        <w:pStyle w:val="7"/>
        <w:widowControl/>
        <w:spacing w:before="750" w:beforeAutospacing="0" w:after="750" w:afterAutospacing="0" w:line="480" w:lineRule="atLeast"/>
        <w:ind w:right="376"/>
        <w:rPr>
          <w:rFonts w:hint="eastAsia" w:ascii="宋体" w:hAnsi="宋体" w:cs="宋体"/>
          <w:color w:val="333333"/>
          <w:sz w:val="21"/>
          <w:szCs w:val="21"/>
        </w:rPr>
      </w:pPr>
    </w:p>
    <w:p w14:paraId="178933CA">
      <w:pPr>
        <w:pStyle w:val="7"/>
        <w:widowControl/>
        <w:spacing w:before="750" w:beforeAutospacing="0" w:after="750" w:afterAutospacing="0" w:line="480" w:lineRule="atLeast"/>
        <w:ind w:left="376" w:right="376" w:firstLine="420"/>
        <w:rPr>
          <w:rFonts w:hint="eastAsia" w:ascii="宋体" w:hAnsi="宋体" w:cs="宋体"/>
        </w:rPr>
      </w:pPr>
      <w:r>
        <w:rPr>
          <w:rFonts w:hint="eastAsia" w:ascii="宋体" w:hAnsi="宋体" w:cs="宋体"/>
          <w:color w:val="333333"/>
          <w:sz w:val="21"/>
          <w:szCs w:val="21"/>
        </w:rPr>
        <w:t>10、合同管理安排</w:t>
      </w:r>
    </w:p>
    <w:p w14:paraId="76F02552">
      <w:pPr>
        <w:pStyle w:val="7"/>
        <w:widowControl/>
        <w:spacing w:before="750" w:beforeAutospacing="0" w:after="750" w:afterAutospacing="0" w:line="480" w:lineRule="atLeast"/>
        <w:ind w:left="376" w:right="376" w:firstLine="840"/>
        <w:rPr>
          <w:rFonts w:hint="eastAsia" w:ascii="宋体" w:hAnsi="宋体" w:cs="宋体"/>
          <w:highlight w:val="none"/>
        </w:rPr>
      </w:pPr>
      <w:r>
        <w:rPr>
          <w:rFonts w:hint="eastAsia" w:ascii="宋体" w:hAnsi="宋体" w:cs="宋体"/>
          <w:color w:val="333333"/>
          <w:sz w:val="21"/>
          <w:szCs w:val="21"/>
        </w:rPr>
        <w:t>1）合同类型：</w:t>
      </w:r>
      <w:r>
        <w:rPr>
          <w:rFonts w:hint="eastAsia" w:ascii="宋体" w:hAnsi="宋体" w:eastAsia="宋体" w:cs="宋体"/>
          <w:color w:val="333333"/>
          <w:sz w:val="21"/>
          <w:szCs w:val="21"/>
          <w:lang w:val="en-US" w:eastAsia="zh-CN"/>
        </w:rPr>
        <w:t>总价合同</w:t>
      </w:r>
    </w:p>
    <w:p w14:paraId="0C3555C4">
      <w:pPr>
        <w:pStyle w:val="7"/>
        <w:widowControl/>
        <w:spacing w:before="750" w:beforeAutospacing="0" w:after="750" w:afterAutospacing="0" w:line="480" w:lineRule="atLeast"/>
        <w:ind w:left="376" w:right="376" w:firstLine="840"/>
        <w:rPr>
          <w:rFonts w:hint="eastAsia" w:ascii="宋体" w:hAnsi="宋体" w:eastAsia="宋体" w:cs="宋体"/>
          <w:color w:val="333333"/>
          <w:sz w:val="21"/>
          <w:szCs w:val="21"/>
          <w:lang w:val="en-US" w:eastAsia="zh-CN"/>
        </w:rPr>
      </w:pPr>
      <w:r>
        <w:rPr>
          <w:rFonts w:hint="eastAsia" w:ascii="宋体" w:hAnsi="宋体" w:cs="宋体"/>
          <w:color w:val="333333"/>
          <w:sz w:val="21"/>
          <w:szCs w:val="21"/>
        </w:rPr>
        <w:t>2）合同履行期限：</w:t>
      </w:r>
      <w:r>
        <w:rPr>
          <w:rFonts w:hint="eastAsia" w:ascii="宋体" w:hAnsi="宋体" w:eastAsia="宋体" w:cs="宋体"/>
          <w:color w:val="333333"/>
          <w:sz w:val="21"/>
          <w:szCs w:val="21"/>
          <w:lang w:val="en-US" w:eastAsia="zh-CN"/>
        </w:rPr>
        <w:t> 1年</w:t>
      </w:r>
    </w:p>
    <w:p w14:paraId="4AB74986">
      <w:pPr>
        <w:pStyle w:val="7"/>
        <w:widowControl/>
        <w:spacing w:before="750" w:beforeAutospacing="0" w:after="750" w:afterAutospacing="0" w:line="480" w:lineRule="atLeast"/>
        <w:ind w:left="376" w:right="376" w:firstLine="840"/>
        <w:rPr>
          <w:rFonts w:hint="default" w:ascii="宋体" w:hAnsi="宋体" w:eastAsia="宋体" w:cs="宋体"/>
          <w:lang w:val="en-US" w:eastAsia="zh-CN"/>
        </w:rPr>
      </w:pPr>
      <w:r>
        <w:rPr>
          <w:rFonts w:hint="eastAsia" w:ascii="宋体" w:hAnsi="宋体" w:cs="宋体"/>
          <w:color w:val="333333"/>
          <w:sz w:val="21"/>
          <w:szCs w:val="21"/>
        </w:rPr>
        <w:t>3）合同履约地点：</w:t>
      </w:r>
      <w:r>
        <w:rPr>
          <w:rFonts w:hint="eastAsia" w:ascii="宋体" w:hAnsi="宋体" w:eastAsia="宋体" w:cs="宋体"/>
          <w:color w:val="333333"/>
          <w:kern w:val="2"/>
          <w:sz w:val="21"/>
          <w:szCs w:val="21"/>
          <w:lang w:val="en-US" w:eastAsia="zh-CN" w:bidi="ar-SA"/>
        </w:rPr>
        <w:t>采购人指定地点</w:t>
      </w:r>
    </w:p>
    <w:p w14:paraId="39F3AB36">
      <w:pPr>
        <w:snapToGrid w:val="0"/>
        <w:spacing w:line="360" w:lineRule="auto"/>
        <w:ind w:firstLine="1260" w:firstLineChars="600"/>
        <w:rPr>
          <w:rFonts w:hint="eastAsia" w:ascii="宋体" w:hAnsi="宋体" w:eastAsia="宋体" w:cs="宋体"/>
          <w:b w:val="0"/>
          <w:bCs/>
          <w:color w:val="000000"/>
          <w:sz w:val="24"/>
          <w:szCs w:val="24"/>
          <w:highlight w:val="none"/>
        </w:rPr>
      </w:pPr>
      <w:r>
        <w:rPr>
          <w:rFonts w:hint="eastAsia" w:ascii="宋体" w:hAnsi="宋体" w:cs="宋体"/>
          <w:color w:val="333333"/>
          <w:sz w:val="21"/>
          <w:szCs w:val="21"/>
        </w:rPr>
        <w:t>4）支付方式：供应商</w:t>
      </w:r>
      <w:r>
        <w:rPr>
          <w:rFonts w:hint="eastAsia" w:ascii="宋体" w:hAnsi="宋体" w:cs="宋体"/>
          <w:color w:val="333333"/>
          <w:sz w:val="21"/>
          <w:szCs w:val="21"/>
          <w:lang w:val="en-US" w:eastAsia="zh-CN"/>
        </w:rPr>
        <w:t>与采购人签订合同后，采购人向</w:t>
      </w:r>
      <w:r>
        <w:rPr>
          <w:rFonts w:hint="eastAsia" w:ascii="宋体" w:hAnsi="宋体" w:cs="宋体"/>
          <w:color w:val="333333"/>
          <w:sz w:val="21"/>
          <w:szCs w:val="21"/>
        </w:rPr>
        <w:t>供应商</w:t>
      </w:r>
      <w:r>
        <w:rPr>
          <w:rFonts w:hint="eastAsia" w:ascii="宋体" w:hAnsi="宋体" w:cs="宋体"/>
          <w:color w:val="333333"/>
          <w:sz w:val="21"/>
          <w:szCs w:val="21"/>
          <w:lang w:val="en-US" w:eastAsia="zh-CN"/>
        </w:rPr>
        <w:t>转账支付80%项目费用。</w:t>
      </w:r>
      <w:r>
        <w:rPr>
          <w:rFonts w:hint="eastAsia" w:ascii="宋体" w:hAnsi="宋体" w:cs="宋体"/>
          <w:color w:val="333333"/>
          <w:sz w:val="21"/>
          <w:szCs w:val="21"/>
        </w:rPr>
        <w:t>成交供应商完成本项目要求的所有成果并通过采购人验收后</w:t>
      </w:r>
      <w:r>
        <w:rPr>
          <w:rFonts w:hint="eastAsia" w:ascii="宋体" w:hAnsi="宋体" w:cs="宋体"/>
          <w:color w:val="333333"/>
          <w:sz w:val="21"/>
          <w:szCs w:val="21"/>
          <w:lang w:val="en-US" w:eastAsia="zh-CN"/>
        </w:rPr>
        <w:t>15个工作日内，采购人向供应商转账支付余下20%费用</w:t>
      </w:r>
      <w:r>
        <w:rPr>
          <w:rFonts w:hint="eastAsia" w:ascii="宋体" w:hAnsi="宋体" w:cs="宋体"/>
          <w:color w:val="333333"/>
          <w:sz w:val="21"/>
          <w:szCs w:val="21"/>
        </w:rPr>
        <w:t>。</w:t>
      </w:r>
    </w:p>
    <w:p w14:paraId="775C4B16">
      <w:pPr>
        <w:pStyle w:val="7"/>
        <w:widowControl/>
        <w:spacing w:before="750" w:beforeAutospacing="0" w:after="750" w:afterAutospacing="0" w:line="480" w:lineRule="atLeast"/>
        <w:ind w:left="376" w:right="376" w:firstLine="840"/>
        <w:rPr>
          <w:rFonts w:hint="eastAsia" w:ascii="宋体" w:hAnsi="宋体" w:eastAsia="宋体" w:cs="宋体"/>
          <w:color w:val="333333"/>
          <w:kern w:val="2"/>
          <w:sz w:val="21"/>
          <w:szCs w:val="21"/>
          <w:lang w:val="en-US" w:eastAsia="zh-CN" w:bidi="ar-SA"/>
        </w:rPr>
      </w:pPr>
      <w:r>
        <w:rPr>
          <w:rFonts w:hint="eastAsia" w:ascii="宋体" w:hAnsi="宋体" w:cs="宋体"/>
          <w:color w:val="333333"/>
          <w:sz w:val="21"/>
          <w:szCs w:val="21"/>
        </w:rPr>
        <w:t>5）履约保证金及缴纳形式：</w:t>
      </w:r>
      <w:r>
        <w:rPr>
          <w:rFonts w:hint="eastAsia" w:ascii="宋体" w:hAnsi="宋体" w:eastAsia="宋体" w:cs="宋体"/>
          <w:color w:val="333333"/>
          <w:kern w:val="2"/>
          <w:sz w:val="21"/>
          <w:szCs w:val="21"/>
          <w:lang w:val="en-US" w:eastAsia="zh-CN" w:bidi="ar-SA"/>
        </w:rPr>
        <w:t>不要求</w:t>
      </w:r>
    </w:p>
    <w:p w14:paraId="13D430D1">
      <w:pPr>
        <w:pStyle w:val="7"/>
        <w:widowControl/>
        <w:spacing w:before="750" w:beforeAutospacing="0" w:after="750" w:afterAutospacing="0" w:line="480" w:lineRule="atLeast"/>
        <w:ind w:left="376" w:right="376" w:firstLine="840"/>
        <w:rPr>
          <w:rFonts w:hint="eastAsia" w:ascii="宋体" w:hAnsi="宋体" w:cs="宋体"/>
        </w:rPr>
      </w:pPr>
      <w:r>
        <w:rPr>
          <w:rFonts w:hint="eastAsia" w:ascii="宋体" w:hAnsi="宋体" w:cs="宋体"/>
          <w:color w:val="333333"/>
          <w:sz w:val="21"/>
          <w:szCs w:val="21"/>
        </w:rPr>
        <w:t>6）质量保证金及缴纳形式：中标/成交供应商是否需要缴纳质量保证金：否</w:t>
      </w:r>
    </w:p>
    <w:p w14:paraId="4F901D3A">
      <w:pPr>
        <w:autoSpaceDE w:val="0"/>
        <w:autoSpaceDN w:val="0"/>
        <w:adjustRightInd w:val="0"/>
        <w:spacing w:line="360" w:lineRule="auto"/>
        <w:ind w:firstLine="1050" w:firstLineChars="500"/>
        <w:rPr>
          <w:rFonts w:hint="eastAsia" w:ascii="宋体" w:hAnsi="宋体" w:eastAsia="宋体" w:cs="宋体"/>
          <w:color w:val="333333"/>
          <w:sz w:val="21"/>
          <w:szCs w:val="21"/>
        </w:rPr>
      </w:pPr>
      <w:r>
        <w:rPr>
          <w:rFonts w:hint="eastAsia" w:ascii="宋体" w:hAnsi="宋体" w:cs="宋体"/>
          <w:color w:val="333333"/>
          <w:sz w:val="21"/>
          <w:szCs w:val="21"/>
        </w:rPr>
        <w:t>7）合同支付约定：</w:t>
      </w:r>
      <w:r>
        <w:rPr>
          <w:rFonts w:hint="eastAsia" w:ascii="宋体" w:hAnsi="宋体" w:eastAsia="宋体" w:cs="宋体"/>
          <w:color w:val="333333"/>
          <w:sz w:val="21"/>
          <w:szCs w:val="21"/>
        </w:rPr>
        <w:t>（</w:t>
      </w:r>
      <w:r>
        <w:rPr>
          <w:rFonts w:hint="eastAsia" w:ascii="宋体" w:hAnsi="宋体" w:eastAsia="宋体" w:cs="宋体"/>
          <w:color w:val="333333"/>
          <w:sz w:val="21"/>
          <w:szCs w:val="21"/>
          <w:lang w:val="en-US" w:eastAsia="zh-CN"/>
        </w:rPr>
        <w:t>1</w:t>
      </w:r>
      <w:r>
        <w:rPr>
          <w:rFonts w:hint="eastAsia" w:ascii="宋体" w:hAnsi="宋体" w:eastAsia="宋体" w:cs="宋体"/>
          <w:color w:val="333333"/>
          <w:sz w:val="21"/>
          <w:szCs w:val="21"/>
        </w:rPr>
        <w:t>）合同总价包括为完成本项目要求的全部服务内容的所有费用，招标人不再另行支付合同价以外的其他任何费用</w:t>
      </w:r>
      <w:r>
        <w:rPr>
          <w:rFonts w:hint="eastAsia" w:ascii="宋体" w:hAnsi="宋体" w:eastAsia="宋体" w:cs="宋体"/>
          <w:color w:val="333333"/>
          <w:sz w:val="21"/>
          <w:szCs w:val="21"/>
          <w:lang w:val="zh-CN"/>
        </w:rPr>
        <w:t>。</w:t>
      </w:r>
      <w:r>
        <w:rPr>
          <w:rFonts w:hint="eastAsia" w:ascii="宋体" w:hAnsi="宋体" w:eastAsia="宋体" w:cs="宋体"/>
          <w:color w:val="333333"/>
          <w:sz w:val="21"/>
          <w:szCs w:val="21"/>
        </w:rPr>
        <w:t>（</w:t>
      </w:r>
      <w:r>
        <w:rPr>
          <w:rFonts w:hint="eastAsia" w:ascii="宋体" w:hAnsi="宋体" w:eastAsia="宋体" w:cs="宋体"/>
          <w:color w:val="333333"/>
          <w:sz w:val="21"/>
          <w:szCs w:val="21"/>
          <w:lang w:val="en-US" w:eastAsia="zh-CN"/>
        </w:rPr>
        <w:t>2</w:t>
      </w:r>
      <w:r>
        <w:rPr>
          <w:rFonts w:hint="eastAsia" w:ascii="宋体" w:hAnsi="宋体" w:eastAsia="宋体" w:cs="宋体"/>
          <w:color w:val="333333"/>
          <w:sz w:val="21"/>
          <w:szCs w:val="21"/>
        </w:rPr>
        <w:t>）合同总价一次性包死，不受市场价格变化因素的影响。</w:t>
      </w:r>
    </w:p>
    <w:p w14:paraId="4D4C3127">
      <w:pPr>
        <w:autoSpaceDE w:val="0"/>
        <w:autoSpaceDN w:val="0"/>
        <w:adjustRightInd w:val="0"/>
        <w:spacing w:line="360" w:lineRule="auto"/>
        <w:ind w:firstLine="1050" w:firstLineChars="500"/>
        <w:rPr>
          <w:rFonts w:hint="eastAsia" w:ascii="宋体" w:hAnsi="宋体" w:cs="宋体"/>
        </w:rPr>
      </w:pPr>
    </w:p>
    <w:p w14:paraId="0ECFDCE1">
      <w:pPr>
        <w:pStyle w:val="7"/>
        <w:widowControl/>
        <w:spacing w:before="750" w:beforeAutospacing="0" w:after="750" w:afterAutospacing="0" w:line="480" w:lineRule="atLeast"/>
        <w:ind w:left="376" w:right="376" w:firstLine="840"/>
        <w:rPr>
          <w:rFonts w:hint="eastAsia" w:ascii="宋体" w:hAnsi="宋体" w:cs="宋体"/>
        </w:rPr>
      </w:pPr>
      <w:r>
        <w:rPr>
          <w:rFonts w:hint="eastAsia" w:ascii="宋体" w:hAnsi="宋体" w:cs="宋体"/>
          <w:color w:val="333333"/>
          <w:sz w:val="21"/>
          <w:szCs w:val="21"/>
        </w:rPr>
        <w:t>8）验收交付标准和方法：</w:t>
      </w:r>
      <w:r>
        <w:rPr>
          <w:rFonts w:hint="eastAsia" w:ascii="宋体" w:hAnsi="宋体" w:eastAsia="宋体" w:cs="宋体"/>
          <w:sz w:val="24"/>
          <w:szCs w:val="24"/>
          <w:highlight w:val="none"/>
        </w:rPr>
        <w:t>所提供的</w:t>
      </w:r>
      <w:r>
        <w:rPr>
          <w:rFonts w:hint="eastAsia" w:hAnsi="宋体" w:cs="宋体"/>
          <w:sz w:val="24"/>
          <w:szCs w:val="24"/>
          <w:highlight w:val="none"/>
          <w:lang w:val="en-US" w:eastAsia="zh-CN"/>
        </w:rPr>
        <w:t>培训</w:t>
      </w:r>
      <w:r>
        <w:rPr>
          <w:rFonts w:hint="eastAsia" w:ascii="宋体" w:hAnsi="宋体" w:eastAsia="宋体" w:cs="宋体"/>
          <w:sz w:val="24"/>
          <w:szCs w:val="24"/>
          <w:highlight w:val="none"/>
        </w:rPr>
        <w:t>服务及相关资料必须保证符合国家相关程序和相关规定。</w:t>
      </w:r>
    </w:p>
    <w:p w14:paraId="42A05A9A">
      <w:pPr>
        <w:pStyle w:val="7"/>
        <w:widowControl/>
        <w:spacing w:before="750" w:beforeAutospacing="0" w:after="750" w:afterAutospacing="0" w:line="480" w:lineRule="atLeast"/>
        <w:ind w:left="376" w:right="376" w:firstLine="840"/>
        <w:rPr>
          <w:rFonts w:hint="eastAsia" w:ascii="宋体" w:hAnsi="宋体" w:eastAsia="宋体" w:cs="宋体"/>
          <w:color w:val="333333"/>
          <w:sz w:val="21"/>
          <w:szCs w:val="21"/>
        </w:rPr>
      </w:pPr>
      <w:r>
        <w:rPr>
          <w:rFonts w:hint="eastAsia" w:ascii="宋体" w:hAnsi="宋体" w:cs="宋体"/>
          <w:color w:val="333333"/>
          <w:sz w:val="21"/>
          <w:szCs w:val="21"/>
        </w:rPr>
        <w:t>9）质量保修范围和保修期：</w:t>
      </w:r>
      <w:r>
        <w:rPr>
          <w:rFonts w:hint="eastAsia" w:ascii="宋体" w:hAnsi="宋体" w:eastAsia="宋体" w:cs="宋体"/>
          <w:color w:val="333333"/>
          <w:sz w:val="21"/>
          <w:szCs w:val="21"/>
        </w:rPr>
        <w:t>{{</w:t>
      </w:r>
      <w:r>
        <w:rPr>
          <w:rFonts w:hint="eastAsia" w:ascii="宋体" w:hAnsi="宋体" w:eastAsia="宋体" w:cs="宋体"/>
          <w:color w:val="333333"/>
          <w:sz w:val="21"/>
          <w:szCs w:val="21"/>
          <w:lang w:val="en-US" w:eastAsia="zh-CN"/>
        </w:rPr>
        <w:t>否</w:t>
      </w:r>
      <w:r>
        <w:rPr>
          <w:rFonts w:hint="eastAsia" w:ascii="宋体" w:hAnsi="宋体" w:eastAsia="宋体" w:cs="宋体"/>
          <w:color w:val="333333"/>
          <w:sz w:val="21"/>
          <w:szCs w:val="21"/>
        </w:rPr>
        <w:t>}}</w:t>
      </w:r>
    </w:p>
    <w:p w14:paraId="40C41364">
      <w:pPr>
        <w:spacing w:line="360" w:lineRule="auto"/>
        <w:ind w:firstLine="630" w:firstLineChars="300"/>
        <w:rPr>
          <w:rFonts w:hint="eastAsia" w:ascii="宋体" w:hAnsi="宋体" w:eastAsia="宋体" w:cs="宋体"/>
          <w:color w:val="333333"/>
          <w:kern w:val="0"/>
          <w:sz w:val="21"/>
          <w:szCs w:val="21"/>
          <w:lang w:val="en-US" w:eastAsia="zh-CN" w:bidi="ar"/>
        </w:rPr>
      </w:pPr>
      <w:r>
        <w:rPr>
          <w:rFonts w:hint="eastAsia" w:ascii="宋体" w:hAnsi="宋体" w:cs="宋体"/>
          <w:color w:val="333333"/>
          <w:sz w:val="21"/>
          <w:szCs w:val="21"/>
        </w:rPr>
        <w:t>10）知识产权归属和处理方式：</w:t>
      </w:r>
      <w:r>
        <w:rPr>
          <w:rFonts w:hint="eastAsia" w:ascii="宋体" w:hAnsi="宋体" w:eastAsia="宋体" w:cs="宋体"/>
          <w:color w:val="333333"/>
          <w:kern w:val="0"/>
          <w:sz w:val="21"/>
          <w:szCs w:val="21"/>
          <w:lang w:val="en-US" w:eastAsia="zh-CN" w:bidi="ar"/>
        </w:rPr>
        <w:t xml:space="preserve">（1）乙方保证所提供的技术服务没有侵犯第三方专利权、专有技术、商业秘密及其他知识产权，若甲方使用乙方提供的技术服务成果受到第三方追究责任，由乙方负责妥善解决，并赔偿由此给甲方造成的所有损失（包括不限于对第三方权益的侵害和守约方维权所产生的律师费等费用）。 </w:t>
      </w:r>
    </w:p>
    <w:p w14:paraId="500309BC">
      <w:pPr>
        <w:spacing w:line="360" w:lineRule="auto"/>
        <w:ind w:firstLine="630" w:firstLineChars="300"/>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 xml:space="preserve">（2）甲方本项目相关的所有政策文件、用户信息，供应商不得以任何形式向第三方透露。否则，甲方有权要求终止涉及到该中标知识产权的任何使用活动并保留追究卖方相应的法律责任的权利。 </w:t>
      </w:r>
    </w:p>
    <w:p w14:paraId="5CF5F9EA">
      <w:pPr>
        <w:spacing w:line="360" w:lineRule="auto"/>
        <w:ind w:firstLine="630" w:firstLineChars="300"/>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（3）乙方为执行本合同而提供的技术资料使用权归甲方所有。</w:t>
      </w:r>
    </w:p>
    <w:p w14:paraId="30A0157B">
      <w:pPr>
        <w:spacing w:line="360" w:lineRule="auto"/>
        <w:ind w:firstLine="630" w:firstLineChars="300"/>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（4）供应商实施本项目所获得的所有原始文件等，应提交采购人留底。</w:t>
      </w:r>
    </w:p>
    <w:p w14:paraId="45B1422B">
      <w:pPr>
        <w:spacing w:line="360" w:lineRule="auto"/>
        <w:ind w:firstLine="630" w:firstLineChars="300"/>
        <w:rPr>
          <w:rFonts w:hint="eastAsia" w:ascii="宋体" w:hAnsi="宋体" w:eastAsia="宋体" w:cs="宋体"/>
          <w:color w:val="333333"/>
          <w:kern w:val="0"/>
          <w:sz w:val="21"/>
          <w:szCs w:val="21"/>
          <w:lang w:val="en-US" w:eastAsia="zh-CN" w:bidi="ar"/>
        </w:rPr>
      </w:pPr>
      <w:r>
        <w:rPr>
          <w:rFonts w:hint="eastAsia" w:ascii="宋体" w:hAnsi="宋体" w:cs="宋体"/>
          <w:color w:val="333333"/>
          <w:sz w:val="21"/>
          <w:szCs w:val="21"/>
        </w:rPr>
        <w:t>11）成本补偿和风险分担约定：</w:t>
      </w:r>
      <w:r>
        <w:rPr>
          <w:rFonts w:hint="eastAsia" w:ascii="宋体" w:hAnsi="宋体" w:eastAsia="宋体" w:cs="宋体"/>
          <w:color w:val="333333"/>
          <w:kern w:val="0"/>
          <w:sz w:val="21"/>
          <w:szCs w:val="21"/>
          <w:lang w:val="en-US" w:eastAsia="zh-CN" w:bidi="ar"/>
        </w:rPr>
        <w:t>甲乙双方签订合同时具体约定</w:t>
      </w:r>
    </w:p>
    <w:p w14:paraId="024F2845">
      <w:pPr>
        <w:autoSpaceDE w:val="0"/>
        <w:autoSpaceDN w:val="0"/>
        <w:adjustRightInd w:val="0"/>
        <w:spacing w:line="360" w:lineRule="auto"/>
        <w:ind w:firstLine="420" w:firstLineChars="200"/>
        <w:rPr>
          <w:rFonts w:hint="eastAsia" w:ascii="宋体" w:hAnsi="宋体" w:eastAsia="宋体" w:cs="宋体"/>
          <w:bCs/>
          <w:sz w:val="24"/>
          <w:szCs w:val="24"/>
          <w:highlight w:val="none"/>
        </w:rPr>
      </w:pPr>
      <w:r>
        <w:rPr>
          <w:rFonts w:hint="eastAsia" w:ascii="宋体" w:hAnsi="宋体" w:cs="宋体"/>
          <w:color w:val="333333"/>
          <w:sz w:val="21"/>
          <w:szCs w:val="21"/>
        </w:rPr>
        <w:t>12）违约责任与解决争议的方法：</w:t>
      </w:r>
      <w:r>
        <w:rPr>
          <w:rFonts w:hint="eastAsia" w:ascii="宋体" w:hAnsi="宋体" w:eastAsia="宋体" w:cs="宋体"/>
          <w:color w:val="333333"/>
          <w:kern w:val="0"/>
          <w:sz w:val="21"/>
          <w:szCs w:val="21"/>
          <w:lang w:val="en-US" w:eastAsia="zh-CN" w:bidi="ar"/>
        </w:rPr>
        <w:t>本合同在履行过程中发生的争议，由甲、乙双方当事人协商解决，协商不成的按下列第（二）种方式解决</w:t>
      </w:r>
      <w:r>
        <w:rPr>
          <w:rFonts w:hint="eastAsia" w:ascii="宋体" w:hAnsi="宋体" w:eastAsia="宋体" w:cs="宋体"/>
          <w:bCs/>
          <w:sz w:val="24"/>
          <w:szCs w:val="24"/>
          <w:highlight w:val="none"/>
        </w:rPr>
        <w:t>：</w:t>
      </w:r>
    </w:p>
    <w:p w14:paraId="0979E83D">
      <w:pPr>
        <w:autoSpaceDE w:val="0"/>
        <w:autoSpaceDN w:val="0"/>
        <w:adjustRightInd w:val="0"/>
        <w:spacing w:line="360" w:lineRule="auto"/>
        <w:ind w:firstLine="420" w:firstLineChars="200"/>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（一）提交西安仲裁委员会仲裁；</w:t>
      </w:r>
    </w:p>
    <w:p w14:paraId="295EF7AC">
      <w:pPr>
        <w:autoSpaceDE w:val="0"/>
        <w:autoSpaceDN w:val="0"/>
        <w:adjustRightInd w:val="0"/>
        <w:spacing w:line="360" w:lineRule="auto"/>
        <w:ind w:firstLine="420" w:firstLineChars="200"/>
        <w:rPr>
          <w:rFonts w:hint="eastAsia" w:ascii="宋体" w:hAnsi="宋体" w:eastAsia="宋体" w:cs="宋体"/>
          <w:bCs/>
          <w:sz w:val="24"/>
          <w:szCs w:val="24"/>
          <w:highlight w:val="none"/>
        </w:rPr>
      </w:pPr>
      <w:r>
        <w:rPr>
          <w:rFonts w:hint="eastAsia" w:ascii="宋体" w:hAnsi="宋体" w:eastAsia="宋体" w:cs="宋体"/>
          <w:color w:val="333333"/>
          <w:kern w:val="0"/>
          <w:sz w:val="21"/>
          <w:szCs w:val="21"/>
          <w:lang w:val="en-US" w:eastAsia="zh-CN" w:bidi="ar"/>
        </w:rPr>
        <w:t>（二）依法向甲方所在地法院起诉。</w:t>
      </w:r>
    </w:p>
    <w:p w14:paraId="08A6B5B0">
      <w:pPr>
        <w:autoSpaceDE w:val="0"/>
        <w:autoSpaceDN w:val="0"/>
        <w:adjustRightInd w:val="0"/>
        <w:spacing w:line="360" w:lineRule="auto"/>
        <w:ind w:firstLine="480" w:firstLineChars="200"/>
        <w:rPr>
          <w:rFonts w:hint="eastAsia" w:ascii="宋体" w:hAnsi="宋体" w:eastAsia="宋体" w:cs="宋体"/>
          <w:bCs/>
          <w:sz w:val="24"/>
          <w:szCs w:val="24"/>
          <w:highlight w:val="none"/>
        </w:rPr>
      </w:pPr>
    </w:p>
    <w:p w14:paraId="6AF0E184">
      <w:pPr>
        <w:spacing w:line="360" w:lineRule="auto"/>
        <w:ind w:firstLine="420" w:firstLineChars="200"/>
        <w:rPr>
          <w:rFonts w:hint="eastAsia" w:ascii="宋体" w:hAnsi="宋体" w:eastAsia="宋体" w:cs="宋体"/>
          <w:color w:val="333333"/>
          <w:sz w:val="21"/>
          <w:szCs w:val="21"/>
        </w:rPr>
      </w:pPr>
      <w:r>
        <w:rPr>
          <w:rFonts w:hint="eastAsia" w:ascii="宋体" w:hAnsi="宋体" w:cs="宋体"/>
          <w:color w:val="333333"/>
          <w:sz w:val="21"/>
          <w:szCs w:val="21"/>
        </w:rPr>
        <w:t>13）合同其他条款：</w:t>
      </w:r>
      <w:r>
        <w:rPr>
          <w:rFonts w:hint="eastAsia" w:ascii="宋体" w:hAnsi="宋体" w:eastAsia="宋体" w:cs="宋体"/>
          <w:color w:val="333333"/>
          <w:sz w:val="21"/>
          <w:szCs w:val="21"/>
        </w:rPr>
        <w:t>（</w:t>
      </w:r>
      <w:r>
        <w:rPr>
          <w:rFonts w:hint="eastAsia" w:ascii="宋体" w:hAnsi="宋体" w:eastAsia="宋体" w:cs="宋体"/>
          <w:color w:val="333333"/>
          <w:sz w:val="21"/>
          <w:szCs w:val="21"/>
          <w:lang w:val="en-US" w:eastAsia="zh-CN"/>
        </w:rPr>
        <w:t>1</w:t>
      </w:r>
      <w:r>
        <w:rPr>
          <w:rFonts w:hint="eastAsia" w:ascii="宋体" w:hAnsi="宋体" w:eastAsia="宋体" w:cs="宋体"/>
          <w:color w:val="333333"/>
          <w:sz w:val="21"/>
          <w:szCs w:val="21"/>
        </w:rPr>
        <w:t>）乙方不得转让、分包给其它单位或个人。</w:t>
      </w:r>
    </w:p>
    <w:p w14:paraId="47F9E083">
      <w:pPr>
        <w:spacing w:line="360" w:lineRule="auto"/>
        <w:ind w:firstLine="420" w:firstLineChars="200"/>
        <w:rPr>
          <w:rFonts w:hint="eastAsia" w:ascii="宋体" w:hAnsi="宋体" w:eastAsia="宋体" w:cs="宋体"/>
          <w:sz w:val="24"/>
          <w:szCs w:val="24"/>
          <w:highlight w:val="none"/>
        </w:rPr>
      </w:pPr>
      <w:r>
        <w:rPr>
          <w:rFonts w:hint="eastAsia" w:ascii="宋体" w:hAnsi="宋体" w:eastAsia="宋体" w:cs="宋体"/>
          <w:color w:val="333333"/>
          <w:sz w:val="21"/>
          <w:szCs w:val="21"/>
        </w:rPr>
        <w:t>（</w:t>
      </w:r>
      <w:r>
        <w:rPr>
          <w:rFonts w:hint="eastAsia" w:ascii="宋体" w:hAnsi="宋体" w:eastAsia="宋体" w:cs="宋体"/>
          <w:color w:val="333333"/>
          <w:sz w:val="21"/>
          <w:szCs w:val="21"/>
          <w:lang w:val="en-US" w:eastAsia="zh-CN"/>
        </w:rPr>
        <w:t>2</w:t>
      </w:r>
      <w:r>
        <w:rPr>
          <w:rFonts w:hint="eastAsia" w:ascii="宋体" w:hAnsi="宋体" w:eastAsia="宋体" w:cs="宋体"/>
          <w:color w:val="333333"/>
          <w:sz w:val="21"/>
          <w:szCs w:val="21"/>
        </w:rPr>
        <w:t>）乙方的投标文件和承诺等内容将列入合同。</w:t>
      </w:r>
    </w:p>
    <w:p w14:paraId="4FCB92B3">
      <w:pPr>
        <w:autoSpaceDE w:val="0"/>
        <w:autoSpaceDN w:val="0"/>
        <w:adjustRightInd w:val="0"/>
        <w:spacing w:line="360" w:lineRule="auto"/>
        <w:ind w:firstLine="840" w:firstLineChars="400"/>
        <w:rPr>
          <w:rFonts w:hint="eastAsia" w:ascii="宋体" w:hAnsi="宋体" w:cs="宋体"/>
        </w:rPr>
      </w:pPr>
    </w:p>
    <w:p w14:paraId="3C3C0AE7">
      <w:pPr>
        <w:pStyle w:val="7"/>
        <w:widowControl/>
        <w:spacing w:before="750" w:beforeAutospacing="0" w:after="750" w:afterAutospacing="0" w:line="480" w:lineRule="atLeast"/>
        <w:ind w:left="376" w:right="376" w:firstLine="420"/>
        <w:rPr>
          <w:rFonts w:hint="eastAsia" w:ascii="宋体" w:hAnsi="宋体" w:cs="宋体"/>
        </w:rPr>
      </w:pPr>
      <w:r>
        <w:rPr>
          <w:rFonts w:hint="eastAsia" w:ascii="宋体" w:hAnsi="宋体" w:cs="宋体"/>
          <w:color w:val="333333"/>
          <w:sz w:val="21"/>
          <w:szCs w:val="21"/>
        </w:rPr>
        <w:t>11、履约验收方案</w:t>
      </w:r>
    </w:p>
    <w:p w14:paraId="6A2B81C0">
      <w:pPr>
        <w:spacing w:line="360" w:lineRule="auto"/>
        <w:ind w:firstLine="840" w:firstLineChars="400"/>
        <w:rPr>
          <w:rFonts w:hint="eastAsia" w:ascii="宋体" w:hAnsi="宋体" w:eastAsia="宋体" w:cs="宋体"/>
          <w:sz w:val="24"/>
          <w:szCs w:val="24"/>
          <w:highlight w:val="none"/>
          <w:lang w:eastAsia="zh-Hans"/>
        </w:rPr>
      </w:pPr>
      <w:r>
        <w:rPr>
          <w:rFonts w:hint="eastAsia" w:ascii="宋体" w:hAnsi="宋体" w:cs="宋体"/>
          <w:color w:val="333333"/>
          <w:sz w:val="21"/>
          <w:szCs w:val="21"/>
        </w:rPr>
        <w:t>1）验收组织方式：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1）供应商按照采购内容要求完成服务，采购人即对项目进行验收</w:t>
      </w:r>
      <w:r>
        <w:rPr>
          <w:rFonts w:hint="eastAsia" w:ascii="宋体" w:hAnsi="宋体" w:eastAsia="宋体" w:cs="宋体"/>
          <w:sz w:val="24"/>
          <w:szCs w:val="24"/>
          <w:highlight w:val="none"/>
          <w:lang w:eastAsia="zh-Hans"/>
        </w:rPr>
        <w:t>。</w:t>
      </w:r>
    </w:p>
    <w:p w14:paraId="78E5800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验收依据：</w:t>
      </w:r>
    </w:p>
    <w:p w14:paraId="5DFE33B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合同文本； </w:t>
      </w:r>
    </w:p>
    <w:p w14:paraId="35CC398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国家有关的验收标准及规范；</w:t>
      </w:r>
    </w:p>
    <w:p w14:paraId="12198E5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竞争性磋商文件；</w:t>
      </w:r>
    </w:p>
    <w:p w14:paraId="013E1813">
      <w:pPr>
        <w:spacing w:line="360" w:lineRule="auto"/>
        <w:ind w:firstLine="480" w:firstLineChars="200"/>
        <w:rPr>
          <w:rFonts w:hint="eastAsia" w:ascii="宋体" w:hAnsi="宋体" w:cs="宋体"/>
        </w:rPr>
      </w:pPr>
      <w:r>
        <w:rPr>
          <w:rFonts w:hint="eastAsia" w:ascii="宋体" w:hAnsi="宋体" w:eastAsia="宋体" w:cs="宋体"/>
          <w:sz w:val="24"/>
          <w:szCs w:val="24"/>
          <w:highlight w:val="none"/>
        </w:rPr>
        <w:t>4) 磋商响应文件。</w:t>
      </w:r>
    </w:p>
    <w:p w14:paraId="0CA47568">
      <w:pPr>
        <w:pStyle w:val="7"/>
        <w:widowControl/>
        <w:spacing w:before="750" w:beforeAutospacing="0" w:after="750" w:afterAutospacing="0" w:line="480" w:lineRule="atLeast"/>
        <w:ind w:left="376" w:right="376" w:firstLine="840"/>
        <w:rPr>
          <w:rFonts w:hint="eastAsia" w:ascii="宋体" w:hAnsi="宋体" w:cs="宋体"/>
        </w:rPr>
      </w:pPr>
      <w:r>
        <w:rPr>
          <w:rFonts w:hint="eastAsia" w:ascii="宋体" w:hAnsi="宋体" w:cs="宋体"/>
          <w:color w:val="333333"/>
          <w:sz w:val="21"/>
          <w:szCs w:val="21"/>
        </w:rPr>
        <w:t>2）是否邀请本项目的其他供应商：</w:t>
      </w:r>
      <w:r>
        <w:rPr>
          <w:rFonts w:hint="eastAsia" w:ascii="宋体" w:hAnsi="宋体" w:eastAsia="宋体" w:cs="宋体"/>
          <w:color w:val="333333"/>
          <w:kern w:val="0"/>
          <w:sz w:val="21"/>
          <w:szCs w:val="21"/>
          <w:lang w:val="en-US" w:eastAsia="zh-CN" w:bidi="ar"/>
        </w:rPr>
        <w:t>{否}}</w:t>
      </w:r>
    </w:p>
    <w:p w14:paraId="786E90C3">
      <w:pPr>
        <w:pStyle w:val="7"/>
        <w:widowControl/>
        <w:spacing w:before="750" w:beforeAutospacing="0" w:after="750" w:afterAutospacing="0" w:line="480" w:lineRule="atLeast"/>
        <w:ind w:left="376" w:right="376" w:firstLine="840"/>
        <w:rPr>
          <w:rFonts w:hint="eastAsia" w:ascii="宋体" w:hAnsi="宋体" w:eastAsia="宋体" w:cs="宋体"/>
          <w:color w:val="333333"/>
          <w:kern w:val="2"/>
          <w:sz w:val="21"/>
          <w:szCs w:val="21"/>
          <w:lang w:val="en-US" w:eastAsia="zh-CN" w:bidi="ar-SA"/>
        </w:rPr>
      </w:pPr>
      <w:r>
        <w:rPr>
          <w:rFonts w:hint="eastAsia" w:ascii="宋体" w:hAnsi="宋体" w:cs="宋体"/>
          <w:color w:val="333333"/>
          <w:sz w:val="21"/>
          <w:szCs w:val="21"/>
        </w:rPr>
        <w:t>3）是否邀请专家：</w:t>
      </w:r>
      <w:r>
        <w:rPr>
          <w:rFonts w:hint="eastAsia" w:ascii="宋体" w:hAnsi="宋体" w:eastAsia="宋体" w:cs="宋体"/>
          <w:color w:val="333333"/>
          <w:kern w:val="2"/>
          <w:sz w:val="21"/>
          <w:szCs w:val="21"/>
          <w:lang w:val="en-US" w:eastAsia="zh-CN" w:bidi="ar-SA"/>
        </w:rPr>
        <w:t>{{否}}</w:t>
      </w:r>
    </w:p>
    <w:p w14:paraId="473E0E22">
      <w:pPr>
        <w:pStyle w:val="7"/>
        <w:widowControl/>
        <w:spacing w:before="750" w:beforeAutospacing="0" w:after="750" w:afterAutospacing="0" w:line="480" w:lineRule="atLeast"/>
        <w:ind w:left="376" w:right="376" w:firstLine="840"/>
        <w:rPr>
          <w:rFonts w:hint="eastAsia" w:ascii="宋体" w:hAnsi="宋体" w:eastAsia="宋体" w:cs="宋体"/>
          <w:color w:val="333333"/>
          <w:sz w:val="21"/>
          <w:szCs w:val="21"/>
        </w:rPr>
      </w:pPr>
      <w:r>
        <w:rPr>
          <w:rFonts w:hint="eastAsia" w:ascii="宋体" w:hAnsi="宋体" w:cs="宋体"/>
          <w:color w:val="333333"/>
          <w:sz w:val="21"/>
          <w:szCs w:val="21"/>
        </w:rPr>
        <w:t>4）是否邀请服务对象：</w:t>
      </w:r>
      <w:r>
        <w:rPr>
          <w:rFonts w:hint="eastAsia" w:ascii="宋体" w:hAnsi="宋体" w:eastAsia="宋体" w:cs="宋体"/>
          <w:color w:val="333333"/>
          <w:sz w:val="21"/>
          <w:szCs w:val="21"/>
        </w:rPr>
        <w:t>{{</w:t>
      </w:r>
      <w:r>
        <w:rPr>
          <w:rFonts w:hint="eastAsia" w:ascii="宋体" w:hAnsi="宋体" w:eastAsia="宋体" w:cs="宋体"/>
          <w:color w:val="333333"/>
          <w:sz w:val="21"/>
          <w:szCs w:val="21"/>
          <w:lang w:val="en-US" w:eastAsia="zh-CN"/>
        </w:rPr>
        <w:t>否</w:t>
      </w:r>
      <w:r>
        <w:rPr>
          <w:rFonts w:hint="eastAsia" w:ascii="宋体" w:hAnsi="宋体" w:eastAsia="宋体" w:cs="宋体"/>
          <w:color w:val="333333"/>
          <w:sz w:val="21"/>
          <w:szCs w:val="21"/>
        </w:rPr>
        <w:t>}}</w:t>
      </w:r>
    </w:p>
    <w:p w14:paraId="685A6FD2">
      <w:pPr>
        <w:pStyle w:val="7"/>
        <w:widowControl/>
        <w:spacing w:before="750" w:beforeAutospacing="0" w:after="750" w:afterAutospacing="0" w:line="480" w:lineRule="atLeast"/>
        <w:ind w:left="376" w:right="376" w:firstLine="840"/>
        <w:rPr>
          <w:rFonts w:hint="eastAsia" w:ascii="宋体" w:hAnsi="宋体" w:eastAsia="宋体" w:cs="宋体"/>
          <w:color w:val="333333"/>
          <w:sz w:val="21"/>
          <w:szCs w:val="21"/>
        </w:rPr>
      </w:pPr>
      <w:r>
        <w:rPr>
          <w:rFonts w:hint="eastAsia" w:ascii="宋体" w:hAnsi="宋体" w:cs="宋体"/>
          <w:color w:val="333333"/>
          <w:sz w:val="21"/>
          <w:szCs w:val="21"/>
        </w:rPr>
        <w:t>5）是否邀请第三方检测机</w:t>
      </w:r>
      <w:r>
        <w:rPr>
          <w:rFonts w:hint="eastAsia" w:ascii="宋体" w:hAnsi="宋体" w:eastAsia="宋体" w:cs="宋体"/>
          <w:color w:val="333333"/>
          <w:sz w:val="21"/>
          <w:szCs w:val="21"/>
        </w:rPr>
        <w:t>构：{{</w:t>
      </w:r>
      <w:r>
        <w:rPr>
          <w:rFonts w:hint="eastAsia" w:ascii="宋体" w:hAnsi="宋体" w:eastAsia="宋体" w:cs="宋体"/>
          <w:color w:val="333333"/>
          <w:sz w:val="21"/>
          <w:szCs w:val="21"/>
          <w:lang w:val="en-US" w:eastAsia="zh-CN"/>
        </w:rPr>
        <w:t>否</w:t>
      </w:r>
      <w:r>
        <w:rPr>
          <w:rFonts w:hint="eastAsia" w:ascii="宋体" w:hAnsi="宋体" w:eastAsia="宋体" w:cs="宋体"/>
          <w:color w:val="333333"/>
          <w:sz w:val="21"/>
          <w:szCs w:val="21"/>
        </w:rPr>
        <w:t>}}</w:t>
      </w:r>
    </w:p>
    <w:p w14:paraId="690759BD">
      <w:pPr>
        <w:pStyle w:val="7"/>
        <w:widowControl/>
        <w:spacing w:before="750" w:beforeAutospacing="0" w:after="750" w:afterAutospacing="0" w:line="480" w:lineRule="atLeast"/>
        <w:ind w:left="376" w:right="376" w:firstLine="840"/>
        <w:rPr>
          <w:rFonts w:hint="eastAsia" w:ascii="宋体" w:hAnsi="宋体" w:eastAsia="宋体" w:cs="宋体"/>
          <w:color w:val="333333"/>
          <w:sz w:val="21"/>
          <w:szCs w:val="21"/>
        </w:rPr>
      </w:pPr>
      <w:r>
        <w:rPr>
          <w:rFonts w:hint="eastAsia" w:ascii="宋体" w:hAnsi="宋体" w:eastAsia="宋体" w:cs="宋体"/>
          <w:color w:val="333333"/>
          <w:sz w:val="21"/>
          <w:szCs w:val="21"/>
        </w:rPr>
        <w:t>6）履约验收程序：{{</w:t>
      </w:r>
      <w:r>
        <w:rPr>
          <w:rFonts w:hint="eastAsia" w:ascii="宋体" w:hAnsi="宋体" w:eastAsia="宋体" w:cs="宋体"/>
          <w:color w:val="333333"/>
          <w:sz w:val="21"/>
          <w:szCs w:val="21"/>
          <w:lang w:val="en-US" w:eastAsia="zh-CN"/>
        </w:rPr>
        <w:t>否</w:t>
      </w:r>
      <w:r>
        <w:rPr>
          <w:rFonts w:hint="eastAsia" w:ascii="宋体" w:hAnsi="宋体" w:eastAsia="宋体" w:cs="宋体"/>
          <w:color w:val="333333"/>
          <w:sz w:val="21"/>
          <w:szCs w:val="21"/>
        </w:rPr>
        <w:t>}}</w:t>
      </w:r>
    </w:p>
    <w:p w14:paraId="2BDA8F76">
      <w:pPr>
        <w:pStyle w:val="7"/>
        <w:widowControl/>
        <w:spacing w:before="750" w:beforeAutospacing="0" w:after="750" w:afterAutospacing="0" w:line="480" w:lineRule="atLeast"/>
        <w:ind w:left="376" w:right="376" w:firstLine="840"/>
        <w:rPr>
          <w:rFonts w:hint="default" w:ascii="宋体" w:hAnsi="宋体" w:eastAsia="宋体" w:cs="宋体"/>
          <w:lang w:val="en-US" w:eastAsia="zh-CN"/>
        </w:rPr>
      </w:pPr>
      <w:r>
        <w:rPr>
          <w:rFonts w:hint="eastAsia" w:ascii="宋体" w:hAnsi="宋体" w:cs="宋体"/>
          <w:color w:val="333333"/>
          <w:sz w:val="21"/>
          <w:szCs w:val="21"/>
        </w:rPr>
        <w:t>7）履约验收时间：</w:t>
      </w:r>
      <w:r>
        <w:rPr>
          <w:rFonts w:hint="eastAsia" w:ascii="宋体" w:hAnsi="宋体" w:cs="宋体"/>
          <w:color w:val="333333"/>
          <w:sz w:val="21"/>
          <w:szCs w:val="21"/>
          <w:lang w:val="en-US" w:eastAsia="zh-CN"/>
        </w:rPr>
        <w:t>根据项目实际情况</w:t>
      </w:r>
    </w:p>
    <w:p w14:paraId="4ECD624C">
      <w:pPr>
        <w:pStyle w:val="7"/>
        <w:widowControl/>
        <w:spacing w:before="750" w:beforeAutospacing="0" w:after="750" w:afterAutospacing="0" w:line="480" w:lineRule="atLeast"/>
        <w:ind w:left="376" w:right="376" w:firstLine="840"/>
        <w:rPr>
          <w:rFonts w:hint="eastAsia" w:ascii="宋体" w:hAnsi="宋体" w:eastAsia="宋体" w:cs="宋体"/>
          <w:color w:val="333333"/>
          <w:sz w:val="21"/>
          <w:szCs w:val="21"/>
        </w:rPr>
      </w:pPr>
      <w:r>
        <w:rPr>
          <w:rFonts w:hint="eastAsia" w:ascii="宋体" w:hAnsi="宋体" w:cs="宋体"/>
          <w:color w:val="333333"/>
          <w:sz w:val="21"/>
          <w:szCs w:val="21"/>
        </w:rPr>
        <w:t>8）验收组织的其他事项：</w:t>
      </w:r>
      <w:r>
        <w:rPr>
          <w:rFonts w:hint="eastAsia" w:ascii="宋体" w:hAnsi="宋体" w:eastAsia="宋体" w:cs="宋体"/>
          <w:color w:val="333333"/>
          <w:sz w:val="21"/>
          <w:szCs w:val="21"/>
        </w:rPr>
        <w:t>{{</w:t>
      </w:r>
      <w:r>
        <w:rPr>
          <w:rFonts w:hint="eastAsia" w:ascii="宋体" w:hAnsi="宋体" w:eastAsia="宋体" w:cs="宋体"/>
          <w:color w:val="333333"/>
          <w:sz w:val="21"/>
          <w:szCs w:val="21"/>
          <w:lang w:val="en-US" w:eastAsia="zh-CN"/>
        </w:rPr>
        <w:t>否</w:t>
      </w:r>
      <w:r>
        <w:rPr>
          <w:rFonts w:hint="eastAsia" w:ascii="宋体" w:hAnsi="宋体" w:eastAsia="宋体" w:cs="宋体"/>
          <w:color w:val="333333"/>
          <w:sz w:val="21"/>
          <w:szCs w:val="21"/>
        </w:rPr>
        <w:t>}}</w:t>
      </w:r>
    </w:p>
    <w:p w14:paraId="557EC2FB">
      <w:pPr>
        <w:pStyle w:val="7"/>
        <w:widowControl/>
        <w:spacing w:before="750" w:beforeAutospacing="0" w:after="750" w:afterAutospacing="0" w:line="480" w:lineRule="atLeast"/>
        <w:ind w:left="376" w:right="376" w:firstLine="840"/>
        <w:rPr>
          <w:rFonts w:hint="eastAsia" w:ascii="宋体" w:hAnsi="宋体" w:eastAsia="宋体" w:cs="宋体"/>
          <w:color w:val="333333"/>
          <w:sz w:val="21"/>
          <w:szCs w:val="21"/>
        </w:rPr>
      </w:pPr>
      <w:r>
        <w:rPr>
          <w:rFonts w:hint="eastAsia" w:ascii="宋体" w:hAnsi="宋体" w:eastAsia="宋体" w:cs="宋体"/>
          <w:color w:val="333333"/>
          <w:sz w:val="21"/>
          <w:szCs w:val="21"/>
        </w:rPr>
        <w:t>9）技术履约验收内容：{{</w:t>
      </w:r>
      <w:r>
        <w:rPr>
          <w:rFonts w:hint="eastAsia" w:ascii="宋体" w:hAnsi="宋体" w:eastAsia="宋体" w:cs="宋体"/>
          <w:color w:val="333333"/>
          <w:sz w:val="21"/>
          <w:szCs w:val="21"/>
          <w:lang w:val="en-US" w:eastAsia="zh-CN"/>
        </w:rPr>
        <w:t>否</w:t>
      </w:r>
      <w:r>
        <w:rPr>
          <w:rFonts w:hint="eastAsia" w:ascii="宋体" w:hAnsi="宋体" w:eastAsia="宋体" w:cs="宋体"/>
          <w:color w:val="333333"/>
          <w:sz w:val="21"/>
          <w:szCs w:val="21"/>
        </w:rPr>
        <w:t>}}</w:t>
      </w:r>
    </w:p>
    <w:p w14:paraId="08BCF37C">
      <w:pPr>
        <w:pStyle w:val="7"/>
        <w:widowControl/>
        <w:spacing w:before="750" w:beforeAutospacing="0" w:after="750" w:afterAutospacing="0" w:line="480" w:lineRule="atLeast"/>
        <w:ind w:left="376" w:right="376" w:firstLine="840"/>
        <w:rPr>
          <w:rFonts w:hint="eastAsia" w:ascii="宋体" w:hAnsi="宋体" w:eastAsia="宋体" w:cs="宋体"/>
          <w:color w:val="333333"/>
          <w:sz w:val="21"/>
          <w:szCs w:val="21"/>
        </w:rPr>
      </w:pPr>
      <w:r>
        <w:rPr>
          <w:rFonts w:hint="eastAsia" w:ascii="宋体" w:hAnsi="宋体" w:eastAsia="宋体" w:cs="宋体"/>
          <w:color w:val="333333"/>
          <w:sz w:val="21"/>
          <w:szCs w:val="21"/>
        </w:rPr>
        <w:t>10）商务履约验收内容：{{</w:t>
      </w:r>
      <w:r>
        <w:rPr>
          <w:rFonts w:hint="eastAsia" w:ascii="宋体" w:hAnsi="宋体" w:eastAsia="宋体" w:cs="宋体"/>
          <w:color w:val="333333"/>
          <w:sz w:val="21"/>
          <w:szCs w:val="21"/>
          <w:lang w:val="en-US" w:eastAsia="zh-CN"/>
        </w:rPr>
        <w:t>否</w:t>
      </w:r>
      <w:r>
        <w:rPr>
          <w:rFonts w:hint="eastAsia" w:ascii="宋体" w:hAnsi="宋体" w:eastAsia="宋体" w:cs="宋体"/>
          <w:color w:val="333333"/>
          <w:sz w:val="21"/>
          <w:szCs w:val="21"/>
        </w:rPr>
        <w:t>}}</w:t>
      </w:r>
    </w:p>
    <w:p w14:paraId="30229CC0">
      <w:pPr>
        <w:pStyle w:val="7"/>
        <w:widowControl/>
        <w:spacing w:before="750" w:beforeAutospacing="0" w:after="750" w:afterAutospacing="0" w:line="480" w:lineRule="atLeast"/>
        <w:ind w:left="376" w:right="376" w:firstLine="840"/>
        <w:rPr>
          <w:rFonts w:hint="eastAsia" w:ascii="宋体" w:hAnsi="宋体" w:eastAsia="宋体" w:cs="宋体"/>
          <w:color w:val="333333"/>
          <w:sz w:val="21"/>
          <w:szCs w:val="21"/>
        </w:rPr>
      </w:pPr>
      <w:r>
        <w:rPr>
          <w:rFonts w:hint="eastAsia" w:ascii="宋体" w:hAnsi="宋体" w:eastAsia="宋体" w:cs="宋体"/>
          <w:color w:val="333333"/>
          <w:sz w:val="21"/>
          <w:szCs w:val="21"/>
        </w:rPr>
        <w:t>11）履约验收标准：{{</w:t>
      </w:r>
      <w:r>
        <w:rPr>
          <w:rFonts w:hint="eastAsia" w:ascii="宋体" w:hAnsi="宋体" w:eastAsia="宋体" w:cs="宋体"/>
          <w:color w:val="333333"/>
          <w:sz w:val="21"/>
          <w:szCs w:val="21"/>
          <w:lang w:val="en-US" w:eastAsia="zh-CN"/>
        </w:rPr>
        <w:t>根据合同约定</w:t>
      </w:r>
      <w:r>
        <w:rPr>
          <w:rFonts w:hint="eastAsia" w:ascii="宋体" w:hAnsi="宋体" w:eastAsia="宋体" w:cs="宋体"/>
          <w:color w:val="333333"/>
          <w:sz w:val="21"/>
          <w:szCs w:val="21"/>
        </w:rPr>
        <w:t>}}</w:t>
      </w:r>
    </w:p>
    <w:p w14:paraId="1701E655">
      <w:pPr>
        <w:pStyle w:val="7"/>
        <w:widowControl/>
        <w:spacing w:before="750" w:beforeAutospacing="0" w:after="750" w:afterAutospacing="0" w:line="480" w:lineRule="atLeast"/>
        <w:ind w:left="376" w:right="376" w:firstLine="840"/>
        <w:rPr>
          <w:rFonts w:hint="eastAsia" w:ascii="宋体" w:hAnsi="宋体" w:eastAsia="宋体" w:cs="宋体"/>
          <w:color w:val="333333"/>
          <w:sz w:val="21"/>
          <w:szCs w:val="21"/>
        </w:rPr>
      </w:pPr>
      <w:r>
        <w:rPr>
          <w:rFonts w:hint="eastAsia" w:ascii="宋体" w:hAnsi="宋体" w:eastAsia="宋体" w:cs="宋体"/>
          <w:color w:val="333333"/>
          <w:sz w:val="21"/>
          <w:szCs w:val="21"/>
        </w:rPr>
        <w:t>12）履约验收其他事项：{{</w:t>
      </w:r>
      <w:r>
        <w:rPr>
          <w:rFonts w:hint="eastAsia" w:ascii="宋体" w:hAnsi="宋体" w:eastAsia="宋体" w:cs="宋体"/>
          <w:color w:val="333333"/>
          <w:sz w:val="21"/>
          <w:szCs w:val="21"/>
          <w:lang w:val="en-US" w:eastAsia="zh-CN"/>
        </w:rPr>
        <w:t>否</w:t>
      </w:r>
      <w:r>
        <w:rPr>
          <w:rFonts w:hint="eastAsia" w:ascii="宋体" w:hAnsi="宋体" w:eastAsia="宋体" w:cs="宋体"/>
          <w:color w:val="333333"/>
          <w:sz w:val="21"/>
          <w:szCs w:val="21"/>
        </w:rPr>
        <w:t>}}</w:t>
      </w:r>
    </w:p>
    <w:p w14:paraId="5559F86F">
      <w:pPr>
        <w:pStyle w:val="5"/>
        <w:widowControl/>
        <w:spacing w:before="750" w:beforeAutospacing="0" w:after="750" w:afterAutospacing="0" w:line="360" w:lineRule="atLeast"/>
        <w:ind w:left="376" w:right="376"/>
        <w:rPr>
          <w:rFonts w:cs="宋体"/>
        </w:rPr>
      </w:pPr>
      <w:r>
        <w:rPr>
          <w:rFonts w:cs="宋体"/>
          <w:color w:val="333333"/>
        </w:rPr>
        <w:t>五、风险控制措施和替代方案</w:t>
      </w:r>
    </w:p>
    <w:p w14:paraId="6D825E84">
      <w:pPr>
        <w:pStyle w:val="11"/>
        <w:ind w:firstLine="840"/>
      </w:pPr>
      <w:r>
        <w:t>该采购项目按照《政府采购需求管理办法》第二十五条规定，本项目是否需要组织风险判断、提出处置措施和替代方案：否</w:t>
      </w:r>
    </w:p>
    <w:p w14:paraId="615264C0">
      <w:r>
        <w:rPr>
          <w:rFonts w:ascii="noto sans" w:hAnsi="noto sans" w:eastAsia="noto sans" w:cs="noto sans"/>
          <w:color w:val="333333"/>
          <w:kern w:val="0"/>
          <w:szCs w:val="21"/>
          <w:shd w:val="clear" w:color="auto" w:fill="FFFFFF"/>
          <w:lang w:bidi="ar"/>
        </w:rPr>
        <w:t> </w:t>
      </w:r>
    </w:p>
    <w:p w14:paraId="206F305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w:altName w:val="Segoe UI Light"/>
    <w:panose1 w:val="020B0502040504020204"/>
    <w:charset w:val="00"/>
    <w:family w:val="auto"/>
    <w:pitch w:val="default"/>
    <w:sig w:usb0="00000000" w:usb1="00000000" w:usb2="08000029" w:usb3="00100000" w:csb0="0000019F" w:csb1="00000000"/>
  </w:font>
  <w:font w:name="Segoe UI Light">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19156A"/>
    <w:multiLevelType w:val="singleLevel"/>
    <w:tmpl w:val="4919156A"/>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62F79"/>
    <w:rsid w:val="61A62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color w:val="993300"/>
      <w:sz w:val="24"/>
    </w:rPr>
  </w:style>
  <w:style w:type="paragraph" w:styleId="3">
    <w:name w:val="Body Text First Indent"/>
    <w:basedOn w:val="2"/>
    <w:unhideWhenUsed/>
    <w:qFormat/>
    <w:uiPriority w:val="99"/>
    <w:pPr>
      <w:ind w:firstLine="420" w:firstLineChars="100"/>
    </w:pPr>
  </w:style>
  <w:style w:type="paragraph" w:styleId="6">
    <w:name w:val="Body Text Indent"/>
    <w:basedOn w:val="1"/>
    <w:next w:val="2"/>
    <w:qFormat/>
    <w:uiPriority w:val="0"/>
    <w:pPr>
      <w:widowControl/>
      <w:ind w:firstLine="652" w:firstLineChars="233"/>
    </w:pPr>
    <w:rPr>
      <w:rFonts w:ascii="Times New Roman"/>
      <w:sz w:val="2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6"/>
    <w:unhideWhenUsed/>
    <w:qFormat/>
    <w:uiPriority w:val="99"/>
    <w:pPr>
      <w:spacing w:after="120"/>
      <w:ind w:left="420" w:leftChars="200" w:firstLine="420" w:firstLineChars="200"/>
    </w:pPr>
    <w:rPr>
      <w:sz w:val="20"/>
    </w:rPr>
  </w:style>
  <w:style w:type="paragraph" w:customStyle="1" w:styleId="11">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2025-06-25T01:26:00Z</dcterms:created>
  <dc:creator>STRONG</dc:creator>
  <cp:lastModifiedBy>STRONG</cp:lastModifiedBy>
  <dcterms:modified xsi:type="dcterms:W3CDTF">2025-06-25T01:28:19Z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F42496EE1E0041FBBAF883F8FFA464B3_11</vt:lpwstr>
  </property>
  <property fmtid="{D5CDD505-2E9C-101B-9397-08002B2CF9AE}" pid="4" name="KSOTemplateDocerSaveRecord">
    <vt:lpwstr>eyJoZGlkIjoiOWJjMTQ0NmVlYTBjYmUwYWRhNzE4OWNiYTBhYTljODIiLCJ1c2VySWQiOiI1NTk2ODQ5NDkifQ==</vt:lpwstr>
  </property>
</Properties>
</file>