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00AEE">
      <w:pPr>
        <w:adjustRightInd w:val="0"/>
        <w:snapToGrid w:val="0"/>
        <w:spacing w:line="340" w:lineRule="exact"/>
        <w:jc w:val="right"/>
        <w:rPr>
          <w:rFonts w:hint="eastAsia" w:ascii="宋体" w:hAnsi="宋体" w:eastAsia="宋体" w:cs="宋体"/>
          <w:b/>
          <w:bCs/>
          <w:color w:val="auto"/>
          <w:sz w:val="30"/>
          <w:szCs w:val="30"/>
        </w:rPr>
      </w:pPr>
      <w:bookmarkStart w:id="388" w:name="_GoBack"/>
      <w:bookmarkEnd w:id="388"/>
      <w:r>
        <w:rPr>
          <w:rFonts w:hint="eastAsia" w:ascii="宋体" w:hAnsi="宋体" w:eastAsia="宋体" w:cs="宋体"/>
          <w:b/>
          <w:bCs/>
          <w:color w:val="auto"/>
          <w:sz w:val="30"/>
          <w:szCs w:val="30"/>
        </w:rPr>
        <w:t>政府采购项目</w:t>
      </w:r>
    </w:p>
    <w:p w14:paraId="72ECC774">
      <w:pPr>
        <w:spacing w:line="440" w:lineRule="exact"/>
        <w:rPr>
          <w:rFonts w:hint="eastAsia" w:ascii="宋体" w:hAnsi="宋体" w:eastAsia="宋体" w:cs="宋体"/>
          <w:b/>
          <w:bCs/>
          <w:color w:val="auto"/>
          <w:sz w:val="32"/>
          <w:szCs w:val="36"/>
          <w:lang w:val="en-US" w:eastAsia="zh-CN"/>
        </w:rPr>
      </w:pPr>
      <w:r>
        <w:rPr>
          <w:rFonts w:hint="eastAsia" w:ascii="宋体" w:hAnsi="宋体" w:eastAsia="宋体" w:cs="宋体"/>
          <w:b/>
          <w:bCs/>
          <w:color w:val="auto"/>
          <w:sz w:val="32"/>
          <w:szCs w:val="36"/>
          <w:lang w:val="en-US" w:eastAsia="zh-CN"/>
        </w:rPr>
        <w:t>项目编号</w:t>
      </w:r>
      <w:r>
        <w:rPr>
          <w:rFonts w:hint="eastAsia" w:ascii="宋体" w:hAnsi="宋体" w:eastAsia="宋体" w:cs="宋体"/>
          <w:b/>
          <w:bCs/>
          <w:color w:val="auto"/>
          <w:sz w:val="32"/>
          <w:szCs w:val="36"/>
        </w:rPr>
        <w:t xml:space="preserve">: </w:t>
      </w:r>
      <w:r>
        <w:rPr>
          <w:rFonts w:hint="eastAsia" w:ascii="宋体" w:hAnsi="宋体" w:eastAsia="宋体" w:cs="宋体"/>
          <w:b/>
          <w:bCs/>
          <w:color w:val="auto"/>
          <w:sz w:val="32"/>
          <w:szCs w:val="36"/>
          <w:lang w:val="en-US" w:eastAsia="zh-CN"/>
        </w:rPr>
        <w:t>SXTH2025022</w:t>
      </w:r>
    </w:p>
    <w:p w14:paraId="2A2F2A85">
      <w:pPr>
        <w:bidi w:val="0"/>
        <w:rPr>
          <w:rFonts w:hint="eastAsia" w:ascii="宋体" w:hAnsi="宋体" w:eastAsia="宋体" w:cs="宋体"/>
          <w:color w:val="auto"/>
        </w:rPr>
      </w:pPr>
    </w:p>
    <w:p w14:paraId="75B88076">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color w:val="auto"/>
          <w:spacing w:val="20"/>
          <w:kern w:val="0"/>
          <w:sz w:val="56"/>
          <w:szCs w:val="56"/>
          <w:lang w:val="en-US" w:eastAsia="zh-CN"/>
        </w:rPr>
      </w:pPr>
    </w:p>
    <w:p w14:paraId="423FE09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spacing w:val="20"/>
          <w:kern w:val="0"/>
          <w:sz w:val="52"/>
          <w:szCs w:val="52"/>
          <w:lang w:val="en-US" w:eastAsia="zh-CN"/>
        </w:rPr>
      </w:pPr>
      <w:r>
        <w:rPr>
          <w:rFonts w:hint="eastAsia" w:ascii="宋体" w:hAnsi="宋体" w:eastAsia="宋体" w:cs="宋体"/>
          <w:b/>
          <w:color w:val="auto"/>
          <w:spacing w:val="20"/>
          <w:kern w:val="0"/>
          <w:sz w:val="52"/>
          <w:szCs w:val="52"/>
          <w:lang w:val="en-US" w:eastAsia="zh-CN"/>
        </w:rPr>
        <w:t>兴隆村旅游设施配套项目监理费</w:t>
      </w:r>
    </w:p>
    <w:p w14:paraId="11FBD682">
      <w:pPr>
        <w:rPr>
          <w:rFonts w:hint="eastAsia" w:ascii="宋体" w:hAnsi="宋体" w:eastAsia="宋体" w:cs="宋体"/>
          <w:color w:val="auto"/>
          <w:lang w:val="en-US" w:eastAsia="zh-CN"/>
        </w:rPr>
      </w:pPr>
    </w:p>
    <w:p w14:paraId="361CF6C2">
      <w:pPr>
        <w:rPr>
          <w:rFonts w:hint="eastAsia" w:ascii="宋体" w:hAnsi="宋体" w:eastAsia="宋体" w:cs="宋体"/>
          <w:color w:val="auto"/>
        </w:rPr>
      </w:pPr>
    </w:p>
    <w:p w14:paraId="6A5551DE">
      <w:pPr>
        <w:spacing w:before="190" w:beforeLines="50" w:line="800" w:lineRule="exact"/>
        <w:jc w:val="center"/>
        <w:rPr>
          <w:rFonts w:hint="eastAsia" w:ascii="宋体" w:hAnsi="宋体" w:eastAsia="宋体" w:cs="宋体"/>
          <w:b/>
          <w:color w:val="auto"/>
          <w:spacing w:val="20"/>
          <w:kern w:val="0"/>
          <w:sz w:val="56"/>
          <w:szCs w:val="56"/>
        </w:rPr>
      </w:pPr>
    </w:p>
    <w:p w14:paraId="2B33286A">
      <w:pPr>
        <w:bidi w:val="0"/>
        <w:rPr>
          <w:rFonts w:hint="eastAsia" w:ascii="宋体" w:hAnsi="宋体" w:eastAsia="宋体" w:cs="宋体"/>
          <w:color w:val="auto"/>
        </w:rPr>
      </w:pPr>
    </w:p>
    <w:p w14:paraId="0EC67E7E">
      <w:pPr>
        <w:rPr>
          <w:rFonts w:hint="eastAsia" w:ascii="宋体" w:hAnsi="宋体" w:eastAsia="宋体" w:cs="宋体"/>
          <w:color w:val="auto"/>
        </w:rPr>
      </w:pPr>
    </w:p>
    <w:p w14:paraId="123FC957">
      <w:pPr>
        <w:spacing w:before="190" w:beforeLines="50" w:line="800" w:lineRule="exact"/>
        <w:jc w:val="center"/>
        <w:rPr>
          <w:rFonts w:hint="eastAsia" w:ascii="宋体" w:hAnsi="宋体" w:eastAsia="宋体" w:cs="宋体"/>
          <w:b/>
          <w:color w:val="auto"/>
          <w:sz w:val="56"/>
          <w:szCs w:val="56"/>
        </w:rPr>
      </w:pPr>
      <w:r>
        <w:rPr>
          <w:rFonts w:hint="eastAsia" w:ascii="宋体" w:hAnsi="宋体" w:eastAsia="宋体" w:cs="宋体"/>
          <w:b/>
          <w:color w:val="auto"/>
          <w:spacing w:val="20"/>
          <w:kern w:val="0"/>
          <w:sz w:val="56"/>
          <w:szCs w:val="56"/>
        </w:rPr>
        <w:t>竞争性谈判文件</w:t>
      </w:r>
    </w:p>
    <w:p w14:paraId="7518F843">
      <w:pPr>
        <w:rPr>
          <w:rFonts w:hint="eastAsia" w:ascii="宋体" w:hAnsi="宋体" w:eastAsia="宋体" w:cs="宋体"/>
          <w:bCs/>
          <w:color w:val="auto"/>
          <w:sz w:val="36"/>
          <w:szCs w:val="32"/>
        </w:rPr>
      </w:pPr>
    </w:p>
    <w:p w14:paraId="69F4258A">
      <w:pPr>
        <w:rPr>
          <w:rFonts w:hint="eastAsia" w:ascii="宋体" w:hAnsi="宋体" w:eastAsia="宋体" w:cs="宋体"/>
          <w:bCs/>
          <w:color w:val="auto"/>
          <w:sz w:val="72"/>
          <w:szCs w:val="72"/>
        </w:rPr>
      </w:pPr>
    </w:p>
    <w:p w14:paraId="06BF0791">
      <w:pPr>
        <w:rPr>
          <w:rFonts w:hint="eastAsia" w:ascii="宋体" w:hAnsi="宋体" w:eastAsia="宋体" w:cs="宋体"/>
          <w:color w:val="auto"/>
        </w:rPr>
      </w:pPr>
    </w:p>
    <w:p w14:paraId="4B093240">
      <w:pPr>
        <w:rPr>
          <w:rFonts w:hint="eastAsia" w:ascii="宋体" w:hAnsi="宋体" w:eastAsia="宋体" w:cs="宋体"/>
          <w:bCs/>
          <w:color w:val="auto"/>
          <w:sz w:val="18"/>
          <w:szCs w:val="18"/>
        </w:rPr>
      </w:pPr>
    </w:p>
    <w:p w14:paraId="75184CC3">
      <w:pPr>
        <w:pStyle w:val="31"/>
        <w:rPr>
          <w:rFonts w:hint="eastAsia" w:ascii="宋体" w:hAnsi="宋体" w:eastAsia="宋体" w:cs="宋体"/>
          <w:bCs/>
          <w:color w:val="auto"/>
          <w:sz w:val="18"/>
          <w:szCs w:val="18"/>
        </w:rPr>
      </w:pPr>
    </w:p>
    <w:p w14:paraId="4833D282">
      <w:pPr>
        <w:rPr>
          <w:rFonts w:hint="eastAsia" w:ascii="宋体" w:hAnsi="宋体" w:eastAsia="宋体" w:cs="宋体"/>
          <w:color w:val="auto"/>
        </w:rPr>
      </w:pPr>
    </w:p>
    <w:p w14:paraId="402F957F">
      <w:pPr>
        <w:keepNext w:val="0"/>
        <w:keepLines w:val="0"/>
        <w:widowControl/>
        <w:suppressLineNumbers w:val="0"/>
        <w:jc w:val="center"/>
        <w:rPr>
          <w:rFonts w:hint="eastAsia" w:ascii="宋体" w:hAnsi="宋体" w:eastAsia="宋体" w:cs="宋体"/>
          <w:color w:val="auto"/>
        </w:rPr>
      </w:pPr>
      <w:r>
        <w:rPr>
          <w:rFonts w:hint="eastAsia" w:ascii="宋体" w:hAnsi="宋体" w:eastAsia="宋体" w:cs="宋体"/>
          <w:b/>
          <w:bCs/>
          <w:color w:val="auto"/>
          <w:sz w:val="30"/>
          <w:szCs w:val="30"/>
          <w:highlight w:val="none"/>
        </w:rPr>
        <w:t>采</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购</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人：</w:t>
      </w:r>
      <w:r>
        <w:rPr>
          <w:rFonts w:hint="eastAsia" w:ascii="宋体" w:hAnsi="宋体" w:eastAsia="宋体" w:cs="宋体"/>
          <w:b/>
          <w:bCs/>
          <w:color w:val="auto"/>
          <w:sz w:val="30"/>
          <w:szCs w:val="30"/>
          <w:highlight w:val="none"/>
          <w:lang w:val="en-US" w:eastAsia="zh-CN"/>
        </w:rPr>
        <w:t>镇坪县曙坪镇人民政府（本级）</w:t>
      </w:r>
    </w:p>
    <w:p w14:paraId="392CD375">
      <w:pPr>
        <w:keepNext w:val="0"/>
        <w:keepLines w:val="0"/>
        <w:pageBreakBefore w:val="0"/>
        <w:widowControl/>
        <w:tabs>
          <w:tab w:val="left" w:pos="7846"/>
        </w:tabs>
        <w:kinsoku/>
        <w:wordWrap/>
        <w:overflowPunct/>
        <w:topLinePunct w:val="0"/>
        <w:autoSpaceDE/>
        <w:autoSpaceDN/>
        <w:bidi w:val="0"/>
        <w:adjustRightInd/>
        <w:snapToGrid/>
        <w:spacing w:after="390" w:afterLines="100" w:line="480" w:lineRule="auto"/>
        <w:ind w:firstLine="2108" w:firstLineChars="700"/>
        <w:textAlignment w:val="auto"/>
        <w:rPr>
          <w:rFonts w:hint="eastAsia" w:ascii="宋体" w:hAnsi="宋体" w:eastAsia="宋体" w:cs="宋体"/>
          <w:b/>
          <w:bCs/>
          <w:color w:val="auto"/>
          <w:sz w:val="30"/>
          <w:szCs w:val="30"/>
          <w:highlight w:val="none"/>
          <w:lang w:val="en-US" w:eastAsia="zh-CN"/>
        </w:rPr>
      </w:pPr>
    </w:p>
    <w:p w14:paraId="2565CF0F">
      <w:pPr>
        <w:keepNext w:val="0"/>
        <w:keepLines w:val="0"/>
        <w:pageBreakBefore w:val="0"/>
        <w:widowControl/>
        <w:tabs>
          <w:tab w:val="left" w:pos="7846"/>
        </w:tabs>
        <w:kinsoku/>
        <w:wordWrap/>
        <w:overflowPunct/>
        <w:topLinePunct w:val="0"/>
        <w:autoSpaceDE/>
        <w:autoSpaceDN/>
        <w:bidi w:val="0"/>
        <w:adjustRightInd/>
        <w:snapToGrid/>
        <w:spacing w:after="390" w:afterLines="100" w:line="480" w:lineRule="auto"/>
        <w:ind w:firstLine="301" w:firstLineChars="10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代理机构：</w:t>
      </w:r>
      <w:r>
        <w:rPr>
          <w:rFonts w:hint="eastAsia" w:ascii="宋体" w:hAnsi="宋体" w:eastAsia="宋体" w:cs="宋体"/>
          <w:b/>
          <w:color w:val="auto"/>
          <w:sz w:val="32"/>
          <w:szCs w:val="32"/>
          <w:lang w:val="en-US" w:eastAsia="zh-CN"/>
        </w:rPr>
        <w:t>陕西途恒工程管理服务有限公司</w:t>
      </w:r>
    </w:p>
    <w:p w14:paraId="3A46ABC7">
      <w:pPr>
        <w:pStyle w:val="7"/>
        <w:keepNext w:val="0"/>
        <w:keepLines w:val="0"/>
        <w:pageBreakBefore w:val="0"/>
        <w:widowControl/>
        <w:kinsoku/>
        <w:wordWrap/>
        <w:overflowPunct/>
        <w:topLinePunct w:val="0"/>
        <w:autoSpaceDE/>
        <w:autoSpaceDN/>
        <w:bidi w:val="0"/>
        <w:adjustRightInd/>
        <w:snapToGrid/>
        <w:spacing w:line="480" w:lineRule="auto"/>
        <w:ind w:firstLine="1807" w:firstLineChars="600"/>
        <w:textAlignment w:val="auto"/>
        <w:rPr>
          <w:rFonts w:hint="eastAsia" w:ascii="宋体" w:hAnsi="宋体" w:eastAsia="宋体" w:cs="宋体"/>
          <w:b/>
          <w:bCs/>
          <w:color w:val="auto"/>
          <w:kern w:val="2"/>
          <w:sz w:val="30"/>
          <w:szCs w:val="30"/>
          <w:highlight w:val="red"/>
          <w:lang w:val="en-US" w:eastAsia="zh-CN" w:bidi="ar-SA"/>
        </w:rPr>
      </w:pPr>
      <w:r>
        <w:rPr>
          <w:rFonts w:hint="eastAsia" w:ascii="宋体" w:hAnsi="宋体" w:eastAsia="宋体" w:cs="宋体"/>
          <w:b/>
          <w:bCs/>
          <w:color w:val="auto"/>
          <w:kern w:val="2"/>
          <w:sz w:val="30"/>
          <w:szCs w:val="30"/>
          <w:highlight w:val="none"/>
          <w:lang w:val="en-US" w:eastAsia="zh-CN" w:bidi="ar-SA"/>
        </w:rPr>
        <w:t>时    间：二零二五年六月</w:t>
      </w:r>
    </w:p>
    <w:p w14:paraId="0E05327F">
      <w:pPr>
        <w:pStyle w:val="7"/>
        <w:keepNext w:val="0"/>
        <w:keepLines w:val="0"/>
        <w:pageBreakBefore w:val="0"/>
        <w:widowControl/>
        <w:kinsoku/>
        <w:wordWrap/>
        <w:overflowPunct/>
        <w:topLinePunct w:val="0"/>
        <w:autoSpaceDE/>
        <w:autoSpaceDN/>
        <w:bidi w:val="0"/>
        <w:adjustRightInd/>
        <w:snapToGrid/>
        <w:spacing w:line="360" w:lineRule="auto"/>
        <w:ind w:left="726" w:firstLine="3092" w:firstLineChars="700"/>
        <w:textAlignment w:val="auto"/>
        <w:rPr>
          <w:rFonts w:hint="eastAsia" w:ascii="宋体" w:hAnsi="宋体" w:eastAsia="宋体" w:cs="宋体"/>
          <w:color w:val="auto"/>
          <w:sz w:val="44"/>
          <w:szCs w:val="32"/>
          <w:lang w:val="en-US" w:eastAsia="zh-CN" w:bidi="ar-SA"/>
        </w:rPr>
        <w:sectPr>
          <w:headerReference r:id="rId5" w:type="default"/>
          <w:footerReference r:id="rId6" w:type="default"/>
          <w:pgSz w:w="11905" w:h="16838"/>
          <w:pgMar w:top="1134" w:right="1134" w:bottom="1020" w:left="1134" w:header="850" w:footer="567" w:gutter="0"/>
          <w:pgBorders>
            <w:top w:val="none" w:sz="0" w:space="0"/>
            <w:left w:val="none" w:sz="0" w:space="0"/>
            <w:bottom w:val="none" w:sz="0" w:space="0"/>
            <w:right w:val="none" w:sz="0" w:space="0"/>
          </w:pgBorders>
          <w:pgNumType w:fmt="decimal" w:start="0"/>
          <w:cols w:space="0" w:num="1"/>
          <w:rtlGutter w:val="0"/>
          <w:docGrid w:type="lines" w:linePitch="397" w:charSpace="0"/>
        </w:sectPr>
      </w:pPr>
    </w:p>
    <w:p w14:paraId="1D91DB3E">
      <w:pPr>
        <w:pStyle w:val="7"/>
        <w:keepNext w:val="0"/>
        <w:keepLines w:val="0"/>
        <w:pageBreakBefore w:val="0"/>
        <w:widowControl/>
        <w:kinsoku/>
        <w:wordWrap/>
        <w:overflowPunct/>
        <w:topLinePunct w:val="0"/>
        <w:autoSpaceDE/>
        <w:autoSpaceDN/>
        <w:bidi w:val="0"/>
        <w:adjustRightInd/>
        <w:snapToGrid/>
        <w:spacing w:line="360" w:lineRule="auto"/>
        <w:ind w:left="726" w:firstLine="3092" w:firstLineChars="700"/>
        <w:textAlignment w:val="auto"/>
        <w:rPr>
          <w:rFonts w:hint="eastAsia" w:ascii="宋体" w:hAnsi="宋体" w:eastAsia="宋体" w:cs="宋体"/>
          <w:color w:val="auto"/>
          <w:sz w:val="44"/>
          <w:szCs w:val="32"/>
          <w:lang w:val="en-US" w:eastAsia="zh-CN" w:bidi="ar-SA"/>
        </w:rPr>
        <w:sectPr>
          <w:headerReference r:id="rId7" w:type="default"/>
          <w:footerReference r:id="rId8" w:type="default"/>
          <w:pgSz w:w="11905" w:h="16838"/>
          <w:pgMar w:top="1134" w:right="1134" w:bottom="1020" w:left="1134" w:header="850" w:footer="567" w:gutter="0"/>
          <w:pgBorders>
            <w:top w:val="none" w:sz="0" w:space="0"/>
            <w:left w:val="none" w:sz="0" w:space="0"/>
            <w:bottom w:val="none" w:sz="0" w:space="0"/>
            <w:right w:val="none" w:sz="0" w:space="0"/>
          </w:pgBorders>
          <w:pgNumType w:fmt="decimal" w:start="1"/>
          <w:cols w:space="0" w:num="1"/>
          <w:rtlGutter w:val="0"/>
          <w:docGrid w:type="lines" w:linePitch="397" w:charSpace="0"/>
        </w:sectPr>
      </w:pPr>
    </w:p>
    <w:p w14:paraId="02E91994">
      <w:pPr>
        <w:rPr>
          <w:rFonts w:hint="eastAsia"/>
          <w:color w:val="auto"/>
          <w:lang w:val="en-US" w:eastAsia="zh-CN"/>
        </w:rPr>
      </w:pPr>
    </w:p>
    <w:p w14:paraId="4CC142A5">
      <w:pPr>
        <w:pStyle w:val="7"/>
        <w:keepNext w:val="0"/>
        <w:keepLines w:val="0"/>
        <w:pageBreakBefore w:val="0"/>
        <w:widowControl/>
        <w:kinsoku/>
        <w:wordWrap/>
        <w:overflowPunct/>
        <w:topLinePunct w:val="0"/>
        <w:autoSpaceDE/>
        <w:autoSpaceDN/>
        <w:bidi w:val="0"/>
        <w:adjustRightInd/>
        <w:snapToGrid/>
        <w:spacing w:line="360" w:lineRule="auto"/>
        <w:ind w:left="726" w:firstLine="3092" w:firstLineChars="700"/>
        <w:textAlignment w:val="auto"/>
        <w:rPr>
          <w:rFonts w:hint="eastAsia" w:ascii="宋体" w:hAnsi="宋体" w:eastAsia="宋体" w:cs="宋体"/>
          <w:color w:val="auto"/>
          <w:sz w:val="44"/>
          <w:szCs w:val="32"/>
          <w:lang w:val="en-US" w:eastAsia="zh-CN" w:bidi="ar-SA"/>
        </w:rPr>
      </w:pPr>
      <w:r>
        <w:rPr>
          <w:rFonts w:hint="eastAsia" w:ascii="宋体" w:hAnsi="宋体" w:eastAsia="宋体" w:cs="宋体"/>
          <w:color w:val="auto"/>
          <w:sz w:val="44"/>
          <w:szCs w:val="32"/>
          <w:lang w:val="en-US" w:eastAsia="zh-CN" w:bidi="ar-SA"/>
        </w:rPr>
        <w:t>目   录</w:t>
      </w:r>
    </w:p>
    <w:p w14:paraId="080AC59A">
      <w:pPr>
        <w:pStyle w:val="23"/>
        <w:keepNext w:val="0"/>
        <w:keepLines w:val="0"/>
        <w:pageBreakBefore w:val="0"/>
        <w:widowControl/>
        <w:tabs>
          <w:tab w:val="right" w:leader="dot" w:pos="9072"/>
        </w:tabs>
        <w:kinsoku/>
        <w:wordWrap/>
        <w:overflowPunct/>
        <w:topLinePunct w:val="0"/>
        <w:autoSpaceDE/>
        <w:autoSpaceDN/>
        <w:bidi w:val="0"/>
        <w:adjustRightInd/>
        <w:snapToGrid/>
        <w:spacing w:line="900" w:lineRule="exact"/>
        <w:textAlignment w:val="auto"/>
        <w:rPr>
          <w:color w:val="auto"/>
          <w:sz w:val="28"/>
          <w:szCs w:val="28"/>
        </w:rPr>
      </w:pPr>
      <w:r>
        <w:rPr>
          <w:rFonts w:asciiTheme="minorEastAsia" w:hAnsiTheme="minorEastAsia" w:eastAsiaTheme="minorEastAsia"/>
          <w:color w:val="auto"/>
          <w:sz w:val="40"/>
          <w:szCs w:val="44"/>
        </w:rPr>
        <w:fldChar w:fldCharType="begin"/>
      </w:r>
      <w:r>
        <w:rPr>
          <w:rFonts w:asciiTheme="minorEastAsia" w:hAnsiTheme="minorEastAsia" w:eastAsiaTheme="minorEastAsia"/>
          <w:color w:val="auto"/>
          <w:sz w:val="40"/>
          <w:szCs w:val="44"/>
        </w:rPr>
        <w:instrText xml:space="preserve"> TOC \o "1-2" \h \z \u </w:instrText>
      </w:r>
      <w:r>
        <w:rPr>
          <w:rFonts w:asciiTheme="minorEastAsia" w:hAnsiTheme="minorEastAsia" w:eastAsiaTheme="minorEastAsia"/>
          <w:color w:val="auto"/>
          <w:sz w:val="40"/>
          <w:szCs w:val="44"/>
        </w:rPr>
        <w:fldChar w:fldCharType="separate"/>
      </w:r>
      <w:r>
        <w:rPr>
          <w:rFonts w:asciiTheme="minorEastAsia" w:hAnsiTheme="minorEastAsia" w:eastAsiaTheme="minorEastAsia"/>
          <w:color w:val="auto"/>
          <w:sz w:val="28"/>
          <w:szCs w:val="72"/>
        </w:rPr>
        <w:fldChar w:fldCharType="begin"/>
      </w:r>
      <w:r>
        <w:rPr>
          <w:rFonts w:asciiTheme="minorEastAsia" w:hAnsiTheme="minorEastAsia" w:eastAsiaTheme="minorEastAsia"/>
          <w:color w:val="auto"/>
          <w:sz w:val="28"/>
          <w:szCs w:val="72"/>
        </w:rPr>
        <w:instrText xml:space="preserve"> HYPERLINK \l _Toc15229 </w:instrText>
      </w:r>
      <w:r>
        <w:rPr>
          <w:rFonts w:asciiTheme="minorEastAsia" w:hAnsiTheme="minorEastAsia" w:eastAsiaTheme="minorEastAsia"/>
          <w:color w:val="auto"/>
          <w:sz w:val="28"/>
          <w:szCs w:val="72"/>
        </w:rPr>
        <w:fldChar w:fldCharType="separate"/>
      </w:r>
      <w:r>
        <w:rPr>
          <w:rFonts w:hint="eastAsia" w:ascii="宋体" w:hAnsi="宋体" w:eastAsia="宋体" w:cs="宋体"/>
          <w:color w:val="auto"/>
          <w:sz w:val="28"/>
          <w:szCs w:val="28"/>
        </w:rPr>
        <w:t xml:space="preserve">第一章  </w:t>
      </w:r>
      <w:r>
        <w:rPr>
          <w:rFonts w:hint="eastAsia" w:ascii="宋体" w:hAnsi="宋体" w:eastAsia="宋体" w:cs="宋体"/>
          <w:color w:val="auto"/>
          <w:sz w:val="28"/>
          <w:szCs w:val="28"/>
          <w:lang w:val="en-US" w:eastAsia="zh-CN"/>
        </w:rPr>
        <w:t>竞争性</w:t>
      </w:r>
      <w:r>
        <w:rPr>
          <w:rFonts w:hint="eastAsia" w:ascii="宋体" w:hAnsi="宋体" w:eastAsia="宋体" w:cs="宋体"/>
          <w:color w:val="auto"/>
          <w:sz w:val="28"/>
          <w:szCs w:val="28"/>
        </w:rPr>
        <w:t>谈判邀请函</w:t>
      </w:r>
      <w:r>
        <w:rPr>
          <w:color w:val="auto"/>
          <w:sz w:val="28"/>
          <w:szCs w:val="28"/>
        </w:rPr>
        <w:tab/>
      </w:r>
      <w:r>
        <w:rPr>
          <w:color w:val="auto"/>
          <w:sz w:val="28"/>
          <w:szCs w:val="28"/>
        </w:rPr>
        <w:fldChar w:fldCharType="begin"/>
      </w:r>
      <w:r>
        <w:rPr>
          <w:color w:val="auto"/>
          <w:sz w:val="28"/>
          <w:szCs w:val="28"/>
        </w:rPr>
        <w:instrText xml:space="preserve"> PAGEREF _Toc15229 \h </w:instrText>
      </w:r>
      <w:r>
        <w:rPr>
          <w:color w:val="auto"/>
          <w:sz w:val="28"/>
          <w:szCs w:val="28"/>
        </w:rPr>
        <w:fldChar w:fldCharType="separate"/>
      </w:r>
      <w:r>
        <w:rPr>
          <w:color w:val="auto"/>
          <w:sz w:val="28"/>
          <w:szCs w:val="28"/>
        </w:rPr>
        <w:t>1</w:t>
      </w:r>
      <w:r>
        <w:rPr>
          <w:color w:val="auto"/>
          <w:sz w:val="28"/>
          <w:szCs w:val="28"/>
        </w:rPr>
        <w:fldChar w:fldCharType="end"/>
      </w:r>
      <w:r>
        <w:rPr>
          <w:rFonts w:asciiTheme="minorEastAsia" w:hAnsiTheme="minorEastAsia" w:eastAsiaTheme="minorEastAsia"/>
          <w:color w:val="auto"/>
          <w:sz w:val="28"/>
          <w:szCs w:val="72"/>
        </w:rPr>
        <w:fldChar w:fldCharType="end"/>
      </w:r>
    </w:p>
    <w:p w14:paraId="422C7B1D">
      <w:pPr>
        <w:pStyle w:val="23"/>
        <w:keepNext w:val="0"/>
        <w:keepLines w:val="0"/>
        <w:pageBreakBefore w:val="0"/>
        <w:widowControl/>
        <w:tabs>
          <w:tab w:val="right" w:leader="dot" w:pos="9072"/>
        </w:tabs>
        <w:kinsoku/>
        <w:wordWrap/>
        <w:overflowPunct/>
        <w:topLinePunct w:val="0"/>
        <w:autoSpaceDE/>
        <w:autoSpaceDN/>
        <w:bidi w:val="0"/>
        <w:adjustRightInd/>
        <w:snapToGrid/>
        <w:spacing w:line="900" w:lineRule="exact"/>
        <w:textAlignment w:val="auto"/>
        <w:rPr>
          <w:color w:val="auto"/>
          <w:sz w:val="28"/>
          <w:szCs w:val="28"/>
        </w:rPr>
      </w:pPr>
      <w:r>
        <w:rPr>
          <w:rFonts w:cs="Times New Roman" w:asciiTheme="minorEastAsia" w:hAnsiTheme="minorEastAsia" w:eastAsiaTheme="minorEastAsia"/>
          <w:color w:val="auto"/>
          <w:sz w:val="28"/>
          <w:szCs w:val="72"/>
          <w:lang w:val="en-US" w:eastAsia="zh-CN" w:bidi="ar-SA"/>
        </w:rPr>
        <w:fldChar w:fldCharType="begin"/>
      </w:r>
      <w:r>
        <w:rPr>
          <w:rFonts w:cs="Times New Roman" w:asciiTheme="minorEastAsia" w:hAnsiTheme="minorEastAsia" w:eastAsiaTheme="minorEastAsia"/>
          <w:color w:val="auto"/>
          <w:sz w:val="28"/>
          <w:szCs w:val="72"/>
          <w:lang w:val="en-US" w:eastAsia="zh-CN" w:bidi="ar-SA"/>
        </w:rPr>
        <w:instrText xml:space="preserve"> HYPERLINK \l _Toc27599 </w:instrText>
      </w:r>
      <w:r>
        <w:rPr>
          <w:rFonts w:cs="Times New Roman" w:asciiTheme="minorEastAsia" w:hAnsiTheme="minorEastAsia" w:eastAsiaTheme="minorEastAsia"/>
          <w:color w:val="auto"/>
          <w:sz w:val="28"/>
          <w:szCs w:val="72"/>
          <w:lang w:val="en-US" w:eastAsia="zh-CN" w:bidi="ar-SA"/>
        </w:rPr>
        <w:fldChar w:fldCharType="separate"/>
      </w:r>
      <w:r>
        <w:rPr>
          <w:rFonts w:hint="eastAsia" w:ascii="宋体" w:hAnsi="宋体" w:eastAsia="宋体" w:cs="宋体"/>
          <w:color w:val="auto"/>
          <w:sz w:val="28"/>
          <w:szCs w:val="28"/>
        </w:rPr>
        <w:t>第二章  供应商须知</w:t>
      </w:r>
      <w:r>
        <w:rPr>
          <w:color w:val="auto"/>
          <w:sz w:val="28"/>
          <w:szCs w:val="28"/>
        </w:rPr>
        <w:tab/>
      </w:r>
      <w:r>
        <w:rPr>
          <w:color w:val="auto"/>
          <w:sz w:val="28"/>
          <w:szCs w:val="28"/>
        </w:rPr>
        <w:fldChar w:fldCharType="begin"/>
      </w:r>
      <w:r>
        <w:rPr>
          <w:color w:val="auto"/>
          <w:sz w:val="28"/>
          <w:szCs w:val="28"/>
        </w:rPr>
        <w:instrText xml:space="preserve"> PAGEREF _Toc27599 \h </w:instrText>
      </w:r>
      <w:r>
        <w:rPr>
          <w:color w:val="auto"/>
          <w:sz w:val="28"/>
          <w:szCs w:val="28"/>
        </w:rPr>
        <w:fldChar w:fldCharType="separate"/>
      </w:r>
      <w:r>
        <w:rPr>
          <w:color w:val="auto"/>
          <w:sz w:val="28"/>
          <w:szCs w:val="28"/>
        </w:rPr>
        <w:t>5</w:t>
      </w:r>
      <w:r>
        <w:rPr>
          <w:color w:val="auto"/>
          <w:sz w:val="28"/>
          <w:szCs w:val="28"/>
        </w:rPr>
        <w:fldChar w:fldCharType="end"/>
      </w:r>
      <w:r>
        <w:rPr>
          <w:rFonts w:cs="Times New Roman" w:asciiTheme="minorEastAsia" w:hAnsiTheme="minorEastAsia" w:eastAsiaTheme="minorEastAsia"/>
          <w:color w:val="auto"/>
          <w:sz w:val="28"/>
          <w:szCs w:val="72"/>
          <w:lang w:val="en-US" w:eastAsia="zh-CN" w:bidi="ar-SA"/>
        </w:rPr>
        <w:fldChar w:fldCharType="end"/>
      </w:r>
    </w:p>
    <w:p w14:paraId="1A127FDE">
      <w:pPr>
        <w:pStyle w:val="23"/>
        <w:keepNext w:val="0"/>
        <w:keepLines w:val="0"/>
        <w:pageBreakBefore w:val="0"/>
        <w:widowControl/>
        <w:tabs>
          <w:tab w:val="right" w:leader="dot" w:pos="9072"/>
        </w:tabs>
        <w:kinsoku/>
        <w:wordWrap/>
        <w:overflowPunct/>
        <w:topLinePunct w:val="0"/>
        <w:autoSpaceDE/>
        <w:autoSpaceDN/>
        <w:bidi w:val="0"/>
        <w:adjustRightInd/>
        <w:snapToGrid/>
        <w:spacing w:line="900" w:lineRule="exact"/>
        <w:textAlignment w:val="auto"/>
        <w:rPr>
          <w:color w:val="auto"/>
          <w:sz w:val="28"/>
          <w:szCs w:val="28"/>
        </w:rPr>
      </w:pPr>
      <w:r>
        <w:rPr>
          <w:rFonts w:cs="Times New Roman" w:asciiTheme="minorEastAsia" w:hAnsiTheme="minorEastAsia" w:eastAsiaTheme="minorEastAsia"/>
          <w:color w:val="auto"/>
          <w:sz w:val="28"/>
          <w:szCs w:val="72"/>
          <w:lang w:val="en-US" w:eastAsia="zh-CN" w:bidi="ar-SA"/>
        </w:rPr>
        <w:fldChar w:fldCharType="begin"/>
      </w:r>
      <w:r>
        <w:rPr>
          <w:rFonts w:cs="Times New Roman" w:asciiTheme="minorEastAsia" w:hAnsiTheme="minorEastAsia" w:eastAsiaTheme="minorEastAsia"/>
          <w:color w:val="auto"/>
          <w:sz w:val="28"/>
          <w:szCs w:val="72"/>
          <w:lang w:val="en-US" w:eastAsia="zh-CN" w:bidi="ar-SA"/>
        </w:rPr>
        <w:instrText xml:space="preserve"> HYPERLINK \l _Toc7363 </w:instrText>
      </w:r>
      <w:r>
        <w:rPr>
          <w:rFonts w:cs="Times New Roman" w:asciiTheme="minorEastAsia" w:hAnsiTheme="minorEastAsia" w:eastAsiaTheme="minorEastAsia"/>
          <w:color w:val="auto"/>
          <w:sz w:val="28"/>
          <w:szCs w:val="72"/>
          <w:lang w:val="en-US" w:eastAsia="zh-CN" w:bidi="ar-SA"/>
        </w:rPr>
        <w:fldChar w:fldCharType="separate"/>
      </w:r>
      <w:r>
        <w:rPr>
          <w:rFonts w:hint="eastAsia" w:ascii="宋体" w:hAnsi="宋体" w:eastAsia="宋体"/>
          <w:color w:val="auto"/>
          <w:sz w:val="28"/>
          <w:szCs w:val="28"/>
        </w:rPr>
        <w:t xml:space="preserve">第三章 </w:t>
      </w:r>
      <w:r>
        <w:rPr>
          <w:rFonts w:hint="eastAsia" w:ascii="宋体" w:hAnsi="宋体" w:eastAsia="宋体"/>
          <w:color w:val="auto"/>
          <w:sz w:val="28"/>
          <w:szCs w:val="28"/>
          <w:lang w:val="en-US" w:eastAsia="zh-CN"/>
        </w:rPr>
        <w:t xml:space="preserve"> 采购</w:t>
      </w:r>
      <w:r>
        <w:rPr>
          <w:rFonts w:hint="eastAsia" w:ascii="宋体" w:hAnsi="宋体" w:eastAsia="宋体"/>
          <w:color w:val="auto"/>
          <w:sz w:val="28"/>
          <w:szCs w:val="28"/>
        </w:rPr>
        <w:t>内容及技术要求</w:t>
      </w:r>
      <w:r>
        <w:rPr>
          <w:color w:val="auto"/>
          <w:sz w:val="28"/>
          <w:szCs w:val="28"/>
        </w:rPr>
        <w:tab/>
      </w:r>
      <w:r>
        <w:rPr>
          <w:color w:val="auto"/>
          <w:sz w:val="28"/>
          <w:szCs w:val="28"/>
        </w:rPr>
        <w:fldChar w:fldCharType="begin"/>
      </w:r>
      <w:r>
        <w:rPr>
          <w:color w:val="auto"/>
          <w:sz w:val="28"/>
          <w:szCs w:val="28"/>
        </w:rPr>
        <w:instrText xml:space="preserve"> PAGEREF _Toc7363 \h </w:instrText>
      </w:r>
      <w:r>
        <w:rPr>
          <w:color w:val="auto"/>
          <w:sz w:val="28"/>
          <w:szCs w:val="28"/>
        </w:rPr>
        <w:fldChar w:fldCharType="separate"/>
      </w:r>
      <w:r>
        <w:rPr>
          <w:color w:val="auto"/>
          <w:sz w:val="28"/>
          <w:szCs w:val="28"/>
        </w:rPr>
        <w:t>21</w:t>
      </w:r>
      <w:r>
        <w:rPr>
          <w:color w:val="auto"/>
          <w:sz w:val="28"/>
          <w:szCs w:val="28"/>
        </w:rPr>
        <w:fldChar w:fldCharType="end"/>
      </w:r>
      <w:r>
        <w:rPr>
          <w:rFonts w:cs="Times New Roman" w:asciiTheme="minorEastAsia" w:hAnsiTheme="minorEastAsia" w:eastAsiaTheme="minorEastAsia"/>
          <w:color w:val="auto"/>
          <w:sz w:val="28"/>
          <w:szCs w:val="72"/>
          <w:lang w:val="en-US" w:eastAsia="zh-CN" w:bidi="ar-SA"/>
        </w:rPr>
        <w:fldChar w:fldCharType="end"/>
      </w:r>
    </w:p>
    <w:p w14:paraId="362A2DCA">
      <w:pPr>
        <w:pStyle w:val="23"/>
        <w:keepNext w:val="0"/>
        <w:keepLines w:val="0"/>
        <w:pageBreakBefore w:val="0"/>
        <w:widowControl/>
        <w:tabs>
          <w:tab w:val="right" w:leader="dot" w:pos="9072"/>
        </w:tabs>
        <w:kinsoku/>
        <w:wordWrap/>
        <w:overflowPunct/>
        <w:topLinePunct w:val="0"/>
        <w:autoSpaceDE/>
        <w:autoSpaceDN/>
        <w:bidi w:val="0"/>
        <w:adjustRightInd/>
        <w:snapToGrid/>
        <w:spacing w:line="900" w:lineRule="exact"/>
        <w:textAlignment w:val="auto"/>
        <w:rPr>
          <w:color w:val="auto"/>
          <w:sz w:val="28"/>
          <w:szCs w:val="28"/>
        </w:rPr>
      </w:pPr>
      <w:r>
        <w:rPr>
          <w:rFonts w:cs="Times New Roman" w:asciiTheme="minorEastAsia" w:hAnsiTheme="minorEastAsia" w:eastAsiaTheme="minorEastAsia"/>
          <w:color w:val="auto"/>
          <w:sz w:val="28"/>
          <w:szCs w:val="72"/>
          <w:lang w:val="en-US" w:eastAsia="zh-CN" w:bidi="ar-SA"/>
        </w:rPr>
        <w:fldChar w:fldCharType="begin"/>
      </w:r>
      <w:r>
        <w:rPr>
          <w:rFonts w:cs="Times New Roman" w:asciiTheme="minorEastAsia" w:hAnsiTheme="minorEastAsia" w:eastAsiaTheme="minorEastAsia"/>
          <w:color w:val="auto"/>
          <w:sz w:val="28"/>
          <w:szCs w:val="72"/>
          <w:lang w:val="en-US" w:eastAsia="zh-CN" w:bidi="ar-SA"/>
        </w:rPr>
        <w:instrText xml:space="preserve"> HYPERLINK \l _Toc28932 </w:instrText>
      </w:r>
      <w:r>
        <w:rPr>
          <w:rFonts w:cs="Times New Roman" w:asciiTheme="minorEastAsia" w:hAnsiTheme="minorEastAsia" w:eastAsiaTheme="minorEastAsia"/>
          <w:color w:val="auto"/>
          <w:sz w:val="28"/>
          <w:szCs w:val="72"/>
          <w:lang w:val="en-US" w:eastAsia="zh-CN" w:bidi="ar-SA"/>
        </w:rPr>
        <w:fldChar w:fldCharType="separate"/>
      </w:r>
      <w:r>
        <w:rPr>
          <w:rFonts w:hint="eastAsia" w:ascii="宋体" w:hAnsi="宋体" w:eastAsia="宋体" w:cs="Times New Roman"/>
          <w:color w:val="auto"/>
          <w:sz w:val="28"/>
          <w:szCs w:val="28"/>
        </w:rPr>
        <w:t xml:space="preserve">第四章 </w:t>
      </w:r>
      <w:r>
        <w:rPr>
          <w:rFonts w:hint="eastAsia" w:ascii="宋体" w:hAnsi="宋体" w:eastAsia="宋体" w:cs="Times New Roman"/>
          <w:color w:val="auto"/>
          <w:sz w:val="28"/>
          <w:szCs w:val="28"/>
          <w:lang w:val="en-US" w:eastAsia="zh-CN"/>
        </w:rPr>
        <w:t xml:space="preserve"> 商务及</w:t>
      </w:r>
      <w:r>
        <w:rPr>
          <w:rFonts w:hint="eastAsia" w:ascii="宋体" w:hAnsi="宋体" w:eastAsia="宋体" w:cs="Times New Roman"/>
          <w:color w:val="auto"/>
          <w:sz w:val="28"/>
          <w:szCs w:val="28"/>
        </w:rPr>
        <w:t>合同主要条款</w:t>
      </w:r>
      <w:r>
        <w:rPr>
          <w:color w:val="auto"/>
          <w:sz w:val="28"/>
          <w:szCs w:val="28"/>
        </w:rPr>
        <w:tab/>
      </w:r>
      <w:r>
        <w:rPr>
          <w:color w:val="auto"/>
          <w:sz w:val="28"/>
          <w:szCs w:val="28"/>
        </w:rPr>
        <w:fldChar w:fldCharType="begin"/>
      </w:r>
      <w:r>
        <w:rPr>
          <w:color w:val="auto"/>
          <w:sz w:val="28"/>
          <w:szCs w:val="28"/>
        </w:rPr>
        <w:instrText xml:space="preserve"> PAGEREF _Toc28932 \h </w:instrText>
      </w:r>
      <w:r>
        <w:rPr>
          <w:color w:val="auto"/>
          <w:sz w:val="28"/>
          <w:szCs w:val="28"/>
        </w:rPr>
        <w:fldChar w:fldCharType="separate"/>
      </w:r>
      <w:r>
        <w:rPr>
          <w:color w:val="auto"/>
          <w:sz w:val="28"/>
          <w:szCs w:val="28"/>
        </w:rPr>
        <w:t>23</w:t>
      </w:r>
      <w:r>
        <w:rPr>
          <w:color w:val="auto"/>
          <w:sz w:val="28"/>
          <w:szCs w:val="28"/>
        </w:rPr>
        <w:fldChar w:fldCharType="end"/>
      </w:r>
      <w:r>
        <w:rPr>
          <w:rFonts w:cs="Times New Roman" w:asciiTheme="minorEastAsia" w:hAnsiTheme="minorEastAsia" w:eastAsiaTheme="minorEastAsia"/>
          <w:color w:val="auto"/>
          <w:sz w:val="28"/>
          <w:szCs w:val="72"/>
          <w:lang w:val="en-US" w:eastAsia="zh-CN" w:bidi="ar-SA"/>
        </w:rPr>
        <w:fldChar w:fldCharType="end"/>
      </w:r>
    </w:p>
    <w:p w14:paraId="1230A3F8">
      <w:pPr>
        <w:pStyle w:val="23"/>
        <w:keepNext w:val="0"/>
        <w:keepLines w:val="0"/>
        <w:pageBreakBefore w:val="0"/>
        <w:widowControl/>
        <w:tabs>
          <w:tab w:val="right" w:leader="dot" w:pos="9072"/>
        </w:tabs>
        <w:kinsoku/>
        <w:wordWrap/>
        <w:overflowPunct/>
        <w:topLinePunct w:val="0"/>
        <w:autoSpaceDE/>
        <w:autoSpaceDN/>
        <w:bidi w:val="0"/>
        <w:adjustRightInd/>
        <w:snapToGrid/>
        <w:spacing w:line="900" w:lineRule="exact"/>
        <w:textAlignment w:val="auto"/>
        <w:rPr>
          <w:rFonts w:hint="default"/>
          <w:color w:val="auto"/>
          <w:lang w:val="en-US"/>
        </w:rPr>
      </w:pPr>
      <w:r>
        <w:rPr>
          <w:rFonts w:cs="Times New Roman" w:asciiTheme="minorEastAsia" w:hAnsiTheme="minorEastAsia" w:eastAsiaTheme="minorEastAsia"/>
          <w:color w:val="auto"/>
          <w:sz w:val="28"/>
          <w:szCs w:val="72"/>
          <w:lang w:val="en-US" w:eastAsia="zh-CN" w:bidi="ar-SA"/>
        </w:rPr>
        <w:fldChar w:fldCharType="begin"/>
      </w:r>
      <w:r>
        <w:rPr>
          <w:rFonts w:cs="Times New Roman" w:asciiTheme="minorEastAsia" w:hAnsiTheme="minorEastAsia" w:eastAsiaTheme="minorEastAsia"/>
          <w:color w:val="auto"/>
          <w:sz w:val="28"/>
          <w:szCs w:val="72"/>
          <w:lang w:val="en-US" w:eastAsia="zh-CN" w:bidi="ar-SA"/>
        </w:rPr>
        <w:instrText xml:space="preserve"> HYPERLINK \l _Toc17715 </w:instrText>
      </w:r>
      <w:r>
        <w:rPr>
          <w:rFonts w:cs="Times New Roman" w:asciiTheme="minorEastAsia" w:hAnsiTheme="minorEastAsia" w:eastAsiaTheme="minorEastAsia"/>
          <w:color w:val="auto"/>
          <w:sz w:val="28"/>
          <w:szCs w:val="72"/>
          <w:lang w:val="en-US" w:eastAsia="zh-CN" w:bidi="ar-SA"/>
        </w:rPr>
        <w:fldChar w:fldCharType="separate"/>
      </w:r>
      <w:r>
        <w:rPr>
          <w:rFonts w:hint="eastAsia" w:ascii="宋体" w:hAnsi="宋体" w:eastAsia="宋体"/>
          <w:color w:val="auto"/>
          <w:sz w:val="28"/>
          <w:szCs w:val="28"/>
        </w:rPr>
        <w:t xml:space="preserve">第五章 </w:t>
      </w:r>
      <w:r>
        <w:rPr>
          <w:rFonts w:hint="eastAsia" w:ascii="宋体" w:hAnsi="宋体" w:eastAsia="宋体"/>
          <w:color w:val="auto"/>
          <w:sz w:val="28"/>
          <w:szCs w:val="28"/>
          <w:lang w:val="en-US" w:eastAsia="zh-CN"/>
        </w:rPr>
        <w:t xml:space="preserve"> </w:t>
      </w:r>
      <w:r>
        <w:rPr>
          <w:rFonts w:hint="eastAsia" w:ascii="宋体" w:hAnsi="宋体" w:eastAsia="宋体"/>
          <w:color w:val="auto"/>
          <w:sz w:val="28"/>
          <w:szCs w:val="28"/>
        </w:rPr>
        <w:t>响应文件格式</w:t>
      </w:r>
      <w:r>
        <w:rPr>
          <w:color w:val="auto"/>
          <w:sz w:val="28"/>
          <w:szCs w:val="28"/>
        </w:rPr>
        <w:tab/>
      </w:r>
      <w:r>
        <w:rPr>
          <w:rFonts w:hint="eastAsia"/>
          <w:color w:val="auto"/>
          <w:sz w:val="28"/>
          <w:szCs w:val="28"/>
          <w:lang w:val="en-US" w:eastAsia="zh-CN"/>
        </w:rPr>
        <w:t>2</w:t>
      </w:r>
      <w:r>
        <w:rPr>
          <w:rFonts w:cs="Times New Roman" w:asciiTheme="minorEastAsia" w:hAnsiTheme="minorEastAsia" w:eastAsiaTheme="minorEastAsia"/>
          <w:color w:val="auto"/>
          <w:sz w:val="28"/>
          <w:szCs w:val="72"/>
          <w:lang w:val="en-US" w:eastAsia="zh-CN" w:bidi="ar-SA"/>
        </w:rPr>
        <w:fldChar w:fldCharType="end"/>
      </w:r>
      <w:r>
        <w:rPr>
          <w:rFonts w:hint="eastAsia" w:cs="Times New Roman" w:asciiTheme="minorEastAsia" w:hAnsiTheme="minorEastAsia" w:eastAsiaTheme="minorEastAsia"/>
          <w:color w:val="auto"/>
          <w:sz w:val="28"/>
          <w:szCs w:val="72"/>
          <w:lang w:val="en-US" w:eastAsia="zh-CN" w:bidi="ar-SA"/>
        </w:rPr>
        <w:t>7</w:t>
      </w:r>
    </w:p>
    <w:p w14:paraId="7F3DE856">
      <w:pPr>
        <w:pStyle w:val="27"/>
        <w:tabs>
          <w:tab w:val="right" w:leader="dot" w:pos="9072"/>
        </w:tabs>
        <w:rPr>
          <w:color w:val="auto"/>
        </w:rPr>
      </w:pPr>
    </w:p>
    <w:p w14:paraId="61614484">
      <w:pPr>
        <w:pStyle w:val="7"/>
        <w:keepNext w:val="0"/>
        <w:keepLines w:val="0"/>
        <w:pageBreakBefore w:val="0"/>
        <w:widowControl/>
        <w:kinsoku/>
        <w:wordWrap/>
        <w:overflowPunct/>
        <w:topLinePunct w:val="0"/>
        <w:autoSpaceDE/>
        <w:autoSpaceDN/>
        <w:bidi w:val="0"/>
        <w:adjustRightInd/>
        <w:snapToGrid/>
        <w:spacing w:line="900" w:lineRule="exact"/>
        <w:ind w:left="0"/>
        <w:textAlignment w:val="auto"/>
        <w:rPr>
          <w:rFonts w:cs="Times New Roman" w:asciiTheme="minorEastAsia" w:hAnsiTheme="minorEastAsia" w:eastAsiaTheme="minorEastAsia"/>
          <w:color w:val="auto"/>
          <w:szCs w:val="44"/>
          <w:lang w:val="en-US" w:eastAsia="zh-CN" w:bidi="ar-SA"/>
        </w:rPr>
      </w:pPr>
      <w:r>
        <w:rPr>
          <w:rFonts w:cs="Times New Roman" w:asciiTheme="minorEastAsia" w:hAnsiTheme="minorEastAsia" w:eastAsiaTheme="minorEastAsia"/>
          <w:color w:val="auto"/>
          <w:szCs w:val="44"/>
          <w:lang w:val="en-US" w:eastAsia="zh-CN" w:bidi="ar-SA"/>
        </w:rPr>
        <w:fldChar w:fldCharType="end"/>
      </w:r>
    </w:p>
    <w:p w14:paraId="2099A879">
      <w:pPr>
        <w:rPr>
          <w:rFonts w:cs="Times New Roman" w:asciiTheme="minorEastAsia" w:hAnsiTheme="minorEastAsia" w:eastAsiaTheme="minorEastAsia"/>
          <w:color w:val="auto"/>
          <w:szCs w:val="44"/>
          <w:lang w:val="en-US" w:eastAsia="zh-CN" w:bidi="ar-SA"/>
        </w:rPr>
      </w:pPr>
    </w:p>
    <w:p w14:paraId="46C2132A">
      <w:pPr>
        <w:rPr>
          <w:rFonts w:cs="Times New Roman" w:asciiTheme="minorEastAsia" w:hAnsiTheme="minorEastAsia" w:eastAsiaTheme="minorEastAsia"/>
          <w:color w:val="auto"/>
          <w:szCs w:val="44"/>
          <w:lang w:val="en-US" w:eastAsia="zh-CN" w:bidi="ar-SA"/>
        </w:rPr>
      </w:pPr>
    </w:p>
    <w:p w14:paraId="0AD8C171">
      <w:pPr>
        <w:rPr>
          <w:rFonts w:cs="Times New Roman" w:asciiTheme="minorEastAsia" w:hAnsiTheme="minorEastAsia" w:eastAsiaTheme="minorEastAsia"/>
          <w:color w:val="auto"/>
          <w:szCs w:val="44"/>
          <w:lang w:val="en-US" w:eastAsia="zh-CN" w:bidi="ar-SA"/>
        </w:rPr>
      </w:pPr>
    </w:p>
    <w:p w14:paraId="2C675C53">
      <w:pPr>
        <w:rPr>
          <w:rFonts w:cs="Times New Roman" w:asciiTheme="minorEastAsia" w:hAnsiTheme="minorEastAsia" w:eastAsiaTheme="minorEastAsia"/>
          <w:color w:val="auto"/>
          <w:szCs w:val="44"/>
          <w:lang w:val="en-US" w:eastAsia="zh-CN" w:bidi="ar-SA"/>
        </w:rPr>
      </w:pPr>
    </w:p>
    <w:p w14:paraId="4AA59BDD">
      <w:pPr>
        <w:rPr>
          <w:rFonts w:cs="Times New Roman" w:asciiTheme="minorEastAsia" w:hAnsiTheme="minorEastAsia" w:eastAsiaTheme="minorEastAsia"/>
          <w:color w:val="auto"/>
          <w:szCs w:val="44"/>
          <w:lang w:val="en-US" w:eastAsia="zh-CN" w:bidi="ar-SA"/>
        </w:rPr>
      </w:pPr>
      <w:r>
        <w:rPr>
          <w:rFonts w:hint="eastAsia" w:cs="Times New Roman" w:asciiTheme="minorEastAsia" w:hAnsiTheme="minorEastAsia" w:eastAsiaTheme="minorEastAsia"/>
          <w:color w:val="auto"/>
          <w:szCs w:val="44"/>
          <w:lang w:val="en-US" w:eastAsia="zh-CN" w:bidi="ar-SA"/>
        </w:rPr>
        <w:tab/>
      </w:r>
    </w:p>
    <w:p w14:paraId="5AE517D2">
      <w:pPr>
        <w:rPr>
          <w:rFonts w:hint="default" w:cs="Times New Roman" w:asciiTheme="minorEastAsia" w:hAnsiTheme="minorEastAsia" w:eastAsiaTheme="minorEastAsia"/>
          <w:color w:val="auto"/>
          <w:szCs w:val="44"/>
          <w:lang w:val="en-US" w:eastAsia="zh-CN" w:bidi="ar-SA"/>
        </w:rPr>
      </w:pPr>
      <w:r>
        <w:rPr>
          <w:rFonts w:hint="eastAsia" w:cs="Times New Roman" w:asciiTheme="minorEastAsia" w:hAnsiTheme="minorEastAsia" w:eastAsiaTheme="minorEastAsia"/>
          <w:color w:val="auto"/>
          <w:szCs w:val="44"/>
          <w:lang w:val="en-US" w:eastAsia="zh-CN" w:bidi="ar-SA"/>
        </w:rPr>
        <w:t xml:space="preserve"> </w:t>
      </w:r>
    </w:p>
    <w:p w14:paraId="4D3AAA06">
      <w:pPr>
        <w:rPr>
          <w:rFonts w:cs="Times New Roman" w:asciiTheme="minorEastAsia" w:hAnsiTheme="minorEastAsia" w:eastAsiaTheme="minorEastAsia"/>
          <w:color w:val="auto"/>
          <w:szCs w:val="44"/>
          <w:lang w:val="en-US" w:eastAsia="zh-CN" w:bidi="ar-SA"/>
        </w:rPr>
      </w:pPr>
    </w:p>
    <w:p w14:paraId="588424C7">
      <w:pPr>
        <w:rPr>
          <w:rFonts w:cs="Times New Roman" w:asciiTheme="minorEastAsia" w:hAnsiTheme="minorEastAsia" w:eastAsiaTheme="minorEastAsia"/>
          <w:color w:val="auto"/>
          <w:szCs w:val="44"/>
          <w:lang w:val="en-US" w:eastAsia="zh-CN" w:bidi="ar-SA"/>
        </w:rPr>
      </w:pPr>
    </w:p>
    <w:p w14:paraId="32C56EC6">
      <w:pPr>
        <w:rPr>
          <w:rFonts w:cs="Times New Roman" w:asciiTheme="minorEastAsia" w:hAnsiTheme="minorEastAsia" w:eastAsiaTheme="minorEastAsia"/>
          <w:color w:val="auto"/>
          <w:szCs w:val="44"/>
          <w:lang w:val="en-US" w:eastAsia="zh-CN" w:bidi="ar-SA"/>
        </w:rPr>
      </w:pPr>
    </w:p>
    <w:p w14:paraId="6AD1B103">
      <w:pPr>
        <w:rPr>
          <w:rFonts w:cs="Times New Roman" w:asciiTheme="minorEastAsia" w:hAnsiTheme="minorEastAsia" w:eastAsiaTheme="minorEastAsia"/>
          <w:color w:val="auto"/>
          <w:szCs w:val="44"/>
          <w:lang w:val="en-US" w:eastAsia="zh-CN" w:bidi="ar-SA"/>
        </w:rPr>
      </w:pPr>
    </w:p>
    <w:p w14:paraId="1DAA659A">
      <w:pPr>
        <w:rPr>
          <w:rFonts w:cs="Times New Roman" w:asciiTheme="minorEastAsia" w:hAnsiTheme="minorEastAsia" w:eastAsiaTheme="minorEastAsia"/>
          <w:color w:val="auto"/>
          <w:szCs w:val="44"/>
          <w:lang w:val="en-US" w:eastAsia="zh-CN" w:bidi="ar-SA"/>
        </w:rPr>
      </w:pPr>
    </w:p>
    <w:p w14:paraId="4FF3D13F">
      <w:pPr>
        <w:rPr>
          <w:rFonts w:cs="Times New Roman" w:asciiTheme="minorEastAsia" w:hAnsiTheme="minorEastAsia" w:eastAsiaTheme="minorEastAsia"/>
          <w:color w:val="auto"/>
          <w:szCs w:val="44"/>
          <w:lang w:val="en-US" w:eastAsia="zh-CN" w:bidi="ar-SA"/>
        </w:rPr>
      </w:pPr>
    </w:p>
    <w:p w14:paraId="3908F89D">
      <w:pPr>
        <w:rPr>
          <w:rFonts w:cs="Times New Roman" w:asciiTheme="minorEastAsia" w:hAnsiTheme="minorEastAsia" w:eastAsiaTheme="minorEastAsia"/>
          <w:color w:val="auto"/>
          <w:szCs w:val="44"/>
          <w:lang w:val="en-US" w:eastAsia="zh-CN" w:bidi="ar-SA"/>
        </w:rPr>
      </w:pPr>
    </w:p>
    <w:p w14:paraId="1AA0DD1B">
      <w:pPr>
        <w:rPr>
          <w:rFonts w:cs="Times New Roman" w:asciiTheme="minorEastAsia" w:hAnsiTheme="minorEastAsia" w:eastAsiaTheme="minorEastAsia"/>
          <w:color w:val="auto"/>
          <w:szCs w:val="44"/>
          <w:lang w:val="en-US" w:eastAsia="zh-CN" w:bidi="ar-SA"/>
        </w:rPr>
        <w:sectPr>
          <w:pgSz w:w="11905" w:h="16838"/>
          <w:pgMar w:top="1134" w:right="1134" w:bottom="1020" w:left="1134" w:header="850" w:footer="567" w:gutter="0"/>
          <w:pgBorders>
            <w:top w:val="none" w:sz="0" w:space="0"/>
            <w:left w:val="none" w:sz="0" w:space="0"/>
            <w:bottom w:val="none" w:sz="0" w:space="0"/>
            <w:right w:val="none" w:sz="0" w:space="0"/>
          </w:pgBorders>
          <w:pgNumType w:fmt="decimal" w:start="1"/>
          <w:cols w:space="0" w:num="1"/>
          <w:rtlGutter w:val="0"/>
          <w:docGrid w:type="lines" w:linePitch="397" w:charSpace="0"/>
        </w:sectPr>
      </w:pPr>
    </w:p>
    <w:p w14:paraId="2F9FC480">
      <w:pPr>
        <w:bidi w:val="0"/>
        <w:jc w:val="center"/>
        <w:rPr>
          <w:rFonts w:hint="eastAsia" w:ascii="宋体" w:hAnsi="宋体" w:eastAsia="宋体" w:cs="宋体"/>
          <w:b/>
          <w:bCs/>
          <w:color w:val="auto"/>
          <w:sz w:val="32"/>
          <w:szCs w:val="32"/>
          <w:lang w:eastAsia="zh-CN"/>
        </w:rPr>
      </w:pPr>
      <w:bookmarkStart w:id="0" w:name="_Toc14189400"/>
      <w:bookmarkStart w:id="1" w:name="_Toc23316675"/>
      <w:bookmarkStart w:id="2" w:name="_Toc23316577"/>
      <w:bookmarkStart w:id="3" w:name="_Toc15229"/>
      <w:bookmarkStart w:id="4" w:name="_Toc23316513"/>
      <w:bookmarkStart w:id="5" w:name="_Toc14189263"/>
      <w:bookmarkStart w:id="6" w:name="_Toc23315653"/>
      <w:bookmarkStart w:id="7" w:name="_Toc27856"/>
      <w:bookmarkStart w:id="8" w:name="_Toc18412192"/>
      <w:bookmarkStart w:id="9" w:name="OLE_LINK1"/>
      <w:r>
        <w:rPr>
          <w:rFonts w:hint="eastAsia" w:ascii="宋体" w:hAnsi="宋体" w:eastAsia="宋体" w:cs="宋体"/>
          <w:b/>
          <w:bCs/>
          <w:color w:val="auto"/>
          <w:sz w:val="32"/>
          <w:szCs w:val="32"/>
        </w:rPr>
        <w:t xml:space="preserve">第一章 </w:t>
      </w:r>
      <w:bookmarkStart w:id="10" w:name="OLE_LINK7"/>
      <w:r>
        <w:rPr>
          <w:rFonts w:hint="eastAsia" w:ascii="宋体" w:hAnsi="宋体" w:eastAsia="宋体" w:cs="宋体"/>
          <w:b/>
          <w:bCs/>
          <w:color w:val="auto"/>
          <w:sz w:val="32"/>
          <w:szCs w:val="32"/>
        </w:rPr>
        <w:t xml:space="preserve"> </w:t>
      </w:r>
      <w:bookmarkStart w:id="11" w:name="OLE_LINK8"/>
      <w:bookmarkStart w:id="12" w:name="OLE_LINK4"/>
      <w:bookmarkStart w:id="13" w:name="OLE_LINK5"/>
      <w:bookmarkStart w:id="14" w:name="OLE_LINK3"/>
      <w:bookmarkStart w:id="15" w:name="OLE_LINK6"/>
      <w:bookmarkStart w:id="16" w:name="OLE_LINK2"/>
      <w:r>
        <w:rPr>
          <w:rFonts w:hint="eastAsia" w:ascii="宋体" w:hAnsi="宋体" w:eastAsia="宋体" w:cs="宋体"/>
          <w:b/>
          <w:bCs/>
          <w:color w:val="auto"/>
          <w:sz w:val="32"/>
          <w:szCs w:val="32"/>
          <w:lang w:val="en-US" w:eastAsia="zh-CN"/>
        </w:rPr>
        <w:t>竞争性</w:t>
      </w:r>
      <w:r>
        <w:rPr>
          <w:rFonts w:hint="eastAsia" w:ascii="宋体" w:hAnsi="宋体" w:eastAsia="宋体" w:cs="宋体"/>
          <w:b/>
          <w:bCs/>
          <w:color w:val="auto"/>
          <w:sz w:val="32"/>
          <w:szCs w:val="32"/>
        </w:rPr>
        <w:t>谈判</w:t>
      </w:r>
      <w:bookmarkEnd w:id="0"/>
      <w:bookmarkEnd w:id="1"/>
      <w:bookmarkEnd w:id="2"/>
      <w:bookmarkEnd w:id="3"/>
      <w:bookmarkEnd w:id="4"/>
      <w:bookmarkEnd w:id="5"/>
      <w:bookmarkEnd w:id="6"/>
      <w:bookmarkEnd w:id="7"/>
      <w:bookmarkEnd w:id="8"/>
      <w:r>
        <w:rPr>
          <w:rFonts w:hint="eastAsia" w:ascii="宋体" w:hAnsi="宋体" w:eastAsia="宋体" w:cs="宋体"/>
          <w:b/>
          <w:bCs/>
          <w:color w:val="auto"/>
          <w:sz w:val="32"/>
          <w:szCs w:val="32"/>
          <w:lang w:val="en-US" w:eastAsia="zh-CN"/>
        </w:rPr>
        <w:t>公告</w:t>
      </w:r>
    </w:p>
    <w:bookmarkEnd w:id="9"/>
    <w:bookmarkEnd w:id="10"/>
    <w:bookmarkEnd w:id="11"/>
    <w:bookmarkEnd w:id="12"/>
    <w:bookmarkEnd w:id="13"/>
    <w:bookmarkEnd w:id="14"/>
    <w:bookmarkEnd w:id="15"/>
    <w:bookmarkEnd w:id="16"/>
    <w:p w14:paraId="4865206A">
      <w:pPr>
        <w:keepNext w:val="0"/>
        <w:keepLines w:val="0"/>
        <w:pageBreakBefore w:val="0"/>
        <w:kinsoku/>
        <w:wordWrap/>
        <w:overflowPunct/>
        <w:topLinePunct w:val="0"/>
        <w:autoSpaceDE w:val="0"/>
        <w:autoSpaceDN w:val="0"/>
        <w:bidi w:val="0"/>
        <w:adjustRightInd/>
        <w:snapToGrid/>
        <w:spacing w:line="400" w:lineRule="exact"/>
        <w:ind w:right="0" w:rightChars="0"/>
        <w:jc w:val="both"/>
        <w:textAlignment w:val="auto"/>
        <w:rPr>
          <w:rFonts w:hint="eastAsia" w:ascii="宋体" w:hAnsi="宋体" w:eastAsia="宋体" w:cs="宋体"/>
          <w:color w:val="auto"/>
          <w:kern w:val="0"/>
          <w:sz w:val="24"/>
          <w:szCs w:val="24"/>
          <w:shd w:val="clear" w:color="auto" w:fill="FFFFFF"/>
          <w:lang w:val="en-US" w:bidi="zh-CN"/>
        </w:rPr>
      </w:pPr>
      <w:bookmarkStart w:id="17" w:name="_Toc35393798"/>
      <w:bookmarkStart w:id="18" w:name="_Toc28359089"/>
      <w:bookmarkStart w:id="19" w:name="_Toc35393629"/>
      <w:bookmarkStart w:id="20" w:name="_Toc28359012"/>
      <w:bookmarkStart w:id="21" w:name="_Toc23316578"/>
      <w:bookmarkStart w:id="22" w:name="_Toc23315654"/>
      <w:bookmarkStart w:id="23" w:name="_Toc14189401"/>
      <w:bookmarkStart w:id="24" w:name="_Toc14189264"/>
      <w:bookmarkStart w:id="25" w:name="_Toc18412193"/>
      <w:bookmarkStart w:id="26" w:name="_Toc23316514"/>
      <w:bookmarkStart w:id="27" w:name="_Toc10418"/>
      <w:bookmarkStart w:id="28" w:name="_Toc23316676"/>
      <w:r>
        <w:rPr>
          <w:rFonts w:hint="eastAsia" w:ascii="宋体" w:hAnsi="宋体" w:eastAsia="宋体" w:cs="宋体"/>
          <w:color w:val="auto"/>
          <w:kern w:val="0"/>
          <w:sz w:val="24"/>
          <w:szCs w:val="24"/>
          <w:shd w:val="clear" w:color="auto" w:fill="FFFFFF"/>
          <w:lang w:val="en-US" w:bidi="zh-CN"/>
        </w:rPr>
        <w:t>项目概况</w:t>
      </w:r>
    </w:p>
    <w:p w14:paraId="4FA64B01">
      <w:pPr>
        <w:keepNext w:val="0"/>
        <w:keepLines w:val="0"/>
        <w:pageBreakBefore w:val="0"/>
        <w:kinsoku/>
        <w:wordWrap/>
        <w:overflowPunct/>
        <w:topLinePunct w:val="0"/>
        <w:autoSpaceDE w:val="0"/>
        <w:autoSpaceDN w:val="0"/>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kern w:val="0"/>
          <w:sz w:val="24"/>
          <w:szCs w:val="24"/>
          <w:shd w:val="clear" w:color="auto" w:fill="FFFFFF"/>
          <w:lang w:val="en-US" w:bidi="zh-CN"/>
        </w:rPr>
      </w:pPr>
      <w:r>
        <w:rPr>
          <w:rFonts w:hint="eastAsia" w:ascii="宋体" w:hAnsi="宋体" w:eastAsia="宋体" w:cs="宋体"/>
          <w:color w:val="auto"/>
          <w:kern w:val="0"/>
          <w:sz w:val="24"/>
          <w:szCs w:val="24"/>
          <w:shd w:val="clear" w:color="auto" w:fill="FFFFFF"/>
          <w:lang w:val="en-US" w:eastAsia="zh-CN" w:bidi="zh-CN"/>
        </w:rPr>
        <w:t>兴隆村旅游设施配套项目监理费</w:t>
      </w:r>
      <w:r>
        <w:rPr>
          <w:rFonts w:hint="eastAsia" w:ascii="宋体" w:hAnsi="宋体" w:eastAsia="宋体" w:cs="宋体"/>
          <w:color w:val="auto"/>
          <w:kern w:val="0"/>
          <w:sz w:val="24"/>
          <w:szCs w:val="24"/>
          <w:shd w:val="clear" w:color="auto" w:fill="FFFFFF"/>
          <w:lang w:val="en-US" w:bidi="zh-CN"/>
        </w:rPr>
        <w:t>的潜在供应商应在</w:t>
      </w:r>
      <w:r>
        <w:rPr>
          <w:rFonts w:hint="eastAsia" w:ascii="宋体" w:hAnsi="宋体" w:eastAsia="宋体" w:cs="宋体"/>
          <w:b w:val="0"/>
          <w:bCs w:val="0"/>
          <w:color w:val="auto"/>
          <w:sz w:val="24"/>
          <w:szCs w:val="24"/>
          <w:lang w:val="en-US" w:eastAsia="zh-CN"/>
        </w:rPr>
        <w:t>陕西途恒工程管理服务有限公司（安康市高新区高新壹号院4栋2单元2004室）</w:t>
      </w:r>
      <w:r>
        <w:rPr>
          <w:rFonts w:hint="eastAsia" w:ascii="宋体" w:hAnsi="宋体" w:eastAsia="宋体" w:cs="宋体"/>
          <w:color w:val="auto"/>
          <w:kern w:val="0"/>
          <w:sz w:val="24"/>
          <w:szCs w:val="24"/>
          <w:shd w:val="clear" w:color="auto" w:fill="FFFFFF"/>
          <w:lang w:val="en-US" w:bidi="zh-CN"/>
        </w:rPr>
        <w:t>获取采购文件，并于2025年6月23日10时30分（北京时间）前提交响应文件。</w:t>
      </w:r>
    </w:p>
    <w:p w14:paraId="5C5BCC7B">
      <w:pPr>
        <w:pStyle w:val="4"/>
        <w:keepNext w:val="0"/>
        <w:keepLines w:val="0"/>
        <w:pageBreakBefore w:val="0"/>
        <w:kinsoku/>
        <w:wordWrap/>
        <w:overflowPunct/>
        <w:topLinePunct w:val="0"/>
        <w:bidi w:val="0"/>
        <w:adjustRightInd/>
        <w:snapToGrid/>
        <w:spacing w:before="0" w:after="0" w:line="400" w:lineRule="exact"/>
        <w:ind w:left="0" w:leftChars="0" w:right="0" w:rightChars="0"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一、项目基本情况</w:t>
      </w:r>
      <w:bookmarkEnd w:id="17"/>
      <w:bookmarkEnd w:id="18"/>
      <w:bookmarkEnd w:id="19"/>
      <w:bookmarkEnd w:id="20"/>
    </w:p>
    <w:p w14:paraId="094A0D1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SXTH2025022</w:t>
      </w:r>
    </w:p>
    <w:p w14:paraId="186A671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kern w:val="0"/>
          <w:sz w:val="24"/>
          <w:szCs w:val="24"/>
          <w:shd w:val="clear" w:color="auto" w:fill="FFFFFF"/>
          <w:lang w:val="en-US" w:eastAsia="zh-CN" w:bidi="zh-CN"/>
        </w:rPr>
        <w:t>兴隆村旅游设施配套项目监理费</w:t>
      </w:r>
    </w:p>
    <w:p w14:paraId="44F40DC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采购方式：竞</w:t>
      </w:r>
      <w:r>
        <w:rPr>
          <w:rFonts w:hint="eastAsia" w:ascii="宋体" w:hAnsi="宋体" w:eastAsia="宋体" w:cs="宋体"/>
          <w:color w:val="auto"/>
          <w:sz w:val="24"/>
          <w:szCs w:val="24"/>
          <w:lang w:eastAsia="zh-CN"/>
        </w:rPr>
        <w:t>争性谈判</w:t>
      </w:r>
    </w:p>
    <w:p w14:paraId="4BBC208D">
      <w:pPr>
        <w:keepNext w:val="0"/>
        <w:keepLines w:val="0"/>
        <w:pageBreakBefore w:val="0"/>
        <w:widowControl/>
        <w:suppressLineNumbers w:val="0"/>
        <w:kinsoku/>
        <w:wordWrap/>
        <w:overflowPunct/>
        <w:topLinePunct w:val="0"/>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预算金额：</w:t>
      </w:r>
      <w:r>
        <w:rPr>
          <w:rFonts w:hint="eastAsia" w:ascii="宋体" w:hAnsi="宋体" w:eastAsia="宋体" w:cs="宋体"/>
          <w:color w:val="auto"/>
          <w:kern w:val="0"/>
          <w:sz w:val="24"/>
          <w:szCs w:val="24"/>
          <w:lang w:val="en-US" w:eastAsia="zh-CN" w:bidi="ar"/>
        </w:rPr>
        <w:t>130000.00</w:t>
      </w:r>
      <w:r>
        <w:rPr>
          <w:rFonts w:hint="eastAsia" w:ascii="宋体" w:hAnsi="宋体" w:eastAsia="宋体" w:cs="宋体"/>
          <w:color w:val="auto"/>
          <w:sz w:val="24"/>
          <w:szCs w:val="24"/>
          <w:lang w:val="en-US" w:eastAsia="zh-CN"/>
        </w:rPr>
        <w:t>元</w:t>
      </w:r>
    </w:p>
    <w:p w14:paraId="273F055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采购需求：</w:t>
      </w:r>
    </w:p>
    <w:p w14:paraId="7950611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合同包1(</w:t>
      </w:r>
      <w:r>
        <w:rPr>
          <w:rFonts w:hint="eastAsia" w:ascii="宋体" w:hAnsi="宋体" w:eastAsia="宋体" w:cs="宋体"/>
          <w:color w:val="auto"/>
          <w:kern w:val="0"/>
          <w:sz w:val="24"/>
          <w:szCs w:val="24"/>
          <w:shd w:val="clear" w:color="auto" w:fill="FFFFFF"/>
          <w:lang w:val="en-US" w:eastAsia="zh-CN" w:bidi="zh-CN"/>
        </w:rPr>
        <w:t>兴隆村旅游设施配套项目监理费</w:t>
      </w:r>
      <w:r>
        <w:rPr>
          <w:rFonts w:hint="eastAsia" w:ascii="宋体" w:hAnsi="宋体" w:eastAsia="宋体" w:cs="宋体"/>
          <w:color w:val="auto"/>
          <w:sz w:val="24"/>
          <w:szCs w:val="24"/>
          <w:lang w:val="en-US" w:eastAsia="zh-CN"/>
        </w:rPr>
        <w:t>):</w:t>
      </w:r>
    </w:p>
    <w:p w14:paraId="4618FD8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合同包预算金额：</w:t>
      </w:r>
      <w:r>
        <w:rPr>
          <w:rFonts w:hint="eastAsia" w:ascii="宋体" w:hAnsi="宋体" w:eastAsia="宋体" w:cs="宋体"/>
          <w:color w:val="auto"/>
          <w:kern w:val="0"/>
          <w:sz w:val="24"/>
          <w:szCs w:val="24"/>
          <w:lang w:val="en-US" w:eastAsia="zh-CN" w:bidi="ar"/>
        </w:rPr>
        <w:t>130000.00</w:t>
      </w:r>
      <w:r>
        <w:rPr>
          <w:rFonts w:hint="eastAsia" w:ascii="宋体" w:hAnsi="宋体" w:eastAsia="宋体" w:cs="宋体"/>
          <w:color w:val="auto"/>
          <w:sz w:val="24"/>
          <w:szCs w:val="24"/>
          <w:lang w:val="en-US" w:eastAsia="zh-CN"/>
        </w:rPr>
        <w:t>元</w:t>
      </w:r>
    </w:p>
    <w:p w14:paraId="47458F9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合同包最高限价：</w:t>
      </w:r>
      <w:r>
        <w:rPr>
          <w:rFonts w:hint="eastAsia" w:ascii="宋体" w:hAnsi="宋体" w:eastAsia="宋体" w:cs="宋体"/>
          <w:color w:val="auto"/>
          <w:kern w:val="0"/>
          <w:sz w:val="24"/>
          <w:szCs w:val="24"/>
          <w:lang w:val="en-US" w:eastAsia="zh-CN" w:bidi="ar"/>
        </w:rPr>
        <w:t>130000.00</w:t>
      </w:r>
      <w:r>
        <w:rPr>
          <w:rFonts w:hint="eastAsia" w:ascii="宋体" w:hAnsi="宋体" w:eastAsia="宋体" w:cs="宋体"/>
          <w:color w:val="auto"/>
          <w:sz w:val="24"/>
          <w:szCs w:val="24"/>
          <w:lang w:val="en-US" w:eastAsia="zh-CN"/>
        </w:rPr>
        <w:t>元</w:t>
      </w:r>
    </w:p>
    <w:tbl>
      <w:tblPr>
        <w:tblStyle w:val="35"/>
        <w:tblW w:w="102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791"/>
        <w:gridCol w:w="1250"/>
        <w:gridCol w:w="2982"/>
        <w:gridCol w:w="1135"/>
        <w:gridCol w:w="1500"/>
        <w:gridCol w:w="1286"/>
        <w:gridCol w:w="1332"/>
      </w:tblGrid>
      <w:tr w14:paraId="2545E9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31" w:hRule="atLeast"/>
          <w:jc w:val="center"/>
        </w:trPr>
        <w:tc>
          <w:tcPr>
            <w:tcW w:w="791" w:type="dxa"/>
            <w:tcBorders>
              <w:top w:val="single" w:color="333333" w:sz="8" w:space="0"/>
              <w:left w:val="single" w:color="333333" w:sz="8" w:space="0"/>
              <w:bottom w:val="single" w:color="333333" w:sz="8" w:space="0"/>
              <w:right w:val="single" w:color="333333" w:sz="8" w:space="0"/>
            </w:tcBorders>
            <w:shd w:val="clear" w:color="auto" w:fill="FFFFFF"/>
            <w:tcMar>
              <w:top w:w="75" w:type="dxa"/>
              <w:left w:w="120" w:type="dxa"/>
              <w:bottom w:w="75" w:type="dxa"/>
              <w:right w:w="120" w:type="dxa"/>
            </w:tcMar>
            <w:vAlign w:val="center"/>
          </w:tcPr>
          <w:p w14:paraId="714B41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品目号</w:t>
            </w:r>
          </w:p>
        </w:tc>
        <w:tc>
          <w:tcPr>
            <w:tcW w:w="1250"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00B410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品目名称</w:t>
            </w:r>
          </w:p>
        </w:tc>
        <w:tc>
          <w:tcPr>
            <w:tcW w:w="2982"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3B047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采购标的</w:t>
            </w:r>
          </w:p>
        </w:tc>
        <w:tc>
          <w:tcPr>
            <w:tcW w:w="1135"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54101F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数量</w:t>
            </w:r>
          </w:p>
          <w:p w14:paraId="21487F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（单位）</w:t>
            </w:r>
          </w:p>
        </w:tc>
        <w:tc>
          <w:tcPr>
            <w:tcW w:w="1500"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C38B5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技术规格、参数及要求</w:t>
            </w:r>
          </w:p>
        </w:tc>
        <w:tc>
          <w:tcPr>
            <w:tcW w:w="1286"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429210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品目预算(元)</w:t>
            </w:r>
          </w:p>
        </w:tc>
        <w:tc>
          <w:tcPr>
            <w:tcW w:w="1332"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8FBE6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最高限价(元)</w:t>
            </w:r>
          </w:p>
        </w:tc>
      </w:tr>
      <w:tr w14:paraId="548846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26" w:hRule="atLeast"/>
          <w:jc w:val="center"/>
        </w:trPr>
        <w:tc>
          <w:tcPr>
            <w:tcW w:w="791" w:type="dxa"/>
            <w:tcBorders>
              <w:top w:val="nil"/>
              <w:left w:val="single" w:color="auto" w:sz="8" w:space="0"/>
              <w:bottom w:val="single" w:color="auto" w:sz="8" w:space="0"/>
              <w:right w:val="single" w:color="auto" w:sz="8" w:space="0"/>
            </w:tcBorders>
            <w:shd w:val="clear" w:color="auto" w:fill="FFFFFF"/>
            <w:tcMar>
              <w:top w:w="75" w:type="dxa"/>
              <w:left w:w="120" w:type="dxa"/>
              <w:bottom w:w="75" w:type="dxa"/>
              <w:right w:w="120" w:type="dxa"/>
            </w:tcMar>
            <w:vAlign w:val="center"/>
          </w:tcPr>
          <w:p w14:paraId="25E8A2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w:t>
            </w:r>
          </w:p>
        </w:tc>
        <w:tc>
          <w:tcPr>
            <w:tcW w:w="1250"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269C76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其他服务</w:t>
            </w:r>
          </w:p>
        </w:tc>
        <w:tc>
          <w:tcPr>
            <w:tcW w:w="2982"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30C438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shd w:val="clear" w:color="auto" w:fill="FFFFFF"/>
                <w:lang w:val="en-US" w:eastAsia="zh-CN" w:bidi="zh-CN"/>
              </w:rPr>
              <w:t>兴隆村旅游设施配套项目监理费</w:t>
            </w:r>
          </w:p>
        </w:tc>
        <w:tc>
          <w:tcPr>
            <w:tcW w:w="1135"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C093A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w:t>
            </w:r>
          </w:p>
        </w:tc>
        <w:tc>
          <w:tcPr>
            <w:tcW w:w="1500"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1ED2DE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详见采购</w:t>
            </w:r>
          </w:p>
          <w:p w14:paraId="0E0C5A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文件</w:t>
            </w:r>
          </w:p>
        </w:tc>
        <w:tc>
          <w:tcPr>
            <w:tcW w:w="1286"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674B4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130000.00</w:t>
            </w:r>
          </w:p>
        </w:tc>
        <w:tc>
          <w:tcPr>
            <w:tcW w:w="1332"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7E91E2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130000.00</w:t>
            </w:r>
          </w:p>
        </w:tc>
      </w:tr>
    </w:tbl>
    <w:p w14:paraId="0C738E4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本项目不接受联合体投标</w:t>
      </w:r>
    </w:p>
    <w:p w14:paraId="041492B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default" w:ascii="宋体" w:hAnsi="宋体" w:eastAsia="宋体" w:cs="宋体"/>
          <w:color w:val="auto"/>
          <w:sz w:val="24"/>
          <w:szCs w:val="24"/>
          <w:lang w:val="en-US" w:eastAsia="zh-CN"/>
        </w:rPr>
      </w:pPr>
      <w:bookmarkStart w:id="29" w:name="_Toc35393630"/>
      <w:bookmarkStart w:id="30" w:name="_Toc28359090"/>
      <w:bookmarkStart w:id="31" w:name="_Toc28359013"/>
      <w:bookmarkStart w:id="32" w:name="_Toc35393799"/>
      <w:r>
        <w:rPr>
          <w:rFonts w:hint="eastAsia" w:ascii="宋体" w:hAnsi="宋体" w:eastAsia="宋体" w:cs="宋体"/>
          <w:color w:val="auto"/>
          <w:sz w:val="24"/>
          <w:szCs w:val="24"/>
          <w:lang w:val="en-US" w:eastAsia="zh-CN"/>
        </w:rPr>
        <w:t>合同履行期限</w:t>
      </w:r>
      <w:r>
        <w:rPr>
          <w:rFonts w:hint="eastAsia" w:ascii="宋体" w:hAnsi="宋体" w:eastAsia="宋体" w:cs="宋体"/>
          <w:color w:val="auto"/>
          <w:sz w:val="24"/>
          <w:szCs w:val="24"/>
          <w:highlight w:val="yellow"/>
          <w:lang w:val="en-US" w:eastAsia="zh-CN"/>
        </w:rPr>
        <w:t>：从监理合同签订之日起至工程竣工验收合格及工程缺陷责任期满为止。</w:t>
      </w:r>
    </w:p>
    <w:p w14:paraId="573B7EE9">
      <w:pPr>
        <w:pStyle w:val="4"/>
        <w:keepNext w:val="0"/>
        <w:keepLines w:val="0"/>
        <w:pageBreakBefore w:val="0"/>
        <w:kinsoku/>
        <w:wordWrap/>
        <w:overflowPunct/>
        <w:topLinePunct w:val="0"/>
        <w:bidi w:val="0"/>
        <w:adjustRightInd/>
        <w:snapToGrid/>
        <w:spacing w:before="0" w:after="0" w:line="400" w:lineRule="exact"/>
        <w:ind w:left="0" w:leftChars="0" w:right="0" w:rightChars="0"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二、供应商的资格要求</w:t>
      </w:r>
      <w:bookmarkEnd w:id="29"/>
      <w:bookmarkEnd w:id="30"/>
      <w:bookmarkEnd w:id="31"/>
      <w:bookmarkEnd w:id="32"/>
    </w:p>
    <w:p w14:paraId="16D730B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rPr>
      </w:pPr>
      <w:bookmarkStart w:id="33" w:name="_Toc28359091"/>
      <w:bookmarkStart w:id="34" w:name="_Toc35393800"/>
      <w:bookmarkStart w:id="35" w:name="_Toc28359014"/>
      <w:bookmarkStart w:id="36" w:name="_Toc35393631"/>
      <w:r>
        <w:rPr>
          <w:rFonts w:hint="eastAsia" w:ascii="宋体" w:hAnsi="宋体" w:eastAsia="宋体" w:cs="宋体"/>
          <w:color w:val="auto"/>
          <w:sz w:val="24"/>
          <w:szCs w:val="24"/>
        </w:rPr>
        <w:t>1、满足《中华人民共和国政府采购法》第二十二条规定</w:t>
      </w:r>
    </w:p>
    <w:p w14:paraId="158BB41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0237375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w:t>
      </w:r>
      <w:r>
        <w:rPr>
          <w:rFonts w:hint="eastAsia" w:ascii="宋体" w:hAnsi="宋体" w:eastAsia="宋体" w:cs="宋体"/>
          <w:color w:val="auto"/>
          <w:sz w:val="24"/>
          <w:szCs w:val="24"/>
          <w:lang w:val="en-US" w:eastAsia="zh-CN"/>
        </w:rPr>
        <w:t>包1(</w:t>
      </w:r>
      <w:r>
        <w:rPr>
          <w:rFonts w:hint="eastAsia" w:ascii="宋体" w:hAnsi="宋体" w:eastAsia="宋体" w:cs="宋体"/>
          <w:color w:val="auto"/>
          <w:kern w:val="0"/>
          <w:sz w:val="24"/>
          <w:szCs w:val="24"/>
          <w:shd w:val="clear" w:color="auto" w:fill="FFFFFF"/>
          <w:lang w:val="en-US" w:eastAsia="zh-CN" w:bidi="zh-CN"/>
        </w:rPr>
        <w:t>兴隆村旅游设施配套项目监理费</w:t>
      </w:r>
      <w:r>
        <w:rPr>
          <w:rFonts w:hint="eastAsia" w:ascii="宋体" w:hAnsi="宋体" w:eastAsia="宋体" w:cs="宋体"/>
          <w:color w:val="auto"/>
          <w:sz w:val="24"/>
          <w:szCs w:val="24"/>
          <w:lang w:val="en-US" w:eastAsia="zh-CN"/>
        </w:rPr>
        <w:t>)落实政府采购政策</w:t>
      </w:r>
      <w:r>
        <w:rPr>
          <w:rFonts w:hint="eastAsia" w:ascii="宋体" w:hAnsi="宋体" w:eastAsia="宋体" w:cs="宋体"/>
          <w:color w:val="auto"/>
          <w:sz w:val="24"/>
          <w:szCs w:val="24"/>
        </w:rPr>
        <w:t>需满足的资格要求如下:</w:t>
      </w:r>
    </w:p>
    <w:p w14:paraId="0981DAC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本项目专门面向中小企业，供应商应为中小微企业、监狱企业、残疾人福利性单位。本项目所属行业为：其他</w:t>
      </w:r>
      <w:r>
        <w:rPr>
          <w:rFonts w:hint="eastAsia" w:ascii="宋体" w:hAnsi="宋体" w:eastAsia="宋体" w:cs="宋体"/>
          <w:color w:val="auto"/>
          <w:sz w:val="24"/>
          <w:szCs w:val="24"/>
          <w:lang w:val="en-US" w:eastAsia="zh-CN"/>
        </w:rPr>
        <w:t>未</w:t>
      </w:r>
      <w:r>
        <w:rPr>
          <w:rFonts w:hint="eastAsia" w:ascii="宋体" w:hAnsi="宋体" w:eastAsia="宋体" w:cs="宋体"/>
          <w:color w:val="auto"/>
          <w:sz w:val="24"/>
          <w:szCs w:val="24"/>
        </w:rPr>
        <w:t>列明行业</w:t>
      </w:r>
      <w:r>
        <w:rPr>
          <w:rFonts w:hint="eastAsia" w:ascii="宋体" w:hAnsi="宋体" w:eastAsia="宋体" w:cs="宋体"/>
          <w:color w:val="auto"/>
          <w:sz w:val="24"/>
          <w:szCs w:val="24"/>
          <w:lang w:eastAsia="zh-CN"/>
        </w:rPr>
        <w:t>。</w:t>
      </w:r>
    </w:p>
    <w:p w14:paraId="5C09028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本项目的特定资格要求：</w:t>
      </w:r>
    </w:p>
    <w:p w14:paraId="55DC12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kern w:val="0"/>
          <w:sz w:val="24"/>
          <w:szCs w:val="24"/>
          <w:shd w:val="clear" w:color="auto" w:fill="FFFFFF"/>
          <w:lang w:val="en-US" w:eastAsia="zh-CN" w:bidi="zh-CN"/>
        </w:rPr>
        <w:t>兴隆村旅游设施配套项目监理费</w:t>
      </w:r>
      <w:r>
        <w:rPr>
          <w:rFonts w:hint="eastAsia" w:ascii="宋体" w:hAnsi="宋体" w:eastAsia="宋体" w:cs="宋体"/>
          <w:color w:val="auto"/>
          <w:sz w:val="24"/>
          <w:szCs w:val="24"/>
        </w:rPr>
        <w:t>)特定资格要求如下:</w:t>
      </w:r>
    </w:p>
    <w:p w14:paraId="5C3C2313">
      <w:pPr>
        <w:pStyle w:val="4"/>
        <w:keepNext w:val="0"/>
        <w:keepLines w:val="0"/>
        <w:pageBreakBefore w:val="0"/>
        <w:numPr>
          <w:ilvl w:val="0"/>
          <w:numId w:val="0"/>
        </w:numPr>
        <w:kinsoku/>
        <w:wordWrap/>
        <w:overflowPunct/>
        <w:topLinePunct w:val="0"/>
        <w:bidi w:val="0"/>
        <w:adjustRightInd/>
        <w:snapToGrid/>
        <w:spacing w:before="0" w:after="0" w:line="400" w:lineRule="exact"/>
        <w:ind w:left="0" w:leftChars="0" w:right="0" w:rightChars="0"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kern w:val="2"/>
          <w:sz w:val="24"/>
          <w:szCs w:val="24"/>
          <w:shd w:val="clear" w:fill="FFFFFF"/>
          <w:lang w:val="en-US" w:eastAsia="zh-CN" w:bidi="ar-SA"/>
        </w:rPr>
        <w:t>（1）</w:t>
      </w:r>
      <w:r>
        <w:rPr>
          <w:rFonts w:hint="eastAsia" w:asciiTheme="minorEastAsia" w:hAnsiTheme="minorEastAsia" w:eastAsiaTheme="minorEastAsia" w:cstheme="minorEastAsia"/>
          <w:b w:val="0"/>
          <w:bCs w:val="0"/>
          <w:i w:val="0"/>
          <w:iCs w:val="0"/>
          <w:caps w:val="0"/>
          <w:color w:val="auto"/>
          <w:spacing w:val="0"/>
          <w:sz w:val="24"/>
          <w:szCs w:val="24"/>
          <w:shd w:val="clear" w:fill="FFFFFF"/>
        </w:rPr>
        <w:t>具有独立承担民事责任的能力，提供营业执照、税务登记证、组织机构代码证或登载有统一社会信用代码的营业执照（或《事业单位法人证书》或其他合法组织登记证书）； </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auto"/>
          <w:spacing w:val="0"/>
          <w:sz w:val="24"/>
          <w:szCs w:val="24"/>
          <w:shd w:val="clear" w:fill="FFFFFF"/>
        </w:rPr>
        <w:t>（2）供应商法定代表人授权委托书、被授权人身份证（法定代表人直接参加，只须提交其身份证）。</w:t>
      </w:r>
    </w:p>
    <w:p w14:paraId="6CF75216">
      <w:pPr>
        <w:pStyle w:val="4"/>
        <w:keepNext w:val="0"/>
        <w:keepLines w:val="0"/>
        <w:pageBreakBefore w:val="0"/>
        <w:numPr>
          <w:ilvl w:val="0"/>
          <w:numId w:val="0"/>
        </w:numPr>
        <w:kinsoku/>
        <w:wordWrap/>
        <w:overflowPunct/>
        <w:topLinePunct w:val="0"/>
        <w:bidi w:val="0"/>
        <w:adjustRightInd/>
        <w:snapToGrid/>
        <w:spacing w:before="0" w:after="0" w:line="400" w:lineRule="exact"/>
        <w:ind w:leftChars="200" w:right="0" w:rightChars="0"/>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3）供应商须具备建设行政主管部门或交通运输主管部门颁发的监理综合资质或公路工程专业乙级（含乙级）以上监理资质,并在人员、设备、资金等方面具备相应的监理能力；拟派项目总监理工程师须具备公路工程专业国家注册监理工程师执业资格；</w:t>
      </w:r>
    </w:p>
    <w:p w14:paraId="541AE285">
      <w:pPr>
        <w:pStyle w:val="4"/>
        <w:keepNext w:val="0"/>
        <w:keepLines w:val="0"/>
        <w:pageBreakBefore w:val="0"/>
        <w:numPr>
          <w:ilvl w:val="0"/>
          <w:numId w:val="0"/>
        </w:numPr>
        <w:kinsoku/>
        <w:wordWrap/>
        <w:overflowPunct/>
        <w:topLinePunct w:val="0"/>
        <w:bidi w:val="0"/>
        <w:adjustRightInd/>
        <w:snapToGrid/>
        <w:spacing w:before="0" w:after="0" w:line="400" w:lineRule="exact"/>
        <w:ind w:leftChars="200" w:right="0" w:rightChars="0"/>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（4）财务状况报告：提供2023年或2024年度经审计完整的财务报告(成立时间至提交磋商响应文件截止时间不足年的可提供成立后任意时段的资产负债表)或其开标前三个月内银行出具的资信证明；</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（5）依法缴纳税收和社会保障资金的良好记录【投标人提供2024年</w:t>
      </w: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6</w:t>
      </w:r>
      <w:r>
        <w:rPr>
          <w:rFonts w:hint="eastAsia" w:asciiTheme="minorEastAsia" w:hAnsiTheme="minorEastAsia" w:eastAsiaTheme="minorEastAsia" w:cstheme="minorEastAsia"/>
          <w:b w:val="0"/>
          <w:bCs w:val="0"/>
          <w:i w:val="0"/>
          <w:iCs w:val="0"/>
          <w:caps w:val="0"/>
          <w:color w:val="auto"/>
          <w:spacing w:val="0"/>
          <w:sz w:val="24"/>
          <w:szCs w:val="24"/>
          <w:shd w:val="clear" w:fill="FFFFFF"/>
        </w:rPr>
        <w:t>月至今</w:t>
      </w: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任意1</w:t>
      </w:r>
      <w:r>
        <w:rPr>
          <w:rFonts w:hint="eastAsia" w:asciiTheme="minorEastAsia" w:hAnsiTheme="minorEastAsia" w:eastAsiaTheme="minorEastAsia" w:cstheme="minorEastAsia"/>
          <w:b w:val="0"/>
          <w:bCs w:val="0"/>
          <w:i w:val="0"/>
          <w:iCs w:val="0"/>
          <w:caps w:val="0"/>
          <w:color w:val="auto"/>
          <w:spacing w:val="0"/>
          <w:sz w:val="24"/>
          <w:szCs w:val="24"/>
          <w:shd w:val="clear" w:fill="FFFFFF"/>
        </w:rPr>
        <w:t>个月的完税证明（依法免税的投标人应提供相关文件证明）和社保缴纳证明（专用收据或社会保险缴纳清单或参保缴费证明，依法不需要缴纳社会保障资金的投标人应提供相关文件证明）】；</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（6）参加政府采购活动近3年内在经营活动中没有重大违法记录，以及未被列入失信被执行人、重大税收违法案件当事人名单、政府采购严重违法失信行为记录名单的书面声明。</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（7）具有履行合同所必需的设备和专业技术能力的书面声明；</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8）通过“信用中国”网站(www.creditchina.gov.cn)、中国政府采购网(www.ccgp.gov.cn)等渠道查询相关主体无失信记录（评审小组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 查询结果为准。</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9）本项目为专门面向中小企业项目，供应商应为中型企业或小型、微型企业或监狱企业或残疾人福利性单位。供应商为中小企业的，提供《中小企业声明函》；本项目采购标的对应的中小企业划分标准所属行业为：其他未列明行业；供应商为监狱企业的，应提供监狱企业的证明文件；供应商为残疾人福利性单位的，应提供《残疾人福利性单位声明函》（监狱企业或残疾人福利性单位视同小型、微型企业）。</w:t>
      </w:r>
    </w:p>
    <w:p w14:paraId="5BDB7A7E">
      <w:pPr>
        <w:pStyle w:val="4"/>
        <w:keepNext w:val="0"/>
        <w:keepLines w:val="0"/>
        <w:pageBreakBefore w:val="0"/>
        <w:numPr>
          <w:ilvl w:val="0"/>
          <w:numId w:val="0"/>
        </w:numPr>
        <w:kinsoku/>
        <w:wordWrap/>
        <w:overflowPunct/>
        <w:topLinePunct w:val="0"/>
        <w:bidi w:val="0"/>
        <w:adjustRightInd/>
        <w:snapToGrid/>
        <w:spacing w:before="0" w:after="0" w:line="400" w:lineRule="exact"/>
        <w:ind w:left="0" w:leftChars="0" w:right="0" w:rightChars="0"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三、获取采购文件</w:t>
      </w:r>
      <w:bookmarkEnd w:id="33"/>
      <w:bookmarkEnd w:id="34"/>
      <w:bookmarkEnd w:id="35"/>
      <w:bookmarkEnd w:id="36"/>
    </w:p>
    <w:p w14:paraId="6D1BFBC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rPr>
      </w:pPr>
      <w:bookmarkStart w:id="37" w:name="_Toc35393801"/>
      <w:bookmarkStart w:id="38" w:name="_Toc28359015"/>
      <w:bookmarkStart w:id="39" w:name="_Toc35393632"/>
      <w:bookmarkStart w:id="40" w:name="_Toc28359092"/>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日，每天上午09:00:00至12:00:00，下午14:00:00至17:00:00（北京时间,法定节假日除外）</w:t>
      </w:r>
    </w:p>
    <w:p w14:paraId="1956004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途径：</w:t>
      </w:r>
      <w:r>
        <w:rPr>
          <w:rFonts w:hint="eastAsia" w:ascii="宋体" w:hAnsi="宋体" w:eastAsia="宋体" w:cs="宋体"/>
          <w:b w:val="0"/>
          <w:bCs w:val="0"/>
          <w:color w:val="auto"/>
          <w:sz w:val="24"/>
          <w:szCs w:val="24"/>
          <w:lang w:val="en-US" w:eastAsia="zh-CN"/>
        </w:rPr>
        <w:t>陕西途恒工程管理服务有限公司（安康市高新区高新壹号院4栋2单元2004室）</w:t>
      </w:r>
    </w:p>
    <w:p w14:paraId="7D1631F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方式：</w:t>
      </w:r>
      <w:r>
        <w:rPr>
          <w:rFonts w:hint="eastAsia" w:ascii="宋体" w:hAnsi="宋体" w:eastAsia="宋体" w:cs="宋体"/>
          <w:color w:val="auto"/>
          <w:sz w:val="24"/>
          <w:szCs w:val="24"/>
          <w:lang w:val="en-US" w:eastAsia="zh-CN"/>
        </w:rPr>
        <w:t>现场获取</w:t>
      </w:r>
    </w:p>
    <w:p w14:paraId="5561BE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售价：每套0元</w:t>
      </w:r>
    </w:p>
    <w:p w14:paraId="41E370D0">
      <w:pPr>
        <w:pStyle w:val="4"/>
        <w:keepNext w:val="0"/>
        <w:keepLines w:val="0"/>
        <w:pageBreakBefore w:val="0"/>
        <w:kinsoku/>
        <w:wordWrap/>
        <w:overflowPunct/>
        <w:topLinePunct w:val="0"/>
        <w:bidi w:val="0"/>
        <w:adjustRightInd/>
        <w:snapToGrid/>
        <w:spacing w:before="0" w:after="0" w:line="400" w:lineRule="exact"/>
        <w:ind w:left="0" w:leftChars="0" w:right="0" w:rightChars="0"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四、响应文件提交</w:t>
      </w:r>
      <w:bookmarkEnd w:id="37"/>
      <w:bookmarkEnd w:id="38"/>
      <w:bookmarkEnd w:id="39"/>
      <w:bookmarkEnd w:id="40"/>
    </w:p>
    <w:p w14:paraId="6C4E9E9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rPr>
      </w:pPr>
      <w:bookmarkStart w:id="41" w:name="_Toc35393633"/>
      <w:bookmarkStart w:id="42" w:name="_Toc35393802"/>
      <w:bookmarkStart w:id="43" w:name="_Toc28359016"/>
      <w:bookmarkStart w:id="44" w:name="_Toc28359093"/>
      <w:r>
        <w:rPr>
          <w:rFonts w:hint="eastAsia" w:ascii="宋体" w:hAnsi="宋体" w:eastAsia="宋体" w:cs="宋体"/>
          <w:color w:val="auto"/>
          <w:sz w:val="24"/>
          <w:szCs w:val="24"/>
          <w:lang w:val="en-US" w:eastAsia="zh-CN"/>
        </w:rPr>
        <w:t>截止时间：2025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6月24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0分00秒（北京时间）</w:t>
      </w:r>
    </w:p>
    <w:p w14:paraId="7A4A392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default"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地点：</w:t>
      </w:r>
      <w:r>
        <w:rPr>
          <w:rFonts w:hint="eastAsia" w:ascii="宋体" w:hAnsi="宋体" w:eastAsia="宋体" w:cs="宋体"/>
          <w:b w:val="0"/>
          <w:bCs w:val="0"/>
          <w:color w:val="auto"/>
          <w:sz w:val="24"/>
          <w:szCs w:val="24"/>
          <w:lang w:val="en-US" w:eastAsia="zh-CN"/>
        </w:rPr>
        <w:t>安康市高新区高新壹号院4栋2单元2004室</w:t>
      </w:r>
    </w:p>
    <w:p w14:paraId="09E0A3AF">
      <w:pPr>
        <w:pStyle w:val="4"/>
        <w:keepNext w:val="0"/>
        <w:keepLines w:val="0"/>
        <w:pageBreakBefore w:val="0"/>
        <w:kinsoku/>
        <w:wordWrap/>
        <w:overflowPunct/>
        <w:topLinePunct w:val="0"/>
        <w:bidi w:val="0"/>
        <w:adjustRightInd/>
        <w:snapToGrid/>
        <w:spacing w:before="0" w:after="0" w:line="400" w:lineRule="exact"/>
        <w:ind w:left="0" w:leftChars="0" w:right="0" w:rightChars="0"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五、开启</w:t>
      </w:r>
      <w:bookmarkEnd w:id="41"/>
      <w:bookmarkEnd w:id="42"/>
      <w:bookmarkEnd w:id="43"/>
      <w:bookmarkEnd w:id="44"/>
    </w:p>
    <w:p w14:paraId="01C9527D">
      <w:pPr>
        <w:pStyle w:val="4"/>
        <w:keepNext w:val="0"/>
        <w:keepLines w:val="0"/>
        <w:pageBreakBefore w:val="0"/>
        <w:kinsoku/>
        <w:wordWrap/>
        <w:overflowPunct/>
        <w:topLinePunct w:val="0"/>
        <w:bidi w:val="0"/>
        <w:adjustRightInd/>
        <w:snapToGrid/>
        <w:spacing w:before="0" w:after="0" w:line="400" w:lineRule="exact"/>
        <w:ind w:left="0" w:leftChars="0" w:right="0" w:rightChars="0" w:firstLine="480" w:firstLineChars="200"/>
        <w:jc w:val="both"/>
        <w:textAlignment w:val="auto"/>
        <w:rPr>
          <w:rFonts w:hint="eastAsia" w:ascii="宋体" w:hAnsi="宋体" w:eastAsia="宋体" w:cs="宋体"/>
          <w:b w:val="0"/>
          <w:bCs w:val="0"/>
          <w:color w:val="auto"/>
          <w:sz w:val="24"/>
          <w:szCs w:val="24"/>
          <w:lang w:val="en-US" w:eastAsia="zh-CN" w:bidi="zh-CN"/>
        </w:rPr>
      </w:pPr>
      <w:bookmarkStart w:id="45" w:name="_Toc28359094"/>
      <w:bookmarkStart w:id="46" w:name="_Toc35393634"/>
      <w:bookmarkStart w:id="47" w:name="_Toc28359017"/>
      <w:bookmarkStart w:id="48" w:name="_Toc35393803"/>
      <w:r>
        <w:rPr>
          <w:rFonts w:hint="eastAsia" w:ascii="宋体" w:hAnsi="宋体" w:eastAsia="宋体" w:cs="宋体"/>
          <w:b w:val="0"/>
          <w:bCs w:val="0"/>
          <w:color w:val="auto"/>
          <w:sz w:val="24"/>
          <w:szCs w:val="24"/>
          <w:lang w:val="en-US" w:eastAsia="zh-CN" w:bidi="zh-CN"/>
        </w:rPr>
        <w:t>时间：2025年6月24日14时00分00秒</w:t>
      </w:r>
      <w:r>
        <w:rPr>
          <w:rFonts w:hint="eastAsia" w:ascii="宋体" w:hAnsi="宋体" w:eastAsia="宋体" w:cs="宋体"/>
          <w:b w:val="0"/>
          <w:bCs w:val="0"/>
          <w:color w:val="auto"/>
          <w:sz w:val="24"/>
          <w:szCs w:val="24"/>
        </w:rPr>
        <w:t>（北京时间）</w:t>
      </w:r>
    </w:p>
    <w:p w14:paraId="67AF79E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zh-CN" w:eastAsia="zh-CN" w:bidi="zh-CN"/>
        </w:rPr>
        <w:t>地点</w:t>
      </w:r>
      <w:r>
        <w:rPr>
          <w:rFonts w:hint="eastAsia" w:ascii="宋体" w:hAnsi="宋体" w:eastAsia="宋体" w:cs="宋体"/>
          <w:b w:val="0"/>
          <w:bCs w:val="0"/>
          <w:color w:val="auto"/>
          <w:sz w:val="24"/>
          <w:szCs w:val="24"/>
          <w:lang w:val="en-US" w:eastAsia="zh-CN" w:bidi="zh-CN"/>
        </w:rPr>
        <w:t>：</w:t>
      </w:r>
      <w:r>
        <w:rPr>
          <w:rFonts w:hint="eastAsia" w:ascii="宋体" w:hAnsi="宋体" w:eastAsia="宋体" w:cs="宋体"/>
          <w:b w:val="0"/>
          <w:bCs w:val="0"/>
          <w:color w:val="auto"/>
          <w:sz w:val="24"/>
          <w:szCs w:val="24"/>
          <w:lang w:val="en-US" w:eastAsia="zh-CN"/>
        </w:rPr>
        <w:t>安康市高新区高新壹号院4栋2单元2004室</w:t>
      </w:r>
    </w:p>
    <w:p w14:paraId="65A686B6">
      <w:pPr>
        <w:pStyle w:val="4"/>
        <w:keepNext w:val="0"/>
        <w:keepLines w:val="0"/>
        <w:pageBreakBefore w:val="0"/>
        <w:kinsoku/>
        <w:wordWrap/>
        <w:overflowPunct/>
        <w:topLinePunct w:val="0"/>
        <w:bidi w:val="0"/>
        <w:adjustRightInd/>
        <w:snapToGrid/>
        <w:spacing w:before="0" w:after="0" w:line="400" w:lineRule="exact"/>
        <w:ind w:left="0" w:leftChars="0" w:right="0" w:rightChars="0"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六、公告期限</w:t>
      </w:r>
      <w:bookmarkEnd w:id="45"/>
      <w:bookmarkEnd w:id="46"/>
      <w:bookmarkEnd w:id="47"/>
      <w:bookmarkEnd w:id="48"/>
    </w:p>
    <w:p w14:paraId="6181AC21">
      <w:pPr>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自本公告发布之日起3个工作日。</w:t>
      </w:r>
      <w:bookmarkStart w:id="49" w:name="_Toc35393635"/>
      <w:bookmarkStart w:id="50" w:name="_Toc35393804"/>
    </w:p>
    <w:p w14:paraId="33018245">
      <w:pPr>
        <w:keepNext w:val="0"/>
        <w:keepLines w:val="0"/>
        <w:pageBreakBefore w:val="0"/>
        <w:numPr>
          <w:ilvl w:val="0"/>
          <w:numId w:val="0"/>
        </w:numPr>
        <w:kinsoku/>
        <w:wordWrap/>
        <w:overflowPunct/>
        <w:topLinePunct w:val="0"/>
        <w:bidi w:val="0"/>
        <w:adjustRightInd/>
        <w:snapToGrid/>
        <w:spacing w:line="400" w:lineRule="exact"/>
        <w:ind w:left="0" w:leftChars="0" w:right="0" w:rightChars="0"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七、其他补充事宜</w:t>
      </w:r>
      <w:bookmarkEnd w:id="49"/>
      <w:bookmarkEnd w:id="50"/>
      <w:bookmarkStart w:id="51" w:name="_Toc28359095"/>
      <w:bookmarkStart w:id="52" w:name="_Toc35393805"/>
      <w:bookmarkStart w:id="53" w:name="_Toc35393636"/>
      <w:bookmarkStart w:id="54" w:name="_Toc28359018"/>
    </w:p>
    <w:p w14:paraId="635BA8D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1.获取文件须知：投标人须在文件获取截止时间内携带法人授权书及营业执照（复印件加盖红色公章）在安康市高新区高新壹号院4栋2单元2004室进行报名</w:t>
      </w:r>
      <w:r>
        <w:rPr>
          <w:rFonts w:hint="eastAsia" w:ascii="宋体" w:hAnsi="宋体" w:eastAsia="宋体" w:cs="宋体"/>
          <w:color w:val="auto"/>
          <w:sz w:val="24"/>
          <w:szCs w:val="24"/>
        </w:rPr>
        <w:t>。</w:t>
      </w:r>
    </w:p>
    <w:p w14:paraId="7AFF71A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w:t>
      </w:r>
    </w:p>
    <w:p w14:paraId="24DE8B9A">
      <w:pPr>
        <w:pStyle w:val="30"/>
        <w:keepNext w:val="0"/>
        <w:keepLines w:val="0"/>
        <w:pageBreakBefore w:val="0"/>
        <w:kinsoku/>
        <w:wordWrap/>
        <w:overflowPunct/>
        <w:topLinePunct w:val="0"/>
        <w:bidi w:val="0"/>
        <w:adjustRightInd/>
        <w:snapToGri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kern w:val="0"/>
          <w:sz w:val="24"/>
          <w:szCs w:val="24"/>
          <w:lang w:val="en-US" w:eastAsia="zh-CN" w:bidi="zh-CN"/>
        </w:rPr>
        <w:t>（1）《政府采购促进中小企业发展管理办法》（财库〔2020〕46号）；</w:t>
      </w:r>
    </w:p>
    <w:p w14:paraId="108197B1">
      <w:pPr>
        <w:pStyle w:val="30"/>
        <w:keepNext w:val="0"/>
        <w:keepLines w:val="0"/>
        <w:pageBreakBefore w:val="0"/>
        <w:kinsoku/>
        <w:wordWrap/>
        <w:overflowPunct/>
        <w:topLinePunct w:val="0"/>
        <w:bidi w:val="0"/>
        <w:adjustRightInd/>
        <w:snapToGri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kern w:val="0"/>
          <w:sz w:val="24"/>
          <w:szCs w:val="24"/>
          <w:lang w:val="en-US" w:eastAsia="zh-CN" w:bidi="zh-CN"/>
        </w:rPr>
        <w:t>（2）《财政部司法部关于政府采购支持监狱企业发展有关问题的通知》（财库〔2014〕68号）；</w:t>
      </w:r>
    </w:p>
    <w:p w14:paraId="764BE304">
      <w:pPr>
        <w:pStyle w:val="30"/>
        <w:keepNext w:val="0"/>
        <w:keepLines w:val="0"/>
        <w:pageBreakBefore w:val="0"/>
        <w:kinsoku/>
        <w:wordWrap/>
        <w:overflowPunct/>
        <w:topLinePunct w:val="0"/>
        <w:bidi w:val="0"/>
        <w:adjustRightInd/>
        <w:snapToGri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kern w:val="0"/>
          <w:sz w:val="24"/>
          <w:szCs w:val="24"/>
          <w:lang w:val="en-US" w:eastAsia="zh-CN" w:bidi="zh-CN"/>
        </w:rPr>
        <w:t>（3）《国务院办公厅关于建立政府强制采购节能产品制度的通知》（国办发〔2007〕51号）；</w:t>
      </w:r>
    </w:p>
    <w:p w14:paraId="44620924">
      <w:pPr>
        <w:pStyle w:val="30"/>
        <w:keepNext w:val="0"/>
        <w:keepLines w:val="0"/>
        <w:pageBreakBefore w:val="0"/>
        <w:kinsoku/>
        <w:wordWrap/>
        <w:overflowPunct/>
        <w:topLinePunct w:val="0"/>
        <w:bidi w:val="0"/>
        <w:adjustRightInd/>
        <w:snapToGri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kern w:val="0"/>
          <w:sz w:val="24"/>
          <w:szCs w:val="24"/>
          <w:lang w:val="en-US" w:eastAsia="zh-CN" w:bidi="zh-CN"/>
        </w:rPr>
        <w:t>（4）《关于印发环境标志产品政府采购品目清单的通知》（财库〔2019〕18号）；</w:t>
      </w:r>
    </w:p>
    <w:p w14:paraId="07611045">
      <w:pPr>
        <w:pStyle w:val="30"/>
        <w:keepNext w:val="0"/>
        <w:keepLines w:val="0"/>
        <w:pageBreakBefore w:val="0"/>
        <w:kinsoku/>
        <w:wordWrap/>
        <w:overflowPunct/>
        <w:topLinePunct w:val="0"/>
        <w:bidi w:val="0"/>
        <w:adjustRightInd/>
        <w:snapToGri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kern w:val="0"/>
          <w:sz w:val="24"/>
          <w:szCs w:val="24"/>
          <w:lang w:val="en-US" w:eastAsia="zh-CN" w:bidi="zh-CN"/>
        </w:rPr>
        <w:t>（5）《关于印发节能产品政府采购品目清单的通知》（财库〔2019〕19号）；</w:t>
      </w:r>
    </w:p>
    <w:p w14:paraId="3600B098">
      <w:pPr>
        <w:pStyle w:val="30"/>
        <w:keepNext w:val="0"/>
        <w:keepLines w:val="0"/>
        <w:pageBreakBefore w:val="0"/>
        <w:kinsoku/>
        <w:wordWrap/>
        <w:overflowPunct/>
        <w:topLinePunct w:val="0"/>
        <w:bidi w:val="0"/>
        <w:adjustRightInd/>
        <w:snapToGri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kern w:val="0"/>
          <w:sz w:val="24"/>
          <w:szCs w:val="24"/>
          <w:lang w:val="en-US" w:eastAsia="zh-CN" w:bidi="zh-CN"/>
        </w:rPr>
        <w:t>（6）《关于促进残疾人就业政府采购政策的通知》财库〔2017〕141号；</w:t>
      </w:r>
    </w:p>
    <w:p w14:paraId="2BA123C2">
      <w:pPr>
        <w:pStyle w:val="30"/>
        <w:keepNext w:val="0"/>
        <w:keepLines w:val="0"/>
        <w:pageBreakBefore w:val="0"/>
        <w:kinsoku/>
        <w:wordWrap/>
        <w:overflowPunct/>
        <w:topLinePunct w:val="0"/>
        <w:bidi w:val="0"/>
        <w:adjustRightInd/>
        <w:snapToGri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kern w:val="0"/>
          <w:sz w:val="24"/>
          <w:szCs w:val="24"/>
          <w:lang w:val="en-US" w:eastAsia="zh-CN" w:bidi="zh-CN"/>
        </w:rPr>
        <w:t>（7）《关于调整优化节能产品、环境标志产品政府采购执行机制的通知》（财库〔2019〕9号）；</w:t>
      </w:r>
    </w:p>
    <w:p w14:paraId="016A7C4F">
      <w:pPr>
        <w:pStyle w:val="30"/>
        <w:keepNext w:val="0"/>
        <w:keepLines w:val="0"/>
        <w:pageBreakBefore w:val="0"/>
        <w:kinsoku/>
        <w:wordWrap/>
        <w:overflowPunct/>
        <w:topLinePunct w:val="0"/>
        <w:bidi w:val="0"/>
        <w:adjustRightInd/>
        <w:snapToGri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kern w:val="0"/>
          <w:sz w:val="24"/>
          <w:szCs w:val="24"/>
          <w:lang w:val="en-US" w:eastAsia="zh-CN" w:bidi="zh-CN"/>
        </w:rPr>
        <w:t>（8）《财政部农业农村部国家乡村振兴局关于运用政府采购政策支持乡村产业振兴的通知》（财库〔2021〕19号）；</w:t>
      </w:r>
    </w:p>
    <w:p w14:paraId="2890990D">
      <w:pPr>
        <w:pStyle w:val="30"/>
        <w:keepNext w:val="0"/>
        <w:keepLines w:val="0"/>
        <w:pageBreakBefore w:val="0"/>
        <w:kinsoku/>
        <w:wordWrap/>
        <w:overflowPunct/>
        <w:topLinePunct w:val="0"/>
        <w:bidi w:val="0"/>
        <w:adjustRightInd/>
        <w:snapToGri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kern w:val="0"/>
          <w:sz w:val="24"/>
          <w:szCs w:val="24"/>
          <w:lang w:val="en-US" w:eastAsia="zh-CN" w:bidi="zh-CN"/>
        </w:rPr>
        <w:t>（9）《陕西省中小企业政府采购信用融资办法》（陕财办采〔2018〕23号）；</w:t>
      </w:r>
    </w:p>
    <w:p w14:paraId="40F366DA">
      <w:pPr>
        <w:pStyle w:val="30"/>
        <w:keepNext w:val="0"/>
        <w:keepLines w:val="0"/>
        <w:pageBreakBefore w:val="0"/>
        <w:kinsoku/>
        <w:wordWrap/>
        <w:overflowPunct/>
        <w:topLinePunct w:val="0"/>
        <w:bidi w:val="0"/>
        <w:adjustRightInd/>
        <w:snapToGri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kern w:val="0"/>
          <w:sz w:val="24"/>
          <w:szCs w:val="24"/>
          <w:lang w:val="en-US" w:eastAsia="zh-CN" w:bidi="zh-CN"/>
        </w:rPr>
        <w:t>（10）《陕西省财政厅关于加快推进我省中小企业政府采购信用融资工作的通知》（陕财办采〔2020〕15号）；</w:t>
      </w:r>
    </w:p>
    <w:p w14:paraId="5DC86D9A">
      <w:pPr>
        <w:pStyle w:val="30"/>
        <w:keepNext w:val="0"/>
        <w:keepLines w:val="0"/>
        <w:pageBreakBefore w:val="0"/>
        <w:kinsoku/>
        <w:wordWrap/>
        <w:overflowPunct/>
        <w:topLinePunct w:val="0"/>
        <w:bidi w:val="0"/>
        <w:adjustRightInd/>
        <w:snapToGri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kern w:val="0"/>
          <w:sz w:val="24"/>
          <w:szCs w:val="24"/>
          <w:lang w:val="en-US" w:eastAsia="zh-CN" w:bidi="zh-CN"/>
        </w:rPr>
        <w:t>（11）陕西省财政厅《关于进一步加强政府绿色采购有关问题的通知》陕财办采〔2021〕29号。</w:t>
      </w:r>
    </w:p>
    <w:p w14:paraId="01050E31">
      <w:pPr>
        <w:keepNext w:val="0"/>
        <w:keepLines w:val="0"/>
        <w:pageBreakBefore w:val="0"/>
        <w:numPr>
          <w:ilvl w:val="0"/>
          <w:numId w:val="0"/>
        </w:numPr>
        <w:kinsoku/>
        <w:wordWrap/>
        <w:overflowPunct/>
        <w:topLinePunct w:val="0"/>
        <w:bidi w:val="0"/>
        <w:adjustRightInd/>
        <w:snapToGrid/>
        <w:spacing w:line="400" w:lineRule="exact"/>
        <w:ind w:left="0" w:leftChars="0" w:right="0" w:rightChars="0" w:firstLine="482" w:firstLineChars="200"/>
        <w:jc w:val="both"/>
        <w:textAlignment w:val="auto"/>
        <w:rPr>
          <w:rFonts w:hint="eastAsia" w:ascii="宋体" w:hAnsi="宋体" w:eastAsia="宋体" w:cs="宋体"/>
          <w:b/>
          <w:bCs/>
          <w:color w:val="auto"/>
          <w:kern w:val="0"/>
          <w:sz w:val="24"/>
          <w:szCs w:val="24"/>
          <w:lang w:val="en-US" w:eastAsia="zh-CN" w:bidi="zh-CN"/>
        </w:rPr>
      </w:pPr>
      <w:r>
        <w:rPr>
          <w:rFonts w:hint="eastAsia" w:ascii="宋体" w:hAnsi="宋体" w:eastAsia="宋体" w:cs="宋体"/>
          <w:b/>
          <w:bCs/>
          <w:color w:val="auto"/>
          <w:kern w:val="0"/>
          <w:sz w:val="24"/>
          <w:szCs w:val="24"/>
          <w:lang w:val="en-US" w:eastAsia="zh-CN" w:bidi="zh-CN"/>
        </w:rPr>
        <w:t>八、凡对本次采购提出询问，请按以下方式联系</w:t>
      </w:r>
      <w:bookmarkEnd w:id="51"/>
      <w:bookmarkEnd w:id="52"/>
      <w:bookmarkEnd w:id="53"/>
      <w:bookmarkEnd w:id="54"/>
    </w:p>
    <w:p w14:paraId="78CFC803">
      <w:pPr>
        <w:pStyle w:val="5"/>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rPr>
        <w:t>采购</w:t>
      </w:r>
      <w:r>
        <w:rPr>
          <w:rFonts w:hint="eastAsia" w:ascii="宋体" w:hAnsi="宋体" w:eastAsia="宋体" w:cs="宋体"/>
          <w:color w:val="auto"/>
          <w:sz w:val="24"/>
          <w:szCs w:val="24"/>
          <w:lang w:val="zh-CN"/>
        </w:rPr>
        <w:t>人信息</w:t>
      </w:r>
    </w:p>
    <w:p w14:paraId="38788881">
      <w:pPr>
        <w:pStyle w:val="5"/>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名称：</w:t>
      </w:r>
      <w:r>
        <w:rPr>
          <w:rFonts w:hint="eastAsia" w:ascii="宋体" w:hAnsi="宋体" w:cs="宋体"/>
          <w:color w:val="auto"/>
          <w:sz w:val="24"/>
          <w:szCs w:val="24"/>
          <w:lang w:val="en-US" w:eastAsia="zh-CN"/>
        </w:rPr>
        <w:t>镇坪县曙坪镇人民政府（本级）</w:t>
      </w:r>
    </w:p>
    <w:p w14:paraId="15E12C4C">
      <w:pPr>
        <w:pStyle w:val="5"/>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地址：</w:t>
      </w:r>
      <w:r>
        <w:rPr>
          <w:rFonts w:hint="eastAsia" w:ascii="宋体" w:hAnsi="宋体" w:cs="宋体"/>
          <w:color w:val="auto"/>
          <w:sz w:val="24"/>
          <w:szCs w:val="24"/>
          <w:lang w:val="en-US" w:eastAsia="zh-CN"/>
        </w:rPr>
        <w:t>镇坪县曙坪镇兴隆村三组</w:t>
      </w:r>
    </w:p>
    <w:p w14:paraId="01D645AC">
      <w:pPr>
        <w:pStyle w:val="5"/>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联系方式：</w:t>
      </w:r>
      <w:r>
        <w:rPr>
          <w:rFonts w:hint="eastAsia" w:ascii="宋体" w:hAnsi="宋体" w:cs="宋体"/>
          <w:color w:val="auto"/>
          <w:sz w:val="24"/>
          <w:szCs w:val="24"/>
          <w:lang w:val="zh-CN" w:eastAsia="zh-CN"/>
        </w:rPr>
        <w:t>13891570886</w:t>
      </w:r>
    </w:p>
    <w:p w14:paraId="5F953132">
      <w:pPr>
        <w:pStyle w:val="5"/>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2.采购代理机构信息</w:t>
      </w:r>
    </w:p>
    <w:p w14:paraId="49AD7DDF">
      <w:pPr>
        <w:pStyle w:val="5"/>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名称：陕西途恒工程管理服务有限公司</w:t>
      </w:r>
    </w:p>
    <w:p w14:paraId="6A6AEAEB">
      <w:pPr>
        <w:pStyle w:val="5"/>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地址：</w:t>
      </w:r>
      <w:r>
        <w:rPr>
          <w:rFonts w:hint="eastAsia" w:ascii="宋体" w:hAnsi="宋体" w:eastAsia="宋体" w:cs="宋体"/>
          <w:b w:val="0"/>
          <w:bCs w:val="0"/>
          <w:color w:val="auto"/>
          <w:sz w:val="24"/>
          <w:szCs w:val="24"/>
          <w:lang w:val="en-US" w:eastAsia="zh-CN"/>
        </w:rPr>
        <w:t>安康市高新区高新壹号院4栋2单元2004室</w:t>
      </w:r>
    </w:p>
    <w:p w14:paraId="5EF21C7D">
      <w:pPr>
        <w:pStyle w:val="5"/>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rPr>
        <w:t>联系方式：</w:t>
      </w:r>
      <w:r>
        <w:rPr>
          <w:rFonts w:hint="eastAsia" w:ascii="宋体" w:hAnsi="宋体" w:cs="宋体"/>
          <w:color w:val="auto"/>
          <w:sz w:val="24"/>
          <w:szCs w:val="24"/>
          <w:lang w:val="en-US" w:eastAsia="zh-CN"/>
        </w:rPr>
        <w:t>17609255885</w:t>
      </w:r>
    </w:p>
    <w:p w14:paraId="0598993F">
      <w:pPr>
        <w:pStyle w:val="5"/>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3.项目联系方式</w:t>
      </w:r>
    </w:p>
    <w:p w14:paraId="38EE326F">
      <w:pPr>
        <w:pStyle w:val="5"/>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项目联系人：</w:t>
      </w:r>
      <w:r>
        <w:rPr>
          <w:rFonts w:hint="eastAsia" w:ascii="宋体" w:hAnsi="宋体" w:cs="宋体"/>
          <w:color w:val="auto"/>
          <w:sz w:val="24"/>
          <w:szCs w:val="24"/>
          <w:lang w:val="en-US" w:eastAsia="zh-CN"/>
        </w:rPr>
        <w:t>曾行义</w:t>
      </w:r>
    </w:p>
    <w:p w14:paraId="18E643EA">
      <w:pPr>
        <w:pStyle w:val="5"/>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电话：</w:t>
      </w:r>
      <w:r>
        <w:rPr>
          <w:rFonts w:hint="eastAsia" w:ascii="宋体" w:hAnsi="宋体" w:cs="宋体"/>
          <w:color w:val="auto"/>
          <w:sz w:val="24"/>
          <w:szCs w:val="24"/>
          <w:lang w:val="en-US" w:eastAsia="zh-CN"/>
        </w:rPr>
        <w:t>17609255885</w:t>
      </w:r>
    </w:p>
    <w:p w14:paraId="5E1672F2">
      <w:pPr>
        <w:keepNext w:val="0"/>
        <w:keepLines w:val="0"/>
        <w:pageBreakBefore w:val="0"/>
        <w:kinsoku/>
        <w:wordWrap/>
        <w:overflowPunct/>
        <w:topLinePunct w:val="0"/>
        <w:bidi w:val="0"/>
        <w:adjustRightInd/>
        <w:snapToGrid/>
        <w:spacing w:line="400" w:lineRule="exact"/>
        <w:ind w:left="0" w:leftChars="0" w:right="0" w:rightChars="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陕西途恒工程管理服务有限公司</w:t>
      </w:r>
    </w:p>
    <w:p w14:paraId="2AF7324D">
      <w:pPr>
        <w:pStyle w:val="5"/>
        <w:keepNext w:val="0"/>
        <w:keepLines w:val="0"/>
        <w:pageBreakBefore w:val="0"/>
        <w:kinsoku/>
        <w:wordWrap/>
        <w:overflowPunct/>
        <w:topLinePunct w:val="0"/>
        <w:bidi w:val="0"/>
        <w:adjustRightInd/>
        <w:snapToGrid/>
        <w:spacing w:line="400" w:lineRule="exact"/>
        <w:ind w:left="0" w:leftChars="0" w:right="0" w:rightChars="0" w:firstLine="480" w:firstLineChars="2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2025年6月1</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日</w:t>
      </w:r>
    </w:p>
    <w:p w14:paraId="6CB9B039">
      <w:pPr>
        <w:bidi w:val="0"/>
        <w:jc w:val="right"/>
        <w:rPr>
          <w:rFonts w:hint="eastAsia"/>
          <w:color w:val="auto"/>
          <w:lang w:val="en-US" w:eastAsia="zh-CN"/>
        </w:rPr>
        <w:sectPr>
          <w:footerReference r:id="rId9" w:type="default"/>
          <w:pgSz w:w="11905" w:h="16838"/>
          <w:pgMar w:top="1134" w:right="1134" w:bottom="1020" w:left="1134" w:header="850" w:footer="567" w:gutter="0"/>
          <w:pgBorders>
            <w:top w:val="none" w:sz="0" w:space="0"/>
            <w:left w:val="none" w:sz="0" w:space="0"/>
            <w:bottom w:val="none" w:sz="0" w:space="0"/>
            <w:right w:val="none" w:sz="0" w:space="0"/>
          </w:pgBorders>
          <w:pgNumType w:fmt="decimal" w:start="1"/>
          <w:cols w:space="0" w:num="1"/>
          <w:rtlGutter w:val="0"/>
          <w:docGrid w:type="lines" w:linePitch="397" w:charSpace="0"/>
        </w:sectPr>
      </w:pPr>
    </w:p>
    <w:p w14:paraId="22684E4C">
      <w:pPr>
        <w:bidi w:val="0"/>
        <w:jc w:val="center"/>
        <w:rPr>
          <w:rFonts w:hint="eastAsia" w:ascii="宋体" w:hAnsi="宋体" w:eastAsia="宋体" w:cs="宋体"/>
          <w:b/>
          <w:bCs/>
          <w:color w:val="auto"/>
          <w:sz w:val="32"/>
          <w:szCs w:val="32"/>
          <w:lang w:val="en-US" w:eastAsia="zh-CN"/>
        </w:rPr>
      </w:pPr>
      <w:bookmarkStart w:id="55" w:name="_Toc27599"/>
      <w:r>
        <w:rPr>
          <w:rFonts w:hint="eastAsia" w:ascii="宋体" w:hAnsi="宋体" w:eastAsia="宋体" w:cs="宋体"/>
          <w:b/>
          <w:bCs/>
          <w:color w:val="auto"/>
          <w:sz w:val="32"/>
          <w:szCs w:val="32"/>
          <w:lang w:val="en-US" w:eastAsia="zh-CN"/>
        </w:rPr>
        <w:t>第二章  供应商须知</w:t>
      </w:r>
      <w:bookmarkEnd w:id="21"/>
      <w:bookmarkEnd w:id="22"/>
      <w:bookmarkEnd w:id="23"/>
      <w:bookmarkEnd w:id="24"/>
      <w:bookmarkEnd w:id="25"/>
      <w:bookmarkEnd w:id="26"/>
      <w:bookmarkEnd w:id="27"/>
      <w:bookmarkEnd w:id="28"/>
      <w:bookmarkEnd w:id="55"/>
    </w:p>
    <w:p w14:paraId="5C9D17B5">
      <w:pPr>
        <w:keepNext w:val="0"/>
        <w:keepLines w:val="0"/>
        <w:pageBreakBefore w:val="0"/>
        <w:widowControl/>
        <w:kinsoku/>
        <w:wordWrap/>
        <w:overflowPunct/>
        <w:topLinePunct w:val="0"/>
        <w:autoSpaceDE/>
        <w:autoSpaceDN/>
        <w:bidi w:val="0"/>
        <w:adjustRightInd/>
        <w:snapToGrid/>
        <w:spacing w:after="196" w:afterLines="50" w:line="460" w:lineRule="exact"/>
        <w:jc w:val="center"/>
        <w:textAlignment w:val="auto"/>
        <w:rPr>
          <w:rFonts w:ascii="宋体" w:hAnsi="宋体" w:eastAsia="宋体"/>
          <w:b/>
          <w:bCs/>
          <w:color w:val="auto"/>
          <w:kern w:val="44"/>
          <w:sz w:val="32"/>
          <w:szCs w:val="32"/>
        </w:rPr>
      </w:pPr>
      <w:r>
        <w:rPr>
          <w:rFonts w:hint="eastAsia" w:ascii="宋体" w:hAnsi="宋体" w:eastAsia="宋体"/>
          <w:b/>
          <w:bCs/>
          <w:color w:val="auto"/>
          <w:kern w:val="44"/>
          <w:sz w:val="32"/>
          <w:szCs w:val="32"/>
        </w:rPr>
        <w:t>须知前附表</w:t>
      </w:r>
    </w:p>
    <w:tbl>
      <w:tblPr>
        <w:tblStyle w:val="35"/>
        <w:tblW w:w="9598" w:type="dxa"/>
        <w:jc w:val="center"/>
        <w:tblLayout w:type="fixed"/>
        <w:tblCellMar>
          <w:top w:w="0" w:type="dxa"/>
          <w:left w:w="108" w:type="dxa"/>
          <w:bottom w:w="0" w:type="dxa"/>
          <w:right w:w="108" w:type="dxa"/>
        </w:tblCellMar>
      </w:tblPr>
      <w:tblGrid>
        <w:gridCol w:w="705"/>
        <w:gridCol w:w="1703"/>
        <w:gridCol w:w="7190"/>
      </w:tblGrid>
      <w:tr w14:paraId="32C42C83">
        <w:tblPrEx>
          <w:tblCellMar>
            <w:top w:w="0" w:type="dxa"/>
            <w:left w:w="108" w:type="dxa"/>
            <w:bottom w:w="0" w:type="dxa"/>
            <w:right w:w="108" w:type="dxa"/>
          </w:tblCellMar>
        </w:tblPrEx>
        <w:trPr>
          <w:trHeight w:val="23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C3ED6E7">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703" w:type="dxa"/>
            <w:tcBorders>
              <w:top w:val="single" w:color="000000" w:sz="4" w:space="0"/>
              <w:left w:val="nil"/>
              <w:bottom w:val="single" w:color="000000" w:sz="4" w:space="0"/>
              <w:right w:val="single" w:color="auto" w:sz="4" w:space="0"/>
            </w:tcBorders>
            <w:vAlign w:val="center"/>
          </w:tcPr>
          <w:p w14:paraId="53E4A2E5">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w:t>
            </w:r>
          </w:p>
        </w:tc>
        <w:tc>
          <w:tcPr>
            <w:tcW w:w="7190" w:type="dxa"/>
            <w:tcBorders>
              <w:top w:val="single" w:color="000000" w:sz="4" w:space="0"/>
              <w:left w:val="single" w:color="auto" w:sz="4" w:space="0"/>
              <w:bottom w:val="single" w:color="000000" w:sz="4" w:space="0"/>
              <w:right w:val="single" w:color="000000" w:sz="4" w:space="0"/>
            </w:tcBorders>
            <w:vAlign w:val="center"/>
          </w:tcPr>
          <w:p w14:paraId="0925A3DA">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编列内容</w:t>
            </w:r>
          </w:p>
        </w:tc>
      </w:tr>
      <w:tr w14:paraId="28F9A291">
        <w:tblPrEx>
          <w:tblCellMar>
            <w:top w:w="0" w:type="dxa"/>
            <w:left w:w="108" w:type="dxa"/>
            <w:bottom w:w="0" w:type="dxa"/>
            <w:right w:w="108" w:type="dxa"/>
          </w:tblCellMar>
        </w:tblPrEx>
        <w:trPr>
          <w:trHeight w:val="63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2680242A">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rPr>
            </w:pPr>
          </w:p>
        </w:tc>
        <w:tc>
          <w:tcPr>
            <w:tcW w:w="1703" w:type="dxa"/>
            <w:tcBorders>
              <w:top w:val="single" w:color="000000" w:sz="4" w:space="0"/>
              <w:left w:val="nil"/>
              <w:bottom w:val="single" w:color="000000" w:sz="4" w:space="0"/>
              <w:right w:val="single" w:color="auto" w:sz="4" w:space="0"/>
            </w:tcBorders>
            <w:vAlign w:val="center"/>
          </w:tcPr>
          <w:p w14:paraId="0E810A6D">
            <w:pPr>
              <w:keepNext w:val="0"/>
              <w:keepLines w:val="0"/>
              <w:pageBreakBefore w:val="0"/>
              <w:widowControl/>
              <w:suppressLineNumbers w:val="0"/>
              <w:kinsoku/>
              <w:wordWrap/>
              <w:topLinePunct w:val="0"/>
              <w:bidi w:val="0"/>
              <w:spacing w:before="0" w:beforeAutospacing="0" w:after="0" w:afterAutospacing="0" w:line="460" w:lineRule="exact"/>
              <w:ind w:left="19" w:right="0" w:hanging="19"/>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采购人</w:t>
            </w:r>
          </w:p>
        </w:tc>
        <w:tc>
          <w:tcPr>
            <w:tcW w:w="7190" w:type="dxa"/>
            <w:tcBorders>
              <w:top w:val="single" w:color="000000" w:sz="4" w:space="0"/>
              <w:left w:val="single" w:color="auto" w:sz="4" w:space="0"/>
              <w:bottom w:val="single" w:color="000000" w:sz="4" w:space="0"/>
              <w:right w:val="single" w:color="000000" w:sz="4" w:space="0"/>
            </w:tcBorders>
            <w:vAlign w:val="center"/>
          </w:tcPr>
          <w:p w14:paraId="7C76A8FD">
            <w:pPr>
              <w:keepNext w:val="0"/>
              <w:keepLines w:val="0"/>
              <w:pageBreakBefore w:val="0"/>
              <w:widowControl/>
              <w:suppressLineNumbers w:val="0"/>
              <w:kinsoku/>
              <w:wordWrap/>
              <w:topLinePunct w:val="0"/>
              <w:bidi w:val="0"/>
              <w:spacing w:before="0" w:beforeAutospacing="0" w:after="0" w:afterAutospacing="0" w:line="460" w:lineRule="exact"/>
              <w:ind w:left="19" w:right="0" w:hanging="19"/>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镇坪县曙坪镇人民政府（本级）</w:t>
            </w:r>
          </w:p>
        </w:tc>
      </w:tr>
      <w:tr w14:paraId="4562C7C9">
        <w:tblPrEx>
          <w:tblCellMar>
            <w:top w:w="0" w:type="dxa"/>
            <w:left w:w="108" w:type="dxa"/>
            <w:bottom w:w="0" w:type="dxa"/>
            <w:right w:w="108" w:type="dxa"/>
          </w:tblCellMar>
        </w:tblPrEx>
        <w:trPr>
          <w:trHeight w:val="31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06FCEF15">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rPr>
            </w:pPr>
          </w:p>
        </w:tc>
        <w:tc>
          <w:tcPr>
            <w:tcW w:w="1703" w:type="dxa"/>
            <w:tcBorders>
              <w:top w:val="single" w:color="000000" w:sz="4" w:space="0"/>
              <w:left w:val="nil"/>
              <w:bottom w:val="single" w:color="000000" w:sz="4" w:space="0"/>
              <w:right w:val="single" w:color="auto" w:sz="4" w:space="0"/>
            </w:tcBorders>
            <w:vAlign w:val="center"/>
          </w:tcPr>
          <w:p w14:paraId="5746069E">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采购代理机构</w:t>
            </w:r>
          </w:p>
        </w:tc>
        <w:tc>
          <w:tcPr>
            <w:tcW w:w="7190" w:type="dxa"/>
            <w:tcBorders>
              <w:top w:val="single" w:color="000000" w:sz="4" w:space="0"/>
              <w:left w:val="single" w:color="auto" w:sz="4" w:space="0"/>
              <w:bottom w:val="single" w:color="000000" w:sz="4" w:space="0"/>
              <w:right w:val="single" w:color="000000" w:sz="4" w:space="0"/>
            </w:tcBorders>
            <w:vAlign w:val="center"/>
          </w:tcPr>
          <w:p w14:paraId="1779F4C0">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lang w:val="en-US" w:eastAsia="zh-CN"/>
              </w:rPr>
              <w:t>陕西途恒工程管理服务有限公司</w:t>
            </w:r>
          </w:p>
        </w:tc>
      </w:tr>
      <w:tr w14:paraId="5ABECDF6">
        <w:tblPrEx>
          <w:tblCellMar>
            <w:top w:w="0" w:type="dxa"/>
            <w:left w:w="108" w:type="dxa"/>
            <w:bottom w:w="0" w:type="dxa"/>
            <w:right w:w="108" w:type="dxa"/>
          </w:tblCellMar>
        </w:tblPrEx>
        <w:trPr>
          <w:trHeight w:val="734"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22E94A7A">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rPr>
            </w:pPr>
          </w:p>
        </w:tc>
        <w:tc>
          <w:tcPr>
            <w:tcW w:w="1703" w:type="dxa"/>
            <w:tcBorders>
              <w:top w:val="single" w:color="000000" w:sz="4" w:space="0"/>
              <w:left w:val="nil"/>
              <w:bottom w:val="single" w:color="auto" w:sz="4" w:space="0"/>
              <w:right w:val="single" w:color="auto" w:sz="4" w:space="0"/>
            </w:tcBorders>
            <w:vAlign w:val="center"/>
          </w:tcPr>
          <w:p w14:paraId="2D38B796">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highlight w:val="red"/>
              </w:rPr>
            </w:pPr>
            <w:r>
              <w:rPr>
                <w:rFonts w:hint="eastAsia" w:ascii="宋体" w:hAnsi="宋体" w:eastAsia="宋体" w:cs="宋体"/>
                <w:color w:val="auto"/>
                <w:kern w:val="0"/>
                <w:sz w:val="24"/>
                <w:szCs w:val="24"/>
                <w:highlight w:val="none"/>
              </w:rPr>
              <w:t>项目名称</w:t>
            </w:r>
          </w:p>
        </w:tc>
        <w:tc>
          <w:tcPr>
            <w:tcW w:w="7190" w:type="dxa"/>
            <w:tcBorders>
              <w:top w:val="single" w:color="000000" w:sz="4" w:space="0"/>
              <w:left w:val="single" w:color="auto" w:sz="4" w:space="0"/>
              <w:bottom w:val="single" w:color="000000" w:sz="4" w:space="0"/>
              <w:right w:val="single" w:color="000000" w:sz="4" w:space="0"/>
            </w:tcBorders>
            <w:vAlign w:val="center"/>
          </w:tcPr>
          <w:p w14:paraId="4CF89E5A">
            <w:pPr>
              <w:keepNext w:val="0"/>
              <w:keepLines w:val="0"/>
              <w:pageBreakBefore w:val="0"/>
              <w:widowControl/>
              <w:suppressLineNumbers w:val="0"/>
              <w:kinsoku/>
              <w:wordWrap/>
              <w:topLinePunct w:val="0"/>
              <w:bidi w:val="0"/>
              <w:spacing w:before="0" w:beforeAutospacing="0" w:after="0" w:afterAutospacing="0" w:line="460" w:lineRule="exact"/>
              <w:ind w:left="19" w:right="0" w:hanging="19"/>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shd w:val="clear" w:color="auto" w:fill="FFFFFF"/>
                <w:lang w:val="en-US" w:eastAsia="zh-CN" w:bidi="zh-CN"/>
              </w:rPr>
              <w:t>兴隆村旅游设施配套项目监理费</w:t>
            </w:r>
          </w:p>
        </w:tc>
      </w:tr>
      <w:tr w14:paraId="28D7FF6E">
        <w:tblPrEx>
          <w:tblCellMar>
            <w:top w:w="0" w:type="dxa"/>
            <w:left w:w="108" w:type="dxa"/>
            <w:bottom w:w="0" w:type="dxa"/>
            <w:right w:w="108" w:type="dxa"/>
          </w:tblCellMar>
        </w:tblPrEx>
        <w:trPr>
          <w:trHeight w:val="629" w:hRule="atLeast"/>
          <w:jc w:val="center"/>
        </w:trPr>
        <w:tc>
          <w:tcPr>
            <w:tcW w:w="705" w:type="dxa"/>
            <w:tcBorders>
              <w:top w:val="single" w:color="auto" w:sz="4" w:space="0"/>
              <w:left w:val="single" w:color="000000" w:sz="4" w:space="0"/>
              <w:right w:val="single" w:color="000000" w:sz="4" w:space="0"/>
            </w:tcBorders>
            <w:vAlign w:val="center"/>
          </w:tcPr>
          <w:p w14:paraId="1D61A24F">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rPr>
            </w:pPr>
          </w:p>
        </w:tc>
        <w:tc>
          <w:tcPr>
            <w:tcW w:w="1703" w:type="dxa"/>
            <w:tcBorders>
              <w:top w:val="single" w:color="auto" w:sz="4" w:space="0"/>
              <w:left w:val="nil"/>
              <w:right w:val="single" w:color="auto" w:sz="4" w:space="0"/>
            </w:tcBorders>
            <w:vAlign w:val="center"/>
          </w:tcPr>
          <w:p w14:paraId="4EC03253">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highlight w:val="red"/>
                <w:lang w:eastAsia="zh-CN"/>
              </w:rPr>
            </w:pPr>
            <w:r>
              <w:rPr>
                <w:rFonts w:hint="eastAsia" w:ascii="宋体" w:hAnsi="宋体" w:eastAsia="宋体" w:cs="宋体"/>
                <w:color w:val="auto"/>
                <w:kern w:val="0"/>
                <w:sz w:val="24"/>
                <w:szCs w:val="24"/>
                <w:highlight w:val="none"/>
                <w:lang w:eastAsia="zh-CN"/>
              </w:rPr>
              <w:t>预算金额</w:t>
            </w:r>
          </w:p>
        </w:tc>
        <w:tc>
          <w:tcPr>
            <w:tcW w:w="7190" w:type="dxa"/>
            <w:tcBorders>
              <w:top w:val="single" w:color="000000" w:sz="4" w:space="0"/>
              <w:left w:val="single" w:color="auto" w:sz="4" w:space="0"/>
              <w:right w:val="single" w:color="000000" w:sz="4" w:space="0"/>
            </w:tcBorders>
            <w:vAlign w:val="center"/>
          </w:tcPr>
          <w:p w14:paraId="7217FB5D">
            <w:pPr>
              <w:keepNext w:val="0"/>
              <w:keepLines w:val="0"/>
              <w:pageBreakBefore w:val="0"/>
              <w:widowControl/>
              <w:suppressLineNumbers w:val="0"/>
              <w:kinsoku/>
              <w:wordWrap/>
              <w:topLinePunct w:val="0"/>
              <w:bidi w:val="0"/>
              <w:spacing w:before="0" w:beforeAutospacing="0" w:after="0" w:afterAutospacing="0" w:line="460" w:lineRule="exact"/>
              <w:ind w:left="19" w:right="0" w:hanging="19"/>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13万元</w:t>
            </w:r>
          </w:p>
        </w:tc>
      </w:tr>
      <w:tr w14:paraId="77E0478A">
        <w:tblPrEx>
          <w:tblCellMar>
            <w:top w:w="0" w:type="dxa"/>
            <w:left w:w="108" w:type="dxa"/>
            <w:bottom w:w="0" w:type="dxa"/>
            <w:right w:w="108" w:type="dxa"/>
          </w:tblCellMar>
        </w:tblPrEx>
        <w:trPr>
          <w:trHeight w:val="504"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355E8066">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rPr>
            </w:pPr>
          </w:p>
        </w:tc>
        <w:tc>
          <w:tcPr>
            <w:tcW w:w="1703" w:type="dxa"/>
            <w:tcBorders>
              <w:top w:val="single" w:color="000000" w:sz="4" w:space="0"/>
              <w:left w:val="nil"/>
              <w:bottom w:val="single" w:color="000000" w:sz="4" w:space="0"/>
              <w:right w:val="single" w:color="auto" w:sz="4" w:space="0"/>
            </w:tcBorders>
            <w:vAlign w:val="center"/>
          </w:tcPr>
          <w:p w14:paraId="6BFA4A45">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投标报价</w:t>
            </w:r>
          </w:p>
        </w:tc>
        <w:tc>
          <w:tcPr>
            <w:tcW w:w="7190" w:type="dxa"/>
            <w:tcBorders>
              <w:top w:val="single" w:color="000000" w:sz="4" w:space="0"/>
              <w:left w:val="single" w:color="auto" w:sz="4" w:space="0"/>
              <w:bottom w:val="single" w:color="000000" w:sz="4" w:space="0"/>
              <w:right w:val="single" w:color="000000" w:sz="4" w:space="0"/>
            </w:tcBorders>
            <w:vAlign w:val="center"/>
          </w:tcPr>
          <w:p w14:paraId="69351807">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1、投标人所报的价格应考虑到可能发生的所有与完成本项目相关服务及履行合同义务有关的一切费用。</w:t>
            </w:r>
          </w:p>
          <w:p w14:paraId="462BB1A0">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2、投标人必须对所投项目进行完整报价，不接受（将拒绝）只对部分</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进行报价的投标。</w:t>
            </w:r>
          </w:p>
        </w:tc>
      </w:tr>
      <w:tr w14:paraId="1A63A184">
        <w:tblPrEx>
          <w:tblCellMar>
            <w:top w:w="0" w:type="dxa"/>
            <w:left w:w="108" w:type="dxa"/>
            <w:bottom w:w="0" w:type="dxa"/>
            <w:right w:w="108" w:type="dxa"/>
          </w:tblCellMar>
        </w:tblPrEx>
        <w:trPr>
          <w:trHeight w:val="28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2D2A8D5">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rPr>
            </w:pPr>
          </w:p>
        </w:tc>
        <w:tc>
          <w:tcPr>
            <w:tcW w:w="1703" w:type="dxa"/>
            <w:tcBorders>
              <w:top w:val="single" w:color="000000" w:sz="4" w:space="0"/>
              <w:left w:val="single" w:color="auto" w:sz="4" w:space="0"/>
              <w:bottom w:val="single" w:color="auto" w:sz="4" w:space="0"/>
              <w:right w:val="single" w:color="auto" w:sz="4" w:space="0"/>
            </w:tcBorders>
            <w:vAlign w:val="center"/>
          </w:tcPr>
          <w:p w14:paraId="106B22AF">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red"/>
                <w:lang w:val="en-US"/>
              </w:rPr>
            </w:pPr>
            <w:r>
              <w:rPr>
                <w:rFonts w:hint="eastAsia" w:ascii="宋体" w:hAnsi="宋体" w:eastAsia="宋体" w:cs="宋体"/>
                <w:color w:val="auto"/>
                <w:sz w:val="24"/>
                <w:szCs w:val="24"/>
                <w:highlight w:val="none"/>
                <w:lang w:val="en-US" w:eastAsia="zh-CN"/>
              </w:rPr>
              <w:t>合同履行期限</w:t>
            </w:r>
          </w:p>
        </w:tc>
        <w:tc>
          <w:tcPr>
            <w:tcW w:w="7190" w:type="dxa"/>
            <w:tcBorders>
              <w:top w:val="single" w:color="000000" w:sz="4" w:space="0"/>
              <w:left w:val="single" w:color="auto" w:sz="4" w:space="0"/>
              <w:bottom w:val="single" w:color="auto" w:sz="4" w:space="0"/>
              <w:right w:val="single" w:color="000000" w:sz="4" w:space="0"/>
            </w:tcBorders>
            <w:vAlign w:val="center"/>
          </w:tcPr>
          <w:p w14:paraId="11647311">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default" w:ascii="宋体" w:hAnsi="宋体" w:eastAsia="宋体" w:cs="宋体"/>
                <w:color w:val="auto"/>
                <w:sz w:val="24"/>
                <w:szCs w:val="24"/>
                <w:highlight w:val="red"/>
                <w:lang w:val="en-US" w:eastAsia="zh-CN"/>
              </w:rPr>
            </w:pPr>
            <w:r>
              <w:rPr>
                <w:rFonts w:hint="eastAsia" w:ascii="宋体" w:hAnsi="宋体" w:eastAsia="宋体" w:cs="宋体"/>
                <w:color w:val="auto"/>
                <w:sz w:val="24"/>
                <w:szCs w:val="24"/>
                <w:lang w:val="en-US" w:eastAsia="zh-CN"/>
              </w:rPr>
              <w:t>从监理合同签订之日起至工程竣工验收合格及工程缺陷责任期满为止。</w:t>
            </w:r>
          </w:p>
        </w:tc>
      </w:tr>
      <w:tr w14:paraId="78BA4F9A">
        <w:tblPrEx>
          <w:tblCellMar>
            <w:top w:w="0" w:type="dxa"/>
            <w:left w:w="108" w:type="dxa"/>
            <w:bottom w:w="0" w:type="dxa"/>
            <w:right w:w="108" w:type="dxa"/>
          </w:tblCellMar>
        </w:tblPrEx>
        <w:trPr>
          <w:trHeight w:val="570" w:hRule="atLeast"/>
          <w:jc w:val="center"/>
        </w:trPr>
        <w:tc>
          <w:tcPr>
            <w:tcW w:w="705" w:type="dxa"/>
            <w:tcBorders>
              <w:top w:val="single" w:color="auto" w:sz="4" w:space="0"/>
              <w:left w:val="single" w:color="000000" w:sz="4" w:space="0"/>
              <w:bottom w:val="single" w:color="000000" w:sz="4" w:space="0"/>
              <w:right w:val="single" w:color="000000" w:sz="4" w:space="0"/>
            </w:tcBorders>
            <w:vAlign w:val="center"/>
          </w:tcPr>
          <w:p w14:paraId="29ED434A">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03" w:type="dxa"/>
            <w:tcBorders>
              <w:top w:val="single" w:color="000000" w:sz="4" w:space="0"/>
              <w:left w:val="nil"/>
              <w:bottom w:val="single" w:color="000000" w:sz="4" w:space="0"/>
              <w:right w:val="single" w:color="auto" w:sz="4" w:space="0"/>
            </w:tcBorders>
            <w:vAlign w:val="center"/>
          </w:tcPr>
          <w:p w14:paraId="645D3977">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付款方式</w:t>
            </w:r>
          </w:p>
        </w:tc>
        <w:tc>
          <w:tcPr>
            <w:tcW w:w="7190" w:type="dxa"/>
            <w:tcBorders>
              <w:top w:val="single" w:color="000000" w:sz="4" w:space="0"/>
              <w:left w:val="single" w:color="auto" w:sz="4" w:space="0"/>
              <w:bottom w:val="single" w:color="000000" w:sz="4" w:space="0"/>
              <w:right w:val="single" w:color="000000" w:sz="4" w:space="0"/>
            </w:tcBorders>
            <w:vAlign w:val="center"/>
          </w:tcPr>
          <w:p w14:paraId="4DBFAB31">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成交后，双方合同约定</w:t>
            </w:r>
            <w:r>
              <w:rPr>
                <w:rFonts w:hint="eastAsia" w:ascii="宋体" w:hAnsi="宋体" w:eastAsia="宋体" w:cs="宋体"/>
                <w:color w:val="auto"/>
                <w:sz w:val="24"/>
                <w:szCs w:val="24"/>
                <w:highlight w:val="none"/>
              </w:rPr>
              <w:t>。</w:t>
            </w:r>
          </w:p>
        </w:tc>
      </w:tr>
      <w:tr w14:paraId="30FADBD9">
        <w:tblPrEx>
          <w:tblCellMar>
            <w:top w:w="0" w:type="dxa"/>
            <w:left w:w="108" w:type="dxa"/>
            <w:bottom w:w="0" w:type="dxa"/>
            <w:right w:w="108" w:type="dxa"/>
          </w:tblCellMar>
        </w:tblPrEx>
        <w:trPr>
          <w:trHeight w:val="37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DACF6C9">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lang w:eastAsia="zh-CN"/>
              </w:rPr>
            </w:pPr>
          </w:p>
        </w:tc>
        <w:tc>
          <w:tcPr>
            <w:tcW w:w="1703" w:type="dxa"/>
            <w:tcBorders>
              <w:top w:val="single" w:color="000000" w:sz="4" w:space="0"/>
              <w:left w:val="nil"/>
              <w:bottom w:val="single" w:color="000000" w:sz="4" w:space="0"/>
              <w:right w:val="single" w:color="auto" w:sz="4" w:space="0"/>
            </w:tcBorders>
            <w:vAlign w:val="center"/>
          </w:tcPr>
          <w:p w14:paraId="115CFD4A">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投标有效期</w:t>
            </w:r>
          </w:p>
        </w:tc>
        <w:tc>
          <w:tcPr>
            <w:tcW w:w="7190" w:type="dxa"/>
            <w:tcBorders>
              <w:top w:val="single" w:color="000000" w:sz="4" w:space="0"/>
              <w:left w:val="single" w:color="auto" w:sz="4" w:space="0"/>
              <w:bottom w:val="single" w:color="000000" w:sz="4" w:space="0"/>
              <w:right w:val="single" w:color="000000" w:sz="4" w:space="0"/>
            </w:tcBorders>
            <w:vAlign w:val="center"/>
          </w:tcPr>
          <w:p w14:paraId="1534D541">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投标文件递交截止时间起算，投标有效期为90日历天。</w:t>
            </w:r>
          </w:p>
        </w:tc>
      </w:tr>
      <w:tr w14:paraId="76B465F1">
        <w:tblPrEx>
          <w:tblCellMar>
            <w:top w:w="0" w:type="dxa"/>
            <w:left w:w="108" w:type="dxa"/>
            <w:bottom w:w="0" w:type="dxa"/>
            <w:right w:w="108" w:type="dxa"/>
          </w:tblCellMar>
        </w:tblPrEx>
        <w:trPr>
          <w:trHeight w:val="539"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43C64CE">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03" w:type="dxa"/>
            <w:tcBorders>
              <w:top w:val="single" w:color="000000" w:sz="4" w:space="0"/>
              <w:left w:val="single" w:color="000000" w:sz="4" w:space="0"/>
              <w:bottom w:val="single" w:color="000000" w:sz="4" w:space="0"/>
              <w:right w:val="single" w:color="000000" w:sz="4" w:space="0"/>
            </w:tcBorders>
            <w:vAlign w:val="center"/>
          </w:tcPr>
          <w:p w14:paraId="16416E06">
            <w:pPr>
              <w:keepNext w:val="0"/>
              <w:keepLines w:val="0"/>
              <w:pageBreakBefore w:val="0"/>
              <w:widowControl w:val="0"/>
              <w:suppressLineNumbers w:val="0"/>
              <w:tabs>
                <w:tab w:val="center" w:pos="4153"/>
                <w:tab w:val="right" w:pos="8306"/>
              </w:tabs>
              <w:kinsoku/>
              <w:wordWrap/>
              <w:topLinePunct w:val="0"/>
              <w:bidi w:val="0"/>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资格证明文件</w:t>
            </w:r>
          </w:p>
        </w:tc>
        <w:tc>
          <w:tcPr>
            <w:tcW w:w="7190" w:type="dxa"/>
            <w:tcBorders>
              <w:top w:val="single" w:color="000000" w:sz="4" w:space="0"/>
              <w:left w:val="single" w:color="000000" w:sz="4" w:space="0"/>
              <w:bottom w:val="single" w:color="000000" w:sz="4" w:space="0"/>
              <w:right w:val="single" w:color="000000" w:sz="4" w:space="0"/>
            </w:tcBorders>
            <w:vAlign w:val="center"/>
          </w:tcPr>
          <w:p w14:paraId="167AC763">
            <w:pPr>
              <w:pStyle w:val="4"/>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400" w:lineRule="exact"/>
              <w:ind w:left="0" w:leftChars="0" w:right="0" w:rightChars="0"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kern w:val="2"/>
                <w:sz w:val="24"/>
                <w:szCs w:val="24"/>
                <w:shd w:val="clear" w:fill="FFFFFF"/>
                <w:lang w:val="en-US" w:eastAsia="zh-CN" w:bidi="ar-SA"/>
              </w:rPr>
              <w:t>（1）</w:t>
            </w:r>
            <w:r>
              <w:rPr>
                <w:rFonts w:hint="eastAsia" w:asciiTheme="minorEastAsia" w:hAnsiTheme="minorEastAsia" w:eastAsiaTheme="minorEastAsia" w:cstheme="minorEastAsia"/>
                <w:b w:val="0"/>
                <w:bCs w:val="0"/>
                <w:i w:val="0"/>
                <w:iCs w:val="0"/>
                <w:caps w:val="0"/>
                <w:color w:val="auto"/>
                <w:spacing w:val="0"/>
                <w:sz w:val="24"/>
                <w:szCs w:val="24"/>
                <w:shd w:val="clear" w:fill="FFFFFF"/>
              </w:rPr>
              <w:t>具有独立承担民事责任的能力，提供营业执照、税务登记证、组织机构代码证或登载有统一社会信用代码的营业执照（或《事业单位法人证书》或其他合法组织登记证书）； </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auto"/>
                <w:spacing w:val="0"/>
                <w:sz w:val="24"/>
                <w:szCs w:val="24"/>
                <w:shd w:val="clear" w:fill="FFFFFF"/>
              </w:rPr>
              <w:t>（2）供应商法定代表人授权委托书、被授权人身份证（法定代表人直接参加，只须提交其身份证）。</w:t>
            </w:r>
          </w:p>
          <w:p w14:paraId="178E0985">
            <w:pPr>
              <w:pStyle w:val="4"/>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400" w:lineRule="exact"/>
              <w:ind w:left="560" w:leftChars="200" w:right="0" w:rightChars="0"/>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3）供应商须具备建设行政主管部门或交通运输主管部门颁发的监理综合资质或公路工程专业乙级（含乙级）以上监理资质,并在人员、设备、资金等方面具备相应的监理能力；拟派项目总监理工程师须具备公路工程专业国家注册监理工程师执业资格；</w:t>
            </w:r>
          </w:p>
          <w:p w14:paraId="238BC3CF">
            <w:pPr>
              <w:pStyle w:val="4"/>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400" w:lineRule="exact"/>
              <w:ind w:left="560" w:leftChars="200" w:right="0" w:rightChars="0"/>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（4）财务状况报告：提供2023年或2024年度经审计完整的财务报告(成立时间至提交磋商响应文件截止时间不足年的可提供成立后任意时段的资产负债表)或其开标前三个月内银行出具的资信证明；</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（5）依法缴纳税收和社会保障资金的良好记录【投标人提供2024年</w:t>
            </w: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6</w:t>
            </w:r>
            <w:r>
              <w:rPr>
                <w:rFonts w:hint="eastAsia" w:asciiTheme="minorEastAsia" w:hAnsiTheme="minorEastAsia" w:eastAsiaTheme="minorEastAsia" w:cstheme="minorEastAsia"/>
                <w:b w:val="0"/>
                <w:bCs w:val="0"/>
                <w:i w:val="0"/>
                <w:iCs w:val="0"/>
                <w:caps w:val="0"/>
                <w:color w:val="auto"/>
                <w:spacing w:val="0"/>
                <w:sz w:val="24"/>
                <w:szCs w:val="24"/>
                <w:shd w:val="clear" w:fill="FFFFFF"/>
              </w:rPr>
              <w:t>月至今</w:t>
            </w: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任意1</w:t>
            </w:r>
            <w:r>
              <w:rPr>
                <w:rFonts w:hint="eastAsia" w:asciiTheme="minorEastAsia" w:hAnsiTheme="minorEastAsia" w:eastAsiaTheme="minorEastAsia" w:cstheme="minorEastAsia"/>
                <w:b w:val="0"/>
                <w:bCs w:val="0"/>
                <w:i w:val="0"/>
                <w:iCs w:val="0"/>
                <w:caps w:val="0"/>
                <w:color w:val="auto"/>
                <w:spacing w:val="0"/>
                <w:sz w:val="24"/>
                <w:szCs w:val="24"/>
                <w:shd w:val="clear" w:fill="FFFFFF"/>
              </w:rPr>
              <w:t>个月的完税证明（依法免税的投标人应提供相关文件证明）和社保缴纳证明（专用收据或社会保险缴纳清单或参保缴费证明，依法不需要缴纳社会保障资金的投标人应提供相关文件证明）】；</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（6）参加政府采购活动近3年内在经营活动中没有重大违法记录，以及未被列入失信被执行人、重大税收违法案件当事人名单、政府采购严重违法失信行为记录名单的书面声明。</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（7）具有履行合同所必需的设备和专业技术能力的书面声明；</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8）通过“信用中国”网站(www.creditchina.gov.cn)、中国政府采购网(www.ccgp.gov.cn)等渠道查询相关主体无失信记录（评审小组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 查询结果为准。</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9）本项目为专门面向中小企业项目，供应商应为中型企业或小型、微型企业或监狱企业或残疾人福利性单位。供应商为中小企业的，提供《中小企业声明函》；本项目采购标的对应的中小企业划分标准所属行业为：其他未列明行业；供应商为监狱企业的，应提供监狱企业的证明文件；供应商为残疾人福利性单位的，应提供《残疾人福利性单位声明函》（监狱企业或残疾人福利性单位视同小型、微型企业）。</w:t>
            </w:r>
          </w:p>
          <w:p w14:paraId="56335876">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60" w:lineRule="exact"/>
              <w:ind w:left="0" w:right="0" w:rightChars="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注：上述资质为必备资质，欠缺其中任何一项按无效文件处理。参加</w:t>
            </w:r>
            <w:r>
              <w:rPr>
                <w:rFonts w:hint="eastAsia" w:ascii="宋体" w:hAnsi="宋体" w:eastAsia="宋体" w:cs="宋体"/>
                <w:b/>
                <w:bCs/>
                <w:color w:val="auto"/>
                <w:kern w:val="0"/>
                <w:sz w:val="24"/>
                <w:szCs w:val="24"/>
                <w:lang w:val="en-US" w:eastAsia="zh-CN"/>
              </w:rPr>
              <w:t>谈判</w:t>
            </w:r>
            <w:r>
              <w:rPr>
                <w:rFonts w:hint="eastAsia" w:ascii="宋体" w:hAnsi="宋体" w:eastAsia="宋体" w:cs="宋体"/>
                <w:b/>
                <w:bCs/>
                <w:color w:val="auto"/>
                <w:kern w:val="0"/>
                <w:sz w:val="24"/>
                <w:szCs w:val="24"/>
              </w:rPr>
              <w:t>会议时须提供上述资质</w:t>
            </w:r>
            <w:r>
              <w:rPr>
                <w:rFonts w:hint="eastAsia" w:ascii="宋体" w:hAnsi="宋体" w:eastAsia="宋体" w:cs="宋体"/>
                <w:b/>
                <w:bCs/>
                <w:color w:val="auto"/>
                <w:kern w:val="0"/>
                <w:sz w:val="24"/>
                <w:szCs w:val="24"/>
                <w:lang w:val="en-US" w:eastAsia="zh-CN"/>
              </w:rPr>
              <w:t>文</w:t>
            </w:r>
            <w:r>
              <w:rPr>
                <w:rFonts w:hint="eastAsia" w:ascii="宋体" w:hAnsi="宋体" w:eastAsia="宋体" w:cs="宋体"/>
                <w:b/>
                <w:bCs/>
                <w:color w:val="auto"/>
                <w:kern w:val="0"/>
                <w:sz w:val="24"/>
                <w:szCs w:val="24"/>
              </w:rPr>
              <w:t>件（密封）单独递交进行审查，否则按</w:t>
            </w:r>
            <w:r>
              <w:rPr>
                <w:rFonts w:hint="eastAsia" w:ascii="宋体" w:hAnsi="宋体" w:eastAsia="宋体" w:cs="宋体"/>
                <w:b/>
                <w:bCs/>
                <w:color w:val="auto"/>
                <w:kern w:val="0"/>
                <w:sz w:val="24"/>
                <w:szCs w:val="24"/>
                <w:lang w:val="en-US" w:eastAsia="zh-CN"/>
              </w:rPr>
              <w:t>无效文件</w:t>
            </w:r>
            <w:r>
              <w:rPr>
                <w:rFonts w:hint="eastAsia" w:ascii="宋体" w:hAnsi="宋体" w:eastAsia="宋体" w:cs="宋体"/>
                <w:b/>
                <w:bCs/>
                <w:color w:val="auto"/>
                <w:kern w:val="0"/>
                <w:sz w:val="24"/>
                <w:szCs w:val="24"/>
              </w:rPr>
              <w:t>处理。投标人须保证资质文件的真实、合法、有效，因资质产生的一切纠纷由投标人承担法律责任。</w:t>
            </w:r>
          </w:p>
        </w:tc>
      </w:tr>
      <w:tr w14:paraId="31F9E5D0">
        <w:tblPrEx>
          <w:tblCellMar>
            <w:top w:w="0" w:type="dxa"/>
            <w:left w:w="108" w:type="dxa"/>
            <w:bottom w:w="0" w:type="dxa"/>
            <w:right w:w="108" w:type="dxa"/>
          </w:tblCellMar>
        </w:tblPrEx>
        <w:trPr>
          <w:trHeight w:val="760"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10FE4EA3">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03" w:type="dxa"/>
            <w:tcBorders>
              <w:top w:val="single" w:color="000000" w:sz="4" w:space="0"/>
              <w:left w:val="nil"/>
              <w:bottom w:val="single" w:color="auto" w:sz="4" w:space="0"/>
              <w:right w:val="single" w:color="auto" w:sz="4" w:space="0"/>
            </w:tcBorders>
            <w:vAlign w:val="center"/>
          </w:tcPr>
          <w:p w14:paraId="58F1DE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是否接受联合体投标</w:t>
            </w:r>
          </w:p>
        </w:tc>
        <w:tc>
          <w:tcPr>
            <w:tcW w:w="7190" w:type="dxa"/>
            <w:tcBorders>
              <w:top w:val="single" w:color="000000" w:sz="4" w:space="0"/>
              <w:left w:val="single" w:color="auto" w:sz="4" w:space="0"/>
              <w:bottom w:val="single" w:color="auto" w:sz="4" w:space="0"/>
              <w:right w:val="single" w:color="000000" w:sz="4" w:space="0"/>
            </w:tcBorders>
            <w:vAlign w:val="center"/>
          </w:tcPr>
          <w:p w14:paraId="5A9098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不接受联合体</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w:t>
            </w:r>
          </w:p>
        </w:tc>
      </w:tr>
      <w:tr w14:paraId="2ED0BAC6">
        <w:tblPrEx>
          <w:tblCellMar>
            <w:top w:w="0" w:type="dxa"/>
            <w:left w:w="108" w:type="dxa"/>
            <w:bottom w:w="0" w:type="dxa"/>
            <w:right w:w="108" w:type="dxa"/>
          </w:tblCellMar>
        </w:tblPrEx>
        <w:trPr>
          <w:trHeight w:val="806"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14:paraId="58FCA8C9">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03" w:type="dxa"/>
            <w:tcBorders>
              <w:top w:val="single" w:color="auto" w:sz="4" w:space="0"/>
              <w:left w:val="nil"/>
              <w:bottom w:val="single" w:color="auto" w:sz="4" w:space="0"/>
              <w:right w:val="single" w:color="auto" w:sz="4" w:space="0"/>
            </w:tcBorders>
            <w:vAlign w:val="center"/>
          </w:tcPr>
          <w:p w14:paraId="4691F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现场踏勘</w:t>
            </w:r>
          </w:p>
        </w:tc>
        <w:tc>
          <w:tcPr>
            <w:tcW w:w="7190" w:type="dxa"/>
            <w:tcBorders>
              <w:top w:val="single" w:color="auto" w:sz="4" w:space="0"/>
              <w:left w:val="single" w:color="auto" w:sz="4" w:space="0"/>
              <w:bottom w:val="single" w:color="auto" w:sz="4" w:space="0"/>
              <w:right w:val="single" w:color="000000" w:sz="4" w:space="0"/>
            </w:tcBorders>
            <w:vAlign w:val="center"/>
          </w:tcPr>
          <w:p w14:paraId="0FEF0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自行勘察，未勘察现场造成的一切后果由投标人自行承担（一切费用自理）。</w:t>
            </w:r>
          </w:p>
        </w:tc>
      </w:tr>
      <w:tr w14:paraId="20F3C46F">
        <w:tblPrEx>
          <w:tblCellMar>
            <w:top w:w="0" w:type="dxa"/>
            <w:left w:w="108" w:type="dxa"/>
            <w:bottom w:w="0" w:type="dxa"/>
            <w:right w:w="108" w:type="dxa"/>
          </w:tblCellMar>
        </w:tblPrEx>
        <w:trPr>
          <w:trHeight w:val="387"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7DFBE9E">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03" w:type="dxa"/>
            <w:tcBorders>
              <w:top w:val="single" w:color="000000" w:sz="4" w:space="0"/>
              <w:left w:val="nil"/>
              <w:bottom w:val="single" w:color="000000" w:sz="4" w:space="0"/>
              <w:right w:val="single" w:color="auto" w:sz="4" w:space="0"/>
            </w:tcBorders>
            <w:vAlign w:val="center"/>
          </w:tcPr>
          <w:p w14:paraId="0C5DC256">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采购方式</w:t>
            </w:r>
          </w:p>
        </w:tc>
        <w:tc>
          <w:tcPr>
            <w:tcW w:w="7190" w:type="dxa"/>
            <w:tcBorders>
              <w:top w:val="single" w:color="000000" w:sz="4" w:space="0"/>
              <w:left w:val="single" w:color="auto" w:sz="4" w:space="0"/>
              <w:bottom w:val="single" w:color="000000" w:sz="4" w:space="0"/>
              <w:right w:val="single" w:color="000000" w:sz="4" w:space="0"/>
            </w:tcBorders>
            <w:vAlign w:val="center"/>
          </w:tcPr>
          <w:p w14:paraId="008D43B1">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竞争性谈判</w:t>
            </w:r>
          </w:p>
        </w:tc>
      </w:tr>
      <w:tr w14:paraId="22ED00FB">
        <w:tblPrEx>
          <w:tblCellMar>
            <w:top w:w="0" w:type="dxa"/>
            <w:left w:w="108" w:type="dxa"/>
            <w:bottom w:w="0" w:type="dxa"/>
            <w:right w:w="108" w:type="dxa"/>
          </w:tblCellMar>
        </w:tblPrEx>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9B0207E">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sz w:val="24"/>
                <w:szCs w:val="24"/>
              </w:rPr>
            </w:pPr>
          </w:p>
        </w:tc>
        <w:tc>
          <w:tcPr>
            <w:tcW w:w="1703" w:type="dxa"/>
            <w:tcBorders>
              <w:top w:val="single" w:color="000000" w:sz="4" w:space="0"/>
              <w:left w:val="nil"/>
              <w:bottom w:val="single" w:color="000000" w:sz="4" w:space="0"/>
              <w:right w:val="single" w:color="auto" w:sz="4" w:space="0"/>
            </w:tcBorders>
            <w:vAlign w:val="center"/>
          </w:tcPr>
          <w:p w14:paraId="55CEC35B">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评标办法</w:t>
            </w:r>
          </w:p>
        </w:tc>
        <w:tc>
          <w:tcPr>
            <w:tcW w:w="7190" w:type="dxa"/>
            <w:tcBorders>
              <w:top w:val="single" w:color="000000" w:sz="4" w:space="0"/>
              <w:left w:val="single" w:color="auto" w:sz="4" w:space="0"/>
              <w:bottom w:val="single" w:color="000000" w:sz="4" w:space="0"/>
              <w:right w:val="single" w:color="000000" w:sz="4" w:space="0"/>
            </w:tcBorders>
            <w:vAlign w:val="center"/>
          </w:tcPr>
          <w:p w14:paraId="5696D600">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最低评标价法</w:t>
            </w:r>
          </w:p>
        </w:tc>
      </w:tr>
      <w:tr w14:paraId="2E72CC96">
        <w:tblPrEx>
          <w:tblCellMar>
            <w:top w:w="0" w:type="dxa"/>
            <w:left w:w="108" w:type="dxa"/>
            <w:bottom w:w="0" w:type="dxa"/>
            <w:right w:w="108" w:type="dxa"/>
          </w:tblCellMar>
        </w:tblPrEx>
        <w:trPr>
          <w:trHeight w:val="393"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566932E">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rPr>
            </w:pPr>
          </w:p>
        </w:tc>
        <w:tc>
          <w:tcPr>
            <w:tcW w:w="1703" w:type="dxa"/>
            <w:tcBorders>
              <w:top w:val="single" w:color="000000" w:sz="4" w:space="0"/>
              <w:left w:val="nil"/>
              <w:bottom w:val="single" w:color="000000" w:sz="4" w:space="0"/>
              <w:right w:val="single" w:color="auto" w:sz="4" w:space="0"/>
            </w:tcBorders>
            <w:vAlign w:val="center"/>
          </w:tcPr>
          <w:p w14:paraId="6D1E990A">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特殊情况处理</w:t>
            </w:r>
          </w:p>
        </w:tc>
        <w:tc>
          <w:tcPr>
            <w:tcW w:w="7190" w:type="dxa"/>
            <w:tcBorders>
              <w:top w:val="single" w:color="000000" w:sz="4" w:space="0"/>
              <w:left w:val="single" w:color="auto" w:sz="4" w:space="0"/>
              <w:bottom w:val="single" w:color="000000" w:sz="4" w:space="0"/>
              <w:right w:val="single" w:color="000000" w:sz="4" w:space="0"/>
            </w:tcBorders>
            <w:vAlign w:val="center"/>
          </w:tcPr>
          <w:p w14:paraId="063FF77E">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谈判失败后，除采购任务取消外，将重新组织采购。</w:t>
            </w:r>
          </w:p>
        </w:tc>
      </w:tr>
      <w:tr w14:paraId="66FC63E8">
        <w:tblPrEx>
          <w:tblCellMar>
            <w:top w:w="0" w:type="dxa"/>
            <w:left w:w="108" w:type="dxa"/>
            <w:bottom w:w="0" w:type="dxa"/>
            <w:right w:w="108" w:type="dxa"/>
          </w:tblCellMar>
        </w:tblPrEx>
        <w:trPr>
          <w:trHeight w:val="100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8147683">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sz w:val="24"/>
                <w:szCs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14:paraId="477BE2CE">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开标时间、</w:t>
            </w:r>
          </w:p>
          <w:p w14:paraId="4C32FB91">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7190" w:type="dxa"/>
            <w:tcBorders>
              <w:top w:val="single" w:color="000000" w:sz="4" w:space="0"/>
              <w:left w:val="single" w:color="auto" w:sz="4" w:space="0"/>
              <w:bottom w:val="single" w:color="000000" w:sz="4" w:space="0"/>
              <w:right w:val="single" w:color="000000" w:sz="4" w:space="0"/>
            </w:tcBorders>
            <w:vAlign w:val="center"/>
          </w:tcPr>
          <w:p w14:paraId="71652BD8">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red"/>
              </w:rPr>
            </w:pPr>
            <w:r>
              <w:rPr>
                <w:rFonts w:hint="eastAsia" w:ascii="宋体" w:hAnsi="宋体" w:eastAsia="宋体" w:cs="宋体"/>
                <w:color w:val="auto"/>
                <w:sz w:val="24"/>
                <w:szCs w:val="24"/>
              </w:rPr>
              <w:t>开标时间：</w:t>
            </w:r>
            <w:r>
              <w:rPr>
                <w:rFonts w:hint="eastAsia" w:ascii="宋体" w:hAnsi="宋体" w:eastAsia="宋体" w:cs="宋体"/>
                <w:b w:val="0"/>
                <w:bCs w:val="0"/>
                <w:color w:val="auto"/>
                <w:sz w:val="24"/>
                <w:szCs w:val="24"/>
                <w:lang w:val="en-US" w:eastAsia="zh-CN" w:bidi="zh-CN"/>
              </w:rPr>
              <w:t>2025年6月24日14时00分00秒</w:t>
            </w:r>
            <w:r>
              <w:rPr>
                <w:rFonts w:hint="eastAsia" w:ascii="宋体" w:hAnsi="宋体" w:eastAsia="宋体" w:cs="宋体"/>
                <w:b w:val="0"/>
                <w:bCs w:val="0"/>
                <w:color w:val="auto"/>
                <w:sz w:val="24"/>
                <w:szCs w:val="24"/>
              </w:rPr>
              <w:t>（北京时间）</w:t>
            </w:r>
          </w:p>
          <w:p w14:paraId="052D38FF">
            <w:pPr>
              <w:keepNext w:val="0"/>
              <w:keepLines w:val="0"/>
              <w:pageBreakBefore w:val="0"/>
              <w:widowControl w:val="0"/>
              <w:suppressLineNumbers w:val="0"/>
              <w:kinsoku/>
              <w:wordWrap/>
              <w:overflowPunct w:val="0"/>
              <w:topLinePunct w:val="0"/>
              <w:bidi w:val="0"/>
              <w:adjustRightInd w:val="0"/>
              <w:snapToGrid w:val="0"/>
              <w:spacing w:before="0" w:beforeAutospacing="0" w:after="0" w:afterAutospacing="0" w:line="460" w:lineRule="exact"/>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开标地点：</w:t>
            </w:r>
            <w:r>
              <w:rPr>
                <w:rFonts w:hint="eastAsia" w:ascii="宋体" w:hAnsi="宋体" w:eastAsia="宋体" w:cs="宋体"/>
                <w:b w:val="0"/>
                <w:bCs w:val="0"/>
                <w:color w:val="auto"/>
                <w:sz w:val="24"/>
                <w:szCs w:val="24"/>
                <w:lang w:val="en-US" w:eastAsia="zh-CN"/>
              </w:rPr>
              <w:t>安康市高新区高新壹号院4栋2单元2004室</w:t>
            </w:r>
          </w:p>
          <w:p w14:paraId="71014F56">
            <w:pPr>
              <w:keepNext w:val="0"/>
              <w:keepLines w:val="0"/>
              <w:pageBreakBefore w:val="0"/>
              <w:widowControl w:val="0"/>
              <w:suppressLineNumbers w:val="0"/>
              <w:kinsoku/>
              <w:wordWrap/>
              <w:overflowPunct w:val="0"/>
              <w:topLinePunct w:val="0"/>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（如有变动，另行通知）。</w:t>
            </w:r>
            <w:r>
              <w:rPr>
                <w:rFonts w:hint="eastAsia" w:ascii="宋体" w:hAnsi="宋体" w:eastAsia="宋体" w:cs="宋体"/>
                <w:color w:val="auto"/>
                <w:sz w:val="24"/>
                <w:szCs w:val="24"/>
                <w:lang w:val="en-US" w:eastAsia="zh-CN"/>
              </w:rPr>
              <w:t xml:space="preserve"> </w:t>
            </w:r>
          </w:p>
        </w:tc>
      </w:tr>
      <w:tr w14:paraId="2A0AD238">
        <w:tblPrEx>
          <w:tblCellMar>
            <w:top w:w="0" w:type="dxa"/>
            <w:left w:w="108" w:type="dxa"/>
            <w:bottom w:w="0" w:type="dxa"/>
            <w:right w:w="108" w:type="dxa"/>
          </w:tblCellMar>
        </w:tblPrEx>
        <w:trPr>
          <w:trHeight w:val="43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495D54A">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sz w:val="24"/>
                <w:szCs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14:paraId="1260BF51">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w:t>
            </w:r>
          </w:p>
          <w:p w14:paraId="6AC396FB">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递交截止时间</w:t>
            </w:r>
          </w:p>
        </w:tc>
        <w:tc>
          <w:tcPr>
            <w:tcW w:w="7190" w:type="dxa"/>
            <w:tcBorders>
              <w:top w:val="single" w:color="000000" w:sz="4" w:space="0"/>
              <w:left w:val="single" w:color="auto" w:sz="4" w:space="0"/>
              <w:bottom w:val="single" w:color="000000" w:sz="4" w:space="0"/>
              <w:right w:val="single" w:color="000000" w:sz="4" w:space="0"/>
            </w:tcBorders>
            <w:vAlign w:val="center"/>
          </w:tcPr>
          <w:p w14:paraId="7D4A84A5">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bidi="zh-CN"/>
              </w:rPr>
              <w:t>2025年6月24日14时00分00秒</w:t>
            </w:r>
            <w:r>
              <w:rPr>
                <w:rFonts w:hint="eastAsia" w:ascii="宋体" w:hAnsi="宋体" w:eastAsia="宋体" w:cs="宋体"/>
                <w:color w:val="auto"/>
                <w:sz w:val="24"/>
                <w:szCs w:val="24"/>
                <w:highlight w:val="none"/>
                <w:lang w:val="en-US" w:eastAsia="zh-CN"/>
              </w:rPr>
              <w:t>止</w:t>
            </w:r>
          </w:p>
        </w:tc>
      </w:tr>
      <w:tr w14:paraId="092D9541">
        <w:tblPrEx>
          <w:tblCellMar>
            <w:top w:w="0" w:type="dxa"/>
            <w:left w:w="108" w:type="dxa"/>
            <w:bottom w:w="0" w:type="dxa"/>
            <w:right w:w="108" w:type="dxa"/>
          </w:tblCellMar>
        </w:tblPrEx>
        <w:trPr>
          <w:trHeight w:val="473"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EFFCB73">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sz w:val="24"/>
                <w:szCs w:val="24"/>
              </w:rPr>
            </w:pPr>
          </w:p>
        </w:tc>
        <w:tc>
          <w:tcPr>
            <w:tcW w:w="1703" w:type="dxa"/>
            <w:tcBorders>
              <w:top w:val="single" w:color="000000" w:sz="4" w:space="0"/>
              <w:left w:val="nil"/>
              <w:bottom w:val="single" w:color="000000" w:sz="4" w:space="0"/>
              <w:right w:val="single" w:color="auto" w:sz="4" w:space="0"/>
            </w:tcBorders>
            <w:vAlign w:val="center"/>
          </w:tcPr>
          <w:p w14:paraId="74F08F27">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评标小组构成</w:t>
            </w:r>
          </w:p>
        </w:tc>
        <w:tc>
          <w:tcPr>
            <w:tcW w:w="7190" w:type="dxa"/>
            <w:tcBorders>
              <w:top w:val="single" w:color="000000" w:sz="4" w:space="0"/>
              <w:left w:val="single" w:color="auto" w:sz="4" w:space="0"/>
              <w:bottom w:val="single" w:color="000000" w:sz="4" w:space="0"/>
              <w:right w:val="single" w:color="000000" w:sz="4" w:space="0"/>
            </w:tcBorders>
            <w:vAlign w:val="center"/>
          </w:tcPr>
          <w:p w14:paraId="0A86A975">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w:t>
            </w:r>
            <w:r>
              <w:rPr>
                <w:rFonts w:hint="eastAsia" w:ascii="宋体" w:hAnsi="宋体" w:eastAsia="宋体" w:cs="宋体"/>
                <w:color w:val="auto"/>
                <w:sz w:val="24"/>
                <w:szCs w:val="24"/>
                <w:lang w:val="en-US" w:eastAsia="zh-CN"/>
              </w:rPr>
              <w:t>《政府采购非招标采购方式管理办法</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财政部74号令）</w:t>
            </w:r>
            <w:r>
              <w:rPr>
                <w:rFonts w:hint="eastAsia" w:ascii="宋体" w:hAnsi="宋体" w:eastAsia="宋体" w:cs="宋体"/>
                <w:color w:val="auto"/>
                <w:sz w:val="24"/>
                <w:szCs w:val="24"/>
              </w:rPr>
              <w:t>等有关法律规定组建</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小组。</w:t>
            </w:r>
          </w:p>
        </w:tc>
      </w:tr>
      <w:tr w14:paraId="53EB5F8A">
        <w:tblPrEx>
          <w:tblCellMar>
            <w:top w:w="0" w:type="dxa"/>
            <w:left w:w="108" w:type="dxa"/>
            <w:bottom w:w="0" w:type="dxa"/>
            <w:right w:w="108" w:type="dxa"/>
          </w:tblCellMar>
        </w:tblPrEx>
        <w:trPr>
          <w:trHeight w:val="156"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387C505">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sz w:val="24"/>
                <w:szCs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14:paraId="4EE85B45">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投标文件制作</w:t>
            </w:r>
          </w:p>
          <w:p w14:paraId="7690F0EF">
            <w:pPr>
              <w:keepNext w:val="0"/>
              <w:keepLines w:val="0"/>
              <w:pageBreakBefore w:val="0"/>
              <w:widowControl w:val="0"/>
              <w:suppressLineNumbers w:val="0"/>
              <w:kinsoku/>
              <w:wordWrap/>
              <w:topLinePunct w:val="0"/>
              <w:bidi w:val="0"/>
              <w:spacing w:before="0" w:beforeAutospacing="0" w:after="0" w:afterAutospacing="0" w:line="460" w:lineRule="exact"/>
              <w:ind w:left="0" w:right="109"/>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及份数</w:t>
            </w:r>
          </w:p>
        </w:tc>
        <w:tc>
          <w:tcPr>
            <w:tcW w:w="7190" w:type="dxa"/>
            <w:tcBorders>
              <w:top w:val="single" w:color="000000" w:sz="4" w:space="0"/>
              <w:left w:val="single" w:color="000000" w:sz="4" w:space="0"/>
              <w:bottom w:val="single" w:color="000000" w:sz="4" w:space="0"/>
              <w:right w:val="single" w:color="000000" w:sz="4" w:space="0"/>
            </w:tcBorders>
          </w:tcPr>
          <w:p w14:paraId="7451ABA8">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正本壹份，副本</w:t>
            </w:r>
            <w:r>
              <w:rPr>
                <w:rFonts w:hint="eastAsia" w:ascii="宋体" w:hAnsi="宋体" w:eastAsia="宋体" w:cs="宋体"/>
                <w:color w:val="auto"/>
                <w:kern w:val="0"/>
                <w:sz w:val="24"/>
                <w:szCs w:val="24"/>
                <w:highlight w:val="none"/>
                <w:lang w:eastAsia="zh-CN"/>
              </w:rPr>
              <w:t>贰</w:t>
            </w:r>
            <w:r>
              <w:rPr>
                <w:rFonts w:hint="eastAsia" w:ascii="宋体" w:hAnsi="宋体" w:eastAsia="宋体" w:cs="宋体"/>
                <w:color w:val="auto"/>
                <w:kern w:val="0"/>
                <w:sz w:val="24"/>
                <w:szCs w:val="24"/>
                <w:highlight w:val="none"/>
              </w:rPr>
              <w:t>份</w:t>
            </w:r>
            <w:r>
              <w:rPr>
                <w:rFonts w:hint="eastAsia" w:ascii="宋体" w:hAnsi="宋体" w:eastAsia="宋体" w:cs="宋体"/>
                <w:color w:val="auto"/>
                <w:kern w:val="0"/>
                <w:sz w:val="24"/>
                <w:szCs w:val="24"/>
              </w:rPr>
              <w:t>，电子版投标文件壹份装入正本（U盘），</w:t>
            </w:r>
          </w:p>
          <w:p w14:paraId="5F18C467">
            <w:pPr>
              <w:keepNext w:val="0"/>
              <w:keepLines w:val="0"/>
              <w:pageBreakBefore w:val="0"/>
              <w:widowControl w:val="0"/>
              <w:suppressLineNumbers w:val="0"/>
              <w:kinsoku/>
              <w:wordWrap/>
              <w:topLinePunct w:val="0"/>
              <w:bidi w:val="0"/>
              <w:spacing w:before="0" w:beforeAutospacing="0" w:after="0" w:afterAutospacing="0" w:line="460" w:lineRule="exact"/>
              <w:ind w:left="0" w:right="-11"/>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rPr>
              <w:t>正本、副本投标文件分别单独封装。</w:t>
            </w:r>
          </w:p>
        </w:tc>
      </w:tr>
      <w:tr w14:paraId="0979DC2B">
        <w:tblPrEx>
          <w:tblCellMar>
            <w:top w:w="0" w:type="dxa"/>
            <w:left w:w="108" w:type="dxa"/>
            <w:bottom w:w="0" w:type="dxa"/>
            <w:right w:w="108" w:type="dxa"/>
          </w:tblCellMar>
        </w:tblPrEx>
        <w:trPr>
          <w:trHeight w:val="156"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39498C77">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sz w:val="24"/>
                <w:szCs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14:paraId="39371E02">
            <w:pPr>
              <w:keepNext w:val="0"/>
              <w:keepLines w:val="0"/>
              <w:pageBreakBefore w:val="0"/>
              <w:widowControl w:val="0"/>
              <w:suppressLineNumbers w:val="0"/>
              <w:kinsoku/>
              <w:wordWrap/>
              <w:topLinePunct w:val="0"/>
              <w:bidi w:val="0"/>
              <w:spacing w:before="0" w:beforeAutospacing="0" w:after="0" w:afterAutospacing="0" w:line="460" w:lineRule="exact"/>
              <w:ind w:left="0" w:leftChars="0" w:right="109"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答疑</w:t>
            </w:r>
          </w:p>
        </w:tc>
        <w:tc>
          <w:tcPr>
            <w:tcW w:w="7190" w:type="dxa"/>
            <w:tcBorders>
              <w:top w:val="single" w:color="000000" w:sz="4" w:space="0"/>
              <w:left w:val="single" w:color="000000" w:sz="4" w:space="0"/>
              <w:bottom w:val="single" w:color="000000" w:sz="4" w:space="0"/>
              <w:right w:val="single" w:color="000000" w:sz="4" w:space="0"/>
            </w:tcBorders>
            <w:vAlign w:val="top"/>
          </w:tcPr>
          <w:p w14:paraId="3CC8B40A">
            <w:pPr>
              <w:keepNext w:val="0"/>
              <w:keepLines w:val="0"/>
              <w:pageBreakBefore w:val="0"/>
              <w:widowControl w:val="0"/>
              <w:suppressLineNumbers w:val="0"/>
              <w:kinsoku/>
              <w:wordWrap/>
              <w:topLinePunct w:val="0"/>
              <w:bidi w:val="0"/>
              <w:spacing w:before="0" w:beforeAutospacing="0" w:after="0" w:afterAutospacing="0" w:line="460" w:lineRule="exact"/>
              <w:ind w:left="0" w:leftChars="0" w:right="-11"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 xml:space="preserve">如有疑问，投标人需书面提出，经采购人收集问题后，统一答疑。 </w:t>
            </w:r>
          </w:p>
        </w:tc>
      </w:tr>
    </w:tbl>
    <w:p w14:paraId="3CADE3DD">
      <w:pPr>
        <w:bidi w:val="0"/>
        <w:rPr>
          <w:rFonts w:hint="default" w:eastAsia="华文仿宋"/>
          <w:color w:val="auto"/>
          <w:lang w:val="en-US" w:eastAsia="zh-CN"/>
        </w:rPr>
      </w:pPr>
    </w:p>
    <w:p w14:paraId="40B9CBEE">
      <w:pPr>
        <w:bidi w:val="0"/>
        <w:jc w:val="center"/>
        <w:rPr>
          <w:rFonts w:ascii="宋体" w:hAnsi="宋体" w:eastAsia="宋体"/>
          <w:b/>
          <w:bCs/>
          <w:color w:val="auto"/>
          <w:kern w:val="44"/>
          <w:sz w:val="32"/>
          <w:szCs w:val="32"/>
        </w:rPr>
      </w:pPr>
      <w:r>
        <w:rPr>
          <w:rFonts w:hint="eastAsia" w:ascii="宋体" w:hAnsi="宋体" w:eastAsia="宋体"/>
          <w:b/>
          <w:bCs/>
          <w:color w:val="auto"/>
          <w:kern w:val="44"/>
          <w:sz w:val="32"/>
          <w:szCs w:val="32"/>
        </w:rPr>
        <w:t>供应商须知</w:t>
      </w:r>
    </w:p>
    <w:p w14:paraId="7733F661">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color w:val="auto"/>
          <w:kern w:val="0"/>
          <w:sz w:val="24"/>
          <w:szCs w:val="24"/>
        </w:rPr>
      </w:pPr>
      <w:bookmarkStart w:id="56" w:name="_Toc26416"/>
      <w:bookmarkStart w:id="57" w:name="_Toc18412195"/>
      <w:bookmarkStart w:id="58" w:name="_Toc23316678"/>
      <w:bookmarkStart w:id="59" w:name="_Toc23316580"/>
      <w:bookmarkStart w:id="60" w:name="_Toc12880"/>
      <w:bookmarkStart w:id="61" w:name="_Toc23315656"/>
      <w:bookmarkStart w:id="62" w:name="_Toc14189266"/>
      <w:bookmarkStart w:id="63" w:name="_Toc23316516"/>
      <w:bookmarkStart w:id="64" w:name="_Toc35335252"/>
      <w:bookmarkStart w:id="65" w:name="_Toc14189403"/>
      <w:r>
        <w:rPr>
          <w:rFonts w:hint="eastAsia" w:ascii="宋体" w:hAnsi="宋体" w:eastAsia="宋体" w:cs="宋体"/>
          <w:color w:val="auto"/>
          <w:kern w:val="0"/>
          <w:sz w:val="24"/>
          <w:szCs w:val="24"/>
        </w:rPr>
        <w:t>一、</w:t>
      </w:r>
      <w:r>
        <w:rPr>
          <w:rFonts w:hint="eastAsia" w:ascii="宋体" w:hAnsi="宋体" w:eastAsia="宋体" w:cs="宋体"/>
          <w:b/>
          <w:bCs/>
          <w:color w:val="auto"/>
          <w:kern w:val="44"/>
          <w:sz w:val="24"/>
          <w:szCs w:val="24"/>
        </w:rPr>
        <w:t>总则</w:t>
      </w:r>
    </w:p>
    <w:p w14:paraId="47E70D75">
      <w:pPr>
        <w:keepNext w:val="0"/>
        <w:keepLines w:val="0"/>
        <w:pageBreakBefore w:val="0"/>
        <w:widowControl/>
        <w:kinsoku/>
        <w:wordWrap/>
        <w:overflowPunct/>
        <w:topLinePunct w:val="0"/>
        <w:autoSpaceDE/>
        <w:autoSpaceDN/>
        <w:bidi w:val="0"/>
        <w:adjustRightInd w:val="0"/>
        <w:snapToGrid w:val="0"/>
        <w:spacing w:line="400" w:lineRule="exact"/>
        <w:ind w:right="0" w:rightChars="0" w:firstLine="482" w:firstLineChars="200"/>
        <w:jc w:val="both"/>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eastAsia="宋体" w:cs="宋体"/>
          <w:b/>
          <w:color w:val="auto"/>
          <w:kern w:val="0"/>
          <w:sz w:val="24"/>
          <w:szCs w:val="24"/>
        </w:rPr>
        <w:t>采购依据</w:t>
      </w:r>
    </w:p>
    <w:p w14:paraId="63FB5C6E">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本次采购依据《中华人民共和国政府采购法》、《中华人民共和国政府采购法实施条例》、《政府采购非招标采购方式管理办法》</w:t>
      </w:r>
      <w:r>
        <w:rPr>
          <w:rFonts w:hint="eastAsia" w:ascii="宋体" w:hAnsi="宋体" w:eastAsia="宋体" w:cs="宋体"/>
          <w:color w:val="auto"/>
          <w:sz w:val="24"/>
          <w:szCs w:val="24"/>
        </w:rPr>
        <w:t>（财政部令第74号）</w:t>
      </w:r>
      <w:r>
        <w:rPr>
          <w:rFonts w:hint="eastAsia" w:ascii="宋体" w:hAnsi="宋体" w:eastAsia="宋体" w:cs="宋体"/>
          <w:color w:val="auto"/>
          <w:kern w:val="0"/>
          <w:sz w:val="24"/>
          <w:szCs w:val="24"/>
        </w:rPr>
        <w:t>及国家现行有关法律法规执行。</w:t>
      </w:r>
    </w:p>
    <w:p w14:paraId="40C3CBA3">
      <w:pPr>
        <w:keepNext w:val="0"/>
        <w:keepLines w:val="0"/>
        <w:pageBreakBefore w:val="0"/>
        <w:widowControl/>
        <w:kinsoku/>
        <w:wordWrap/>
        <w:overflowPunct/>
        <w:topLinePunct w:val="0"/>
        <w:autoSpaceDE/>
        <w:autoSpaceDN/>
        <w:bidi w:val="0"/>
        <w:adjustRightInd w:val="0"/>
        <w:snapToGrid w:val="0"/>
        <w:spacing w:line="400" w:lineRule="exact"/>
        <w:ind w:right="0" w:rightChars="0" w:firstLine="482" w:firstLineChars="200"/>
        <w:jc w:val="both"/>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kern w:val="0"/>
          <w:sz w:val="24"/>
          <w:szCs w:val="24"/>
        </w:rPr>
        <w:t>适用范围</w:t>
      </w:r>
    </w:p>
    <w:p w14:paraId="25661769">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本竞争性谈判文件适用于本次谈判活动的全过程。</w:t>
      </w:r>
    </w:p>
    <w:p w14:paraId="22BF1F06">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合格的供应商</w:t>
      </w:r>
    </w:p>
    <w:p w14:paraId="0C79384E">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3.1具有本项目生产、制造、加工、供应或实施能力，符合、承认并承诺履行本</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文件各项规定的国内供应商。</w:t>
      </w:r>
    </w:p>
    <w:p w14:paraId="7D52A0C5">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3.2供应商应遵守有关的国家法律、法规和条例，具备《中华人民共和国政府采购法》和本文件中规定的条件：</w:t>
      </w:r>
    </w:p>
    <w:p w14:paraId="2AD9596A">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具有独立承担民事责任的能力；</w:t>
      </w:r>
    </w:p>
    <w:p w14:paraId="74B141A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具有良好的商业信誉和健全的财务会计制度；</w:t>
      </w:r>
    </w:p>
    <w:p w14:paraId="7C7C7A3E">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具有履行合同所必需的产品和专业技术能力；</w:t>
      </w:r>
    </w:p>
    <w:p w14:paraId="452370C6">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具有依法缴纳税收和社会保障资金的良好记录；</w:t>
      </w:r>
    </w:p>
    <w:p w14:paraId="7DC7F62F">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参加此项采购活动前三年内，在经营活动中没有重大违法记录；</w:t>
      </w:r>
    </w:p>
    <w:p w14:paraId="1B951427">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法律、行政法规规定的其他条件。</w:t>
      </w:r>
    </w:p>
    <w:p w14:paraId="42AC0F01">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3.3供应商购买</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文件时应登记备案，并提供有效联系方式。</w:t>
      </w:r>
    </w:p>
    <w:p w14:paraId="0EE36A2E">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3.4如供应商代表不是法定代表人，须持有《法定代表人授权委托书》 (按</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文件提供的格式填写)。</w:t>
      </w:r>
    </w:p>
    <w:p w14:paraId="3B319C6B">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3.5供应商应独立于采购人，不得直接或间接地与采购人为采购本次招标的货物或服务进行设计、编制技术规格和其它文件所委托的咨询公司或其附属机构有任何关联。</w:t>
      </w:r>
    </w:p>
    <w:p w14:paraId="7031629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3.6供应商不得存在下列情形之一：</w:t>
      </w:r>
    </w:p>
    <w:p w14:paraId="57846EC5">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（1）与采购人或采购代理机构存在隶属关系或者其他利害关系；</w:t>
      </w:r>
    </w:p>
    <w:p w14:paraId="2D2FB722">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（2）与其他供应商的法定代表人（或者负责人）为同一人，或者与其他供应商存在直接控股、管理关系；</w:t>
      </w:r>
    </w:p>
    <w:p w14:paraId="514F317F">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14:paraId="7061EC1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w:t>
      </w:r>
      <w:r>
        <w:rPr>
          <w:rFonts w:hint="eastAsia" w:ascii="宋体" w:hAnsi="宋体" w:eastAsia="宋体" w:cs="宋体"/>
          <w:bCs/>
          <w:color w:val="auto"/>
          <w:sz w:val="24"/>
          <w:szCs w:val="24"/>
          <w:lang w:eastAsia="zh-CN"/>
        </w:rPr>
        <w:t>。</w:t>
      </w:r>
    </w:p>
    <w:p w14:paraId="50085600">
      <w:pPr>
        <w:keepNext w:val="0"/>
        <w:keepLines w:val="0"/>
        <w:pageBreakBefore w:val="0"/>
        <w:widowControl/>
        <w:kinsoku/>
        <w:wordWrap/>
        <w:overflowPunct/>
        <w:topLinePunct w:val="0"/>
        <w:autoSpaceDE/>
        <w:autoSpaceDN/>
        <w:bidi w:val="0"/>
        <w:spacing w:line="400" w:lineRule="exact"/>
        <w:ind w:right="0" w:rightChars="0"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合格的货物与服务</w:t>
      </w:r>
    </w:p>
    <w:p w14:paraId="4C809024">
      <w:pPr>
        <w:keepNext w:val="0"/>
        <w:keepLines w:val="0"/>
        <w:pageBreakBefore w:val="0"/>
        <w:widowControl/>
        <w:kinsoku/>
        <w:wordWrap/>
        <w:overflowPunct/>
        <w:topLinePunct w:val="0"/>
        <w:autoSpaceDE/>
        <w:autoSpaceDN/>
        <w:bidi w:val="0"/>
        <w:spacing w:line="400" w:lineRule="exact"/>
        <w:ind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本次谈判所用货物及其有关服务，均应来自上述</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条款所规定的合格供应商</w:t>
      </w:r>
      <w:r>
        <w:rPr>
          <w:rFonts w:hint="eastAsia" w:ascii="宋体" w:hAnsi="宋体" w:eastAsia="宋体" w:cs="宋体"/>
          <w:color w:val="auto"/>
          <w:sz w:val="24"/>
          <w:szCs w:val="24"/>
          <w:lang w:eastAsia="zh-CN"/>
        </w:rPr>
        <w:t>。</w:t>
      </w:r>
    </w:p>
    <w:p w14:paraId="0588F54A">
      <w:pPr>
        <w:keepNext w:val="0"/>
        <w:keepLines w:val="0"/>
        <w:pageBreakBefore w:val="0"/>
        <w:widowControl/>
        <w:kinsoku/>
        <w:wordWrap/>
        <w:overflowPunct/>
        <w:topLinePunct w:val="0"/>
        <w:autoSpaceDE/>
        <w:autoSpaceDN/>
        <w:bidi w:val="0"/>
        <w:spacing w:line="400" w:lineRule="exact"/>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货物系指供应商按谈判文件规定，向采购人提供的符合谈判文件要求的相关的货物。</w:t>
      </w:r>
    </w:p>
    <w:p w14:paraId="007EAC75">
      <w:pPr>
        <w:keepNext w:val="0"/>
        <w:keepLines w:val="0"/>
        <w:pageBreakBefore w:val="0"/>
        <w:widowControl/>
        <w:kinsoku/>
        <w:wordWrap/>
        <w:overflowPunct/>
        <w:topLinePunct w:val="0"/>
        <w:autoSpaceDE/>
        <w:autoSpaceDN/>
        <w:bidi w:val="0"/>
        <w:spacing w:line="400" w:lineRule="exact"/>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服务系指谈判文件规定的，供应商须承担的与谈判货物有关的辅助服务,如包装、运输、保险、安装、调试、技术培训、售后服务以及其他类似的义务。</w:t>
      </w:r>
    </w:p>
    <w:p w14:paraId="7619C481">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政府采购政策支持</w:t>
      </w:r>
    </w:p>
    <w:p w14:paraId="2A94C6B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 xml:space="preserve">.1对列入财政部、国家发改委发布的《节能产品政府采购清单》且属于应当“强制采购的节能产品”，按照规定实行强制采购。 </w:t>
      </w:r>
    </w:p>
    <w:p w14:paraId="0392331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14:paraId="61D77E5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.3产品同时属于“非强制采购节能产品”、环境标志产品的，评审时只有其中一项能享受优先待遇（供应商自行选择，并在报价文件中填写相关信息及数据）。</w:t>
      </w:r>
    </w:p>
    <w:p w14:paraId="6CD86736">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.4供应商有融资、担保需求的，具体办理流程按照财政厅及相关政策执行。</w:t>
      </w:r>
    </w:p>
    <w:p w14:paraId="618965C7">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费用承担</w:t>
      </w:r>
    </w:p>
    <w:p w14:paraId="5D191D3B">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供应商准备和参加</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活动发生的费用自理。</w:t>
      </w:r>
    </w:p>
    <w:p w14:paraId="125A7F62">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保密</w:t>
      </w:r>
    </w:p>
    <w:p w14:paraId="791B709C">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参与</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活动的各方应对</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文件和响应文件的商业和技术等秘密保密，违者应对由此造成的后果承担法律责任。</w:t>
      </w:r>
    </w:p>
    <w:p w14:paraId="25B30F1E">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语言文字</w:t>
      </w:r>
    </w:p>
    <w:p w14:paraId="088A1771">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除专用术语外，与</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文件有关的语言均使用中文；必要时专用术语应附有中文注释。</w:t>
      </w:r>
    </w:p>
    <w:p w14:paraId="72750685">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计量单位</w:t>
      </w:r>
    </w:p>
    <w:p w14:paraId="706C87D7">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所有计量均采用中华人民共和国法定计量单位。</w:t>
      </w:r>
    </w:p>
    <w:p w14:paraId="56EB709A">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踏勘现场</w:t>
      </w:r>
    </w:p>
    <w:p w14:paraId="20F5615D">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自行勘察，未勘察现场造成的一切后果由投标人自行承担。（一切费用自理）。</w:t>
      </w:r>
    </w:p>
    <w:p w14:paraId="646AC336">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rPr>
        <w:t>偏离</w:t>
      </w:r>
    </w:p>
    <w:p w14:paraId="2075076D">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除供应商须知前附表另有规定外，供应商递交的响应文件不允许严重负偏离。</w:t>
      </w:r>
    </w:p>
    <w:p w14:paraId="5463624E">
      <w:pPr>
        <w:pageBreakBefore w:val="0"/>
        <w:kinsoku/>
        <w:wordWrap/>
        <w:topLinePunct w:val="0"/>
        <w:bidi w:val="0"/>
        <w:spacing w:line="400" w:lineRule="exact"/>
        <w:jc w:val="center"/>
        <w:textAlignment w:val="auto"/>
        <w:rPr>
          <w:rFonts w:hint="eastAsia" w:ascii="宋体" w:hAnsi="宋体" w:eastAsia="宋体" w:cs="宋体"/>
          <w:color w:val="auto"/>
          <w:sz w:val="24"/>
          <w:szCs w:val="24"/>
        </w:rPr>
      </w:pPr>
      <w:bookmarkStart w:id="66" w:name="_Toc8823"/>
      <w:bookmarkStart w:id="67" w:name="_Toc20308"/>
      <w:bookmarkStart w:id="68" w:name="_Toc7122"/>
      <w:r>
        <w:rPr>
          <w:rFonts w:hint="eastAsia" w:ascii="宋体" w:hAnsi="宋体" w:eastAsia="宋体" w:cs="宋体"/>
          <w:b/>
          <w:bCs/>
          <w:color w:val="auto"/>
          <w:sz w:val="24"/>
          <w:szCs w:val="24"/>
        </w:rPr>
        <w:t>二、谈判文件</w:t>
      </w:r>
      <w:bookmarkEnd w:id="56"/>
      <w:bookmarkEnd w:id="57"/>
      <w:bookmarkEnd w:id="58"/>
      <w:bookmarkEnd w:id="59"/>
      <w:bookmarkEnd w:id="60"/>
      <w:bookmarkEnd w:id="61"/>
      <w:bookmarkEnd w:id="62"/>
      <w:bookmarkEnd w:id="63"/>
      <w:bookmarkEnd w:id="64"/>
      <w:bookmarkEnd w:id="65"/>
      <w:bookmarkEnd w:id="66"/>
      <w:bookmarkEnd w:id="67"/>
      <w:bookmarkEnd w:id="68"/>
    </w:p>
    <w:p w14:paraId="35EB8DD9">
      <w:pPr>
        <w:pageBreakBefore w:val="0"/>
        <w:kinsoku/>
        <w:wordWrap/>
        <w:topLinePunct w:val="0"/>
        <w:bidi w:val="0"/>
        <w:spacing w:line="400" w:lineRule="exact"/>
        <w:ind w:left="0" w:leftChars="0" w:firstLine="482" w:firstLineChars="200"/>
        <w:jc w:val="both"/>
        <w:textAlignment w:val="auto"/>
        <w:rPr>
          <w:rFonts w:hint="eastAsia" w:ascii="宋体" w:hAnsi="宋体" w:eastAsia="宋体" w:cs="宋体"/>
          <w:b/>
          <w:bCs/>
          <w:color w:val="auto"/>
          <w:sz w:val="24"/>
          <w:szCs w:val="24"/>
        </w:rPr>
      </w:pPr>
      <w:bookmarkStart w:id="69" w:name="_Toc536202289"/>
      <w:bookmarkStart w:id="70" w:name="_Toc5801"/>
      <w:bookmarkStart w:id="71" w:name="_Toc35335256"/>
      <w:bookmarkStart w:id="72" w:name="_Toc23316584"/>
      <w:bookmarkStart w:id="73" w:name="_Toc32118"/>
      <w:bookmarkStart w:id="74" w:name="_Toc23316682"/>
      <w:bookmarkStart w:id="75" w:name="_Toc23315660"/>
      <w:bookmarkStart w:id="76" w:name="_Toc18709"/>
      <w:bookmarkStart w:id="77" w:name="_Toc14189407"/>
      <w:bookmarkStart w:id="78" w:name="_Toc14189270"/>
      <w:bookmarkStart w:id="79" w:name="_Toc18412199"/>
      <w:bookmarkStart w:id="80" w:name="_Toc23316520"/>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竞争性</w:t>
      </w:r>
      <w:r>
        <w:rPr>
          <w:rFonts w:hint="eastAsia" w:ascii="宋体" w:hAnsi="宋体" w:eastAsia="宋体" w:cs="宋体"/>
          <w:b/>
          <w:bCs/>
          <w:color w:val="auto"/>
          <w:sz w:val="24"/>
          <w:szCs w:val="24"/>
          <w:lang w:eastAsia="zh-CN"/>
        </w:rPr>
        <w:t>谈判</w:t>
      </w:r>
      <w:r>
        <w:rPr>
          <w:rFonts w:hint="eastAsia" w:ascii="宋体" w:hAnsi="宋体" w:eastAsia="宋体" w:cs="宋体"/>
          <w:b/>
          <w:bCs/>
          <w:color w:val="auto"/>
          <w:sz w:val="24"/>
          <w:szCs w:val="24"/>
        </w:rPr>
        <w:t>文件的构成</w:t>
      </w:r>
      <w:bookmarkEnd w:id="69"/>
      <w:bookmarkEnd w:id="70"/>
    </w:p>
    <w:p w14:paraId="149EAE9A">
      <w:pPr>
        <w:pageBreakBefore w:val="0"/>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文件是供应商准备响应文件和参加</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的依据，同时也是评审的重要依据，具有</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rPr>
        <w:t>准法律文件性质。竞争性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文件用以阐明采购项目所需的资质、技术、服务</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及报价等要求、</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程序、有关规定和注意事项以及合同主要条款等。本竞争性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 xml:space="preserve">文件包括以下内容： </w:t>
      </w:r>
    </w:p>
    <w:p w14:paraId="270AE2C6">
      <w:pPr>
        <w:pageBreakBefore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rPr>
        <w:t>谈判</w:t>
      </w:r>
      <w:r>
        <w:rPr>
          <w:rFonts w:hint="eastAsia" w:ascii="宋体" w:hAnsi="宋体" w:eastAsia="宋体" w:cs="宋体"/>
          <w:color w:val="auto"/>
          <w:sz w:val="24"/>
          <w:szCs w:val="24"/>
          <w:highlight w:val="none"/>
          <w:lang w:val="en-US" w:eastAsia="zh-CN"/>
        </w:rPr>
        <w:t>公告</w:t>
      </w:r>
      <w:r>
        <w:rPr>
          <w:rFonts w:hint="eastAsia" w:ascii="宋体" w:hAnsi="宋体" w:eastAsia="宋体" w:cs="宋体"/>
          <w:color w:val="auto"/>
          <w:sz w:val="24"/>
          <w:szCs w:val="24"/>
          <w:highlight w:val="none"/>
        </w:rPr>
        <w:t>；</w:t>
      </w:r>
    </w:p>
    <w:p w14:paraId="64620239">
      <w:pPr>
        <w:pageBreakBefore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rPr>
        <w:t>供应商须知；</w:t>
      </w:r>
    </w:p>
    <w:p w14:paraId="79B9E2F5">
      <w:pPr>
        <w:pageBreakBefore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highlight w:val="none"/>
          <w:lang w:eastAsia="zh-CN"/>
        </w:rPr>
        <w:t>谈判内容及技术要求</w:t>
      </w:r>
      <w:r>
        <w:rPr>
          <w:rFonts w:hint="eastAsia" w:ascii="宋体" w:hAnsi="宋体" w:eastAsia="宋体" w:cs="宋体"/>
          <w:color w:val="auto"/>
          <w:sz w:val="24"/>
          <w:szCs w:val="24"/>
          <w:highlight w:val="none"/>
        </w:rPr>
        <w:t>；</w:t>
      </w:r>
    </w:p>
    <w:p w14:paraId="7D125FDD">
      <w:pPr>
        <w:pageBreakBefore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highlight w:val="none"/>
          <w:lang w:eastAsia="zh-CN"/>
        </w:rPr>
        <w:t>商务及</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主要</w:t>
      </w:r>
      <w:r>
        <w:rPr>
          <w:rFonts w:hint="eastAsia" w:ascii="宋体" w:hAnsi="宋体" w:eastAsia="宋体" w:cs="宋体"/>
          <w:color w:val="auto"/>
          <w:sz w:val="24"/>
          <w:szCs w:val="24"/>
          <w:highlight w:val="none"/>
        </w:rPr>
        <w:t>条款；</w:t>
      </w:r>
    </w:p>
    <w:p w14:paraId="48EC3A19">
      <w:pPr>
        <w:pageBreakBefore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highlight w:val="none"/>
        </w:rPr>
        <w:t>响应文件格式。</w:t>
      </w:r>
    </w:p>
    <w:p w14:paraId="2B7C23F0">
      <w:pPr>
        <w:pageBreakBefore w:val="0"/>
        <w:numPr>
          <w:ilvl w:val="0"/>
          <w:numId w:val="0"/>
        </w:numPr>
        <w:tabs>
          <w:tab w:val="left" w:pos="0"/>
        </w:tabs>
        <w:kinsoku/>
        <w:wordWrap/>
        <w:overflowPunct/>
        <w:topLinePunct w:val="0"/>
        <w:autoSpaceDE/>
        <w:autoSpaceDN/>
        <w:bidi w:val="0"/>
        <w:adjustRightInd w:val="0"/>
        <w:snapToGrid w:val="0"/>
        <w:spacing w:line="400" w:lineRule="exact"/>
        <w:ind w:firstLine="482" w:firstLineChars="200"/>
        <w:jc w:val="both"/>
        <w:textAlignment w:val="auto"/>
        <w:rPr>
          <w:rFonts w:hint="eastAsia" w:ascii="宋体" w:hAnsi="宋体" w:eastAsia="宋体" w:cs="宋体"/>
          <w:b/>
          <w:bCs/>
          <w:color w:val="auto"/>
          <w:sz w:val="24"/>
          <w:szCs w:val="24"/>
          <w:highlight w:val="none"/>
        </w:rPr>
      </w:pPr>
      <w:bookmarkStart w:id="81" w:name="_Toc536202290"/>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文件的检查及阅读</w:t>
      </w:r>
      <w:bookmarkEnd w:id="81"/>
    </w:p>
    <w:p w14:paraId="53263D84">
      <w:pPr>
        <w:pageBreakBefore w:val="0"/>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供应商应认真阅读和充分理解竞争性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文件中所有的事项、格式条款和规范要求。供应商没有对竞争性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文件全面做出实质性响应是供应商的风险。没有按照竞争性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文件要求作出实质性响应的响应文件应作</w:t>
      </w:r>
      <w:r>
        <w:rPr>
          <w:rFonts w:hint="eastAsia" w:ascii="宋体" w:hAnsi="宋体" w:eastAsia="宋体" w:cs="宋体"/>
          <w:color w:val="auto"/>
          <w:sz w:val="24"/>
          <w:szCs w:val="24"/>
          <w:lang w:val="en-US" w:eastAsia="zh-CN"/>
        </w:rPr>
        <w:t>无效文件</w:t>
      </w:r>
      <w:r>
        <w:rPr>
          <w:rFonts w:hint="eastAsia" w:ascii="宋体" w:hAnsi="宋体" w:eastAsia="宋体" w:cs="宋体"/>
          <w:color w:val="auto"/>
          <w:sz w:val="24"/>
          <w:szCs w:val="24"/>
        </w:rPr>
        <w:t>处理。</w:t>
      </w:r>
    </w:p>
    <w:p w14:paraId="07E85488">
      <w:pPr>
        <w:pageBreakBefore w:val="0"/>
        <w:numPr>
          <w:ilvl w:val="0"/>
          <w:numId w:val="0"/>
        </w:numPr>
        <w:tabs>
          <w:tab w:val="left" w:pos="0"/>
        </w:tabs>
        <w:kinsoku/>
        <w:wordWrap/>
        <w:overflowPunct/>
        <w:topLinePunct w:val="0"/>
        <w:autoSpaceDE/>
        <w:autoSpaceDN/>
        <w:bidi w:val="0"/>
        <w:adjustRightInd w:val="0"/>
        <w:snapToGrid w:val="0"/>
        <w:spacing w:line="400" w:lineRule="exact"/>
        <w:ind w:firstLine="482" w:firstLineChars="200"/>
        <w:jc w:val="both"/>
        <w:textAlignment w:val="auto"/>
        <w:rPr>
          <w:rFonts w:hint="eastAsia" w:ascii="宋体" w:hAnsi="宋体" w:eastAsia="宋体" w:cs="宋体"/>
          <w:b/>
          <w:bCs/>
          <w:color w:val="auto"/>
          <w:sz w:val="24"/>
          <w:szCs w:val="24"/>
          <w:highlight w:val="none"/>
        </w:rPr>
      </w:pPr>
      <w:bookmarkStart w:id="82" w:name="_Toc536202292"/>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现场踏勘及</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文件答疑</w:t>
      </w:r>
      <w:bookmarkEnd w:id="82"/>
    </w:p>
    <w:p w14:paraId="0504D159">
      <w:pPr>
        <w:pageBreakBefore w:val="0"/>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招标代理机构将视情况确定是否有必要召开标前答疑会。如果召开标前答疑会，招标代理机构将通知所有已登记备案并报名领取了</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潜在供应商。在规定的时间，各供应商派技术、预算等相关人员进行现场踏勘和答疑，答疑的问题各供应商以书面形式提交。招标代理机构、采购人共同对各供应商提出的问题进行答复，形成答疑会议纪要。答疑会议纪要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文件中不一致的内容，以答疑会议纪要为准。凡未参加答疑和现场踏勘的供应商，由此造成的偏差由各供应商自行负责。</w:t>
      </w:r>
    </w:p>
    <w:p w14:paraId="3BB89636">
      <w:pPr>
        <w:pageBreakBefore w:val="0"/>
        <w:numPr>
          <w:ilvl w:val="0"/>
          <w:numId w:val="0"/>
        </w:numPr>
        <w:tabs>
          <w:tab w:val="left" w:pos="0"/>
        </w:tabs>
        <w:kinsoku/>
        <w:wordWrap/>
        <w:overflowPunct/>
        <w:topLinePunct w:val="0"/>
        <w:autoSpaceDE/>
        <w:autoSpaceDN/>
        <w:bidi w:val="0"/>
        <w:adjustRightInd w:val="0"/>
        <w:snapToGrid w:val="0"/>
        <w:spacing w:line="400" w:lineRule="exact"/>
        <w:ind w:firstLine="482" w:firstLineChars="200"/>
        <w:jc w:val="both"/>
        <w:textAlignment w:val="auto"/>
        <w:rPr>
          <w:rFonts w:hint="eastAsia" w:ascii="宋体" w:hAnsi="宋体" w:eastAsia="宋体" w:cs="宋体"/>
          <w:b/>
          <w:bCs/>
          <w:color w:val="auto"/>
          <w:sz w:val="24"/>
          <w:szCs w:val="24"/>
          <w:highlight w:val="none"/>
        </w:rPr>
      </w:pPr>
      <w:bookmarkStart w:id="83" w:name="_Toc536202293"/>
      <w:bookmarkStart w:id="84" w:name="_Toc19797"/>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竞争性</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文件的澄清</w:t>
      </w:r>
      <w:bookmarkEnd w:id="83"/>
      <w:bookmarkEnd w:id="84"/>
      <w:r>
        <w:rPr>
          <w:rFonts w:hint="eastAsia" w:ascii="宋体" w:hAnsi="宋体" w:eastAsia="宋体" w:cs="宋体"/>
          <w:b/>
          <w:bCs/>
          <w:color w:val="auto"/>
          <w:sz w:val="24"/>
          <w:szCs w:val="24"/>
          <w:highlight w:val="none"/>
          <w:lang w:eastAsia="zh-CN"/>
        </w:rPr>
        <w:t>和修改</w:t>
      </w:r>
    </w:p>
    <w:p w14:paraId="17C9560C">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color w:val="auto"/>
          <w:sz w:val="24"/>
          <w:szCs w:val="24"/>
        </w:rPr>
      </w:pPr>
      <w:bookmarkStart w:id="85" w:name="_Toc536202295"/>
      <w:bookmarkStart w:id="86" w:name="_Toc31188"/>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采购人在谈判截止时间3个工作日前，可以以书面形式对竞争性谈判文件进行必要的澄清或修改，其内容均为竞争性谈判文件的组成部分，并对采购人及投标人起约束作用。</w:t>
      </w:r>
    </w:p>
    <w:p w14:paraId="0C3CE558">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投标人对竞争性谈判文件如有疑问要求澄清，或认为有必要与采购人进行技术交流，应于谈判截止时3个工作日前，以书面形式通知采购代理机构，采购代理机构以书面形式予以答复。</w:t>
      </w:r>
    </w:p>
    <w:p w14:paraId="54821A63">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无论是采购代理机构主动对竞争性谈判文件进行必要的修改，或根据投标人的要求对竞争性谈判文件做出的澄清，都将于谈判截止3个工作日前以书面形式发送给所有合格的投标人。</w:t>
      </w:r>
    </w:p>
    <w:p w14:paraId="41072299">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竞争性谈判文件的澄清或修改内容均以书面形式明确的内容为准。当竞争性谈判文件的澄清、修改、补充等在同一内容的表述上不一致时，以最后发出的书面文件为准。所有补充文件将作为竞争性谈判文件的组成部分，对所有投标人具有约束力。</w:t>
      </w:r>
    </w:p>
    <w:p w14:paraId="646C6787">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根据采购工作进展实际情况，采购人可酌情延长递交竞争性谈判响应文件的截止时间，若延长将另行以书面形式通知各投标人。</w:t>
      </w:r>
    </w:p>
    <w:p w14:paraId="0E82A559">
      <w:pPr>
        <w:bidi w:val="0"/>
        <w:ind w:firstLine="482" w:firstLineChars="200"/>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5.质疑</w:t>
      </w:r>
    </w:p>
    <w:p w14:paraId="056134C4">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供应商认为</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文件、招标过程和中标结果使自己的权益受到损害的，可以按《政府采购法》第52条执行。</w:t>
      </w:r>
    </w:p>
    <w:p w14:paraId="6D5EE4BF">
      <w:pPr>
        <w:bidi w:val="0"/>
        <w:ind w:firstLine="482" w:firstLineChars="200"/>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6.竞争性谈判文件的获取</w:t>
      </w:r>
      <w:bookmarkEnd w:id="85"/>
      <w:bookmarkEnd w:id="86"/>
    </w:p>
    <w:p w14:paraId="73B413A1">
      <w:pPr>
        <w:pageBreakBefore w:val="0"/>
        <w:widowControl/>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供应商必须从代理机构</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文件，供应商自行转让或复制竞争性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文件视为无效。竞争性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文件仅作为本次竞争性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使用。</w:t>
      </w:r>
    </w:p>
    <w:p w14:paraId="1F077260">
      <w:pPr>
        <w:pStyle w:val="5"/>
        <w:pageBreakBefore w:val="0"/>
        <w:kinsoku/>
        <w:wordWrap/>
        <w:overflowPunct/>
        <w:topLinePunct w:val="0"/>
        <w:autoSpaceDE/>
        <w:autoSpaceDN/>
        <w:bidi w:val="0"/>
        <w:spacing w:line="400" w:lineRule="exact"/>
        <w:ind w:left="0" w:leftChars="0" w:firstLine="482" w:firstLineChars="200"/>
        <w:jc w:val="both"/>
        <w:textAlignment w:val="auto"/>
        <w:rPr>
          <w:rFonts w:hint="eastAsia" w:ascii="宋体" w:hAnsi="宋体" w:eastAsia="宋体" w:cs="宋体"/>
          <w:color w:val="auto"/>
          <w:sz w:val="24"/>
          <w:szCs w:val="24"/>
        </w:rPr>
      </w:pPr>
      <w:bookmarkStart w:id="87" w:name="_Toc536202296"/>
      <w:bookmarkStart w:id="88" w:name="_Toc5095"/>
      <w:r>
        <w:rPr>
          <w:rFonts w:hint="eastAsia" w:ascii="宋体" w:hAnsi="宋体" w:eastAsia="宋体" w:cs="宋体"/>
          <w:b/>
          <w:bCs/>
          <w:color w:val="auto"/>
          <w:kern w:val="2"/>
          <w:sz w:val="24"/>
          <w:szCs w:val="24"/>
          <w:u w:val="none"/>
          <w:lang w:val="en-US" w:eastAsia="zh-CN" w:bidi="ar-SA"/>
        </w:rPr>
        <w:t>7.竞争性谈判文件的解释权归代理机构</w:t>
      </w:r>
      <w:bookmarkEnd w:id="87"/>
      <w:bookmarkEnd w:id="88"/>
      <w:r>
        <w:rPr>
          <w:rFonts w:hint="eastAsia" w:ascii="宋体" w:hAnsi="宋体" w:eastAsia="宋体" w:cs="宋体"/>
          <w:color w:val="auto"/>
          <w:sz w:val="24"/>
          <w:szCs w:val="24"/>
        </w:rPr>
        <w:t>（ 如发现招标文件内容与现行法律法规不相符的情况，以现行法律法规为准。)</w:t>
      </w:r>
    </w:p>
    <w:bookmarkEnd w:id="71"/>
    <w:bookmarkEnd w:id="72"/>
    <w:bookmarkEnd w:id="73"/>
    <w:bookmarkEnd w:id="74"/>
    <w:bookmarkEnd w:id="75"/>
    <w:bookmarkEnd w:id="76"/>
    <w:bookmarkEnd w:id="77"/>
    <w:bookmarkEnd w:id="78"/>
    <w:bookmarkEnd w:id="79"/>
    <w:bookmarkEnd w:id="80"/>
    <w:p w14:paraId="4A9861FD">
      <w:pPr>
        <w:pageBreakBefore w:val="0"/>
        <w:widowControl/>
        <w:numPr>
          <w:ilvl w:val="0"/>
          <w:numId w:val="0"/>
        </w:numPr>
        <w:kinsoku/>
        <w:wordWrap/>
        <w:overflowPunct/>
        <w:topLinePunct w:val="0"/>
        <w:autoSpaceDE/>
        <w:autoSpaceDN/>
        <w:bidi w:val="0"/>
        <w:spacing w:line="400" w:lineRule="exact"/>
        <w:jc w:val="center"/>
        <w:textAlignment w:val="auto"/>
        <w:outlineLvl w:val="1"/>
        <w:rPr>
          <w:rFonts w:hint="eastAsia" w:ascii="宋体" w:hAnsi="宋体" w:eastAsia="宋体" w:cs="宋体"/>
          <w:b/>
          <w:bCs/>
          <w:color w:val="auto"/>
          <w:kern w:val="0"/>
          <w:sz w:val="24"/>
          <w:szCs w:val="24"/>
          <w:highlight w:val="none"/>
        </w:rPr>
      </w:pPr>
      <w:bookmarkStart w:id="89" w:name="_Toc536202297"/>
      <w:bookmarkStart w:id="90" w:name="_Toc536202381"/>
      <w:bookmarkStart w:id="91" w:name="_Toc536429321"/>
      <w:bookmarkStart w:id="92" w:name="_Toc536429374"/>
      <w:bookmarkStart w:id="93" w:name="_Toc19543338"/>
      <w:bookmarkStart w:id="94" w:name="_Toc622"/>
      <w:bookmarkStart w:id="95" w:name="_Toc6730"/>
      <w:bookmarkStart w:id="96" w:name="_Toc14147"/>
      <w:bookmarkStart w:id="97" w:name="_Toc18867"/>
      <w:bookmarkStart w:id="98" w:name="_Toc11198"/>
      <w:bookmarkStart w:id="99" w:name="_Toc23316686"/>
      <w:bookmarkStart w:id="100" w:name="_Toc214"/>
      <w:bookmarkStart w:id="101" w:name="_Toc23315664"/>
      <w:bookmarkStart w:id="102" w:name="_Toc23316524"/>
      <w:bookmarkStart w:id="103" w:name="_Toc23316588"/>
      <w:bookmarkStart w:id="104" w:name="_Toc18412203"/>
      <w:bookmarkStart w:id="105" w:name="_Toc14189274"/>
      <w:bookmarkStart w:id="106" w:name="_Toc14189411"/>
      <w:bookmarkStart w:id="107" w:name="_Toc35335260"/>
      <w:r>
        <w:rPr>
          <w:rFonts w:hint="eastAsia" w:ascii="宋体" w:hAnsi="宋体" w:eastAsia="宋体" w:cs="宋体"/>
          <w:b/>
          <w:bCs/>
          <w:color w:val="auto"/>
          <w:kern w:val="0"/>
          <w:sz w:val="24"/>
          <w:szCs w:val="24"/>
          <w:highlight w:val="none"/>
          <w:lang w:eastAsia="zh-CN"/>
        </w:rPr>
        <w:t>三、</w:t>
      </w:r>
      <w:bookmarkEnd w:id="89"/>
      <w:bookmarkEnd w:id="90"/>
      <w:bookmarkEnd w:id="91"/>
      <w:bookmarkEnd w:id="92"/>
      <w:bookmarkEnd w:id="93"/>
      <w:bookmarkEnd w:id="94"/>
      <w:r>
        <w:rPr>
          <w:rFonts w:hint="eastAsia" w:ascii="宋体" w:hAnsi="宋体" w:eastAsia="宋体" w:cs="宋体"/>
          <w:b/>
          <w:bCs/>
          <w:color w:val="auto"/>
          <w:kern w:val="0"/>
          <w:sz w:val="24"/>
          <w:szCs w:val="24"/>
          <w:highlight w:val="none"/>
          <w:lang w:eastAsia="zh-CN"/>
        </w:rPr>
        <w:t>竞争性谈判响应文件及编制要求</w:t>
      </w:r>
      <w:bookmarkEnd w:id="95"/>
      <w:bookmarkEnd w:id="96"/>
      <w:bookmarkEnd w:id="97"/>
    </w:p>
    <w:p w14:paraId="3A8B0F3E">
      <w:pPr>
        <w:bidi w:val="0"/>
        <w:ind w:firstLine="482" w:firstLineChars="200"/>
        <w:rPr>
          <w:rFonts w:hint="eastAsia" w:ascii="宋体" w:hAnsi="宋体" w:eastAsia="宋体" w:cs="宋体"/>
          <w:b/>
          <w:bCs/>
          <w:color w:val="auto"/>
          <w:kern w:val="2"/>
          <w:sz w:val="24"/>
          <w:szCs w:val="24"/>
          <w:u w:val="none"/>
          <w:lang w:val="en-US" w:eastAsia="zh-CN" w:bidi="ar-SA"/>
        </w:rPr>
      </w:pPr>
      <w:bookmarkStart w:id="108" w:name="_Toc536202299"/>
      <w:r>
        <w:rPr>
          <w:rFonts w:hint="eastAsia" w:ascii="宋体" w:hAnsi="宋体" w:eastAsia="宋体" w:cs="宋体"/>
          <w:b/>
          <w:bCs/>
          <w:color w:val="auto"/>
          <w:kern w:val="2"/>
          <w:sz w:val="24"/>
          <w:szCs w:val="24"/>
          <w:u w:val="none"/>
          <w:lang w:val="en-US" w:eastAsia="zh-CN" w:bidi="ar-SA"/>
        </w:rPr>
        <w:t>1.响应文件编制的原则</w:t>
      </w:r>
    </w:p>
    <w:p w14:paraId="3E303EC6">
      <w:pPr>
        <w:pageBreakBefore w:val="0"/>
        <w:widowControl/>
        <w:kinsoku/>
        <w:wordWrap/>
        <w:overflowPunct/>
        <w:topLinePunct w:val="0"/>
        <w:autoSpaceDE/>
        <w:autoSpaceDN/>
        <w:bidi w:val="0"/>
        <w:spacing w:line="400" w:lineRule="exact"/>
        <w:ind w:left="0" w:leftChars="0" w:firstLine="480" w:firstLineChars="200"/>
        <w:jc w:val="both"/>
        <w:textAlignment w:val="auto"/>
        <w:outlineLvl w:val="1"/>
        <w:rPr>
          <w:rFonts w:hint="eastAsia" w:ascii="宋体" w:hAnsi="宋体" w:eastAsia="宋体" w:cs="宋体"/>
          <w:bCs/>
          <w:color w:val="auto"/>
          <w:kern w:val="0"/>
          <w:sz w:val="24"/>
          <w:szCs w:val="24"/>
        </w:rPr>
      </w:pPr>
      <w:bookmarkStart w:id="109" w:name="_Toc14379"/>
      <w:bookmarkStart w:id="110" w:name="_Toc11706"/>
      <w:bookmarkStart w:id="111" w:name="_Toc14372"/>
      <w:r>
        <w:rPr>
          <w:rFonts w:hint="eastAsia" w:ascii="宋体" w:hAnsi="宋体" w:eastAsia="宋体" w:cs="宋体"/>
          <w:bCs/>
          <w:color w:val="auto"/>
          <w:kern w:val="0"/>
          <w:sz w:val="24"/>
          <w:szCs w:val="24"/>
        </w:rPr>
        <w:t>1.1投标人应在认真阅读</w:t>
      </w:r>
      <w:r>
        <w:rPr>
          <w:rFonts w:hint="eastAsia" w:ascii="宋体" w:hAnsi="宋体" w:eastAsia="宋体" w:cs="宋体"/>
          <w:bCs/>
          <w:color w:val="auto"/>
          <w:kern w:val="0"/>
          <w:sz w:val="24"/>
          <w:szCs w:val="24"/>
          <w:lang w:eastAsia="zh-CN"/>
        </w:rPr>
        <w:t>谈判</w:t>
      </w:r>
      <w:r>
        <w:rPr>
          <w:rFonts w:hint="eastAsia" w:ascii="宋体" w:hAnsi="宋体" w:eastAsia="宋体" w:cs="宋体"/>
          <w:bCs/>
          <w:color w:val="auto"/>
          <w:kern w:val="0"/>
          <w:sz w:val="24"/>
          <w:szCs w:val="24"/>
        </w:rPr>
        <w:t>文件所有内容的基础上，按照</w:t>
      </w:r>
      <w:r>
        <w:rPr>
          <w:rFonts w:hint="eastAsia" w:ascii="宋体" w:hAnsi="宋体" w:eastAsia="宋体" w:cs="宋体"/>
          <w:bCs/>
          <w:color w:val="auto"/>
          <w:kern w:val="0"/>
          <w:sz w:val="24"/>
          <w:szCs w:val="24"/>
          <w:lang w:eastAsia="zh-CN"/>
        </w:rPr>
        <w:t>谈判</w:t>
      </w:r>
      <w:r>
        <w:rPr>
          <w:rFonts w:hint="eastAsia" w:ascii="宋体" w:hAnsi="宋体" w:eastAsia="宋体" w:cs="宋体"/>
          <w:bCs/>
          <w:color w:val="auto"/>
          <w:kern w:val="0"/>
          <w:sz w:val="24"/>
          <w:szCs w:val="24"/>
        </w:rPr>
        <w:t>文件的要求编制完整的响应文件。</w:t>
      </w:r>
      <w:r>
        <w:rPr>
          <w:rFonts w:hint="eastAsia" w:ascii="宋体" w:hAnsi="宋体" w:eastAsia="宋体" w:cs="宋体"/>
          <w:bCs/>
          <w:color w:val="auto"/>
          <w:kern w:val="0"/>
          <w:sz w:val="24"/>
          <w:szCs w:val="24"/>
          <w:lang w:eastAsia="zh-CN"/>
        </w:rPr>
        <w:t>谈判</w:t>
      </w:r>
      <w:r>
        <w:rPr>
          <w:rFonts w:hint="eastAsia" w:ascii="宋体" w:hAnsi="宋体" w:eastAsia="宋体" w:cs="宋体"/>
          <w:bCs/>
          <w:color w:val="auto"/>
          <w:kern w:val="0"/>
          <w:sz w:val="24"/>
          <w:szCs w:val="24"/>
        </w:rPr>
        <w:t>文件中对响应文件格式有要求的，应按格式编制并逐项填写内容。投标文件中留有空项的或没有按格式制作的，将被视为不完整响应的投标文件，其投标将有可能被拒绝。</w:t>
      </w:r>
      <w:bookmarkEnd w:id="109"/>
      <w:bookmarkEnd w:id="110"/>
      <w:bookmarkEnd w:id="111"/>
      <w:r>
        <w:rPr>
          <w:rFonts w:hint="eastAsia" w:ascii="宋体" w:hAnsi="宋体" w:eastAsia="宋体" w:cs="宋体"/>
          <w:bCs/>
          <w:color w:val="auto"/>
          <w:kern w:val="0"/>
          <w:sz w:val="24"/>
          <w:szCs w:val="24"/>
        </w:rPr>
        <w:t xml:space="preserve"> </w:t>
      </w:r>
    </w:p>
    <w:p w14:paraId="03D3E69E">
      <w:pPr>
        <w:pageBreakBefore w:val="0"/>
        <w:widowControl/>
        <w:kinsoku/>
        <w:wordWrap/>
        <w:overflowPunct/>
        <w:topLinePunct w:val="0"/>
        <w:autoSpaceDE/>
        <w:autoSpaceDN/>
        <w:bidi w:val="0"/>
        <w:spacing w:line="400" w:lineRule="exact"/>
        <w:ind w:left="0" w:leftChars="0" w:firstLine="480" w:firstLineChars="200"/>
        <w:jc w:val="both"/>
        <w:textAlignment w:val="auto"/>
        <w:outlineLvl w:val="1"/>
        <w:rPr>
          <w:rFonts w:hint="eastAsia" w:ascii="宋体" w:hAnsi="宋体" w:eastAsia="宋体" w:cs="宋体"/>
          <w:bCs/>
          <w:color w:val="auto"/>
          <w:kern w:val="0"/>
          <w:sz w:val="24"/>
          <w:szCs w:val="24"/>
        </w:rPr>
      </w:pPr>
      <w:bookmarkStart w:id="112" w:name="_Toc1174"/>
      <w:bookmarkStart w:id="113" w:name="_Toc21971"/>
      <w:bookmarkStart w:id="114" w:name="_Toc31428"/>
      <w:r>
        <w:rPr>
          <w:rFonts w:hint="eastAsia" w:ascii="宋体" w:hAnsi="宋体" w:eastAsia="宋体" w:cs="宋体"/>
          <w:bCs/>
          <w:color w:val="auto"/>
          <w:kern w:val="0"/>
          <w:sz w:val="24"/>
          <w:szCs w:val="24"/>
        </w:rPr>
        <w:t>1.2投标人必须保证投标文件所提供的全部资料真实可靠，并接受对其中任何资料进一步审查的要求。</w:t>
      </w:r>
      <w:bookmarkEnd w:id="112"/>
      <w:bookmarkEnd w:id="113"/>
      <w:bookmarkEnd w:id="114"/>
    </w:p>
    <w:p w14:paraId="4D618628">
      <w:pPr>
        <w:pageBreakBefore w:val="0"/>
        <w:widowControl/>
        <w:kinsoku/>
        <w:wordWrap/>
        <w:overflowPunct/>
        <w:topLinePunct w:val="0"/>
        <w:autoSpaceDE/>
        <w:autoSpaceDN/>
        <w:bidi w:val="0"/>
        <w:spacing w:line="400" w:lineRule="exact"/>
        <w:ind w:left="0" w:leftChars="0" w:firstLine="480" w:firstLineChars="200"/>
        <w:jc w:val="both"/>
        <w:textAlignment w:val="auto"/>
        <w:outlineLvl w:val="1"/>
        <w:rPr>
          <w:rFonts w:hint="eastAsia" w:ascii="宋体" w:hAnsi="宋体" w:eastAsia="宋体" w:cs="宋体"/>
          <w:color w:val="auto"/>
          <w:sz w:val="24"/>
          <w:szCs w:val="24"/>
        </w:rPr>
      </w:pPr>
      <w:bookmarkStart w:id="115" w:name="_Toc18807"/>
      <w:bookmarkStart w:id="116" w:name="_Toc19296"/>
      <w:bookmarkStart w:id="117" w:name="_Toc21687"/>
      <w:r>
        <w:rPr>
          <w:rFonts w:hint="eastAsia" w:ascii="宋体" w:hAnsi="宋体" w:eastAsia="宋体" w:cs="宋体"/>
          <w:bCs/>
          <w:color w:val="auto"/>
          <w:kern w:val="0"/>
          <w:sz w:val="24"/>
          <w:szCs w:val="24"/>
        </w:rPr>
        <w:t>1.3投标文件须对招标文件中的内容做出实质性和完整性的响应，否则其投标将被视为无效投标，按</w:t>
      </w:r>
      <w:r>
        <w:rPr>
          <w:rFonts w:hint="eastAsia" w:ascii="宋体" w:hAnsi="宋体" w:eastAsia="宋体" w:cs="宋体"/>
          <w:bCs/>
          <w:color w:val="auto"/>
          <w:kern w:val="0"/>
          <w:sz w:val="24"/>
          <w:szCs w:val="24"/>
          <w:lang w:val="en-US" w:eastAsia="zh-CN"/>
        </w:rPr>
        <w:t>无效文件</w:t>
      </w:r>
      <w:r>
        <w:rPr>
          <w:rFonts w:hint="eastAsia" w:ascii="宋体" w:hAnsi="宋体" w:eastAsia="宋体" w:cs="宋体"/>
          <w:bCs/>
          <w:color w:val="auto"/>
          <w:kern w:val="0"/>
          <w:sz w:val="24"/>
          <w:szCs w:val="24"/>
        </w:rPr>
        <w:t>处理。</w:t>
      </w:r>
      <w:bookmarkEnd w:id="115"/>
      <w:bookmarkEnd w:id="116"/>
      <w:bookmarkEnd w:id="117"/>
    </w:p>
    <w:p w14:paraId="7C5207DD">
      <w:pPr>
        <w:bidi w:val="0"/>
        <w:ind w:firstLine="482" w:firstLineChars="200"/>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2.响应文件构成和格式</w:t>
      </w:r>
    </w:p>
    <w:p w14:paraId="48E0E235">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投标人应按照本须知响应文件构成和格式及</w:t>
      </w:r>
      <w:r>
        <w:rPr>
          <w:rFonts w:hint="eastAsia" w:ascii="宋体" w:hAnsi="宋体" w:eastAsia="宋体" w:cs="宋体"/>
          <w:color w:val="auto"/>
          <w:sz w:val="24"/>
          <w:szCs w:val="24"/>
          <w:lang w:val="en-US" w:eastAsia="zh-CN"/>
        </w:rPr>
        <w:t>谈判文件</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五章</w:t>
      </w:r>
      <w:r>
        <w:rPr>
          <w:rFonts w:hint="eastAsia" w:ascii="宋体" w:hAnsi="宋体" w:eastAsia="宋体" w:cs="宋体"/>
          <w:color w:val="auto"/>
          <w:sz w:val="24"/>
          <w:szCs w:val="24"/>
        </w:rPr>
        <w:t>提供的格式编写投标文件，不得缺少</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文件要求填写的表格或提交的资料。</w:t>
      </w:r>
    </w:p>
    <w:p w14:paraId="3BADF4DF">
      <w:pPr>
        <w:bidi w:val="0"/>
        <w:ind w:firstLine="482" w:firstLineChars="200"/>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3.谈判报价</w:t>
      </w:r>
      <w:bookmarkEnd w:id="108"/>
    </w:p>
    <w:p w14:paraId="2B8FABF2">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bookmarkStart w:id="118" w:name="_Toc29200"/>
      <w:bookmarkStart w:id="119" w:name="_Toc536202300"/>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报价为供应商充分考虑</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文件的各项条款和所掌握的市场情况及本项目的实际情况，根据自身情况自主报价；</w:t>
      </w:r>
    </w:p>
    <w:p w14:paraId="555F8E9C">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（2）供应商应在响应报价表中标明本次招标所要求的货物、服务且验收合格的所有费用</w:t>
      </w:r>
      <w:r>
        <w:rPr>
          <w:rFonts w:hint="eastAsia" w:ascii="宋体" w:hAnsi="宋体" w:eastAsia="宋体" w:cs="宋体"/>
          <w:color w:val="auto"/>
          <w:sz w:val="24"/>
          <w:szCs w:val="24"/>
          <w:lang w:eastAsia="zh-CN"/>
        </w:rPr>
        <w:t>；</w:t>
      </w:r>
    </w:p>
    <w:p w14:paraId="72732F94">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）凡本</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文件要求（或允许）及供应商认为需要进行报价的各项费用项目，（不论是否要求进入报价）若</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时未报或未在响应文件中予以说明，采购人将按这些费用已包含在</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报价中对待；</w:t>
      </w:r>
      <w:r>
        <w:rPr>
          <w:rFonts w:hint="eastAsia" w:ascii="宋体" w:hAnsi="宋体" w:eastAsia="宋体" w:cs="宋体"/>
          <w:color w:val="auto"/>
          <w:spacing w:val="4"/>
          <w:sz w:val="24"/>
          <w:szCs w:val="24"/>
        </w:rPr>
        <w:t>供应商应考虑全部材料的风险，供应商一旦成交，采购人将不再对此部分进行调整；供应商的报价应将此差异考虑在综合单价内，结算时不予调整。</w:t>
      </w:r>
    </w:p>
    <w:p w14:paraId="579262AA">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）响应报价表应有法定代表人或被授权人的签字。</w:t>
      </w:r>
    </w:p>
    <w:p w14:paraId="76884BD0">
      <w:pPr>
        <w:bidi w:val="0"/>
        <w:ind w:firstLine="482" w:firstLineChars="200"/>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4.谈判货币</w:t>
      </w:r>
      <w:bookmarkEnd w:id="118"/>
      <w:bookmarkEnd w:id="119"/>
    </w:p>
    <w:p w14:paraId="4B28FCE0">
      <w:pPr>
        <w:pageBreakBefore w:val="0"/>
        <w:kinsoku/>
        <w:wordWrap/>
        <w:overflowPunct/>
        <w:topLinePunct w:val="0"/>
        <w:autoSpaceDE/>
        <w:autoSpaceDN/>
        <w:bidi w:val="0"/>
        <w:spacing w:line="400" w:lineRule="exact"/>
        <w:ind w:left="0" w:leftChars="0" w:firstLine="496" w:firstLineChars="200"/>
        <w:jc w:val="both"/>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采购人只接受人民币作为唯一</w:t>
      </w:r>
      <w:r>
        <w:rPr>
          <w:rFonts w:hint="eastAsia" w:ascii="宋体" w:hAnsi="宋体" w:eastAsia="宋体" w:cs="宋体"/>
          <w:color w:val="auto"/>
          <w:spacing w:val="4"/>
          <w:sz w:val="24"/>
          <w:szCs w:val="24"/>
          <w:lang w:eastAsia="zh-CN"/>
        </w:rPr>
        <w:t>谈判</w:t>
      </w:r>
      <w:r>
        <w:rPr>
          <w:rFonts w:hint="eastAsia" w:ascii="宋体" w:hAnsi="宋体" w:eastAsia="宋体" w:cs="宋体"/>
          <w:color w:val="auto"/>
          <w:spacing w:val="4"/>
          <w:sz w:val="24"/>
          <w:szCs w:val="24"/>
        </w:rPr>
        <w:t>货币。以人民币为投标货币。以元为报价单位，保留小数点后两位。</w:t>
      </w:r>
    </w:p>
    <w:p w14:paraId="21A304C8">
      <w:pPr>
        <w:pageBreakBefore w:val="0"/>
        <w:kinsoku/>
        <w:wordWrap/>
        <w:overflowPunct/>
        <w:topLinePunct w:val="0"/>
        <w:autoSpaceDE/>
        <w:autoSpaceDN/>
        <w:bidi w:val="0"/>
        <w:spacing w:line="400" w:lineRule="exact"/>
        <w:ind w:left="0" w:leftChars="0" w:firstLine="482" w:firstLineChars="200"/>
        <w:jc w:val="both"/>
        <w:textAlignment w:val="auto"/>
        <w:rPr>
          <w:rFonts w:hint="eastAsia" w:ascii="宋体" w:hAnsi="宋体" w:eastAsia="宋体" w:cs="宋体"/>
          <w:b/>
          <w:bCs/>
          <w:color w:val="auto"/>
          <w:sz w:val="24"/>
          <w:szCs w:val="24"/>
          <w:lang w:val="en-US" w:eastAsia="zh-CN"/>
        </w:rPr>
      </w:pPr>
      <w:bookmarkStart w:id="120" w:name="_Toc536202302"/>
      <w:r>
        <w:rPr>
          <w:rFonts w:hint="eastAsia" w:ascii="宋体" w:hAnsi="宋体" w:eastAsia="宋体" w:cs="宋体"/>
          <w:b/>
          <w:bCs/>
          <w:color w:val="auto"/>
          <w:sz w:val="24"/>
          <w:szCs w:val="24"/>
          <w:lang w:val="en-US" w:eastAsia="zh-CN"/>
        </w:rPr>
        <w:t>5.响应有效期</w:t>
      </w:r>
      <w:bookmarkEnd w:id="120"/>
    </w:p>
    <w:p w14:paraId="569055F2">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响应文件有效期及法定代表人授权书有效期为递交响应文件截止时间起90个日历日，响应有效期短于此规定期限的响应文件，视为无效文件，其</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将被拒绝。成交单位的响应文件有效期延长至合同执行完毕。</w:t>
      </w:r>
    </w:p>
    <w:p w14:paraId="4526CC22">
      <w:pPr>
        <w:bidi w:val="0"/>
        <w:ind w:firstLine="482" w:firstLineChars="200"/>
        <w:rPr>
          <w:rFonts w:hint="eastAsia" w:ascii="宋体" w:hAnsi="宋体" w:eastAsia="宋体" w:cs="宋体"/>
          <w:b/>
          <w:bCs/>
          <w:color w:val="auto"/>
          <w:kern w:val="2"/>
          <w:sz w:val="24"/>
          <w:szCs w:val="24"/>
          <w:u w:val="none"/>
          <w:lang w:val="en-US" w:eastAsia="zh-CN" w:bidi="ar-SA"/>
        </w:rPr>
      </w:pPr>
      <w:bookmarkStart w:id="121" w:name="_Toc536202303"/>
      <w:bookmarkStart w:id="122" w:name="_Toc24827"/>
      <w:r>
        <w:rPr>
          <w:rFonts w:hint="eastAsia" w:ascii="宋体" w:hAnsi="宋体" w:eastAsia="宋体" w:cs="宋体"/>
          <w:b/>
          <w:bCs/>
          <w:color w:val="auto"/>
          <w:kern w:val="2"/>
          <w:sz w:val="24"/>
          <w:szCs w:val="24"/>
          <w:u w:val="none"/>
          <w:lang w:val="en-US" w:eastAsia="zh-CN" w:bidi="ar-SA"/>
        </w:rPr>
        <w:t>6.响应文件的格式、装订、密封和签署</w:t>
      </w:r>
      <w:bookmarkEnd w:id="121"/>
      <w:bookmarkEnd w:id="122"/>
    </w:p>
    <w:p w14:paraId="754C1D73">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bookmarkStart w:id="123" w:name="_Toc22752"/>
      <w:bookmarkStart w:id="124" w:name="_Toc536202304"/>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.1响应文件的格式</w:t>
      </w:r>
    </w:p>
    <w:p w14:paraId="50551EBF">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供应商须依据招标文件内容和投标文件格式的要求编制投标文件；并编制目录和对应的页码。</w:t>
      </w:r>
    </w:p>
    <w:p w14:paraId="67D8C181">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rPr>
        <w:t>响应文</w:t>
      </w:r>
      <w:r>
        <w:rPr>
          <w:rFonts w:hint="eastAsia" w:ascii="宋体" w:hAnsi="宋体" w:eastAsia="宋体" w:cs="宋体"/>
          <w:color w:val="auto"/>
          <w:sz w:val="24"/>
          <w:szCs w:val="24"/>
          <w:lang w:val="en-US" w:eastAsia="zh-CN"/>
        </w:rPr>
        <w:t>件的签署</w:t>
      </w:r>
    </w:p>
    <w:p w14:paraId="66DAB047">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（1）供应商应在投标文件中指定的页面落款处填写供应商全称，并按要求加盖公章及签字(包括投标文件的封面）侧面还需加盖骑缝章。</w:t>
      </w:r>
    </w:p>
    <w:p w14:paraId="74A5C5E6">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（2）响应文件应字迹清楚、内容齐全、不得涂改或增删。如有修改和增删，必须有供应商公章及法定代表人或其授权代表签字。</w:t>
      </w:r>
    </w:p>
    <w:p w14:paraId="29A30CF1">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（3）因响应文件字迹潦草或表达不清所引起的不利后果由供应商承担。</w:t>
      </w:r>
    </w:p>
    <w:p w14:paraId="7EB95983">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本次招标只接受简体中文文字的投标文件；如投标文件中出现外文资料，必须配以中文译文。否则，由此引发的一切责任由供应商自负。</w:t>
      </w:r>
    </w:p>
    <w:p w14:paraId="30CD3D22">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拒绝接受以电话、传真、电子邮件形式的投标。</w:t>
      </w:r>
    </w:p>
    <w:p w14:paraId="2B90C30B">
      <w:pPr>
        <w:bidi w:val="0"/>
        <w:ind w:firstLine="482" w:firstLineChars="200"/>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7.知识产权</w:t>
      </w:r>
      <w:bookmarkEnd w:id="123"/>
      <w:bookmarkEnd w:id="124"/>
    </w:p>
    <w:p w14:paraId="4F7D5384">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14:paraId="66A51D99">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.2采购人享有本项目在实施过程中产生的知识成果及知识产权。</w:t>
      </w:r>
    </w:p>
    <w:p w14:paraId="61FFABD4">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501E3678">
      <w:pPr>
        <w:pageBreakBefore w:val="0"/>
        <w:widowControl/>
        <w:numPr>
          <w:ilvl w:val="0"/>
          <w:numId w:val="0"/>
        </w:numPr>
        <w:kinsoku/>
        <w:wordWrap/>
        <w:overflowPunct/>
        <w:topLinePunct w:val="0"/>
        <w:autoSpaceDE/>
        <w:autoSpaceDN/>
        <w:bidi w:val="0"/>
        <w:spacing w:line="400" w:lineRule="exact"/>
        <w:ind w:left="0" w:leftChars="0" w:firstLine="480" w:firstLineChars="200"/>
        <w:jc w:val="both"/>
        <w:textAlignment w:val="auto"/>
        <w:outlineLvl w:val="1"/>
        <w:rPr>
          <w:rFonts w:hint="eastAsia" w:ascii="宋体" w:hAnsi="宋体" w:eastAsia="宋体" w:cs="宋体"/>
          <w:color w:val="auto"/>
          <w:sz w:val="24"/>
          <w:szCs w:val="24"/>
        </w:rPr>
      </w:pPr>
      <w:bookmarkStart w:id="125" w:name="_Toc22616"/>
      <w:bookmarkStart w:id="126" w:name="_Toc24267"/>
      <w:bookmarkStart w:id="127" w:name="_Toc19604"/>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.4如供应商所不拥有的知识产权，则在响应报价中必须包括合法获取该知识产权的相关费用。</w:t>
      </w:r>
      <w:bookmarkEnd w:id="125"/>
      <w:bookmarkEnd w:id="126"/>
      <w:bookmarkEnd w:id="127"/>
      <w:bookmarkStart w:id="128" w:name="_Toc3565"/>
      <w:bookmarkStart w:id="129" w:name="_Toc19543339"/>
      <w:bookmarkStart w:id="130" w:name="_Toc536202305"/>
      <w:bookmarkStart w:id="131" w:name="_Toc536429322"/>
      <w:bookmarkStart w:id="132" w:name="_Toc536429375"/>
      <w:bookmarkStart w:id="133" w:name="_Toc536202382"/>
      <w:bookmarkStart w:id="134" w:name="_Toc4747"/>
      <w:bookmarkStart w:id="135" w:name="_Toc3736"/>
    </w:p>
    <w:p w14:paraId="2AF3B426">
      <w:pPr>
        <w:pageBreakBefore w:val="0"/>
        <w:widowControl/>
        <w:numPr>
          <w:ilvl w:val="0"/>
          <w:numId w:val="0"/>
        </w:numPr>
        <w:kinsoku/>
        <w:wordWrap/>
        <w:overflowPunct/>
        <w:topLinePunct w:val="0"/>
        <w:autoSpaceDE/>
        <w:autoSpaceDN/>
        <w:bidi w:val="0"/>
        <w:spacing w:line="400" w:lineRule="exact"/>
        <w:jc w:val="center"/>
        <w:textAlignment w:val="auto"/>
        <w:outlineLvl w:val="1"/>
        <w:rPr>
          <w:rFonts w:hint="eastAsia" w:ascii="宋体" w:hAnsi="宋体" w:eastAsia="宋体" w:cs="宋体"/>
          <w:b/>
          <w:bCs/>
          <w:color w:val="auto"/>
          <w:kern w:val="0"/>
          <w:sz w:val="24"/>
          <w:szCs w:val="24"/>
        </w:rPr>
      </w:pPr>
      <w:bookmarkStart w:id="136" w:name="_Toc21259"/>
      <w:bookmarkStart w:id="137" w:name="_Toc24983"/>
      <w:bookmarkStart w:id="138" w:name="_Toc7257"/>
      <w:r>
        <w:rPr>
          <w:rFonts w:hint="eastAsia" w:ascii="宋体" w:hAnsi="宋体" w:eastAsia="宋体" w:cs="宋体"/>
          <w:b/>
          <w:bCs/>
          <w:color w:val="auto"/>
          <w:kern w:val="0"/>
          <w:sz w:val="24"/>
          <w:szCs w:val="24"/>
          <w:lang w:eastAsia="zh-CN"/>
        </w:rPr>
        <w:t>四、</w:t>
      </w:r>
      <w:r>
        <w:rPr>
          <w:rFonts w:hint="eastAsia" w:ascii="宋体" w:hAnsi="宋体" w:eastAsia="宋体" w:cs="宋体"/>
          <w:b/>
          <w:bCs/>
          <w:color w:val="auto"/>
          <w:kern w:val="0"/>
          <w:sz w:val="24"/>
          <w:szCs w:val="24"/>
        </w:rPr>
        <w:t>响应文件的递交</w:t>
      </w:r>
      <w:bookmarkEnd w:id="128"/>
      <w:bookmarkEnd w:id="129"/>
      <w:bookmarkEnd w:id="130"/>
      <w:bookmarkEnd w:id="131"/>
      <w:bookmarkEnd w:id="132"/>
      <w:bookmarkEnd w:id="133"/>
      <w:bookmarkEnd w:id="134"/>
      <w:r>
        <w:rPr>
          <w:rFonts w:hint="eastAsia" w:ascii="宋体" w:hAnsi="宋体" w:eastAsia="宋体" w:cs="宋体"/>
          <w:b/>
          <w:bCs/>
          <w:color w:val="auto"/>
          <w:kern w:val="0"/>
          <w:sz w:val="24"/>
          <w:szCs w:val="24"/>
        </w:rPr>
        <w:t>、开启</w:t>
      </w:r>
      <w:bookmarkEnd w:id="136"/>
      <w:bookmarkEnd w:id="137"/>
      <w:bookmarkEnd w:id="138"/>
    </w:p>
    <w:bookmarkEnd w:id="98"/>
    <w:bookmarkEnd w:id="99"/>
    <w:bookmarkEnd w:id="100"/>
    <w:bookmarkEnd w:id="101"/>
    <w:bookmarkEnd w:id="102"/>
    <w:bookmarkEnd w:id="103"/>
    <w:bookmarkEnd w:id="104"/>
    <w:bookmarkEnd w:id="105"/>
    <w:bookmarkEnd w:id="106"/>
    <w:bookmarkEnd w:id="107"/>
    <w:bookmarkEnd w:id="135"/>
    <w:p w14:paraId="1B9CC97B">
      <w:pPr>
        <w:bidi w:val="0"/>
        <w:ind w:firstLine="482" w:firstLineChars="200"/>
        <w:rPr>
          <w:rFonts w:hint="eastAsia" w:ascii="宋体" w:hAnsi="宋体" w:eastAsia="宋体" w:cs="宋体"/>
          <w:b/>
          <w:bCs/>
          <w:color w:val="auto"/>
          <w:kern w:val="2"/>
          <w:sz w:val="24"/>
          <w:szCs w:val="24"/>
          <w:u w:val="none"/>
          <w:lang w:val="en-US" w:eastAsia="zh-CN" w:bidi="ar-SA"/>
        </w:rPr>
      </w:pPr>
      <w:bookmarkStart w:id="139" w:name="_Toc3685"/>
      <w:bookmarkStart w:id="140" w:name="_Toc536202306"/>
      <w:bookmarkStart w:id="141" w:name="_Toc8901"/>
      <w:bookmarkStart w:id="142" w:name="_Toc23315668"/>
      <w:bookmarkStart w:id="143" w:name="_Toc23900"/>
      <w:bookmarkStart w:id="144" w:name="_Toc35335264"/>
      <w:bookmarkStart w:id="145" w:name="_Toc18412207"/>
      <w:bookmarkStart w:id="146" w:name="_Toc23316592"/>
      <w:bookmarkStart w:id="147" w:name="_Toc23316528"/>
      <w:bookmarkStart w:id="148" w:name="_Toc14189415"/>
      <w:bookmarkStart w:id="149" w:name="_Toc14189282"/>
      <w:bookmarkStart w:id="150" w:name="_Toc23316690"/>
      <w:bookmarkStart w:id="151" w:name="_Toc14189285"/>
      <w:bookmarkStart w:id="152" w:name="_Toc424636365"/>
      <w:bookmarkStart w:id="153" w:name="_Toc23316693"/>
      <w:bookmarkStart w:id="154" w:name="_Toc23315671"/>
      <w:bookmarkStart w:id="155" w:name="_Toc14189418"/>
      <w:bookmarkStart w:id="156" w:name="_Toc23316531"/>
      <w:bookmarkStart w:id="157" w:name="_Toc18412210"/>
      <w:bookmarkStart w:id="158" w:name="_Toc25719"/>
      <w:bookmarkStart w:id="159" w:name="_Toc23316595"/>
      <w:r>
        <w:rPr>
          <w:rFonts w:hint="eastAsia" w:ascii="宋体" w:hAnsi="宋体" w:eastAsia="宋体" w:cs="宋体"/>
          <w:b/>
          <w:bCs/>
          <w:color w:val="auto"/>
          <w:kern w:val="2"/>
          <w:sz w:val="24"/>
          <w:szCs w:val="24"/>
          <w:u w:val="none"/>
          <w:lang w:val="en-US" w:eastAsia="zh-CN" w:bidi="ar-SA"/>
        </w:rPr>
        <w:t>1.纸质响应文件递交</w:t>
      </w:r>
      <w:bookmarkEnd w:id="139"/>
      <w:bookmarkEnd w:id="140"/>
    </w:p>
    <w:p w14:paraId="4562756B">
      <w:pPr>
        <w:pageBreakBefore w:val="0"/>
        <w:widowControl/>
        <w:tabs>
          <w:tab w:val="left" w:pos="0"/>
        </w:tabs>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1.1供应商必须在竞争性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文件规定的响应文件递交截止时间之前，将全部响应文件递交至代理机构项目工作人员；代理机构项目承办人在竞争性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文件规定的响应文件递交截止时间前，只负责响应文件的接收、清点、造册登记工作，并请供应商代表签字确认，对其有效性不负任何责任。</w:t>
      </w:r>
    </w:p>
    <w:p w14:paraId="7F0AC450">
      <w:pPr>
        <w:pageBreakBefore w:val="0"/>
        <w:widowControl/>
        <w:tabs>
          <w:tab w:val="left" w:pos="0"/>
        </w:tabs>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1.2代理机构在宣布递交响应文件时间截止之后，拒绝接收任何人送达、递交的响应文件及其他资料；</w:t>
      </w:r>
    </w:p>
    <w:p w14:paraId="7A9E82D8">
      <w:pPr>
        <w:pageBreakBefore w:val="0"/>
        <w:widowControl/>
        <w:tabs>
          <w:tab w:val="left" w:pos="0"/>
        </w:tabs>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1.3代理机构不接受邮寄的响应文件；</w:t>
      </w:r>
    </w:p>
    <w:p w14:paraId="010F8F4D">
      <w:pPr>
        <w:pageBreakBefore w:val="0"/>
        <w:widowControl/>
        <w:tabs>
          <w:tab w:val="left" w:pos="0"/>
        </w:tabs>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1.4无论供应商成交与否，其响应文件恕不退还。</w:t>
      </w:r>
    </w:p>
    <w:p w14:paraId="6DF8221F">
      <w:pPr>
        <w:pageBreakBefore w:val="0"/>
        <w:kinsoku/>
        <w:wordWrap/>
        <w:overflowPunct/>
        <w:topLinePunct w:val="0"/>
        <w:bidi w:val="0"/>
        <w:adjustRightInd w:val="0"/>
        <w:snapToGrid w:val="0"/>
        <w:spacing w:line="400" w:lineRule="exact"/>
        <w:ind w:left="0" w:leftChars="0" w:firstLine="482" w:firstLineChars="200"/>
        <w:jc w:val="both"/>
        <w:textAlignment w:val="auto"/>
        <w:rPr>
          <w:rFonts w:hint="eastAsia" w:ascii="宋体" w:hAnsi="宋体" w:eastAsia="宋体" w:cs="宋体"/>
          <w:b/>
          <w:color w:val="auto"/>
          <w:kern w:val="0"/>
          <w:sz w:val="24"/>
          <w:szCs w:val="24"/>
        </w:rPr>
      </w:pPr>
      <w:r>
        <w:rPr>
          <w:rFonts w:hint="eastAsia" w:ascii="宋体" w:hAnsi="宋体" w:eastAsia="宋体" w:cs="宋体"/>
          <w:b/>
          <w:bCs/>
          <w:color w:val="auto"/>
          <w:kern w:val="0"/>
          <w:sz w:val="24"/>
          <w:szCs w:val="24"/>
          <w:lang w:val="en-US" w:eastAsia="zh-CN"/>
        </w:rPr>
        <w:t>2</w:t>
      </w:r>
      <w:r>
        <w:rPr>
          <w:rFonts w:hint="eastAsia" w:ascii="宋体" w:hAnsi="宋体" w:eastAsia="宋体" w:cs="宋体"/>
          <w:b/>
          <w:color w:val="auto"/>
          <w:kern w:val="0"/>
          <w:sz w:val="24"/>
          <w:szCs w:val="24"/>
          <w:lang w:val="en-US" w:eastAsia="zh-CN"/>
        </w:rPr>
        <w:t>.</w:t>
      </w:r>
      <w:r>
        <w:rPr>
          <w:rFonts w:hint="eastAsia" w:ascii="宋体" w:hAnsi="宋体" w:eastAsia="宋体" w:cs="宋体"/>
          <w:b/>
          <w:color w:val="auto"/>
          <w:kern w:val="0"/>
          <w:sz w:val="24"/>
          <w:szCs w:val="24"/>
        </w:rPr>
        <w:t>提交竞争性谈判响应文件截止时间、签到、密封核实</w:t>
      </w:r>
    </w:p>
    <w:p w14:paraId="0E1DFFCD">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.1竞争性谈判响应文件须按照竞争性谈判文件规定的时间、地点送达。在提交竞争性谈判响应文件截止时间以后送达的竞争性谈判响应文件，代理机构将拒绝接收投标人的竞争性谈判响应文件。</w:t>
      </w:r>
    </w:p>
    <w:p w14:paraId="787C0FEF">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.2参加报价的投标人代表须在报价投标人签到表中签到。</w:t>
      </w:r>
    </w:p>
    <w:p w14:paraId="46B18893">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3参加报价的投标人代表须在采购代理机构工作人员的主持下及监标人的监督下查验响应文件的密封情况并在报价投标人密封核实情况表中签字确认，投标人代表须对签字确认结果承担相应的法律责任。响应文件经确认无误后，由采购人或采购代理机构当众拆封竞争性谈判文件。</w:t>
      </w:r>
    </w:p>
    <w:p w14:paraId="0D1DAF91">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.4采购代理机构可以按本须知第二项“竞争性谈判文件”第</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条规定，通知因修改竞争性谈判文件而适当延长谈判截止期。在此情况下，采购单位和投标人受谈判截止期制约的所有权利和义务均应延长至新的截止期。</w:t>
      </w:r>
    </w:p>
    <w:p w14:paraId="02A35C83">
      <w:pPr>
        <w:pageBreakBefore w:val="0"/>
        <w:kinsoku/>
        <w:wordWrap/>
        <w:overflowPunct/>
        <w:topLinePunct w:val="0"/>
        <w:bidi w:val="0"/>
        <w:adjustRightInd w:val="0"/>
        <w:snapToGrid w:val="0"/>
        <w:spacing w:line="400" w:lineRule="exact"/>
        <w:ind w:left="0" w:leftChars="0" w:firstLine="482" w:firstLineChars="200"/>
        <w:jc w:val="both"/>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kern w:val="0"/>
          <w:sz w:val="24"/>
          <w:szCs w:val="24"/>
        </w:rPr>
        <w:t>竞争性谈判响应文件的修改和撤回</w:t>
      </w:r>
    </w:p>
    <w:p w14:paraId="3D7B82A8">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.1投标人在递交竞争性谈判响应文件后，谈判截止时间前，可以修改或撤回其竞争性谈判响应文件。但投标人必须在规定的谈判截止期之前将修改或撤回的书面通知递交到采购代理机构。</w:t>
      </w:r>
    </w:p>
    <w:p w14:paraId="130E6171">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.2投标人的修改或撤回通知书应按本须知第</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项第</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条响应文件的格式、装订、密封和签署，并在内层封套上加注“修改”或“撤回”字样。</w:t>
      </w:r>
    </w:p>
    <w:p w14:paraId="448873F3">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.3在谈判截止日期之后，投标人不得对其竞争性谈判响应文件做任何修改。从谈判截止期始至竞争性谈判文件确定的竞争性谈判响应文件有效期期满这段时间内，投标人不得撤回其竞争性谈判响应文件。</w:t>
      </w:r>
    </w:p>
    <w:p w14:paraId="02F41E80">
      <w:pPr>
        <w:pageBreakBefore w:val="0"/>
        <w:kinsoku/>
        <w:wordWrap/>
        <w:overflowPunct/>
        <w:topLinePunct w:val="0"/>
        <w:bidi w:val="0"/>
        <w:adjustRightInd w:val="0"/>
        <w:snapToGrid w:val="0"/>
        <w:spacing w:line="400" w:lineRule="exact"/>
        <w:ind w:left="0" w:leftChars="0"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lang w:val="en-US" w:eastAsia="zh-CN"/>
        </w:rPr>
        <w:t>4.</w:t>
      </w:r>
      <w:r>
        <w:rPr>
          <w:rFonts w:hint="eastAsia" w:ascii="宋体" w:hAnsi="宋体" w:eastAsia="宋体" w:cs="宋体"/>
          <w:b/>
          <w:color w:val="auto"/>
          <w:kern w:val="0"/>
          <w:sz w:val="24"/>
          <w:szCs w:val="24"/>
        </w:rPr>
        <w:t>竞争性谈判响应文件的有效性</w:t>
      </w:r>
    </w:p>
    <w:p w14:paraId="6FEC0892">
      <w:pPr>
        <w:pageBreakBefore w:val="0"/>
        <w:kinsoku/>
        <w:wordWrap/>
        <w:overflowPunct/>
        <w:topLinePunct w:val="0"/>
        <w:bidi w:val="0"/>
        <w:adjustRightInd w:val="0"/>
        <w:snapToGrid w:val="0"/>
        <w:spacing w:line="400" w:lineRule="exact"/>
        <w:ind w:left="0" w:leftChars="0" w:firstLine="482" w:firstLineChars="200"/>
        <w:jc w:val="both"/>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4</w:t>
      </w:r>
      <w:r>
        <w:rPr>
          <w:rFonts w:hint="eastAsia" w:ascii="宋体" w:hAnsi="宋体" w:eastAsia="宋体" w:cs="宋体"/>
          <w:b/>
          <w:color w:val="auto"/>
          <w:kern w:val="0"/>
          <w:sz w:val="24"/>
          <w:szCs w:val="24"/>
        </w:rPr>
        <w:t>.1竞争性谈判响应文件有下列情况之一者将视为无效</w:t>
      </w:r>
      <w:r>
        <w:rPr>
          <w:rFonts w:hint="eastAsia" w:ascii="宋体" w:hAnsi="宋体" w:eastAsia="宋体" w:cs="宋体"/>
          <w:b/>
          <w:color w:val="auto"/>
          <w:kern w:val="0"/>
          <w:sz w:val="24"/>
          <w:szCs w:val="24"/>
          <w:lang w:val="en-US" w:eastAsia="zh-CN"/>
        </w:rPr>
        <w:t>文件</w:t>
      </w:r>
      <w:r>
        <w:rPr>
          <w:rFonts w:hint="eastAsia" w:ascii="宋体" w:hAnsi="宋体" w:eastAsia="宋体" w:cs="宋体"/>
          <w:b/>
          <w:color w:val="auto"/>
          <w:kern w:val="0"/>
          <w:sz w:val="24"/>
          <w:szCs w:val="24"/>
        </w:rPr>
        <w:t>：</w:t>
      </w:r>
    </w:p>
    <w:p w14:paraId="742D45E8">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（1）竞争性谈判响应文件未按规定标记、密封的；</w:t>
      </w:r>
    </w:p>
    <w:p w14:paraId="6D60CF0F">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（2）逾期提交电子谈判响应文件、或逾期送达纸质谈判响应文件的；</w:t>
      </w:r>
    </w:p>
    <w:p w14:paraId="33D9C1E6">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（3）纸质谈判响应文件未按谈判文件规定要求密封、装订、签署、盖章的,电子谈判响应文件未按谈判文件规定要求加密、签署、盖章的；</w:t>
      </w:r>
    </w:p>
    <w:p w14:paraId="59CC657C">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（4）未按竞争性谈判文件要求提交资格证明文件或未通过竞争性谈判响应文件有效性审查的；</w:t>
      </w:r>
    </w:p>
    <w:p w14:paraId="761E94AA">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（5）提交的竞争性谈判响应文件有效期短于竞争性谈判文件规定有效期的；</w:t>
      </w:r>
    </w:p>
    <w:p w14:paraId="13794784">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（6）未按谈判小组要求对竞争性谈判响应文件进行澄清（说明或者更正）的；</w:t>
      </w:r>
    </w:p>
    <w:p w14:paraId="398531FA">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（7）谈判小组对竞争性谈判响应文件评审后，认为在有效性、完整性和响应程度方面没有实质性响应竞争性谈判文件的</w:t>
      </w:r>
      <w:r>
        <w:rPr>
          <w:rFonts w:hint="eastAsia" w:ascii="宋体" w:hAnsi="宋体" w:eastAsia="宋体" w:cs="宋体"/>
          <w:color w:val="auto"/>
          <w:sz w:val="24"/>
          <w:szCs w:val="24"/>
        </w:rPr>
        <w:t>或有重大缺项漏项,明显不符合技术规格、技术标准的要求的；</w:t>
      </w:r>
    </w:p>
    <w:p w14:paraId="46DAC617">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（8）重新提交的竞争性谈判响应文件没有实质性响应竞争性谈判文件的。</w:t>
      </w:r>
    </w:p>
    <w:p w14:paraId="6E2A55CB">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（9）投标单位针对同一项目递交两份或多份内容不同的竞争性谈判响应文件，未书面声明哪一份是有效的或出现选择性报价的；</w:t>
      </w:r>
    </w:p>
    <w:p w14:paraId="7061E0D5">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（10）谈判报价与市场价偏离较大，或者谈判报价大于项目预算，低于成本，形成不正当竞争的；</w:t>
      </w:r>
    </w:p>
    <w:p w14:paraId="38EC6D36">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（11）不符合现行法律法规和竞争性谈判文件规定的其他实质性要求的。</w:t>
      </w:r>
    </w:p>
    <w:p w14:paraId="30209A1E">
      <w:pPr>
        <w:pageBreakBefore w:val="0"/>
        <w:kinsoku/>
        <w:wordWrap/>
        <w:overflowPunct/>
        <w:topLinePunct w:val="0"/>
        <w:bidi w:val="0"/>
        <w:adjustRightInd w:val="0"/>
        <w:snapToGrid w:val="0"/>
        <w:spacing w:line="400" w:lineRule="exact"/>
        <w:ind w:left="0" w:leftChars="0" w:firstLine="482" w:firstLineChars="200"/>
        <w:jc w:val="both"/>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4</w:t>
      </w:r>
      <w:r>
        <w:rPr>
          <w:rFonts w:hint="eastAsia" w:ascii="宋体" w:hAnsi="宋体" w:eastAsia="宋体" w:cs="宋体"/>
          <w:b/>
          <w:color w:val="auto"/>
          <w:kern w:val="0"/>
          <w:sz w:val="24"/>
          <w:szCs w:val="24"/>
        </w:rPr>
        <w:t>.2有下列情形之一的，视为投标人串通投标，其投标无效：</w:t>
      </w:r>
    </w:p>
    <w:p w14:paraId="0E9BBE62">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（1）不同投标人的竞争性谈判响应文件由同一单位或者个人编制；</w:t>
      </w:r>
    </w:p>
    <w:p w14:paraId="52DB1241">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（2）不同投标人委托同一单位或个人办理谈判事宜；</w:t>
      </w:r>
    </w:p>
    <w:p w14:paraId="65068F42">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（3）不同投标人的竞争性谈判响应文件载明的项目管理成员或者联系人员为同一人；</w:t>
      </w:r>
    </w:p>
    <w:p w14:paraId="40A3C834">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（4）不同投标人的竞争性谈判响应文件异常一致或者谈判报价呈规律性差异；</w:t>
      </w:r>
    </w:p>
    <w:p w14:paraId="30303570">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（5）不同投标人的竞争性谈判响应文件互相混装；</w:t>
      </w:r>
    </w:p>
    <w:p w14:paraId="4871783E">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（6）不同投标人的投标保证金从同一单位或者个人账户转出。</w:t>
      </w:r>
    </w:p>
    <w:p w14:paraId="7F9A339D">
      <w:pPr>
        <w:pageBreakBefore w:val="0"/>
        <w:widowControl/>
        <w:numPr>
          <w:ilvl w:val="0"/>
          <w:numId w:val="0"/>
        </w:numPr>
        <w:kinsoku/>
        <w:wordWrap/>
        <w:overflowPunct/>
        <w:topLinePunct w:val="0"/>
        <w:autoSpaceDE/>
        <w:autoSpaceDN/>
        <w:bidi w:val="0"/>
        <w:spacing w:line="400" w:lineRule="exact"/>
        <w:jc w:val="center"/>
        <w:textAlignment w:val="auto"/>
        <w:outlineLvl w:val="1"/>
        <w:rPr>
          <w:rFonts w:hint="eastAsia" w:ascii="宋体" w:hAnsi="宋体" w:eastAsia="宋体" w:cs="宋体"/>
          <w:b/>
          <w:bCs/>
          <w:color w:val="auto"/>
          <w:kern w:val="0"/>
          <w:sz w:val="24"/>
          <w:szCs w:val="24"/>
          <w:lang w:eastAsia="zh-CN"/>
        </w:rPr>
      </w:pPr>
      <w:bookmarkStart w:id="160" w:name="_Toc14318"/>
      <w:bookmarkStart w:id="161" w:name="_Toc8902"/>
      <w:r>
        <w:rPr>
          <w:rFonts w:hint="eastAsia" w:ascii="宋体" w:hAnsi="宋体" w:eastAsia="宋体" w:cs="宋体"/>
          <w:b/>
          <w:bCs/>
          <w:color w:val="auto"/>
          <w:kern w:val="0"/>
          <w:sz w:val="24"/>
          <w:szCs w:val="24"/>
          <w:lang w:eastAsia="zh-CN"/>
        </w:rPr>
        <w:t>五</w:t>
      </w:r>
      <w:r>
        <w:rPr>
          <w:rFonts w:hint="eastAsia" w:ascii="宋体" w:hAnsi="宋体" w:eastAsia="宋体" w:cs="宋体"/>
          <w:b/>
          <w:bCs/>
          <w:color w:val="auto"/>
          <w:kern w:val="0"/>
          <w:sz w:val="24"/>
          <w:szCs w:val="24"/>
        </w:rPr>
        <w:t>、谈判</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评审</w:t>
      </w:r>
      <w:r>
        <w:rPr>
          <w:rFonts w:hint="eastAsia" w:ascii="宋体" w:hAnsi="宋体" w:eastAsia="宋体" w:cs="宋体"/>
          <w:b/>
          <w:bCs/>
          <w:color w:val="auto"/>
          <w:kern w:val="0"/>
          <w:sz w:val="24"/>
          <w:szCs w:val="24"/>
          <w:lang w:eastAsia="zh-CN"/>
        </w:rPr>
        <w:t>、定标</w:t>
      </w:r>
      <w:bookmarkEnd w:id="160"/>
      <w:bookmarkEnd w:id="161"/>
    </w:p>
    <w:p w14:paraId="071C9581">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谈判</w:t>
      </w:r>
    </w:p>
    <w:p w14:paraId="6104F514">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b w:val="0"/>
          <w:bCs/>
          <w:color w:val="auto"/>
          <w:kern w:val="0"/>
          <w:sz w:val="24"/>
          <w:szCs w:val="24"/>
        </w:rPr>
      </w:pPr>
      <w:r>
        <w:rPr>
          <w:rFonts w:hint="eastAsia" w:ascii="宋体" w:hAnsi="宋体" w:eastAsia="宋体" w:cs="宋体"/>
          <w:color w:val="auto"/>
          <w:sz w:val="24"/>
          <w:szCs w:val="24"/>
        </w:rPr>
        <w:t>1.1</w:t>
      </w:r>
      <w:r>
        <w:rPr>
          <w:rFonts w:hint="eastAsia" w:ascii="宋体" w:hAnsi="宋体" w:eastAsia="宋体" w:cs="宋体"/>
          <w:b w:val="0"/>
          <w:bCs/>
          <w:color w:val="auto"/>
          <w:kern w:val="0"/>
          <w:sz w:val="24"/>
          <w:szCs w:val="24"/>
        </w:rPr>
        <w:t>采购代理机构在</w:t>
      </w:r>
      <w:r>
        <w:rPr>
          <w:rFonts w:hint="eastAsia" w:ascii="宋体" w:hAnsi="宋体" w:eastAsia="宋体" w:cs="宋体"/>
          <w:b w:val="0"/>
          <w:bCs/>
          <w:color w:val="auto"/>
          <w:kern w:val="0"/>
          <w:sz w:val="24"/>
          <w:szCs w:val="24"/>
          <w:lang w:val="en-US" w:eastAsia="zh-CN"/>
        </w:rPr>
        <w:t>谈判</w:t>
      </w:r>
      <w:r>
        <w:rPr>
          <w:rFonts w:hint="eastAsia" w:ascii="宋体" w:hAnsi="宋体" w:eastAsia="宋体" w:cs="宋体"/>
          <w:b w:val="0"/>
          <w:bCs/>
          <w:color w:val="auto"/>
          <w:kern w:val="0"/>
          <w:sz w:val="24"/>
          <w:szCs w:val="24"/>
        </w:rPr>
        <w:t>文件规定的时间和地点组织</w:t>
      </w:r>
      <w:r>
        <w:rPr>
          <w:rFonts w:hint="eastAsia" w:ascii="宋体" w:hAnsi="宋体" w:eastAsia="宋体" w:cs="宋体"/>
          <w:b w:val="0"/>
          <w:bCs/>
          <w:color w:val="auto"/>
          <w:kern w:val="0"/>
          <w:sz w:val="24"/>
          <w:szCs w:val="24"/>
          <w:lang w:val="en-US" w:eastAsia="zh-CN"/>
        </w:rPr>
        <w:t>谈判会议</w:t>
      </w:r>
      <w:r>
        <w:rPr>
          <w:rFonts w:hint="eastAsia" w:ascii="宋体" w:hAnsi="宋体" w:eastAsia="宋体" w:cs="宋体"/>
          <w:b w:val="0"/>
          <w:bCs/>
          <w:color w:val="auto"/>
          <w:kern w:val="0"/>
          <w:sz w:val="24"/>
          <w:szCs w:val="24"/>
        </w:rPr>
        <w:t>。</w:t>
      </w:r>
    </w:p>
    <w:p w14:paraId="1A825CAD">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1.2开标仪式由采购代理机构主持，采购人代表及有关人员参加。</w:t>
      </w:r>
    </w:p>
    <w:p w14:paraId="1FC8A42E">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1.3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4BAEB73A">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b w:val="0"/>
          <w:bCs/>
          <w:color w:val="auto"/>
          <w:kern w:val="0"/>
          <w:sz w:val="24"/>
          <w:szCs w:val="24"/>
        </w:rPr>
        <w:t>由</w:t>
      </w:r>
      <w:r>
        <w:rPr>
          <w:rFonts w:hint="eastAsia" w:ascii="宋体" w:hAnsi="宋体" w:eastAsia="宋体" w:cs="宋体"/>
          <w:b w:val="0"/>
          <w:bCs/>
          <w:color w:val="auto"/>
          <w:kern w:val="0"/>
          <w:sz w:val="24"/>
          <w:szCs w:val="24"/>
          <w:lang w:val="en-US" w:eastAsia="zh-CN"/>
        </w:rPr>
        <w:t>谈判</w:t>
      </w:r>
      <w:r>
        <w:rPr>
          <w:rFonts w:hint="eastAsia" w:ascii="宋体" w:hAnsi="宋体" w:eastAsia="宋体" w:cs="宋体"/>
          <w:b w:val="0"/>
          <w:bCs/>
          <w:color w:val="auto"/>
          <w:kern w:val="0"/>
          <w:sz w:val="24"/>
          <w:szCs w:val="24"/>
          <w:lang w:eastAsia="zh-CN"/>
        </w:rPr>
        <w:t>小组</w:t>
      </w:r>
      <w:r>
        <w:rPr>
          <w:rFonts w:hint="eastAsia" w:ascii="宋体" w:hAnsi="宋体" w:eastAsia="宋体" w:cs="宋体"/>
          <w:b w:val="0"/>
          <w:bCs/>
          <w:color w:val="auto"/>
          <w:kern w:val="0"/>
          <w:sz w:val="24"/>
          <w:szCs w:val="24"/>
        </w:rPr>
        <w:t>查验投标人</w:t>
      </w:r>
      <w:r>
        <w:rPr>
          <w:rFonts w:hint="eastAsia" w:ascii="宋体" w:hAnsi="宋体" w:eastAsia="宋体" w:cs="宋体"/>
          <w:color w:val="auto"/>
          <w:sz w:val="24"/>
          <w:szCs w:val="24"/>
        </w:rPr>
        <w:t>必备资格文件，未通过审查的按</w:t>
      </w:r>
      <w:r>
        <w:rPr>
          <w:rFonts w:hint="eastAsia" w:ascii="宋体" w:hAnsi="宋体" w:eastAsia="宋体" w:cs="宋体"/>
          <w:color w:val="auto"/>
          <w:sz w:val="24"/>
          <w:szCs w:val="24"/>
          <w:lang w:val="en-US" w:eastAsia="zh-CN"/>
        </w:rPr>
        <w:t>无效文件</w:t>
      </w:r>
      <w:r>
        <w:rPr>
          <w:rFonts w:hint="eastAsia" w:ascii="宋体" w:hAnsi="宋体" w:eastAsia="宋体" w:cs="宋体"/>
          <w:color w:val="auto"/>
          <w:sz w:val="24"/>
          <w:szCs w:val="24"/>
        </w:rPr>
        <w:t>处理。</w:t>
      </w:r>
    </w:p>
    <w:p w14:paraId="31C467A2">
      <w:pPr>
        <w:pageBreakBefore w:val="0"/>
        <w:widowControl/>
        <w:tabs>
          <w:tab w:val="left" w:pos="0"/>
        </w:tabs>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采购代理机构对开标过程进行摄像、文字记录，并存档备查。</w:t>
      </w:r>
    </w:p>
    <w:p w14:paraId="663AC40F">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谈判小组</w:t>
      </w:r>
    </w:p>
    <w:p w14:paraId="4A863F30">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bookmarkStart w:id="162" w:name="_Toc28085"/>
      <w:bookmarkStart w:id="163" w:name="_Toc27940"/>
      <w:bookmarkStart w:id="164" w:name="_Toc536202311"/>
      <w:bookmarkStart w:id="165" w:name="_Toc385958808"/>
      <w:bookmarkStart w:id="166" w:name="_Toc386129876"/>
      <w:bookmarkStart w:id="167" w:name="_Toc23316589"/>
      <w:bookmarkStart w:id="168" w:name="_Toc32697"/>
      <w:bookmarkStart w:id="169" w:name="_Toc18412204"/>
      <w:bookmarkStart w:id="170" w:name="_Toc14189275"/>
      <w:bookmarkStart w:id="171" w:name="_Toc14189412"/>
      <w:bookmarkStart w:id="172" w:name="_Toc6298"/>
      <w:bookmarkStart w:id="173" w:name="_Toc35335261"/>
      <w:bookmarkStart w:id="174" w:name="_Toc23316687"/>
      <w:bookmarkStart w:id="175" w:name="_Toc23315665"/>
      <w:bookmarkStart w:id="176" w:name="_Toc23316525"/>
      <w:r>
        <w:rPr>
          <w:rFonts w:hint="eastAsia" w:ascii="宋体" w:hAnsi="宋体" w:eastAsia="宋体" w:cs="宋体"/>
          <w:color w:val="auto"/>
          <w:sz w:val="24"/>
          <w:szCs w:val="24"/>
        </w:rPr>
        <w:t>为确保</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工作公开、公平、公正，依法成立</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小组由采购人及有关专家组成，其中技术方面的专家不少于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小组成员总数的三分之二，专家名单由有关人员在财政部门设立的政府采购评审专家库中随机抽取，</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小组成员应当遵守并履行下列责任和义务：</w:t>
      </w:r>
    </w:p>
    <w:p w14:paraId="026D5718">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（1）要严格遵守政府采购相关法律制度，依法履行各自职责，公正、客观、审慎地组织和参与评审工作；</w:t>
      </w:r>
    </w:p>
    <w:p w14:paraId="281FAB9F">
      <w:pPr>
        <w:pageBreakBefore w:val="0"/>
        <w:tabs>
          <w:tab w:val="left" w:pos="1200"/>
        </w:tabs>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（2）对所有响应文件逐一进行资格性、符合性审查，并做出评价；</w:t>
      </w:r>
    </w:p>
    <w:p w14:paraId="05241E4D">
      <w:pPr>
        <w:pageBreakBefore w:val="0"/>
        <w:tabs>
          <w:tab w:val="left" w:pos="1200"/>
        </w:tabs>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文件规定的评审方法和标准，进行比较和评价；对供应商的价格分等客观评分项的评分应当一致；</w:t>
      </w:r>
    </w:p>
    <w:p w14:paraId="5899F7E4">
      <w:pPr>
        <w:pageBreakBefore w:val="0"/>
        <w:tabs>
          <w:tab w:val="left" w:pos="1200"/>
        </w:tabs>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（4）要求供应商对响应文件有关事项作出解释或澄清；</w:t>
      </w:r>
    </w:p>
    <w:p w14:paraId="2DE6644E">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（5）要依法独立评审，按照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文件的要求和评标标准进行评标，推荐成交候选供应商名单，对评审意见承担个人责任；</w:t>
      </w:r>
    </w:p>
    <w:p w14:paraId="180E9EBA">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（6）对需要共同认定的事项存在争议的，按照少数服从多数的原则做出结论。持不同意见的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 xml:space="preserve">小组成员应当在评审报告上签署不同意见并说明理由，否则视为同意； </w:t>
      </w:r>
    </w:p>
    <w:p w14:paraId="600F7329">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（7）对评审情况以及在评审过程中获悉的国家秘密、商业秘密负有保密责任；</w:t>
      </w:r>
    </w:p>
    <w:p w14:paraId="0D808AB2">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配合财政部门的投诉处理工作；</w:t>
      </w:r>
    </w:p>
    <w:p w14:paraId="0EA8D36F">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配合采购人、采购代理机构答复供应商提出的质疑。</w:t>
      </w:r>
    </w:p>
    <w:bookmarkEnd w:id="162"/>
    <w:bookmarkEnd w:id="163"/>
    <w:bookmarkEnd w:id="164"/>
    <w:bookmarkEnd w:id="165"/>
    <w:bookmarkEnd w:id="166"/>
    <w:p w14:paraId="170A49AB">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color w:val="auto"/>
          <w:sz w:val="24"/>
          <w:szCs w:val="24"/>
        </w:rPr>
      </w:pPr>
      <w:bookmarkStart w:id="177" w:name="_Toc6435"/>
      <w:bookmarkStart w:id="178" w:name="_Toc7843"/>
      <w:bookmarkStart w:id="179" w:name="_Toc18569"/>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谈判方法及程序</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53E2DEB9">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按照《政府采购非招标采购方式管理办法》（财政部第74号令）有关规定，对响应文件中的供应商进行审查。出现下列情形的，响应文件将被视为无效：</w:t>
      </w:r>
    </w:p>
    <w:p w14:paraId="3213A0BE">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（1）未按照谈判文件规定要求格式制作响应文件、签署、盖章的；</w:t>
      </w:r>
    </w:p>
    <w:p w14:paraId="74FDFCB0">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（2）不具备谈判文件中规定要求的。如果谈判小组认为供应商的响应文件存在疑点，可以要求其现场提供原件进行核查，两者出现不同或在规定的时间内未能及时提供原件的，响应文件视为无效；</w:t>
      </w:r>
    </w:p>
    <w:p w14:paraId="6D074942">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（3）响应文件中无投标有效期或有效期达不到谈判文件要求的；</w:t>
      </w:r>
    </w:p>
    <w:p w14:paraId="7F427654">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（4）响应文件的构成缺少其中一项或某项达不到谈判文件要求的；</w:t>
      </w:r>
    </w:p>
    <w:p w14:paraId="334B6B58">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（5）供应商单位负责人为同一人或者存在直接控股、管理关系的不同供应商，参加同一合同项下的政府采购活动的；</w:t>
      </w:r>
    </w:p>
    <w:p w14:paraId="17B543E5">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（6）投标报价子目出现漏项或数量与谈判文件要求不符的；</w:t>
      </w:r>
    </w:p>
    <w:p w14:paraId="18F6FFCD">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（7）投标报价与市场价偏离较大，低于成本，形成不正当竞争的；</w:t>
      </w:r>
    </w:p>
    <w:p w14:paraId="36EE1387">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（8）投标内容与谈判文件要求的采购标的、规格型号、采购数量、技术和服务要求等实质性内容出现重大负偏差的；</w:t>
      </w:r>
    </w:p>
    <w:p w14:paraId="1833E4D3">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（9）提供虚假技术性能指标的（出现技术指标前后矛盾的，以国家职能部门认定的指标为准）；</w:t>
      </w:r>
    </w:p>
    <w:p w14:paraId="196FE6EB">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（10）响应文件在款项结算、质量保证、验收条件等方面的响应与谈判文件要求不一致或附加了采购人和评标委员会难以接受的条件的；</w:t>
      </w:r>
    </w:p>
    <w:p w14:paraId="05838ABA">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（11）未响应谈判文件合同主要条款的；</w:t>
      </w:r>
    </w:p>
    <w:p w14:paraId="7EEC3196">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（12）政府采购法律法规规定的其他情形。</w:t>
      </w:r>
    </w:p>
    <w:p w14:paraId="367A02CE">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有下列情形之一的，视为供应商串通投标，其投标无效：</w:t>
      </w:r>
    </w:p>
    <w:p w14:paraId="30AF59EB">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（1）不同供应商的响应文件由同一单位或者个人编制；</w:t>
      </w:r>
    </w:p>
    <w:p w14:paraId="01C5CA22">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（2）不同供应商委托同一单位或者个人办理响应事宜；</w:t>
      </w:r>
    </w:p>
    <w:p w14:paraId="72132C64">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（3）不同供应商的响应文件载明的项目管理成员或者联系人员为同一人；</w:t>
      </w:r>
    </w:p>
    <w:p w14:paraId="159889CF">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（4）不同供应商的响应文件异常一致或者响应报价呈规律性差异；</w:t>
      </w:r>
    </w:p>
    <w:p w14:paraId="02BF7033">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（5）不同供应商的响应文件相互混装；</w:t>
      </w:r>
    </w:p>
    <w:p w14:paraId="68CD1D71">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（6）不同供应商的响应保证金从同一单位或者个人的账户转出。</w:t>
      </w:r>
    </w:p>
    <w:p w14:paraId="4845021B">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color w:val="auto"/>
          <w:sz w:val="24"/>
          <w:szCs w:val="24"/>
        </w:rPr>
      </w:pPr>
      <w:bookmarkStart w:id="180" w:name="_Toc2180"/>
      <w:bookmarkStart w:id="181" w:name="_Toc411064159"/>
      <w:bookmarkStart w:id="182" w:name="_Toc35335262"/>
      <w:bookmarkStart w:id="183" w:name="_Toc7133"/>
      <w:bookmarkStart w:id="184" w:name="_Toc23316688"/>
      <w:bookmarkStart w:id="185" w:name="_Toc14189276"/>
      <w:bookmarkStart w:id="186" w:name="_Toc14189413"/>
      <w:bookmarkStart w:id="187" w:name="_Toc23316590"/>
      <w:bookmarkStart w:id="188" w:name="_Toc10833"/>
      <w:bookmarkStart w:id="189" w:name="_Toc20263"/>
      <w:bookmarkStart w:id="190" w:name="_Toc23316526"/>
      <w:bookmarkStart w:id="191" w:name="_Toc18412205"/>
      <w:bookmarkStart w:id="192" w:name="_Toc23315666"/>
      <w:bookmarkStart w:id="193" w:name="_Toc28230"/>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评审办法（比照最低评标价法）</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6294EFD">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rPr>
      </w:pPr>
      <w:bookmarkStart w:id="194" w:name="_Toc14189277"/>
      <w:bookmarkStart w:id="195" w:name="_Toc411064160"/>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lang w:val="zh-CN"/>
        </w:rPr>
        <w:t>初步评审</w:t>
      </w:r>
      <w:bookmarkEnd w:id="194"/>
      <w:bookmarkEnd w:id="195"/>
    </w:p>
    <w:p w14:paraId="0540FB79">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第一阶段：资格性审查</w:t>
      </w:r>
    </w:p>
    <w:p w14:paraId="0F3CCFD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谈判小组依据法律法规和谈判文件的规定，对所有供应商的商务部分中的资格证明（包括信用情况）、投标保证金等进行审查，并确定供应商是否具备谈判资格，填写资格审查表并签字确认。</w:t>
      </w:r>
    </w:p>
    <w:p w14:paraId="54F8D6B9">
      <w:pPr>
        <w:pageBreakBefore w:val="0"/>
        <w:tabs>
          <w:tab w:val="left" w:pos="3962"/>
        </w:tabs>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第二阶段：符合性审查</w:t>
      </w:r>
    </w:p>
    <w:p w14:paraId="4E1952A0">
      <w:pPr>
        <w:pageBreakBefore w:val="0"/>
        <w:kinsoku/>
        <w:wordWrap/>
        <w:overflowPunct w:val="0"/>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谈判小组依据谈判文件的规定，对供应商的响应文件的有效性、完整性以及对谈判文件的响应程度进行审查，以确定是否对谈判文件的实质性要求作出响应。应包含以下内容：</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505"/>
        <w:gridCol w:w="3994"/>
        <w:gridCol w:w="1066"/>
        <w:gridCol w:w="1586"/>
      </w:tblGrid>
      <w:tr w14:paraId="0E83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098E1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7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C2FA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027"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4592F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54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1649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2"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CFFF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35E8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603A1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p>
        </w:tc>
        <w:tc>
          <w:tcPr>
            <w:tcW w:w="1271" w:type="pct"/>
            <w:tcBorders>
              <w:top w:val="single" w:color="auto" w:sz="4" w:space="0"/>
              <w:left w:val="single" w:color="auto" w:sz="4" w:space="0"/>
              <w:bottom w:val="single" w:color="auto" w:sz="4" w:space="0"/>
              <w:right w:val="single" w:color="auto" w:sz="4" w:space="0"/>
            </w:tcBorders>
            <w:vAlign w:val="top"/>
          </w:tcPr>
          <w:p w14:paraId="7038A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投标文件封面、投标函、法定代表人委托授权书三处的项目名称、项目编号、标段</w:t>
            </w:r>
          </w:p>
        </w:tc>
        <w:tc>
          <w:tcPr>
            <w:tcW w:w="2027" w:type="pct"/>
            <w:tcBorders>
              <w:top w:val="single" w:color="auto" w:sz="4" w:space="0"/>
              <w:left w:val="single" w:color="auto" w:sz="4" w:space="0"/>
              <w:bottom w:val="single" w:color="auto" w:sz="4" w:space="0"/>
              <w:right w:val="single" w:color="auto" w:sz="4" w:space="0"/>
            </w:tcBorders>
            <w:vAlign w:val="center"/>
          </w:tcPr>
          <w:p w14:paraId="1FD544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三处均无遗漏，且与所投项目名称、项目编号、标段完全一致。</w:t>
            </w:r>
          </w:p>
        </w:tc>
        <w:tc>
          <w:tcPr>
            <w:tcW w:w="541" w:type="pct"/>
            <w:tcBorders>
              <w:top w:val="single" w:color="auto" w:sz="4" w:space="0"/>
              <w:left w:val="single" w:color="auto" w:sz="4" w:space="0"/>
              <w:bottom w:val="single" w:color="auto" w:sz="4" w:space="0"/>
              <w:right w:val="single" w:color="auto" w:sz="4" w:space="0"/>
            </w:tcBorders>
            <w:vAlign w:val="top"/>
          </w:tcPr>
          <w:p w14:paraId="62F3C9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2026A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7817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3136A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2</w:t>
            </w:r>
          </w:p>
        </w:tc>
        <w:tc>
          <w:tcPr>
            <w:tcW w:w="1271" w:type="pct"/>
            <w:tcBorders>
              <w:top w:val="single" w:color="auto" w:sz="4" w:space="0"/>
              <w:left w:val="single" w:color="auto" w:sz="4" w:space="0"/>
              <w:bottom w:val="single" w:color="auto" w:sz="4" w:space="0"/>
              <w:right w:val="single" w:color="auto" w:sz="4" w:space="0"/>
            </w:tcBorders>
            <w:vAlign w:val="center"/>
          </w:tcPr>
          <w:p w14:paraId="32113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投标文件签署、盖章</w:t>
            </w:r>
          </w:p>
        </w:tc>
        <w:tc>
          <w:tcPr>
            <w:tcW w:w="2027" w:type="pct"/>
            <w:tcBorders>
              <w:top w:val="single" w:color="auto" w:sz="4" w:space="0"/>
              <w:left w:val="single" w:color="auto" w:sz="4" w:space="0"/>
              <w:bottom w:val="single" w:color="auto" w:sz="4" w:space="0"/>
              <w:right w:val="single" w:color="auto" w:sz="4" w:space="0"/>
            </w:tcBorders>
            <w:vAlign w:val="top"/>
          </w:tcPr>
          <w:p w14:paraId="74CB0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均按招标文件要求签字、盖章。</w:t>
            </w:r>
          </w:p>
        </w:tc>
        <w:tc>
          <w:tcPr>
            <w:tcW w:w="541" w:type="pct"/>
            <w:tcBorders>
              <w:top w:val="single" w:color="auto" w:sz="4" w:space="0"/>
              <w:left w:val="single" w:color="auto" w:sz="4" w:space="0"/>
              <w:bottom w:val="single" w:color="auto" w:sz="4" w:space="0"/>
              <w:right w:val="single" w:color="auto" w:sz="4" w:space="0"/>
            </w:tcBorders>
            <w:vAlign w:val="top"/>
          </w:tcPr>
          <w:p w14:paraId="27768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238F7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36C7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1E065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3</w:t>
            </w:r>
          </w:p>
        </w:tc>
        <w:tc>
          <w:tcPr>
            <w:tcW w:w="1271" w:type="pct"/>
            <w:tcBorders>
              <w:top w:val="single" w:color="auto" w:sz="4" w:space="0"/>
              <w:left w:val="single" w:color="auto" w:sz="4" w:space="0"/>
              <w:bottom w:val="single" w:color="auto" w:sz="4" w:space="0"/>
              <w:right w:val="single" w:color="auto" w:sz="4" w:space="0"/>
            </w:tcBorders>
            <w:vAlign w:val="center"/>
          </w:tcPr>
          <w:p w14:paraId="3B907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eastAsia="宋体" w:cs="宋体"/>
                <w:bCs/>
                <w:color w:val="auto"/>
                <w:kern w:val="0"/>
                <w:sz w:val="24"/>
                <w:szCs w:val="24"/>
                <w:highlight w:val="none"/>
              </w:rPr>
              <w:t>投标文件组成</w:t>
            </w:r>
          </w:p>
        </w:tc>
        <w:tc>
          <w:tcPr>
            <w:tcW w:w="2027" w:type="pct"/>
            <w:tcBorders>
              <w:top w:val="single" w:color="auto" w:sz="4" w:space="0"/>
              <w:left w:val="single" w:color="auto" w:sz="4" w:space="0"/>
              <w:bottom w:val="single" w:color="auto" w:sz="4" w:space="0"/>
              <w:right w:val="single" w:color="auto" w:sz="4" w:space="0"/>
            </w:tcBorders>
            <w:vAlign w:val="top"/>
          </w:tcPr>
          <w:p w14:paraId="29A54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bCs/>
                <w:color w:val="auto"/>
                <w:kern w:val="0"/>
                <w:sz w:val="24"/>
                <w:szCs w:val="24"/>
                <w:highlight w:val="none"/>
              </w:rPr>
              <w:t>符合“响应文件格式”的要求</w:t>
            </w:r>
          </w:p>
        </w:tc>
        <w:tc>
          <w:tcPr>
            <w:tcW w:w="541" w:type="pct"/>
            <w:tcBorders>
              <w:top w:val="single" w:color="auto" w:sz="4" w:space="0"/>
              <w:left w:val="single" w:color="auto" w:sz="4" w:space="0"/>
              <w:bottom w:val="single" w:color="auto" w:sz="4" w:space="0"/>
              <w:right w:val="single" w:color="auto" w:sz="4" w:space="0"/>
            </w:tcBorders>
            <w:vAlign w:val="top"/>
          </w:tcPr>
          <w:p w14:paraId="259A6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22C49B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7561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5E8E4C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4</w:t>
            </w:r>
          </w:p>
        </w:tc>
        <w:tc>
          <w:tcPr>
            <w:tcW w:w="1271" w:type="pct"/>
            <w:tcBorders>
              <w:top w:val="single" w:color="auto" w:sz="4" w:space="0"/>
              <w:left w:val="single" w:color="auto" w:sz="4" w:space="0"/>
              <w:bottom w:val="single" w:color="auto" w:sz="4" w:space="0"/>
              <w:right w:val="single" w:color="auto" w:sz="4" w:space="0"/>
            </w:tcBorders>
            <w:vAlign w:val="center"/>
          </w:tcPr>
          <w:p w14:paraId="60BCB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投标文件的计量单位、语言、报价货币、投标有效期</w:t>
            </w:r>
          </w:p>
        </w:tc>
        <w:tc>
          <w:tcPr>
            <w:tcW w:w="2027" w:type="pct"/>
            <w:tcBorders>
              <w:top w:val="single" w:color="auto" w:sz="4" w:space="0"/>
              <w:left w:val="single" w:color="auto" w:sz="4" w:space="0"/>
              <w:bottom w:val="single" w:color="auto" w:sz="4" w:space="0"/>
              <w:right w:val="single" w:color="auto" w:sz="4" w:space="0"/>
            </w:tcBorders>
            <w:vAlign w:val="center"/>
          </w:tcPr>
          <w:p w14:paraId="7050F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计量单位、语言、报价货币、投标有效期均符合招标文件的要求。</w:t>
            </w:r>
          </w:p>
        </w:tc>
        <w:tc>
          <w:tcPr>
            <w:tcW w:w="541" w:type="pct"/>
            <w:tcBorders>
              <w:top w:val="single" w:color="auto" w:sz="4" w:space="0"/>
              <w:left w:val="single" w:color="auto" w:sz="4" w:space="0"/>
              <w:bottom w:val="single" w:color="auto" w:sz="4" w:space="0"/>
              <w:right w:val="single" w:color="auto" w:sz="4" w:space="0"/>
            </w:tcBorders>
            <w:vAlign w:val="center"/>
          </w:tcPr>
          <w:p w14:paraId="051CC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55C247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3CA5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3DE0D6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5</w:t>
            </w:r>
          </w:p>
        </w:tc>
        <w:tc>
          <w:tcPr>
            <w:tcW w:w="1271" w:type="pct"/>
            <w:tcBorders>
              <w:top w:val="single" w:color="auto" w:sz="4" w:space="0"/>
              <w:left w:val="single" w:color="auto" w:sz="4" w:space="0"/>
              <w:bottom w:val="single" w:color="auto" w:sz="4" w:space="0"/>
              <w:right w:val="single" w:color="auto" w:sz="4" w:space="0"/>
            </w:tcBorders>
            <w:vAlign w:val="center"/>
          </w:tcPr>
          <w:p w14:paraId="47E4B8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投标报价</w:t>
            </w:r>
          </w:p>
        </w:tc>
        <w:tc>
          <w:tcPr>
            <w:tcW w:w="2027" w:type="pct"/>
            <w:tcBorders>
              <w:top w:val="single" w:color="auto" w:sz="4" w:space="0"/>
              <w:left w:val="single" w:color="auto" w:sz="4" w:space="0"/>
              <w:bottom w:val="single" w:color="auto" w:sz="4" w:space="0"/>
              <w:right w:val="single" w:color="auto" w:sz="4" w:space="0"/>
            </w:tcBorders>
            <w:vAlign w:val="top"/>
          </w:tcPr>
          <w:p w14:paraId="3B7A2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（1）投标报价符合唯一性要求：</w:t>
            </w:r>
          </w:p>
          <w:p w14:paraId="0BC00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投标报价</w:t>
            </w:r>
            <w:r>
              <w:rPr>
                <w:rFonts w:hint="eastAsia" w:ascii="宋体" w:hAnsi="宋体" w:eastAsia="宋体" w:cs="宋体"/>
                <w:bCs/>
                <w:color w:val="auto"/>
                <w:kern w:val="0"/>
                <w:sz w:val="24"/>
                <w:szCs w:val="24"/>
                <w:highlight w:val="none"/>
              </w:rPr>
              <w:t>表填写符合要求；</w:t>
            </w:r>
          </w:p>
          <w:p w14:paraId="18D007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（3）未超出采购预算或招标文件规定的最高限价；</w:t>
            </w:r>
          </w:p>
        </w:tc>
        <w:tc>
          <w:tcPr>
            <w:tcW w:w="541" w:type="pct"/>
            <w:tcBorders>
              <w:top w:val="single" w:color="auto" w:sz="4" w:space="0"/>
              <w:left w:val="single" w:color="auto" w:sz="4" w:space="0"/>
              <w:bottom w:val="single" w:color="auto" w:sz="4" w:space="0"/>
              <w:right w:val="single" w:color="auto" w:sz="4" w:space="0"/>
            </w:tcBorders>
            <w:vAlign w:val="top"/>
          </w:tcPr>
          <w:p w14:paraId="6CADE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604C1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4088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3233FC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c>
          <w:tcPr>
            <w:tcW w:w="1271" w:type="pct"/>
            <w:tcBorders>
              <w:top w:val="single" w:color="auto" w:sz="4" w:space="0"/>
              <w:left w:val="single" w:color="auto" w:sz="4" w:space="0"/>
              <w:bottom w:val="single" w:color="auto" w:sz="4" w:space="0"/>
              <w:right w:val="single" w:color="auto" w:sz="4" w:space="0"/>
            </w:tcBorders>
            <w:vAlign w:val="center"/>
          </w:tcPr>
          <w:p w14:paraId="427854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招标文件要求的实质性条款</w:t>
            </w:r>
          </w:p>
        </w:tc>
        <w:tc>
          <w:tcPr>
            <w:tcW w:w="2027" w:type="pct"/>
            <w:tcBorders>
              <w:top w:val="single" w:color="auto" w:sz="4" w:space="0"/>
              <w:left w:val="single" w:color="auto" w:sz="4" w:space="0"/>
              <w:bottom w:val="single" w:color="auto" w:sz="4" w:space="0"/>
              <w:right w:val="single" w:color="auto" w:sz="4" w:space="0"/>
            </w:tcBorders>
            <w:vAlign w:val="center"/>
          </w:tcPr>
          <w:p w14:paraId="4BE44A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完全响应招标文件要求的各项实质性条款。</w:t>
            </w:r>
          </w:p>
        </w:tc>
        <w:tc>
          <w:tcPr>
            <w:tcW w:w="541" w:type="pct"/>
            <w:tcBorders>
              <w:top w:val="single" w:color="auto" w:sz="4" w:space="0"/>
              <w:left w:val="single" w:color="auto" w:sz="4" w:space="0"/>
              <w:bottom w:val="single" w:color="auto" w:sz="4" w:space="0"/>
              <w:right w:val="single" w:color="auto" w:sz="4" w:space="0"/>
            </w:tcBorders>
            <w:vAlign w:val="top"/>
          </w:tcPr>
          <w:p w14:paraId="7A6175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208C7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11BA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2B6763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271" w:type="pct"/>
            <w:tcBorders>
              <w:top w:val="single" w:color="auto" w:sz="4" w:space="0"/>
              <w:left w:val="single" w:color="auto" w:sz="4" w:space="0"/>
              <w:bottom w:val="single" w:color="auto" w:sz="4" w:space="0"/>
              <w:right w:val="single" w:color="auto" w:sz="4" w:space="0"/>
            </w:tcBorders>
            <w:vAlign w:val="center"/>
          </w:tcPr>
          <w:p w14:paraId="0D8797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2027" w:type="pct"/>
            <w:tcBorders>
              <w:top w:val="single" w:color="auto" w:sz="4" w:space="0"/>
              <w:left w:val="single" w:color="auto" w:sz="4" w:space="0"/>
              <w:bottom w:val="single" w:color="auto" w:sz="4" w:space="0"/>
              <w:right w:val="single" w:color="auto" w:sz="4" w:space="0"/>
            </w:tcBorders>
            <w:vAlign w:val="center"/>
          </w:tcPr>
          <w:p w14:paraId="53586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完整响应招标文件合同主要条款。</w:t>
            </w:r>
          </w:p>
        </w:tc>
        <w:tc>
          <w:tcPr>
            <w:tcW w:w="541" w:type="pct"/>
            <w:tcBorders>
              <w:top w:val="single" w:color="auto" w:sz="4" w:space="0"/>
              <w:left w:val="single" w:color="auto" w:sz="4" w:space="0"/>
              <w:bottom w:val="single" w:color="auto" w:sz="4" w:space="0"/>
              <w:right w:val="single" w:color="auto" w:sz="4" w:space="0"/>
            </w:tcBorders>
            <w:vAlign w:val="top"/>
          </w:tcPr>
          <w:p w14:paraId="16368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64FFA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0E7B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FF75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谈判小组</w:t>
            </w:r>
            <w:r>
              <w:rPr>
                <w:rFonts w:hint="eastAsia" w:ascii="宋体" w:hAnsi="宋体" w:eastAsia="宋体" w:cs="宋体"/>
                <w:b/>
                <w:bCs/>
                <w:color w:val="auto"/>
                <w:kern w:val="0"/>
                <w:sz w:val="24"/>
                <w:szCs w:val="24"/>
                <w:highlight w:val="none"/>
              </w:rPr>
              <w:t>成员：（签字或盖章）</w:t>
            </w:r>
          </w:p>
        </w:tc>
      </w:tr>
    </w:tbl>
    <w:p w14:paraId="764EF663">
      <w:pPr>
        <w:pageBreakBefore w:val="0"/>
        <w:kinsoku/>
        <w:wordWrap/>
        <w:overflowPunct/>
        <w:topLinePunct w:val="0"/>
        <w:autoSpaceDE w:val="0"/>
        <w:autoSpaceDN w:val="0"/>
        <w:bidi w:val="0"/>
        <w:spacing w:line="460" w:lineRule="exact"/>
        <w:ind w:firstLine="482"/>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资格性和符合性审查同时，对属于不合格或者报价无效的供应商，谈判小组必须提出不合格或者报价无效的事实依据，并出具不合格或者报价无效说明，供应商签字确认，供应商拒绝签字确认的不影响谈判小组作出的不合格或无效报价裁定。</w:t>
      </w:r>
    </w:p>
    <w:p w14:paraId="5C4E927B">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第三阶段：响应性审查</w:t>
      </w:r>
    </w:p>
    <w:p w14:paraId="30609A71">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按照谈判文件要求，审查业绩、供应商报价、货物清单、规费税金及其报价合理性等，对属于不合格或者报价无效的供应商，采购小组应提出不合格或者报价无效的事实依据，并出具不合格或者报价无效说明，供应商签字确认，供应商拒绝签字确认的，不影响谈判小组作出的不合格或报价无效的裁定。</w:t>
      </w:r>
    </w:p>
    <w:p w14:paraId="790FDDFD">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rPr>
      </w:pPr>
      <w:bookmarkStart w:id="196" w:name="_Toc411064161"/>
      <w:bookmarkStart w:id="197" w:name="_Toc14189278"/>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lang w:val="zh-CN"/>
        </w:rPr>
        <w:t>澄清</w:t>
      </w:r>
      <w:bookmarkEnd w:id="196"/>
      <w:bookmarkEnd w:id="197"/>
    </w:p>
    <w:p w14:paraId="17850D1E">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89BAFE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76E4F7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）谈判小组判断响应文件的响应性仅基于响应文件本身而不靠外部因素。未响应实质性条款的，谈判小组有权确定其报价无效，供应商不能通过修正、撤销或者澄清不符之处而使其报价成为实质性响应的报价。</w:t>
      </w:r>
    </w:p>
    <w:p w14:paraId="7CC05F18">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rPr>
      </w:pPr>
      <w:bookmarkStart w:id="198" w:name="_Toc14189279"/>
      <w:bookmarkStart w:id="199" w:name="_Toc411064162"/>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lang w:val="zh-CN"/>
        </w:rPr>
        <w:t>谈判</w:t>
      </w:r>
      <w:bookmarkEnd w:id="198"/>
      <w:bookmarkEnd w:id="199"/>
    </w:p>
    <w:p w14:paraId="612E9EF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谈判小组所有成员集中与实质性响应谈判文件的单一供应商分别进行谈判，并给予所有参加谈判的供应商平等的谈判机会。谈判小组通过随机方式确定参加谈判供应商的谈判顺序。在谈判中，谈判的任何一方不得透露与谈判有关的其他供应商的技术资料、价格和其他信息。</w:t>
      </w:r>
    </w:p>
    <w:p w14:paraId="31E905B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）谈判文件应详细列明采购标的的技术、服务要求，谈判结束后，谈判小组应当要求所有继续参加谈判的供应商在规定时间内提交最终报价，最终报价是供应商响应文件的有效组成部分。</w:t>
      </w:r>
    </w:p>
    <w:p w14:paraId="3DA2165D">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）供应商标书内的报价一览表为第一轮报价（即首轮报价）。参加谈判的供应商后一轮报价不得高于其前一轮报价，否则谈判小组有权据此确定其为无效报价，提交最终报价的供应商不得少于三家。</w:t>
      </w:r>
    </w:p>
    <w:p w14:paraId="0145EC35">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color w:val="auto"/>
          <w:sz w:val="24"/>
          <w:szCs w:val="24"/>
          <w:lang w:val="zh-CN" w:eastAsia="zh-CN"/>
        </w:rPr>
      </w:pPr>
      <w:bookmarkStart w:id="200" w:name="_Toc17254"/>
      <w:bookmarkStart w:id="201" w:name="_Toc14189280"/>
      <w:bookmarkStart w:id="202" w:name="_Toc11420"/>
      <w:bookmarkStart w:id="203" w:name="_Toc411064163"/>
      <w:bookmarkStart w:id="204" w:name="_Toc24274"/>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eastAsia="zh-CN"/>
        </w:rPr>
        <w:t>确定成交供应商</w:t>
      </w:r>
      <w:bookmarkEnd w:id="200"/>
      <w:bookmarkEnd w:id="201"/>
      <w:bookmarkEnd w:id="202"/>
      <w:bookmarkEnd w:id="203"/>
      <w:bookmarkEnd w:id="204"/>
    </w:p>
    <w:p w14:paraId="4435966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5.1</w:t>
      </w:r>
      <w:r>
        <w:rPr>
          <w:rFonts w:hint="eastAsia" w:ascii="宋体" w:hAnsi="宋体" w:eastAsia="宋体" w:cs="宋体"/>
          <w:color w:val="auto"/>
          <w:sz w:val="24"/>
          <w:szCs w:val="24"/>
          <w:lang w:val="zh-CN"/>
        </w:rPr>
        <w:t>谈判小组从质量和服务均能满足谈判文件实质性响应要求的供应商中，确定最终报价最低的供应商作为成交供应商。</w:t>
      </w:r>
    </w:p>
    <w:p w14:paraId="4D68935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zh-CN"/>
        </w:rPr>
        <w:t>若两家及以上供应商在最终轮次报价中相同且最低的，以货物质量更优者为成交供应商。</w:t>
      </w:r>
    </w:p>
    <w:p w14:paraId="45D61A2E">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zh-CN"/>
        </w:rPr>
        <w:t>谈判小组认为，供应商的报价或者某些分项报价明显不合理或者低于成本，有可能影响货物质量和不能诚信履约的，应当要求其在规定的期限内提供书面文件予以解释说明，并提交相关证明材料；否则，谈判小组可以取消该供应商的谈判资格，按照最终报价由低到高的顺序排在后面的供应商递补，以此类推。</w:t>
      </w:r>
    </w:p>
    <w:p w14:paraId="7268E84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lang w:val="zh-CN"/>
        </w:rPr>
        <w:t>成交供应商除因法定不可抗力外不得随意放弃成交资格，否则承担相应法律责任。成交供应商确因不可抗力不能履行政府采购合同，或因被查实存在影响成交结果的违法行为等情形，不符合成交条件的，应予以废标，由采购人依法重新组织采购。</w:t>
      </w:r>
    </w:p>
    <w:p w14:paraId="257BB4DA">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eastAsia="zh-CN"/>
        </w:rPr>
        <w:t>编写评审报告</w:t>
      </w:r>
    </w:p>
    <w:p w14:paraId="532691FA">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谈判小组根据谈判情况编制评审报告，谈判小组成员对评审报告有异议的，应当在评审报告上签署不同意见，并说明理由，否则视为同意。对拒绝说明理由的，须报政府采购监管部门处理，并将其评审情况如实计入考核表。</w:t>
      </w:r>
    </w:p>
    <w:p w14:paraId="725890EA">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color w:val="auto"/>
          <w:sz w:val="24"/>
          <w:szCs w:val="24"/>
          <w:lang w:val="en-US" w:eastAsia="zh-CN"/>
        </w:rPr>
      </w:pPr>
      <w:bookmarkStart w:id="205" w:name="_Toc14842"/>
      <w:bookmarkStart w:id="206" w:name="_Toc23315667"/>
      <w:bookmarkStart w:id="207" w:name="_Toc23316689"/>
      <w:bookmarkStart w:id="208" w:name="_Toc22011"/>
      <w:bookmarkStart w:id="209" w:name="_Toc14189281"/>
      <w:bookmarkStart w:id="210" w:name="_Toc5438"/>
      <w:bookmarkStart w:id="211" w:name="_Toc18412206"/>
      <w:bookmarkStart w:id="212" w:name="_Toc23316591"/>
      <w:bookmarkStart w:id="213" w:name="_Toc22281"/>
      <w:bookmarkStart w:id="214" w:name="_Toc14189414"/>
      <w:bookmarkStart w:id="215" w:name="_Toc23316527"/>
      <w:bookmarkStart w:id="216" w:name="_Toc1055"/>
      <w:bookmarkStart w:id="217" w:name="_Toc35335263"/>
      <w:r>
        <w:rPr>
          <w:rFonts w:hint="eastAsia" w:ascii="宋体" w:hAnsi="宋体" w:eastAsia="宋体" w:cs="宋体"/>
          <w:b/>
          <w:bCs/>
          <w:color w:val="auto"/>
          <w:sz w:val="24"/>
          <w:szCs w:val="24"/>
          <w:lang w:val="en-US" w:eastAsia="zh-CN"/>
        </w:rPr>
        <w:t>7.定标</w:t>
      </w:r>
      <w:bookmarkEnd w:id="205"/>
      <w:bookmarkEnd w:id="206"/>
      <w:bookmarkEnd w:id="207"/>
      <w:bookmarkEnd w:id="208"/>
      <w:bookmarkEnd w:id="209"/>
      <w:bookmarkEnd w:id="210"/>
      <w:bookmarkEnd w:id="211"/>
      <w:bookmarkEnd w:id="212"/>
      <w:bookmarkEnd w:id="213"/>
      <w:bookmarkEnd w:id="214"/>
      <w:bookmarkEnd w:id="215"/>
      <w:bookmarkEnd w:id="216"/>
      <w:bookmarkEnd w:id="217"/>
    </w:p>
    <w:p w14:paraId="593C638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7.1招标代理机构在评审工作结束后，对评审报告进行审核，在2个工作日内，将评审报告送采购人确认。</w:t>
      </w:r>
    </w:p>
    <w:p w14:paraId="525D6873">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采购人在收到评审报告后5个工作日内，按照评审报告中推荐的成交候选供应商排序第一的确定为成交供应商，也可以书面授权谈判小组直接确定成交供应商。采购人逾期未确定成交供应商且不提出异议的，视为确定评审报告提出的排序第一的供应商为成交供应商。</w:t>
      </w:r>
    </w:p>
    <w:p w14:paraId="71E4C9D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7.3在确定成交供应商后，招标代理机构发布成交公告，向确定的成交供应商发出“成交通知书”。</w:t>
      </w:r>
    </w:p>
    <w:p w14:paraId="71B34A0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7.4招标代理机构不做未成交原因的解释。</w:t>
      </w:r>
    </w:p>
    <w:p w14:paraId="7EC0EC60">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7.5成交人应在接到招标代理机构通知之日起七日内领取成交通知书。</w:t>
      </w:r>
    </w:p>
    <w:p w14:paraId="27321195">
      <w:pPr>
        <w:pageBreakBefore w:val="0"/>
        <w:widowControl/>
        <w:numPr>
          <w:ilvl w:val="0"/>
          <w:numId w:val="0"/>
        </w:numPr>
        <w:kinsoku/>
        <w:wordWrap/>
        <w:overflowPunct/>
        <w:topLinePunct w:val="0"/>
        <w:autoSpaceDE/>
        <w:autoSpaceDN/>
        <w:bidi w:val="0"/>
        <w:spacing w:line="400" w:lineRule="exact"/>
        <w:jc w:val="center"/>
        <w:textAlignment w:val="auto"/>
        <w:outlineLvl w:val="1"/>
        <w:rPr>
          <w:rFonts w:hint="eastAsia" w:ascii="宋体" w:hAnsi="宋体" w:eastAsia="宋体" w:cs="宋体"/>
          <w:b/>
          <w:bCs/>
          <w:color w:val="auto"/>
          <w:kern w:val="0"/>
          <w:sz w:val="24"/>
          <w:szCs w:val="24"/>
          <w:lang w:eastAsia="zh-CN"/>
        </w:rPr>
      </w:pPr>
      <w:bookmarkStart w:id="218" w:name="_Toc27672"/>
      <w:bookmarkStart w:id="219" w:name="_Toc6540"/>
      <w:bookmarkStart w:id="220" w:name="_Toc3632"/>
      <w:r>
        <w:rPr>
          <w:rFonts w:hint="eastAsia" w:ascii="宋体" w:hAnsi="宋体" w:eastAsia="宋体" w:cs="宋体"/>
          <w:b/>
          <w:bCs/>
          <w:color w:val="auto"/>
          <w:kern w:val="0"/>
          <w:sz w:val="24"/>
          <w:szCs w:val="24"/>
          <w:lang w:eastAsia="zh-CN"/>
        </w:rPr>
        <w:t>六、签订政府采购合同</w:t>
      </w:r>
      <w:bookmarkEnd w:id="141"/>
      <w:bookmarkEnd w:id="142"/>
      <w:bookmarkEnd w:id="143"/>
      <w:bookmarkEnd w:id="144"/>
      <w:bookmarkEnd w:id="145"/>
      <w:bookmarkEnd w:id="146"/>
      <w:bookmarkEnd w:id="147"/>
      <w:bookmarkEnd w:id="148"/>
      <w:bookmarkEnd w:id="149"/>
      <w:bookmarkEnd w:id="150"/>
      <w:bookmarkEnd w:id="218"/>
      <w:bookmarkEnd w:id="219"/>
      <w:bookmarkEnd w:id="220"/>
    </w:p>
    <w:p w14:paraId="4949DF66">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1、采购人与成交供应商应当在成交通知书发出之日起30日内，按照谈判文件确定的合同文本签订政府采购合同。</w:t>
      </w:r>
    </w:p>
    <w:p w14:paraId="7AB4574A">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2、采购人不得向成交供应商提出超出谈判文件以外的任何要求作为签订合同的条件，不得与成交供应商订立背离谈判文件确定的合同文本以及采购服务要求实质性内容的协议。</w:t>
      </w:r>
    </w:p>
    <w:p w14:paraId="14D7B0F6">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3、成交供应商拒绝与采购人签订合同的，采购人可以按照评审报告推荐的成交候选人名单排序，确定下一候选人为成交供应商，也可以重新开展政府采购活动。</w:t>
      </w:r>
    </w:p>
    <w:p w14:paraId="68D0A51D">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4、政府采购合同在执行过程中，确需修改、变更时，应当按照相应的审核批准程序办理。</w:t>
      </w:r>
    </w:p>
    <w:p w14:paraId="28BFA5F6">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5、谈判文件、响应文件、澄清等为政府采购合同的组成部分，具有同等法律效力。</w:t>
      </w:r>
    </w:p>
    <w:p w14:paraId="060B874A">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6、采购人按有关规定将政府采购合同报送监管机构备案。</w:t>
      </w:r>
    </w:p>
    <w:p w14:paraId="059962CA">
      <w:pPr>
        <w:pageBreakBefore w:val="0"/>
        <w:widowControl/>
        <w:numPr>
          <w:ilvl w:val="0"/>
          <w:numId w:val="0"/>
        </w:numPr>
        <w:kinsoku/>
        <w:wordWrap/>
        <w:overflowPunct/>
        <w:topLinePunct w:val="0"/>
        <w:autoSpaceDE/>
        <w:autoSpaceDN/>
        <w:bidi w:val="0"/>
        <w:spacing w:line="400" w:lineRule="exact"/>
        <w:jc w:val="center"/>
        <w:textAlignment w:val="auto"/>
        <w:outlineLvl w:val="1"/>
        <w:rPr>
          <w:rFonts w:hint="eastAsia" w:ascii="宋体" w:hAnsi="宋体" w:eastAsia="宋体" w:cs="宋体"/>
          <w:b/>
          <w:bCs/>
          <w:color w:val="auto"/>
          <w:kern w:val="0"/>
          <w:sz w:val="24"/>
          <w:szCs w:val="24"/>
          <w:lang w:eastAsia="zh-CN"/>
        </w:rPr>
      </w:pPr>
      <w:bookmarkStart w:id="221" w:name="_Toc23316529"/>
      <w:bookmarkStart w:id="222" w:name="_Toc23315669"/>
      <w:bookmarkStart w:id="223" w:name="_Toc23316691"/>
      <w:bookmarkStart w:id="224" w:name="_Toc22563"/>
      <w:bookmarkStart w:id="225" w:name="_Toc23316593"/>
      <w:bookmarkStart w:id="226" w:name="_Toc14189283"/>
      <w:bookmarkStart w:id="227" w:name="_Toc35335265"/>
      <w:bookmarkStart w:id="228" w:name="_Toc20160"/>
      <w:bookmarkStart w:id="229" w:name="_Toc15337"/>
      <w:bookmarkStart w:id="230" w:name="_Toc20083"/>
      <w:bookmarkStart w:id="231" w:name="_Toc14689"/>
      <w:bookmarkStart w:id="232" w:name="_Toc18412208"/>
      <w:bookmarkStart w:id="233" w:name="_Toc14189416"/>
      <w:r>
        <w:rPr>
          <w:rFonts w:hint="eastAsia" w:ascii="宋体" w:hAnsi="宋体" w:eastAsia="宋体" w:cs="宋体"/>
          <w:b/>
          <w:bCs/>
          <w:color w:val="auto"/>
          <w:kern w:val="0"/>
          <w:sz w:val="24"/>
          <w:szCs w:val="24"/>
          <w:lang w:eastAsia="zh-CN"/>
        </w:rPr>
        <w:t>七、招标服务费</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3E88B1A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bookmarkStart w:id="234" w:name="_Toc4430"/>
      <w:bookmarkStart w:id="235" w:name="_Toc18217"/>
      <w:bookmarkStart w:id="236" w:name="_Toc13557"/>
      <w:r>
        <w:rPr>
          <w:rFonts w:hint="eastAsia" w:ascii="宋体" w:hAnsi="宋体" w:eastAsia="宋体" w:cs="宋体"/>
          <w:color w:val="auto"/>
          <w:sz w:val="24"/>
          <w:szCs w:val="24"/>
          <w:lang w:val="en-US" w:eastAsia="zh-CN"/>
        </w:rPr>
        <w:t>参照国家计委颁发的《招标代理服务收费管理暂行办法》（计价格[2002]1980号）和国家发展改革委员会办公厅颁发的《关于招标代理服务收费有关问题的通知》（发改办价格[2003]857号）的标准收取。</w:t>
      </w:r>
      <w:bookmarkEnd w:id="234"/>
      <w:bookmarkEnd w:id="235"/>
      <w:bookmarkEnd w:id="236"/>
    </w:p>
    <w:p w14:paraId="6424E6D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采购代理机构开户名称：陕西途恒工程管理服务有限公司</w:t>
      </w:r>
    </w:p>
    <w:p w14:paraId="69DE9DE0">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账户号码： 2707010101201000144950</w:t>
      </w:r>
    </w:p>
    <w:p w14:paraId="10DB7BCD">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开户银行： 安康农村商业银行股份有限公司     </w:t>
      </w:r>
    </w:p>
    <w:p w14:paraId="24F4ACA5">
      <w:pPr>
        <w:pageBreakBefore w:val="0"/>
        <w:kinsoku/>
        <w:wordWrap/>
        <w:overflowPunct/>
        <w:topLinePunct w:val="0"/>
        <w:bidi w:val="0"/>
        <w:adjustRightInd w:val="0"/>
        <w:snapToGrid w:val="0"/>
        <w:spacing w:line="460" w:lineRule="exact"/>
        <w:ind w:firstLine="482" w:firstLineChars="200"/>
        <w:jc w:val="both"/>
        <w:textAlignment w:val="auto"/>
        <w:rPr>
          <w:rFonts w:hint="eastAsia" w:ascii="宋体" w:hAnsi="宋体" w:eastAsia="宋体" w:cs="宋体"/>
          <w:b/>
          <w:color w:val="auto"/>
          <w:kern w:val="0"/>
          <w:sz w:val="24"/>
          <w:szCs w:val="24"/>
          <w:lang w:val="zh-CN" w:eastAsia="zh-CN"/>
        </w:rPr>
      </w:pPr>
      <w:r>
        <w:rPr>
          <w:rFonts w:hint="eastAsia" w:ascii="宋体" w:hAnsi="宋体" w:eastAsia="宋体" w:cs="宋体"/>
          <w:b/>
          <w:color w:val="auto"/>
          <w:kern w:val="0"/>
          <w:sz w:val="24"/>
          <w:szCs w:val="24"/>
          <w:lang w:val="zh-CN" w:eastAsia="zh-CN"/>
        </w:rPr>
        <w:t xml:space="preserve"> 八、政府采购政策</w:t>
      </w:r>
    </w:p>
    <w:p w14:paraId="42E365F2">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eastAsia="zh-CN"/>
        </w:rPr>
        <w:t>投标企业政府采购政策</w:t>
      </w:r>
    </w:p>
    <w:p w14:paraId="2E8EF039">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p w14:paraId="4C663CD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0298A5A7">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财政部、司法部联合下发的《关于政府采购支持监狱企业发展有关问题的通知》（财库〔2014〕68号）的规定，监狱企业视同小型、微型企业。评标时，对监狱企业给予10%的价格扣除，用扣除后的价格参与评审；</w:t>
      </w:r>
    </w:p>
    <w:p w14:paraId="0DA406CD">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财政部、民政部、中国残疾人联合会下发的《关于促进残疾人就业政府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119834B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优惠，但不影响投标文件的有效性,对既属于监狱企业、福利企业，同时又满足中小微企业规定的投标单位，其价格优惠仅适用一次。</w:t>
      </w:r>
    </w:p>
    <w:p w14:paraId="397DE3AE">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eastAsia="zh-CN"/>
        </w:rPr>
        <w:t>投标产品政府采购政策</w:t>
      </w:r>
    </w:p>
    <w:p w14:paraId="2CBE62E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（1）节能产品</w:t>
      </w:r>
      <w:r>
        <w:rPr>
          <w:rFonts w:hint="eastAsia" w:ascii="宋体" w:hAnsi="宋体" w:eastAsia="宋体" w:cs="宋体"/>
          <w:color w:val="auto"/>
          <w:sz w:val="24"/>
          <w:szCs w:val="24"/>
          <w:lang w:val="zh-CN" w:eastAsia="zh-CN"/>
        </w:rPr>
        <w:t>根据《国务院办公厅关于建立政府强制采购节能产品制度的通知》</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国办发[2007] 51号</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的规定</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以中国政府采购网</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http://www.ccgp.gov.cn/</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公布的最新一期节能产品政府采购清单为准。</w:t>
      </w:r>
    </w:p>
    <w:p w14:paraId="28F4C5C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（2）环境标志产品</w:t>
      </w:r>
      <w:r>
        <w:rPr>
          <w:rFonts w:hint="eastAsia" w:ascii="宋体" w:hAnsi="宋体" w:eastAsia="宋体" w:cs="宋体"/>
          <w:color w:val="auto"/>
          <w:sz w:val="24"/>
          <w:szCs w:val="24"/>
          <w:lang w:val="zh-CN" w:eastAsia="zh-CN"/>
        </w:rPr>
        <w:t>根据《环境标志产品政府采购实施的意见》</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财库</w:t>
      </w:r>
      <w:r>
        <w:rPr>
          <w:rFonts w:hint="eastAsia" w:ascii="宋体" w:hAnsi="宋体" w:eastAsia="宋体" w:cs="宋体"/>
          <w:color w:val="auto"/>
          <w:sz w:val="24"/>
          <w:szCs w:val="24"/>
          <w:lang w:val="en-US" w:eastAsia="zh-CN"/>
        </w:rPr>
        <w:t>[2006]90</w:t>
      </w:r>
      <w:r>
        <w:rPr>
          <w:rFonts w:hint="eastAsia" w:ascii="宋体" w:hAnsi="宋体" w:eastAsia="宋体" w:cs="宋体"/>
          <w:color w:val="auto"/>
          <w:sz w:val="24"/>
          <w:szCs w:val="24"/>
          <w:lang w:val="zh-CN" w:eastAsia="zh-CN"/>
        </w:rPr>
        <w:t>号</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的规定</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以中国政府采购网</w:t>
      </w:r>
      <w:r>
        <w:rPr>
          <w:rFonts w:hint="eastAsia" w:ascii="宋体" w:hAnsi="宋体" w:eastAsia="宋体" w:cs="宋体"/>
          <w:color w:val="auto"/>
          <w:sz w:val="24"/>
          <w:szCs w:val="24"/>
          <w:lang w:val="en-US" w:eastAsia="zh-CN"/>
        </w:rPr>
        <w:t>（http://www.ccgp.gov.cn/）</w:t>
      </w:r>
      <w:r>
        <w:rPr>
          <w:rFonts w:hint="eastAsia" w:ascii="宋体" w:hAnsi="宋体" w:eastAsia="宋体" w:cs="宋体"/>
          <w:color w:val="auto"/>
          <w:sz w:val="24"/>
          <w:szCs w:val="24"/>
          <w:lang w:val="zh-CN" w:eastAsia="zh-CN"/>
        </w:rPr>
        <w:t>公布的最新一期环境标志产品政府采购清单为准。</w:t>
      </w:r>
    </w:p>
    <w:p w14:paraId="3C518829">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投标供应商在谈判响应文件中对所投标产品为节能、环保、环境标志产品清单中的产品，在投标报价时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4E5928A7">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若节能、环保、环境标志清单内的产品仅是构成投标产品的部件、组件或零件的，则该投标产品不享受鼓励优惠政策。</w:t>
      </w:r>
    </w:p>
    <w:p w14:paraId="66DE0F0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同一标段的节能、环保、环境标志产品部分优惠只对属于清单内的非强制类产品进行优惠，强制类产品不给予优惠。</w:t>
      </w:r>
    </w:p>
    <w:p w14:paraId="191508A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节能、环保、环境标志产品不重复优惠；同时列入清单和省级清单的产品不重复优惠。</w:t>
      </w:r>
    </w:p>
    <w:p w14:paraId="623CC49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获得上述认证的产品在投标时应提供有效证明材料。以上所有证明文件复印件须加盖投标供应商公章并注明“与原件一致”，否则不予优惠。</w:t>
      </w:r>
    </w:p>
    <w:p w14:paraId="12E219E6">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eastAsia="zh-CN"/>
        </w:rPr>
        <w:t>价格优惠比例</w:t>
      </w:r>
    </w:p>
    <w:p w14:paraId="3FCD146F">
      <w:pPr>
        <w:pageBreakBefore w:val="0"/>
        <w:kinsoku/>
        <w:wordWrap/>
        <w:overflowPunct/>
        <w:topLinePunct w:val="0"/>
        <w:bidi w:val="0"/>
        <w:spacing w:line="460" w:lineRule="exact"/>
        <w:ind w:firstLine="472" w:firstLineChars="196"/>
        <w:textAlignment w:val="auto"/>
        <w:rPr>
          <w:rFonts w:hint="eastAsia" w:ascii="宋体" w:hAnsi="宋体" w:eastAsia="宋体" w:cs="宋体"/>
          <w:b/>
          <w:color w:val="auto"/>
          <w:sz w:val="24"/>
        </w:rPr>
      </w:pPr>
      <w:r>
        <w:rPr>
          <w:rFonts w:hint="eastAsia" w:ascii="宋体" w:hAnsi="宋体" w:eastAsia="宋体" w:cs="宋体"/>
          <w:b/>
          <w:color w:val="auto"/>
          <w:sz w:val="24"/>
        </w:rPr>
        <w:t>（1）</w:t>
      </w:r>
      <w:r>
        <w:rPr>
          <w:rFonts w:hint="eastAsia" w:ascii="宋体" w:hAnsi="宋体" w:eastAsia="宋体" w:cs="宋体"/>
          <w:b/>
          <w:color w:val="auto"/>
          <w:sz w:val="24"/>
          <w:lang w:val="zh-CN"/>
        </w:rPr>
        <w:t>投标企业优惠比例（</w:t>
      </w:r>
      <w:r>
        <w:rPr>
          <w:rFonts w:hint="eastAsia" w:ascii="宋体" w:hAnsi="宋体" w:eastAsia="宋体" w:cs="宋体"/>
          <w:b/>
          <w:color w:val="auto"/>
          <w:sz w:val="24"/>
          <w:lang w:val="en-US" w:eastAsia="zh-CN"/>
        </w:rPr>
        <w:t>本项目不享受</w:t>
      </w:r>
      <w:r>
        <w:rPr>
          <w:rFonts w:hint="eastAsia" w:ascii="宋体" w:hAnsi="宋体" w:eastAsia="宋体" w:cs="宋体"/>
          <w:b/>
          <w:color w:val="auto"/>
          <w:sz w:val="24"/>
          <w:lang w:val="zh-CN"/>
        </w:rPr>
        <w:t>）</w:t>
      </w:r>
    </w:p>
    <w:p w14:paraId="6E0D4147">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符合谈判文件规定的小微企业、监狱企业或</w:t>
      </w:r>
      <w:r>
        <w:rPr>
          <w:rFonts w:hint="eastAsia" w:ascii="宋体" w:hAnsi="宋体" w:eastAsia="宋体" w:cs="宋体"/>
          <w:color w:val="auto"/>
          <w:sz w:val="24"/>
          <w:szCs w:val="24"/>
          <w:lang w:val="en-US" w:eastAsia="zh-CN"/>
        </w:rPr>
        <w:t>残疾人福利性单位</w:t>
      </w:r>
      <w:r>
        <w:rPr>
          <w:rFonts w:hint="eastAsia" w:ascii="宋体" w:hAnsi="宋体" w:eastAsia="宋体" w:cs="宋体"/>
          <w:color w:val="auto"/>
          <w:sz w:val="24"/>
          <w:szCs w:val="24"/>
          <w:lang w:val="zh-CN" w:eastAsia="zh-CN"/>
        </w:rPr>
        <w:t>优惠条件的供应商，价格给予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eastAsia="zh-CN"/>
        </w:rPr>
        <w:t>%的扣除（不重复优惠，最高为</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eastAsia="zh-CN"/>
        </w:rPr>
        <w:t>%），用扣除后的价格参与评审。</w:t>
      </w:r>
    </w:p>
    <w:p w14:paraId="1E6688D8">
      <w:pPr>
        <w:pageBreakBefore w:val="0"/>
        <w:kinsoku/>
        <w:wordWrap/>
        <w:overflowPunct/>
        <w:topLinePunct w:val="0"/>
        <w:bidi w:val="0"/>
        <w:spacing w:line="460" w:lineRule="exact"/>
        <w:ind w:firstLine="472" w:firstLineChars="196"/>
        <w:textAlignment w:val="auto"/>
        <w:rPr>
          <w:rFonts w:hint="eastAsia" w:ascii="宋体" w:hAnsi="宋体" w:eastAsia="宋体" w:cs="宋体"/>
          <w:color w:val="auto"/>
          <w:sz w:val="24"/>
          <w:lang w:val="zh-CN"/>
        </w:rPr>
      </w:pPr>
      <w:r>
        <w:rPr>
          <w:rFonts w:hint="eastAsia" w:ascii="宋体" w:hAnsi="宋体" w:eastAsia="宋体" w:cs="宋体"/>
          <w:b/>
          <w:color w:val="auto"/>
          <w:sz w:val="24"/>
        </w:rPr>
        <w:t>（2）</w:t>
      </w:r>
      <w:r>
        <w:rPr>
          <w:rFonts w:hint="eastAsia" w:ascii="宋体" w:hAnsi="宋体" w:eastAsia="宋体" w:cs="宋体"/>
          <w:b/>
          <w:color w:val="auto"/>
          <w:sz w:val="24"/>
          <w:lang w:val="zh-CN"/>
        </w:rPr>
        <w:t>投标产品优惠比例</w:t>
      </w:r>
    </w:p>
    <w:p w14:paraId="1AF60D89">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投标产品为节能、环保、环境标志产品清单中的产品，符合谈判文件要求的，价格给予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eastAsia="zh-CN"/>
        </w:rPr>
        <w:t>%的扣除（不重复优惠，最高为</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eastAsia="zh-CN"/>
        </w:rPr>
        <w:t>%），用扣除后的价格参与评审。</w:t>
      </w:r>
    </w:p>
    <w:p w14:paraId="533245E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谈判小组根据原始谈判记录和谈判结果编写谈判结果报告，报采购人。</w:t>
      </w:r>
    </w:p>
    <w:p w14:paraId="2BE53ACD">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color w:val="auto"/>
          <w:kern w:val="0"/>
          <w:sz w:val="24"/>
          <w:szCs w:val="24"/>
        </w:rPr>
      </w:pPr>
      <w:bookmarkStart w:id="237" w:name="_Toc536202317"/>
      <w:bookmarkStart w:id="238" w:name="_Toc19543343"/>
      <w:bookmarkStart w:id="239" w:name="_Toc664"/>
      <w:bookmarkStart w:id="240" w:name="_Toc20921"/>
      <w:bookmarkStart w:id="241" w:name="_Toc11491"/>
      <w:bookmarkStart w:id="242" w:name="_Toc536429379"/>
      <w:bookmarkStart w:id="243" w:name="_Toc15930"/>
      <w:bookmarkStart w:id="244" w:name="_Toc28094"/>
      <w:bookmarkStart w:id="245" w:name="_Toc536202386"/>
      <w:bookmarkStart w:id="246" w:name="_Toc536429326"/>
      <w:r>
        <w:rPr>
          <w:rFonts w:hint="eastAsia" w:ascii="宋体" w:hAnsi="宋体" w:eastAsia="宋体" w:cs="宋体"/>
          <w:b/>
          <w:bCs/>
          <w:color w:val="auto"/>
          <w:kern w:val="0"/>
          <w:sz w:val="24"/>
          <w:szCs w:val="24"/>
          <w:lang w:eastAsia="zh-CN"/>
        </w:rPr>
        <w:t>九、</w:t>
      </w:r>
      <w:r>
        <w:rPr>
          <w:rFonts w:hint="eastAsia" w:ascii="宋体" w:hAnsi="宋体" w:eastAsia="宋体" w:cs="宋体"/>
          <w:b/>
          <w:bCs/>
          <w:color w:val="auto"/>
          <w:kern w:val="0"/>
          <w:sz w:val="24"/>
          <w:szCs w:val="24"/>
        </w:rPr>
        <w:t>质疑和投诉</w:t>
      </w:r>
      <w:bookmarkEnd w:id="237"/>
      <w:bookmarkEnd w:id="238"/>
      <w:bookmarkEnd w:id="239"/>
      <w:bookmarkEnd w:id="240"/>
      <w:bookmarkEnd w:id="241"/>
      <w:bookmarkEnd w:id="242"/>
      <w:bookmarkEnd w:id="243"/>
      <w:bookmarkEnd w:id="244"/>
      <w:bookmarkEnd w:id="245"/>
      <w:bookmarkEnd w:id="246"/>
    </w:p>
    <w:p w14:paraId="5152B95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质疑或投诉的接收和处理应当按照《中华人民共和国政府采购法》及其实施条例、《政府采购质疑和投诉办法》、《财政部关于加强政府采购供应商投诉受理审查工作的通知》等的相关规定办理。</w:t>
      </w:r>
    </w:p>
    <w:p w14:paraId="7C347BA7">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172DD7A1">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（1）对采购文件提出质疑的，为收到采购文件之日或者采购文件公告期限届满之日；</w:t>
      </w:r>
    </w:p>
    <w:p w14:paraId="4F80A8D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（2）对采购过程提出质疑的，为各采购程序环节结束之日；</w:t>
      </w:r>
    </w:p>
    <w:p w14:paraId="434D8598">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（3）对中标或者成交结果提出质疑的，为中标或者成交结果公告期限届满之日。</w:t>
      </w:r>
    </w:p>
    <w:p w14:paraId="553B2177">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2.供应商应当在法定质疑期内一次性提出针对同一采购程序环节的质疑。</w:t>
      </w:r>
    </w:p>
    <w:p w14:paraId="6EABE03E">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3.质疑函应当包括下列主要内容：</w:t>
      </w:r>
    </w:p>
    <w:p w14:paraId="20F6420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（1）供应商的姓名或者名称、地址、邮编、联系人及联系电话；</w:t>
      </w:r>
    </w:p>
    <w:p w14:paraId="1073A972">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（2）质疑项目的名称、编号；</w:t>
      </w:r>
    </w:p>
    <w:p w14:paraId="00564C8E">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（3）具体、明确的质疑事项和与质疑事项相关的请求；</w:t>
      </w:r>
    </w:p>
    <w:p w14:paraId="0EAE2302">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（4）事实依据；</w:t>
      </w:r>
    </w:p>
    <w:p w14:paraId="328A2C9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（5）必要的法律依据；</w:t>
      </w:r>
    </w:p>
    <w:p w14:paraId="5C92EBAA">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（6）提出质疑的日期。</w:t>
      </w:r>
    </w:p>
    <w:p w14:paraId="4993CCF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599A59F2">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15FED4F6">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6.质疑函接收方式：由自然人本人或法定代表人或者其授权代表携带书面原件及身份证明原件到现场递交，否则不予受理。 </w:t>
      </w:r>
    </w:p>
    <w:p w14:paraId="04A1218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color w:val="auto"/>
          <w:sz w:val="24"/>
          <w:szCs w:val="24"/>
          <w:lang w:val="zh-CN" w:eastAsia="zh-CN"/>
        </w:rPr>
        <w:t>7.质疑受理部门：</w:t>
      </w:r>
      <w:r>
        <w:rPr>
          <w:rFonts w:hint="eastAsia" w:ascii="宋体" w:hAnsi="宋体" w:eastAsia="宋体" w:cs="宋体"/>
          <w:b w:val="0"/>
          <w:bCs w:val="0"/>
          <w:color w:val="auto"/>
          <w:sz w:val="24"/>
          <w:szCs w:val="24"/>
          <w:lang w:val="en-US" w:eastAsia="zh-CN"/>
        </w:rPr>
        <w:t>陕西途恒工程管理服务有限公司</w:t>
      </w:r>
    </w:p>
    <w:p w14:paraId="089A8538">
      <w:pPr>
        <w:pageBreakBefore w:val="0"/>
        <w:kinsoku/>
        <w:wordWrap/>
        <w:overflowPunct/>
        <w:topLinePunct w:val="0"/>
        <w:autoSpaceDE w:val="0"/>
        <w:autoSpaceDN w:val="0"/>
        <w:bidi w:val="0"/>
        <w:spacing w:line="400" w:lineRule="exact"/>
        <w:ind w:left="0" w:leftChars="0"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eastAsia="zh-CN"/>
        </w:rPr>
        <w:t>质疑受理电话：17609255885</w:t>
      </w:r>
    </w:p>
    <w:p w14:paraId="22104BE9">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提交质疑函地点：</w:t>
      </w:r>
      <w:r>
        <w:rPr>
          <w:rFonts w:hint="eastAsia" w:ascii="宋体" w:hAnsi="宋体" w:eastAsia="宋体" w:cs="宋体"/>
          <w:b w:val="0"/>
          <w:bCs w:val="0"/>
          <w:color w:val="auto"/>
          <w:sz w:val="24"/>
          <w:szCs w:val="24"/>
          <w:lang w:val="en-US" w:eastAsia="zh-CN"/>
        </w:rPr>
        <w:t>安康市高新区高新壹号院4栋2单元2004室</w:t>
      </w:r>
    </w:p>
    <w:p w14:paraId="4996A16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eastAsia="zh-CN"/>
        </w:rPr>
        <w:t>本次采购活动中，采购代理机构对质疑函回复的书面文件的送达方式为现场取件。</w:t>
      </w:r>
    </w:p>
    <w:p w14:paraId="3D59CD6E">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如所质疑的问题比较复杂，采购人或者采购代理机构在规定的答复时间内无法回复，应事先告知提出质疑的供应商，同时向同级政府采购监督管理部门报告。</w:t>
      </w:r>
    </w:p>
    <w:p w14:paraId="0B3FB0E2">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质疑供应商对采购人、采购代理机构的答复不满意，或者采购人、采购代理机构未在规定的时间内作出答复的，可以在答复期满后15个工作日内向采购人的同级政府采购监督管理部门投诉。</w:t>
      </w:r>
    </w:p>
    <w:p w14:paraId="2977E59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质疑函应当使用中文。</w:t>
      </w:r>
    </w:p>
    <w:p w14:paraId="30FDFFA8">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color w:val="auto"/>
          <w:kern w:val="0"/>
          <w:sz w:val="24"/>
          <w:szCs w:val="24"/>
          <w:lang w:val="en-US" w:eastAsia="zh-CN"/>
        </w:rPr>
      </w:pPr>
      <w:bookmarkStart w:id="247" w:name="_Toc5578"/>
      <w:bookmarkStart w:id="248" w:name="_Toc23316594"/>
      <w:bookmarkStart w:id="249" w:name="_Toc10942"/>
      <w:bookmarkStart w:id="250" w:name="_Toc23316530"/>
      <w:bookmarkStart w:id="251" w:name="_Toc29452"/>
      <w:bookmarkStart w:id="252" w:name="_Toc14189284"/>
      <w:bookmarkStart w:id="253" w:name="_Toc35335266"/>
      <w:bookmarkStart w:id="254" w:name="_Toc14254"/>
      <w:bookmarkStart w:id="255" w:name="_Toc23315670"/>
      <w:bookmarkStart w:id="256" w:name="_Toc14189417"/>
      <w:bookmarkStart w:id="257" w:name="_Toc23278"/>
      <w:bookmarkStart w:id="258" w:name="_Toc23316692"/>
      <w:bookmarkStart w:id="259" w:name="_Toc18412209"/>
      <w:r>
        <w:rPr>
          <w:rFonts w:hint="eastAsia" w:ascii="宋体" w:hAnsi="宋体" w:eastAsia="宋体" w:cs="宋体"/>
          <w:b/>
          <w:bCs/>
          <w:color w:val="auto"/>
          <w:kern w:val="0"/>
          <w:sz w:val="24"/>
          <w:szCs w:val="24"/>
          <w:lang w:val="en-US" w:eastAsia="zh-CN"/>
        </w:rPr>
        <w:t>十、其他</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48571BA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（一）第一次公告后，谈判过程中出现下列情况之一的，按谈判失败处理：</w:t>
      </w:r>
    </w:p>
    <w:p w14:paraId="218A4F78">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因情况变化，不再符合规定的竞争谈判判采购方式适用情形的；</w:t>
      </w:r>
    </w:p>
    <w:p w14:paraId="058B58A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出现影响采购公正的违法、违规行为的；</w:t>
      </w:r>
    </w:p>
    <w:p w14:paraId="4F06ED1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11CBB4FC">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因重大变故，采购任务取消的。</w:t>
      </w:r>
    </w:p>
    <w:p w14:paraId="59F8B500">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谈判失败后，除采购任务取消外，将重新组织采购。</w:t>
      </w:r>
    </w:p>
    <w:p w14:paraId="607D2ABD">
      <w:pPr>
        <w:pageBreakBefore w:val="0"/>
        <w:kinsoku/>
        <w:wordWrap/>
        <w:topLinePunct w:val="0"/>
        <w:bidi w:val="0"/>
        <w:spacing w:line="460" w:lineRule="exact"/>
        <w:textAlignment w:val="auto"/>
        <w:rPr>
          <w:rFonts w:hint="eastAsia" w:ascii="宋体" w:hAnsi="宋体" w:eastAsia="宋体"/>
          <w:color w:val="auto"/>
        </w:rPr>
      </w:pPr>
      <w:r>
        <w:rPr>
          <w:rFonts w:hint="eastAsia" w:ascii="宋体" w:hAnsi="宋体" w:eastAsia="宋体"/>
          <w:color w:val="auto"/>
        </w:rPr>
        <w:br w:type="page"/>
      </w:r>
    </w:p>
    <w:p w14:paraId="3C6B0CF3">
      <w:pPr>
        <w:bidi w:val="0"/>
        <w:jc w:val="center"/>
        <w:rPr>
          <w:rFonts w:hint="eastAsia" w:ascii="宋体" w:hAnsi="宋体" w:eastAsia="宋体" w:cs="宋体"/>
          <w:b/>
          <w:bCs/>
          <w:color w:val="auto"/>
          <w:sz w:val="32"/>
          <w:szCs w:val="32"/>
          <w:lang w:val="en-US" w:eastAsia="zh-CN"/>
        </w:rPr>
      </w:pPr>
      <w:bookmarkStart w:id="260" w:name="_Toc7363"/>
      <w:r>
        <w:rPr>
          <w:rFonts w:hint="eastAsia" w:ascii="宋体" w:hAnsi="宋体" w:eastAsia="宋体" w:cs="宋体"/>
          <w:b/>
          <w:bCs/>
          <w:color w:val="auto"/>
          <w:sz w:val="32"/>
          <w:szCs w:val="32"/>
          <w:lang w:val="en-US" w:eastAsia="zh-CN"/>
        </w:rPr>
        <w:t>第三章  采购</w:t>
      </w:r>
      <w:r>
        <w:rPr>
          <w:rFonts w:hint="eastAsia" w:ascii="宋体" w:hAnsi="宋体" w:eastAsia="宋体" w:cs="宋体"/>
          <w:b/>
          <w:bCs/>
          <w:color w:val="auto"/>
          <w:sz w:val="32"/>
          <w:szCs w:val="32"/>
        </w:rPr>
        <w:t>内容及技术</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商务</w:t>
      </w:r>
      <w:r>
        <w:rPr>
          <w:rFonts w:hint="eastAsia" w:ascii="宋体" w:hAnsi="宋体" w:eastAsia="宋体" w:cs="宋体"/>
          <w:b/>
          <w:bCs/>
          <w:color w:val="auto"/>
          <w:sz w:val="32"/>
          <w:szCs w:val="32"/>
        </w:rPr>
        <w:t>要求</w:t>
      </w:r>
      <w:bookmarkEnd w:id="151"/>
      <w:bookmarkEnd w:id="152"/>
      <w:bookmarkEnd w:id="153"/>
      <w:bookmarkEnd w:id="154"/>
      <w:bookmarkEnd w:id="155"/>
      <w:bookmarkEnd w:id="156"/>
      <w:bookmarkEnd w:id="157"/>
      <w:bookmarkEnd w:id="158"/>
      <w:bookmarkEnd w:id="159"/>
      <w:bookmarkEnd w:id="260"/>
    </w:p>
    <w:p w14:paraId="240BC220">
      <w:pPr>
        <w:spacing w:before="137" w:line="219" w:lineRule="auto"/>
        <w:rPr>
          <w:rFonts w:ascii="宋体" w:hAnsi="宋体" w:eastAsia="宋体" w:cs="宋体"/>
          <w:color w:val="auto"/>
          <w:sz w:val="24"/>
          <w:szCs w:val="24"/>
        </w:rPr>
      </w:pPr>
      <w:bookmarkStart w:id="261" w:name="_Toc3837039"/>
      <w:bookmarkStart w:id="262" w:name="_Toc23316596"/>
      <w:bookmarkStart w:id="263" w:name="_Toc23315672"/>
      <w:bookmarkStart w:id="264" w:name="_Toc12337"/>
      <w:bookmarkStart w:id="265" w:name="_Toc23316694"/>
      <w:bookmarkStart w:id="266" w:name="_Toc23316532"/>
      <w:r>
        <w:rPr>
          <w:rFonts w:ascii="宋体" w:hAnsi="宋体" w:eastAsia="宋体" w:cs="宋体"/>
          <w:b/>
          <w:bCs/>
          <w:color w:val="auto"/>
          <w:spacing w:val="-4"/>
          <w:sz w:val="24"/>
          <w:szCs w:val="24"/>
        </w:rPr>
        <w:t>一、采购内容</w:t>
      </w:r>
    </w:p>
    <w:p w14:paraId="4574FE76">
      <w:pPr>
        <w:spacing w:before="154" w:line="219" w:lineRule="auto"/>
        <w:rPr>
          <w:rFonts w:ascii="宋体" w:hAnsi="宋体" w:eastAsia="宋体" w:cs="宋体"/>
          <w:color w:val="auto"/>
          <w:sz w:val="24"/>
          <w:szCs w:val="24"/>
        </w:rPr>
      </w:pPr>
      <w:r>
        <w:rPr>
          <w:rFonts w:ascii="宋体" w:hAnsi="宋体" w:eastAsia="宋体" w:cs="宋体"/>
          <w:b/>
          <w:bCs/>
          <w:color w:val="auto"/>
          <w:spacing w:val="-2"/>
          <w:sz w:val="24"/>
          <w:szCs w:val="24"/>
        </w:rPr>
        <w:t>1、项目名称：</w:t>
      </w:r>
      <w:r>
        <w:rPr>
          <w:rFonts w:hint="eastAsia" w:ascii="宋体" w:hAnsi="宋体" w:eastAsia="宋体" w:cs="宋体"/>
          <w:b/>
          <w:bCs/>
          <w:color w:val="auto"/>
          <w:spacing w:val="-2"/>
          <w:sz w:val="24"/>
          <w:szCs w:val="24"/>
          <w:lang w:val="en-US" w:eastAsia="zh-CN"/>
        </w:rPr>
        <w:t>兴隆村旅游设施配套项目监理费</w:t>
      </w:r>
    </w:p>
    <w:p w14:paraId="19EB53E2">
      <w:pPr>
        <w:spacing w:before="157" w:line="219" w:lineRule="auto"/>
        <w:rPr>
          <w:rFonts w:ascii="宋体" w:hAnsi="宋体" w:eastAsia="宋体" w:cs="宋体"/>
          <w:color w:val="auto"/>
          <w:sz w:val="24"/>
          <w:szCs w:val="24"/>
        </w:rPr>
      </w:pPr>
      <w:r>
        <w:rPr>
          <w:rFonts w:ascii="宋体" w:hAnsi="宋体" w:eastAsia="宋体" w:cs="宋体"/>
          <w:b/>
          <w:bCs/>
          <w:color w:val="auto"/>
          <w:spacing w:val="-2"/>
          <w:sz w:val="24"/>
          <w:szCs w:val="24"/>
        </w:rPr>
        <w:t>2、项目预算：</w:t>
      </w:r>
      <w:r>
        <w:rPr>
          <w:rFonts w:hint="eastAsia" w:ascii="宋体" w:hAnsi="宋体" w:eastAsia="宋体" w:cs="宋体"/>
          <w:color w:val="auto"/>
          <w:spacing w:val="-2"/>
          <w:sz w:val="24"/>
          <w:szCs w:val="24"/>
          <w:lang w:val="en-US" w:eastAsia="zh-CN"/>
        </w:rPr>
        <w:t>130000.00</w:t>
      </w:r>
      <w:r>
        <w:rPr>
          <w:rFonts w:ascii="宋体" w:hAnsi="宋体" w:eastAsia="宋体" w:cs="宋体"/>
          <w:color w:val="auto"/>
          <w:spacing w:val="-2"/>
          <w:sz w:val="24"/>
          <w:szCs w:val="24"/>
        </w:rPr>
        <w:t>元</w:t>
      </w:r>
    </w:p>
    <w:p w14:paraId="35E59FAB">
      <w:pPr>
        <w:spacing w:before="155" w:line="219" w:lineRule="auto"/>
        <w:rPr>
          <w:rFonts w:ascii="宋体" w:hAnsi="宋体" w:eastAsia="宋体" w:cs="宋体"/>
          <w:color w:val="auto"/>
          <w:sz w:val="24"/>
          <w:szCs w:val="24"/>
        </w:rPr>
      </w:pPr>
      <w:r>
        <w:rPr>
          <w:rFonts w:ascii="宋体" w:hAnsi="宋体" w:eastAsia="宋体" w:cs="宋体"/>
          <w:b/>
          <w:bCs/>
          <w:color w:val="auto"/>
          <w:spacing w:val="-4"/>
          <w:sz w:val="24"/>
          <w:szCs w:val="24"/>
        </w:rPr>
        <w:t>3、项目概况：</w:t>
      </w:r>
    </w:p>
    <w:p w14:paraId="5E6C5BBD">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兴隆村旅游设施配套项目</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新建道路5公里，路面宽4.5m,路面采用级配碎石路面。</w:t>
      </w:r>
      <w:r>
        <w:rPr>
          <w:rFonts w:hint="eastAsia" w:ascii="宋体" w:hAnsi="宋体" w:eastAsia="宋体" w:cs="宋体"/>
          <w:color w:val="auto"/>
          <w:sz w:val="24"/>
          <w:szCs w:val="24"/>
        </w:rPr>
        <w:t>现对该工程进行监理服务采购。</w:t>
      </w:r>
    </w:p>
    <w:p w14:paraId="1D7F452A">
      <w:pPr>
        <w:spacing w:before="157" w:line="219" w:lineRule="auto"/>
        <w:rPr>
          <w:rFonts w:ascii="宋体" w:hAnsi="宋体" w:eastAsia="宋体" w:cs="宋体"/>
          <w:b/>
          <w:bCs/>
          <w:color w:val="auto"/>
          <w:spacing w:val="-1"/>
          <w:sz w:val="24"/>
          <w:szCs w:val="24"/>
        </w:rPr>
      </w:pPr>
      <w:r>
        <w:rPr>
          <w:rFonts w:ascii="宋体" w:hAnsi="宋体" w:eastAsia="宋体" w:cs="宋体"/>
          <w:b/>
          <w:bCs/>
          <w:color w:val="auto"/>
          <w:spacing w:val="-1"/>
          <w:sz w:val="24"/>
          <w:szCs w:val="24"/>
        </w:rPr>
        <w:t>4、建设地点：</w:t>
      </w:r>
      <w:r>
        <w:rPr>
          <w:rFonts w:ascii="新宋体" w:hAnsi="新宋体" w:eastAsia="新宋体" w:cs="新宋体"/>
          <w:color w:val="auto"/>
          <w:spacing w:val="-1"/>
          <w:sz w:val="24"/>
          <w:szCs w:val="24"/>
        </w:rPr>
        <w:t>镇坪县</w:t>
      </w:r>
      <w:r>
        <w:rPr>
          <w:rFonts w:hint="eastAsia" w:ascii="新宋体" w:hAnsi="新宋体" w:eastAsia="新宋体" w:cs="新宋体"/>
          <w:color w:val="auto"/>
          <w:spacing w:val="-1"/>
          <w:sz w:val="24"/>
          <w:szCs w:val="24"/>
          <w:lang w:val="en-US" w:eastAsia="zh-CN"/>
        </w:rPr>
        <w:t>曙坪</w:t>
      </w:r>
      <w:r>
        <w:rPr>
          <w:rFonts w:ascii="新宋体" w:hAnsi="新宋体" w:eastAsia="新宋体" w:cs="新宋体"/>
          <w:color w:val="auto"/>
          <w:spacing w:val="-1"/>
          <w:sz w:val="24"/>
          <w:szCs w:val="24"/>
        </w:rPr>
        <w:t>镇</w:t>
      </w:r>
      <w:r>
        <w:rPr>
          <w:rFonts w:hint="eastAsia" w:ascii="新宋体" w:hAnsi="新宋体" w:eastAsia="新宋体" w:cs="新宋体"/>
          <w:color w:val="auto"/>
          <w:spacing w:val="-1"/>
          <w:sz w:val="24"/>
          <w:szCs w:val="24"/>
          <w:lang w:val="en-US" w:eastAsia="zh-CN"/>
        </w:rPr>
        <w:t>兴隆村四组</w:t>
      </w:r>
      <w:r>
        <w:rPr>
          <w:rFonts w:ascii="新宋体" w:hAnsi="新宋体" w:eastAsia="新宋体" w:cs="新宋体"/>
          <w:color w:val="auto"/>
          <w:spacing w:val="-2"/>
          <w:sz w:val="24"/>
          <w:szCs w:val="24"/>
        </w:rPr>
        <w:t>。</w:t>
      </w:r>
    </w:p>
    <w:p w14:paraId="08E9DAD9">
      <w:pPr>
        <w:spacing w:before="157" w:line="219" w:lineRule="auto"/>
        <w:rPr>
          <w:rFonts w:ascii="宋体" w:hAnsi="宋体" w:eastAsia="宋体" w:cs="宋体"/>
          <w:color w:val="auto"/>
          <w:sz w:val="24"/>
          <w:szCs w:val="24"/>
        </w:rPr>
      </w:pPr>
      <w:r>
        <w:rPr>
          <w:rFonts w:ascii="宋体" w:hAnsi="宋体" w:eastAsia="宋体" w:cs="宋体"/>
          <w:b/>
          <w:bCs/>
          <w:color w:val="auto"/>
          <w:spacing w:val="-1"/>
          <w:sz w:val="24"/>
          <w:szCs w:val="24"/>
        </w:rPr>
        <w:t xml:space="preserve">5、 </w:t>
      </w:r>
      <w:r>
        <w:rPr>
          <w:rFonts w:hint="eastAsia" w:ascii="宋体" w:hAnsi="宋体" w:eastAsia="宋体" w:cs="宋体"/>
          <w:b/>
          <w:bCs/>
          <w:color w:val="auto"/>
          <w:spacing w:val="-1"/>
          <w:sz w:val="24"/>
          <w:szCs w:val="24"/>
        </w:rPr>
        <w:t>服务期限：</w:t>
      </w:r>
      <w:r>
        <w:rPr>
          <w:rFonts w:hint="eastAsia" w:ascii="宋体" w:hAnsi="宋体" w:eastAsia="宋体" w:cs="宋体"/>
          <w:b w:val="0"/>
          <w:bCs w:val="0"/>
          <w:color w:val="auto"/>
          <w:spacing w:val="-1"/>
          <w:sz w:val="24"/>
          <w:szCs w:val="24"/>
        </w:rPr>
        <w:t>与施工同期。</w:t>
      </w:r>
    </w:p>
    <w:p w14:paraId="023449CB">
      <w:pPr>
        <w:spacing w:before="154" w:line="219" w:lineRule="auto"/>
        <w:rPr>
          <w:rFonts w:ascii="宋体" w:hAnsi="宋体" w:eastAsia="宋体" w:cs="宋体"/>
          <w:color w:val="auto"/>
          <w:sz w:val="24"/>
          <w:szCs w:val="24"/>
        </w:rPr>
      </w:pPr>
      <w:r>
        <w:rPr>
          <w:rFonts w:ascii="宋体" w:hAnsi="宋体" w:eastAsia="宋体" w:cs="宋体"/>
          <w:b/>
          <w:bCs/>
          <w:color w:val="auto"/>
          <w:spacing w:val="-3"/>
          <w:sz w:val="24"/>
          <w:szCs w:val="24"/>
        </w:rPr>
        <w:t>6、工程缺陷责任期：</w:t>
      </w:r>
      <w:r>
        <w:rPr>
          <w:rFonts w:ascii="宋体" w:hAnsi="宋体" w:eastAsia="宋体" w:cs="宋体"/>
          <w:color w:val="auto"/>
          <w:spacing w:val="-3"/>
          <w:sz w:val="24"/>
          <w:szCs w:val="24"/>
        </w:rPr>
        <w:t>1</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年。</w:t>
      </w:r>
    </w:p>
    <w:p w14:paraId="20386AC8">
      <w:pPr>
        <w:spacing w:before="205" w:line="219" w:lineRule="auto"/>
        <w:rPr>
          <w:rFonts w:ascii="宋体" w:hAnsi="宋体" w:eastAsia="宋体" w:cs="宋体"/>
          <w:color w:val="auto"/>
          <w:sz w:val="24"/>
          <w:szCs w:val="24"/>
        </w:rPr>
      </w:pPr>
      <w:r>
        <w:rPr>
          <w:rFonts w:ascii="宋体" w:hAnsi="宋体" w:eastAsia="宋体" w:cs="宋体"/>
          <w:b/>
          <w:bCs/>
          <w:color w:val="auto"/>
          <w:spacing w:val="-4"/>
          <w:sz w:val="24"/>
          <w:szCs w:val="24"/>
        </w:rPr>
        <w:t>二、监理工作内容</w:t>
      </w:r>
    </w:p>
    <w:p w14:paraId="22D6D58B">
      <w:pPr>
        <w:pageBreakBefore w:val="0"/>
        <w:kinsoku/>
        <w:wordWrap/>
        <w:overflowPunct/>
        <w:topLinePunct w:val="0"/>
        <w:bidi w:val="0"/>
        <w:spacing w:line="460" w:lineRule="exact"/>
        <w:ind w:firstLine="476" w:firstLineChars="200"/>
        <w:textAlignment w:val="auto"/>
        <w:rPr>
          <w:rFonts w:hint="eastAsia" w:ascii="宋体" w:hAnsi="宋体" w:eastAsia="宋体" w:cs="宋体"/>
          <w:color w:val="auto"/>
          <w:sz w:val="24"/>
          <w:szCs w:val="24"/>
          <w:lang w:val="en-US" w:eastAsia="zh-CN"/>
        </w:rPr>
      </w:pPr>
      <w:r>
        <w:rPr>
          <w:rFonts w:ascii="宋体" w:hAnsi="宋体" w:eastAsia="宋体" w:cs="宋体"/>
          <w:color w:val="auto"/>
          <w:spacing w:val="-1"/>
          <w:sz w:val="24"/>
          <w:szCs w:val="24"/>
        </w:rPr>
        <w:t>1</w:t>
      </w:r>
      <w:r>
        <w:rPr>
          <w:rFonts w:hint="eastAsia" w:ascii="宋体" w:hAnsi="宋体" w:eastAsia="宋体" w:cs="宋体"/>
          <w:color w:val="auto"/>
          <w:sz w:val="24"/>
          <w:szCs w:val="24"/>
          <w:lang w:val="en-US" w:eastAsia="zh-CN"/>
        </w:rPr>
        <w:t>、开工前协助采购人组织会审设计图纸，并向施工承包方进行技术交底；</w:t>
      </w:r>
    </w:p>
    <w:p w14:paraId="32E761F3">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2、审查施工承包方提交的施工组织设计、施工方案及施工进度计划，并督促检查其落实；</w:t>
      </w:r>
    </w:p>
    <w:p w14:paraId="6B5886A0">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3、编写本工程施工监理规划及监理细则；</w:t>
      </w:r>
    </w:p>
    <w:p w14:paraId="4931EDA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4、审查施工承包方为本工程提供的原材料的规格与质量；</w:t>
      </w:r>
    </w:p>
    <w:p w14:paraId="4CDF4F2A">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5、审查施工承包方为本工程施工设备的技术状态；</w:t>
      </w:r>
    </w:p>
    <w:p w14:paraId="020BF438">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6、督促、检查施工承包方严格执行本合同和严格按照国家有关技术规范、标准及设计文件的要求施工，履行施工工序及工程验收签证，控制工程质量；</w:t>
      </w:r>
    </w:p>
    <w:p w14:paraId="51B300D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7、审核施工承包人提交的工程款支付申请，签发或出具工程款支付证书，并报采购人审核、批准；</w:t>
      </w:r>
    </w:p>
    <w:p w14:paraId="4B926B33">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8、在巡视、旁站和检验过程中，发现工程质量、施工安全存在事故隐患的，要求 施工承包人整改并报采购人；</w:t>
      </w:r>
    </w:p>
    <w:p w14:paraId="319CD78A">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9、签证符合合同文件或设计规定的合格工程量；</w:t>
      </w:r>
    </w:p>
    <w:p w14:paraId="474F6949">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10、施工过程中，定期主持召开工程例会，分析工程建设动态，提出整改意见；</w:t>
      </w:r>
    </w:p>
    <w:p w14:paraId="39295C08">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11、主持工程建设有关协作单位的组织协调，重要事项应当事先向采购人报告；</w:t>
      </w:r>
    </w:p>
    <w:p w14:paraId="21F37834">
      <w:pPr>
        <w:pageBreakBefore w:val="0"/>
        <w:kinsoku/>
        <w:wordWrap/>
        <w:overflowPunct/>
        <w:topLinePunct w:val="0"/>
        <w:bidi w:val="0"/>
        <w:spacing w:line="460" w:lineRule="exact"/>
        <w:ind w:left="476" w:leftChars="17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12、审查施工承包方提交的完工验收申请报告，并在 10 天内将审核意见通知承包方；13、参加工程竣工验收，签署竣工验收意见；</w:t>
      </w:r>
    </w:p>
    <w:p w14:paraId="4673605A">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14、审查施工承包人提交的竣工结算申请并报采购人；</w:t>
      </w:r>
    </w:p>
    <w:p w14:paraId="32BA53B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15、完工后编写工程质量评估报告及监理工作总结，编制整理工程监理归档文件并 报采购人。</w:t>
      </w:r>
    </w:p>
    <w:p w14:paraId="227F0F4C">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16、完成国家或地方行业法律法规规定的符合本项目实际情况的其他监理内容。</w:t>
      </w:r>
    </w:p>
    <w:p w14:paraId="75D8770E">
      <w:pPr>
        <w:pageBreakBefore w:val="0"/>
        <w:kinsoku/>
        <w:wordWrap/>
        <w:overflowPunct/>
        <w:topLinePunct w:val="0"/>
        <w:bidi w:val="0"/>
        <w:spacing w:line="4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三、技术规范</w:t>
      </w:r>
    </w:p>
    <w:p w14:paraId="7728394B">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1.《公路工程监理规范》；</w:t>
      </w:r>
    </w:p>
    <w:p w14:paraId="735031A6">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2.《公路工程质量检验评定标准》（JTG F80/1-2004)。</w:t>
      </w:r>
    </w:p>
    <w:p w14:paraId="62490A22">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3.国家颁布的有关施工技术规范；</w:t>
      </w:r>
    </w:p>
    <w:p w14:paraId="502D4319">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4.审批的设计图纸和其它有效函件；</w:t>
      </w:r>
    </w:p>
    <w:p w14:paraId="2BA1F173">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5.公路工程施工监理合同通用条件；</w:t>
      </w:r>
    </w:p>
    <w:p w14:paraId="619D057F">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6.与本工程有关的现行技术、质量评定标准、施工验收标准及规范。</w:t>
      </w:r>
    </w:p>
    <w:p w14:paraId="3706D801">
      <w:pPr>
        <w:pageBreakBefore w:val="0"/>
        <w:kinsoku/>
        <w:wordWrap/>
        <w:overflowPunct/>
        <w:topLinePunct w:val="0"/>
        <w:bidi w:val="0"/>
        <w:spacing w:line="4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四、其他要求</w:t>
      </w:r>
    </w:p>
    <w:p w14:paraId="705B749D">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1、监理人员必须采取有效的手段，作好工程实施阶段各种资料的收集、整理和归档，并保证现场记录、试验、检验以及质量检查等资料的完整性和准确性。</w:t>
      </w:r>
    </w:p>
    <w:p w14:paraId="28229007">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2、每日应编制《监理日志》，并在下月 5 日前向采购人提交本月监理月报、在采购人提出相关要求后 20 日内提交监理专题报告、工程竣工验收前提交监理工作报告、工程竣工验收合格后 30 日内提交监理工作总结报告。</w:t>
      </w:r>
    </w:p>
    <w:p w14:paraId="5495318F">
      <w:pPr>
        <w:pageBreakBefore w:val="0"/>
        <w:kinsoku/>
        <w:wordWrap/>
        <w:overflowPunct/>
        <w:topLinePunct w:val="0"/>
        <w:bidi w:val="0"/>
        <w:spacing w:line="4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五﹑现场踏勘</w:t>
      </w:r>
    </w:p>
    <w:p w14:paraId="4A678F3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可先行到现场踏勘，以充分了解施工现场地理位置、环境情况、道路、存储空间、装卸限制以及任何其他足以影响报价的情况，任何因忽视或误解工地情况而导致的索赔或工期延长申请将不被批准。凡因投标人对竞争性谈判文件阅读疏忽或误解，或因对施工现场、施工环境、市场行情等了解不清而造成的后果和风险，由投标人负责。</w:t>
      </w:r>
    </w:p>
    <w:p w14:paraId="6D0CA319">
      <w:pPr>
        <w:pageBreakBefore w:val="0"/>
        <w:kinsoku/>
        <w:wordWrap/>
        <w:overflowPunct/>
        <w:topLinePunct w:val="0"/>
        <w:bidi w:val="0"/>
        <w:spacing w:line="4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六、商务要求</w:t>
      </w:r>
    </w:p>
    <w:p w14:paraId="73E303D8">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（一）服务期限： 从监理合同签订之日起至工程竣工验收合格及工程缺陷责任期满为止。</w:t>
      </w:r>
    </w:p>
    <w:p w14:paraId="6EE13D18">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（二）实施地点：</w:t>
      </w:r>
      <w:r>
        <w:rPr>
          <w:rFonts w:ascii="新宋体" w:hAnsi="新宋体" w:eastAsia="新宋体" w:cs="新宋体"/>
          <w:color w:val="auto"/>
          <w:spacing w:val="-1"/>
          <w:sz w:val="24"/>
          <w:szCs w:val="24"/>
        </w:rPr>
        <w:t>镇坪县</w:t>
      </w:r>
      <w:r>
        <w:rPr>
          <w:rFonts w:hint="eastAsia" w:ascii="新宋体" w:hAnsi="新宋体" w:eastAsia="新宋体" w:cs="新宋体"/>
          <w:color w:val="auto"/>
          <w:spacing w:val="-1"/>
          <w:sz w:val="24"/>
          <w:szCs w:val="24"/>
          <w:lang w:val="en-US" w:eastAsia="zh-CN"/>
        </w:rPr>
        <w:t>曙坪</w:t>
      </w:r>
      <w:r>
        <w:rPr>
          <w:rFonts w:ascii="新宋体" w:hAnsi="新宋体" w:eastAsia="新宋体" w:cs="新宋体"/>
          <w:color w:val="auto"/>
          <w:spacing w:val="-1"/>
          <w:sz w:val="24"/>
          <w:szCs w:val="24"/>
        </w:rPr>
        <w:t>镇</w:t>
      </w:r>
      <w:r>
        <w:rPr>
          <w:rFonts w:hint="eastAsia" w:ascii="新宋体" w:hAnsi="新宋体" w:eastAsia="新宋体" w:cs="新宋体"/>
          <w:color w:val="auto"/>
          <w:spacing w:val="-1"/>
          <w:sz w:val="24"/>
          <w:szCs w:val="24"/>
          <w:lang w:val="en-US" w:eastAsia="zh-CN"/>
        </w:rPr>
        <w:t>兴隆村四组</w:t>
      </w:r>
      <w:r>
        <w:rPr>
          <w:rFonts w:ascii="新宋体" w:hAnsi="新宋体" w:eastAsia="新宋体" w:cs="新宋体"/>
          <w:color w:val="auto"/>
          <w:spacing w:val="-2"/>
          <w:sz w:val="24"/>
          <w:szCs w:val="24"/>
        </w:rPr>
        <w:t>。</w:t>
      </w:r>
    </w:p>
    <w:p w14:paraId="03BC1D9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（三）服务质量要求</w:t>
      </w:r>
    </w:p>
    <w:p w14:paraId="5A56E70C">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合格，符合与工程相关的国家和地方现行的工程技术标准、施工验收规范及上级部门颁布的相关法律和规定。</w:t>
      </w:r>
    </w:p>
    <w:p w14:paraId="6C85A922">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（四）付款方式</w:t>
      </w:r>
    </w:p>
    <w:p w14:paraId="69F4866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采购方与成交单位签订合同时，协商而定。</w:t>
      </w:r>
    </w:p>
    <w:p w14:paraId="742DE798">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（五）合同实施</w:t>
      </w:r>
    </w:p>
    <w:p w14:paraId="6AA65C43">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1、成交单位应在合同签订后 2 个日历日内安排人员（项目组成人员简历表所列） 与采购人就监理服务等工作进行安排、部署。</w:t>
      </w:r>
    </w:p>
    <w:p w14:paraId="06B27317">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2、若未能在服务期限内完成合同规定的义务，由此对采购人造成的延误和一切损失，由成交单位承担和赔偿。</w:t>
      </w:r>
    </w:p>
    <w:p w14:paraId="39DAEAD9">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（六）违约责任</w:t>
      </w:r>
    </w:p>
    <w:p w14:paraId="3E0B3C58">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1、按《中华人民共和国民法典》中的相关条款执行。</w:t>
      </w:r>
    </w:p>
    <w:p w14:paraId="76AD26E3">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2、未经采购人同意，出现随意变动实施人员或后期提供服务跟进不到位等问题的，采购人有权终止合同。</w:t>
      </w:r>
    </w:p>
    <w:p w14:paraId="19B446EC">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3、未按合同要求提供服务或服务质量不能满足采购人要求，采购人有权终止合同，同时报请政府采购管理部门对其违约行为进行追究。</w:t>
      </w:r>
    </w:p>
    <w:p w14:paraId="5EF9D493">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sectPr>
          <w:footerReference r:id="rId10" w:type="default"/>
          <w:pgSz w:w="11905" w:h="16838"/>
          <w:pgMar w:top="1134" w:right="1134" w:bottom="1020" w:left="1134" w:header="850" w:footer="567" w:gutter="0"/>
          <w:pgNumType w:fmt="decimal"/>
          <w:cols w:space="0" w:num="1"/>
          <w:rtlGutter w:val="0"/>
          <w:docGrid w:type="lines" w:linePitch="397" w:charSpace="0"/>
        </w:sectPr>
      </w:pPr>
    </w:p>
    <w:p w14:paraId="2510C4F4">
      <w:pPr>
        <w:numPr>
          <w:ilvl w:val="0"/>
          <w:numId w:val="0"/>
        </w:numPr>
        <w:bidi w:val="0"/>
        <w:jc w:val="left"/>
        <w:rPr>
          <w:rFonts w:ascii="宋体" w:hAnsi="宋体" w:eastAsia="宋体" w:cs="宋体"/>
          <w:color w:val="auto"/>
          <w:sz w:val="24"/>
          <w:szCs w:val="24"/>
        </w:rPr>
      </w:pPr>
    </w:p>
    <w:p w14:paraId="0991E948">
      <w:pPr>
        <w:numPr>
          <w:ilvl w:val="0"/>
          <w:numId w:val="0"/>
        </w:numPr>
        <w:bidi w:val="0"/>
        <w:jc w:val="center"/>
        <w:rPr>
          <w:rFonts w:hint="eastAsia" w:ascii="宋体" w:hAnsi="宋体" w:eastAsia="宋体" w:cs="宋体"/>
          <w:b/>
          <w:bCs/>
          <w:color w:val="auto"/>
          <w:sz w:val="32"/>
          <w:szCs w:val="32"/>
        </w:rPr>
      </w:pPr>
      <w:r>
        <w:rPr>
          <w:rFonts w:hint="eastAsia" w:ascii="宋体" w:hAnsi="宋体" w:eastAsia="宋体" w:cs="宋体"/>
          <w:b/>
          <w:bCs/>
          <w:color w:val="auto"/>
          <w:kern w:val="2"/>
          <w:sz w:val="32"/>
          <w:szCs w:val="32"/>
          <w:lang w:val="en-US" w:eastAsia="zh-CN" w:bidi="ar-SA"/>
        </w:rPr>
        <w:t xml:space="preserve">第四章 </w:t>
      </w:r>
      <w:bookmarkStart w:id="267" w:name="_Toc28932"/>
      <w:r>
        <w:rPr>
          <w:rFonts w:hint="eastAsia" w:ascii="宋体" w:hAnsi="宋体" w:eastAsia="宋体" w:cs="宋体"/>
          <w:b/>
          <w:bCs/>
          <w:color w:val="auto"/>
          <w:sz w:val="32"/>
          <w:szCs w:val="32"/>
        </w:rPr>
        <w:t>合同主要条款</w:t>
      </w:r>
      <w:bookmarkEnd w:id="261"/>
      <w:bookmarkEnd w:id="262"/>
      <w:bookmarkEnd w:id="263"/>
      <w:bookmarkEnd w:id="264"/>
      <w:bookmarkEnd w:id="265"/>
      <w:bookmarkEnd w:id="266"/>
      <w:bookmarkEnd w:id="267"/>
    </w:p>
    <w:p w14:paraId="4C2C9B69">
      <w:pPr>
        <w:keepNext w:val="0"/>
        <w:keepLines w:val="0"/>
        <w:pageBreakBefore w:val="0"/>
        <w:widowControl w:val="0"/>
        <w:wordWrap/>
        <w:overflowPunct/>
        <w:topLinePunct w:val="0"/>
        <w:autoSpaceDE/>
        <w:autoSpaceDN/>
        <w:bidi w:val="0"/>
        <w:spacing w:before="156" w:beforeLines="50" w:line="560" w:lineRule="exact"/>
        <w:jc w:val="center"/>
        <w:textAlignment w:val="auto"/>
        <w:rPr>
          <w:rFonts w:hint="eastAsia" w:ascii="宋体" w:hAnsi="宋体" w:eastAsia="宋体" w:cs="宋体"/>
          <w:b/>
          <w:bCs/>
          <w:color w:val="auto"/>
          <w:sz w:val="28"/>
          <w:szCs w:val="28"/>
        </w:rPr>
      </w:pPr>
      <w:bookmarkStart w:id="268" w:name="_Toc23316695"/>
      <w:bookmarkStart w:id="269" w:name="_Toc17715"/>
      <w:bookmarkStart w:id="270" w:name="_Toc23316533"/>
      <w:bookmarkStart w:id="271" w:name="_Toc14189287"/>
      <w:bookmarkStart w:id="272" w:name="_Toc18412211"/>
      <w:bookmarkStart w:id="273" w:name="_Toc14189420"/>
      <w:bookmarkStart w:id="274" w:name="_Toc23316597"/>
      <w:bookmarkStart w:id="275" w:name="_Toc31168"/>
      <w:bookmarkStart w:id="276" w:name="_Toc23315673"/>
    </w:p>
    <w:p w14:paraId="405D15ED">
      <w:pPr>
        <w:keepNext w:val="0"/>
        <w:keepLines w:val="0"/>
        <w:pageBreakBefore w:val="0"/>
        <w:widowControl w:val="0"/>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color w:val="auto"/>
          <w:sz w:val="28"/>
          <w:szCs w:val="28"/>
          <w:u w:val="single"/>
        </w:rPr>
      </w:pPr>
      <w:r>
        <w:rPr>
          <w:rFonts w:hint="eastAsia" w:ascii="宋体" w:hAnsi="宋体" w:eastAsia="宋体" w:cs="宋体"/>
          <w:b/>
          <w:color w:val="auto"/>
          <w:sz w:val="28"/>
          <w:szCs w:val="28"/>
        </w:rPr>
        <w:t>采购人（全称）：</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u w:val="single"/>
          <w:lang w:val="en-US" w:eastAsia="zh-CN"/>
        </w:rPr>
        <w:t>镇坪县曙坪镇人民政府（本级）</w:t>
      </w:r>
    </w:p>
    <w:p w14:paraId="6FDE9D09">
      <w:pPr>
        <w:keepNext w:val="0"/>
        <w:keepLines w:val="0"/>
        <w:pageBreakBefore w:val="0"/>
        <w:widowControl w:val="0"/>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color w:val="auto"/>
          <w:sz w:val="28"/>
          <w:szCs w:val="28"/>
          <w:u w:val="single"/>
        </w:rPr>
      </w:pPr>
      <w:r>
        <w:rPr>
          <w:rFonts w:hint="eastAsia" w:ascii="宋体" w:hAnsi="宋体" w:eastAsia="宋体" w:cs="宋体"/>
          <w:b/>
          <w:color w:val="auto"/>
          <w:sz w:val="28"/>
          <w:szCs w:val="28"/>
        </w:rPr>
        <w:t>供应商（全称）：</w:t>
      </w:r>
      <w:r>
        <w:rPr>
          <w:rFonts w:hint="eastAsia" w:ascii="宋体" w:hAnsi="宋体" w:eastAsia="宋体" w:cs="宋体"/>
          <w:b/>
          <w:color w:val="auto"/>
          <w:sz w:val="28"/>
          <w:szCs w:val="28"/>
          <w:u w:val="single"/>
        </w:rPr>
        <w:t xml:space="preserve">                             </w:t>
      </w:r>
    </w:p>
    <w:p w14:paraId="761F1340">
      <w:pPr>
        <w:keepNext w:val="0"/>
        <w:keepLines w:val="0"/>
        <w:pageBreakBefore w:val="0"/>
        <w:widowControl w:val="0"/>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根据《中华人民共和国合同法》及其他有关法律、法规，遵循平等、自愿、公平和诚信的原则，双方就下述项目范围与相关服务事项协商一致，订立本合同。</w:t>
      </w:r>
    </w:p>
    <w:p w14:paraId="5C7F4B20">
      <w:pPr>
        <w:keepNext w:val="0"/>
        <w:keepLines w:val="0"/>
        <w:pageBreakBefore w:val="0"/>
        <w:widowControl w:val="0"/>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一、项目概况</w:t>
      </w:r>
    </w:p>
    <w:p w14:paraId="1034C44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rPr>
        <w:t>1项目名称：</w:t>
      </w:r>
      <w:r>
        <w:rPr>
          <w:rFonts w:hint="eastAsia" w:ascii="宋体" w:hAnsi="宋体" w:eastAsia="宋体" w:cs="宋体"/>
          <w:color w:val="auto"/>
          <w:sz w:val="28"/>
          <w:szCs w:val="28"/>
          <w:u w:val="single"/>
          <w:lang w:val="en-US" w:eastAsia="zh-CN"/>
        </w:rPr>
        <w:t>兴隆村旅游设施配套项目监理费</w:t>
      </w:r>
    </w:p>
    <w:p w14:paraId="2BA2DE0F">
      <w:pPr>
        <w:keepNext w:val="0"/>
        <w:keepLines w:val="0"/>
        <w:pageBreakBefore w:val="0"/>
        <w:widowControl w:val="0"/>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2.项目地点：</w:t>
      </w:r>
      <w:r>
        <w:rPr>
          <w:rFonts w:hint="eastAsia" w:ascii="宋体" w:hAnsi="宋体" w:eastAsia="宋体" w:cs="宋体"/>
          <w:color w:val="auto"/>
          <w:sz w:val="28"/>
          <w:szCs w:val="28"/>
          <w:u w:val="single"/>
        </w:rPr>
        <w:t xml:space="preserve"> 镇坪县</w:t>
      </w:r>
      <w:r>
        <w:rPr>
          <w:rFonts w:hint="eastAsia" w:ascii="宋体" w:hAnsi="宋体" w:eastAsia="宋体" w:cs="宋体"/>
          <w:color w:val="auto"/>
          <w:sz w:val="28"/>
          <w:szCs w:val="28"/>
          <w:u w:val="single"/>
          <w:lang w:val="en-US" w:eastAsia="zh-CN"/>
        </w:rPr>
        <w:t>曙坪</w:t>
      </w:r>
      <w:r>
        <w:rPr>
          <w:rFonts w:hint="eastAsia" w:ascii="宋体" w:hAnsi="宋体" w:eastAsia="宋体" w:cs="宋体"/>
          <w:color w:val="auto"/>
          <w:sz w:val="28"/>
          <w:szCs w:val="28"/>
          <w:u w:val="single"/>
        </w:rPr>
        <w:t>镇</w:t>
      </w:r>
      <w:r>
        <w:rPr>
          <w:rFonts w:hint="eastAsia" w:ascii="宋体" w:hAnsi="宋体" w:eastAsia="宋体" w:cs="宋体"/>
          <w:color w:val="auto"/>
          <w:sz w:val="28"/>
          <w:szCs w:val="28"/>
          <w:u w:val="single"/>
          <w:lang w:val="en-US" w:eastAsia="zh-CN"/>
        </w:rPr>
        <w:t>兴隆村四组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3489A2C6">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color w:val="auto"/>
          <w:kern w:val="2"/>
          <w:sz w:val="28"/>
          <w:szCs w:val="28"/>
          <w:u w:val="single"/>
          <w:lang w:val="en-US" w:eastAsia="zh-CN" w:bidi="ar-SA"/>
        </w:rPr>
      </w:pPr>
      <w:r>
        <w:rPr>
          <w:rFonts w:hint="eastAsia" w:ascii="宋体" w:hAnsi="宋体" w:eastAsia="宋体" w:cs="宋体"/>
          <w:color w:val="auto"/>
          <w:sz w:val="28"/>
          <w:szCs w:val="28"/>
        </w:rPr>
        <w:t>3.项目内容：</w:t>
      </w:r>
      <w:r>
        <w:rPr>
          <w:rFonts w:hint="eastAsia" w:ascii="宋体" w:hAnsi="宋体" w:eastAsia="宋体" w:cs="宋体"/>
          <w:color w:val="auto"/>
          <w:kern w:val="2"/>
          <w:sz w:val="28"/>
          <w:szCs w:val="28"/>
          <w:u w:val="single"/>
          <w:lang w:val="en-US" w:eastAsia="zh-CN" w:bidi="ar-SA"/>
        </w:rPr>
        <w:t>供应商需完成以下工作：</w:t>
      </w:r>
    </w:p>
    <w:p w14:paraId="47EFDF14">
      <w:pPr>
        <w:keepNext w:val="0"/>
        <w:keepLines w:val="0"/>
        <w:pageBreakBefore w:val="0"/>
        <w:widowControl w:val="0"/>
        <w:wordWrap/>
        <w:overflowPunct/>
        <w:topLinePunct w:val="0"/>
        <w:autoSpaceDE/>
        <w:autoSpaceDN/>
        <w:bidi w:val="0"/>
        <w:spacing w:line="440" w:lineRule="exact"/>
        <w:ind w:firstLine="560" w:firstLineChars="200"/>
        <w:textAlignment w:val="auto"/>
        <w:rPr>
          <w:rFonts w:hint="eastAsia" w:ascii="宋体" w:hAnsi="宋体" w:eastAsia="宋体" w:cs="宋体"/>
          <w:color w:val="auto"/>
          <w:kern w:val="2"/>
          <w:sz w:val="28"/>
          <w:szCs w:val="28"/>
          <w:u w:val="single"/>
          <w:lang w:val="en-US" w:eastAsia="zh-CN" w:bidi="ar-SA"/>
        </w:rPr>
      </w:pPr>
      <w:r>
        <w:rPr>
          <w:rFonts w:hint="eastAsia" w:ascii="宋体" w:hAnsi="宋体" w:eastAsia="宋体" w:cs="宋体"/>
          <w:color w:val="auto"/>
          <w:kern w:val="2"/>
          <w:sz w:val="28"/>
          <w:szCs w:val="28"/>
          <w:u w:val="single"/>
          <w:lang w:val="en-US" w:eastAsia="zh-CN" w:bidi="ar-SA"/>
        </w:rPr>
        <w:t>1.</w:t>
      </w:r>
      <w:r>
        <w:rPr>
          <w:rFonts w:hint="eastAsia" w:ascii="宋体" w:hAnsi="宋体" w:eastAsia="宋体" w:cs="宋体"/>
          <w:color w:val="auto"/>
          <w:sz w:val="28"/>
          <w:szCs w:val="28"/>
          <w:u w:val="single"/>
          <w:lang w:val="en-US" w:eastAsia="zh-CN"/>
        </w:rPr>
        <w:t>兴隆村旅游设施配套项目监理</w:t>
      </w:r>
      <w:r>
        <w:rPr>
          <w:rFonts w:hint="eastAsia" w:ascii="宋体" w:hAnsi="宋体" w:eastAsia="宋体" w:cs="宋体"/>
          <w:color w:val="auto"/>
          <w:kern w:val="2"/>
          <w:sz w:val="28"/>
          <w:szCs w:val="28"/>
          <w:u w:val="single"/>
          <w:lang w:val="en-US" w:eastAsia="zh-CN" w:bidi="ar-SA"/>
        </w:rPr>
        <w:t>监理服务，监理范围：本项目工程质量、进度、安全、环保等。</w:t>
      </w:r>
    </w:p>
    <w:p w14:paraId="5748E478">
      <w:pPr>
        <w:spacing w:line="440" w:lineRule="exact"/>
        <w:ind w:firstLine="560" w:firstLineChars="200"/>
        <w:rPr>
          <w:rFonts w:hint="eastAsia" w:ascii="宋体" w:hAnsi="宋体" w:eastAsia="宋体" w:cs="宋体"/>
          <w:color w:val="auto"/>
          <w:kern w:val="2"/>
          <w:sz w:val="28"/>
          <w:szCs w:val="28"/>
          <w:highlight w:val="none"/>
          <w:u w:val="single"/>
          <w:lang w:val="en-US" w:eastAsia="zh-CN" w:bidi="ar-SA"/>
        </w:rPr>
      </w:pPr>
      <w:r>
        <w:rPr>
          <w:rFonts w:hint="eastAsia" w:ascii="宋体" w:hAnsi="宋体" w:eastAsia="宋体" w:cs="宋体"/>
          <w:color w:val="auto"/>
          <w:kern w:val="2"/>
          <w:sz w:val="28"/>
          <w:szCs w:val="28"/>
          <w:u w:val="single"/>
          <w:lang w:val="en-US" w:eastAsia="zh-CN" w:bidi="ar-SA"/>
        </w:rPr>
        <w:t>2.服务期限</w:t>
      </w:r>
      <w:r>
        <w:rPr>
          <w:rFonts w:hint="eastAsia" w:ascii="宋体" w:hAnsi="宋体" w:eastAsia="宋体" w:cs="宋体"/>
          <w:color w:val="auto"/>
          <w:kern w:val="2"/>
          <w:sz w:val="28"/>
          <w:szCs w:val="28"/>
          <w:highlight w:val="none"/>
          <w:u w:val="single"/>
          <w:lang w:val="en-US" w:eastAsia="zh-CN" w:bidi="ar-SA"/>
        </w:rPr>
        <w:t>：从监理合同签订之日起至工程竣工验收合格及工程缺陷责任期满为止。</w:t>
      </w:r>
    </w:p>
    <w:p w14:paraId="2AEF3D43">
      <w:pPr>
        <w:keepNext w:val="0"/>
        <w:keepLines w:val="0"/>
        <w:pageBreakBefore w:val="0"/>
        <w:widowControl w:val="0"/>
        <w:wordWrap/>
        <w:overflowPunct/>
        <w:topLinePunct w:val="0"/>
        <w:autoSpaceDE/>
        <w:autoSpaceDN/>
        <w:bidi w:val="0"/>
        <w:spacing w:line="440" w:lineRule="exact"/>
        <w:ind w:firstLine="560" w:firstLineChars="200"/>
        <w:textAlignment w:val="auto"/>
        <w:rPr>
          <w:rFonts w:hint="eastAsia" w:ascii="宋体" w:hAnsi="宋体" w:eastAsia="宋体" w:cs="宋体"/>
          <w:color w:val="auto"/>
          <w:kern w:val="2"/>
          <w:sz w:val="28"/>
          <w:szCs w:val="28"/>
          <w:u w:val="single"/>
          <w:lang w:val="en-US" w:eastAsia="zh-CN" w:bidi="ar-SA"/>
        </w:rPr>
      </w:pPr>
      <w:r>
        <w:rPr>
          <w:rFonts w:hint="eastAsia" w:ascii="宋体" w:hAnsi="宋体" w:eastAsia="宋体" w:cs="宋体"/>
          <w:color w:val="auto"/>
          <w:kern w:val="2"/>
          <w:sz w:val="28"/>
          <w:szCs w:val="28"/>
          <w:highlight w:val="none"/>
          <w:u w:val="single"/>
          <w:lang w:val="en-US" w:eastAsia="zh-CN" w:bidi="ar-SA"/>
        </w:rPr>
        <w:t>3.本项目拟派总监理工程</w:t>
      </w:r>
      <w:r>
        <w:rPr>
          <w:rFonts w:hint="eastAsia" w:ascii="宋体" w:hAnsi="宋体" w:eastAsia="宋体" w:cs="宋体"/>
          <w:color w:val="auto"/>
          <w:kern w:val="2"/>
          <w:sz w:val="28"/>
          <w:szCs w:val="28"/>
          <w:u w:val="single"/>
          <w:lang w:val="en-US" w:eastAsia="zh-CN" w:bidi="ar-SA"/>
        </w:rPr>
        <w:t>师每周工作至少5天，按正常工作日计算。</w:t>
      </w:r>
    </w:p>
    <w:p w14:paraId="49C4B749">
      <w:pPr>
        <w:keepNext w:val="0"/>
        <w:keepLines w:val="0"/>
        <w:pageBreakBefore w:val="0"/>
        <w:widowControl w:val="0"/>
        <w:wordWrap/>
        <w:overflowPunct/>
        <w:topLinePunct w:val="0"/>
        <w:autoSpaceDE/>
        <w:autoSpaceDN/>
        <w:bidi w:val="0"/>
        <w:spacing w:line="440" w:lineRule="exact"/>
        <w:ind w:firstLine="560" w:firstLineChars="200"/>
        <w:textAlignment w:val="auto"/>
        <w:rPr>
          <w:rFonts w:hint="eastAsia" w:ascii="宋体" w:hAnsi="宋体" w:eastAsia="宋体" w:cs="宋体"/>
          <w:color w:val="auto"/>
          <w:kern w:val="2"/>
          <w:sz w:val="28"/>
          <w:szCs w:val="28"/>
          <w:u w:val="single"/>
          <w:lang w:val="en-US" w:eastAsia="zh-CN" w:bidi="ar-SA"/>
        </w:rPr>
      </w:pPr>
      <w:r>
        <w:rPr>
          <w:rFonts w:hint="eastAsia" w:ascii="宋体" w:hAnsi="宋体" w:eastAsia="宋体" w:cs="宋体"/>
          <w:color w:val="auto"/>
          <w:kern w:val="2"/>
          <w:sz w:val="28"/>
          <w:szCs w:val="28"/>
          <w:u w:val="single"/>
          <w:lang w:val="en-US" w:eastAsia="zh-CN" w:bidi="ar-SA"/>
        </w:rPr>
        <w:t>4.本项目拟派监理人员为总监  人，监理员  人。</w:t>
      </w:r>
    </w:p>
    <w:p w14:paraId="74017775">
      <w:pPr>
        <w:keepNext w:val="0"/>
        <w:keepLines w:val="0"/>
        <w:pageBreakBefore w:val="0"/>
        <w:widowControl w:val="0"/>
        <w:wordWrap/>
        <w:overflowPunct/>
        <w:topLinePunct w:val="0"/>
        <w:autoSpaceDE/>
        <w:autoSpaceDN/>
        <w:bidi w:val="0"/>
        <w:spacing w:line="440" w:lineRule="exact"/>
        <w:ind w:firstLine="560" w:firstLineChars="200"/>
        <w:textAlignment w:val="auto"/>
        <w:rPr>
          <w:rFonts w:hint="eastAsia" w:ascii="宋体" w:hAnsi="宋体" w:eastAsia="宋体" w:cs="宋体"/>
          <w:color w:val="auto"/>
          <w:kern w:val="2"/>
          <w:sz w:val="28"/>
          <w:szCs w:val="28"/>
          <w:u w:val="single"/>
          <w:lang w:val="en-US" w:eastAsia="zh-CN" w:bidi="ar-SA"/>
        </w:rPr>
      </w:pPr>
      <w:r>
        <w:rPr>
          <w:rFonts w:hint="eastAsia" w:ascii="宋体" w:hAnsi="宋体" w:eastAsia="宋体" w:cs="宋体"/>
          <w:color w:val="auto"/>
          <w:kern w:val="2"/>
          <w:sz w:val="28"/>
          <w:szCs w:val="28"/>
          <w:u w:val="single"/>
          <w:lang w:val="en-US" w:eastAsia="zh-CN" w:bidi="ar-SA"/>
        </w:rPr>
        <w:t>5.依据本项目进展的专业需要，按时选派相关专业的监理工程技术人员到现场。</w:t>
      </w:r>
    </w:p>
    <w:p w14:paraId="45FBEB11">
      <w:pPr>
        <w:keepNext w:val="0"/>
        <w:keepLines w:val="0"/>
        <w:pageBreakBefore w:val="0"/>
        <w:widowControl w:val="0"/>
        <w:wordWrap/>
        <w:overflowPunct/>
        <w:topLinePunct w:val="0"/>
        <w:autoSpaceDE/>
        <w:autoSpaceDN/>
        <w:bidi w:val="0"/>
        <w:spacing w:line="44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二、组成本合同的文件</w:t>
      </w:r>
    </w:p>
    <w:p w14:paraId="68FA9E48">
      <w:pPr>
        <w:keepNext w:val="0"/>
        <w:keepLines w:val="0"/>
        <w:pageBreakBefore w:val="0"/>
        <w:widowControl w:val="0"/>
        <w:wordWrap/>
        <w:overflowPunct/>
        <w:topLinePunct w:val="0"/>
        <w:autoSpaceDE/>
        <w:autoSpaceDN/>
        <w:bidi w:val="0"/>
        <w:adjustRightInd w:val="0"/>
        <w:snapToGrid w:val="0"/>
        <w:spacing w:line="440" w:lineRule="exact"/>
        <w:ind w:firstLine="554" w:firstLineChars="19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协议书；</w:t>
      </w:r>
    </w:p>
    <w:p w14:paraId="22A9F154">
      <w:pPr>
        <w:keepNext w:val="0"/>
        <w:keepLines w:val="0"/>
        <w:pageBreakBefore w:val="0"/>
        <w:widowControl w:val="0"/>
        <w:wordWrap/>
        <w:overflowPunct/>
        <w:topLinePunct w:val="0"/>
        <w:autoSpaceDE/>
        <w:autoSpaceDN/>
        <w:bidi w:val="0"/>
        <w:adjustRightInd w:val="0"/>
        <w:snapToGrid w:val="0"/>
        <w:spacing w:line="440" w:lineRule="exact"/>
        <w:ind w:firstLine="554" w:firstLineChars="19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成交通知书、</w:t>
      </w:r>
      <w:r>
        <w:rPr>
          <w:rFonts w:hint="eastAsia" w:ascii="宋体" w:hAnsi="宋体" w:eastAsia="宋体" w:cs="宋体"/>
          <w:color w:val="auto"/>
          <w:sz w:val="28"/>
          <w:szCs w:val="28"/>
          <w:lang w:eastAsia="zh-CN"/>
        </w:rPr>
        <w:t>谈判</w:t>
      </w:r>
      <w:r>
        <w:rPr>
          <w:rFonts w:hint="eastAsia" w:ascii="宋体" w:hAnsi="宋体" w:eastAsia="宋体" w:cs="宋体"/>
          <w:color w:val="auto"/>
          <w:sz w:val="28"/>
          <w:szCs w:val="28"/>
        </w:rPr>
        <w:t>文件、补遗、澄清、</w:t>
      </w:r>
      <w:r>
        <w:rPr>
          <w:rFonts w:hint="eastAsia" w:ascii="宋体" w:hAnsi="宋体" w:eastAsia="宋体" w:cs="宋体"/>
          <w:color w:val="auto"/>
          <w:sz w:val="28"/>
          <w:szCs w:val="28"/>
          <w:lang w:eastAsia="zh-CN"/>
        </w:rPr>
        <w:t>谈判</w:t>
      </w:r>
      <w:r>
        <w:rPr>
          <w:rFonts w:hint="eastAsia" w:ascii="宋体" w:hAnsi="宋体" w:eastAsia="宋体" w:cs="宋体"/>
          <w:color w:val="auto"/>
          <w:sz w:val="28"/>
          <w:szCs w:val="28"/>
        </w:rPr>
        <w:t>补充文件（或委托书）；</w:t>
      </w:r>
    </w:p>
    <w:p w14:paraId="25912C7E">
      <w:pPr>
        <w:keepNext w:val="0"/>
        <w:keepLines w:val="0"/>
        <w:pageBreakBefore w:val="0"/>
        <w:widowControl w:val="0"/>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3.相关服务建议书；</w:t>
      </w:r>
    </w:p>
    <w:p w14:paraId="6B2E99A4">
      <w:pPr>
        <w:keepNext w:val="0"/>
        <w:keepLines w:val="0"/>
        <w:pageBreakBefore w:val="0"/>
        <w:widowControl w:val="0"/>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4. 附录，即：附表内相关服务的范围和内容；</w:t>
      </w:r>
    </w:p>
    <w:p w14:paraId="7135E062">
      <w:pPr>
        <w:keepNext w:val="0"/>
        <w:keepLines w:val="0"/>
        <w:pageBreakBefore w:val="0"/>
        <w:widowControl w:val="0"/>
        <w:wordWrap/>
        <w:overflowPunct/>
        <w:topLinePunct w:val="0"/>
        <w:autoSpaceDE/>
        <w:autoSpaceDN/>
        <w:bidi w:val="0"/>
        <w:adjustRightInd w:val="0"/>
        <w:snapToGrid w:val="0"/>
        <w:spacing w:line="440" w:lineRule="exact"/>
        <w:ind w:firstLine="554" w:firstLineChars="19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本合同签订后，双方依法签订的补充协议也是本合同文件的组成部分。</w:t>
      </w:r>
    </w:p>
    <w:p w14:paraId="11EEF190">
      <w:pPr>
        <w:keepNext w:val="0"/>
        <w:keepLines w:val="0"/>
        <w:pageBreakBefore w:val="0"/>
        <w:widowControl w:val="0"/>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三、合同价款</w:t>
      </w:r>
    </w:p>
    <w:p w14:paraId="1A1F7194">
      <w:pPr>
        <w:keepNext w:val="0"/>
        <w:keepLines w:val="0"/>
        <w:pageBreakBefore w:val="0"/>
        <w:widowControl w:val="0"/>
        <w:wordWrap/>
        <w:overflowPunct/>
        <w:topLinePunct w:val="0"/>
        <w:autoSpaceDE/>
        <w:autoSpaceDN/>
        <w:bidi w:val="0"/>
        <w:adjustRightInd w:val="0"/>
        <w:snapToGrid w:val="0"/>
        <w:spacing w:line="440" w:lineRule="exact"/>
        <w:ind w:firstLine="554" w:firstLineChars="19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合同金额（大写）：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w:t>
      </w:r>
    </w:p>
    <w:p w14:paraId="25B7CF4D">
      <w:pPr>
        <w:keepNext w:val="0"/>
        <w:keepLines w:val="0"/>
        <w:pageBreakBefore w:val="0"/>
        <w:widowControl w:val="0"/>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四、服务期、服务地点：</w:t>
      </w:r>
      <w:r>
        <w:rPr>
          <w:rFonts w:hint="eastAsia" w:ascii="宋体" w:hAnsi="宋体" w:eastAsia="宋体" w:cs="宋体"/>
          <w:color w:val="auto"/>
          <w:sz w:val="28"/>
          <w:szCs w:val="28"/>
        </w:rPr>
        <w:t>详见“第三章合同条款及格式前附表”</w:t>
      </w:r>
    </w:p>
    <w:p w14:paraId="292B5DF3">
      <w:pPr>
        <w:keepNext w:val="0"/>
        <w:keepLines w:val="0"/>
        <w:pageBreakBefore w:val="0"/>
        <w:widowControl w:val="0"/>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五、付款方式：</w:t>
      </w:r>
      <w:r>
        <w:rPr>
          <w:rFonts w:hint="eastAsia" w:ascii="宋体" w:hAnsi="宋体" w:eastAsia="宋体" w:cs="宋体"/>
          <w:color w:val="auto"/>
          <w:sz w:val="28"/>
          <w:szCs w:val="28"/>
        </w:rPr>
        <w:t>详见“第三章合同条款及格式前附表”</w:t>
      </w:r>
    </w:p>
    <w:p w14:paraId="70F64103">
      <w:pPr>
        <w:keepNext w:val="0"/>
        <w:keepLines w:val="0"/>
        <w:pageBreakBefore w:val="0"/>
        <w:widowControl w:val="0"/>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六、技术支持：</w:t>
      </w:r>
      <w:r>
        <w:rPr>
          <w:rFonts w:hint="eastAsia" w:ascii="宋体" w:hAnsi="宋体" w:eastAsia="宋体" w:cs="宋体"/>
          <w:color w:val="auto"/>
          <w:sz w:val="28"/>
          <w:szCs w:val="28"/>
        </w:rPr>
        <w:t>详见“第三章合同条款及格式前附表”</w:t>
      </w:r>
    </w:p>
    <w:p w14:paraId="7FDF2706">
      <w:pPr>
        <w:keepNext w:val="0"/>
        <w:keepLines w:val="0"/>
        <w:pageBreakBefore w:val="0"/>
        <w:widowControl w:val="0"/>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八、知识产权：</w:t>
      </w:r>
      <w:r>
        <w:rPr>
          <w:rFonts w:hint="eastAsia" w:ascii="宋体" w:hAnsi="宋体" w:eastAsia="宋体" w:cs="宋体"/>
          <w:color w:val="auto"/>
          <w:sz w:val="28"/>
          <w:szCs w:val="28"/>
        </w:rPr>
        <w:t>详见“第三章合同条款及格式前附表”</w:t>
      </w:r>
    </w:p>
    <w:p w14:paraId="0706FB2F">
      <w:pPr>
        <w:keepNext w:val="0"/>
        <w:keepLines w:val="0"/>
        <w:pageBreakBefore w:val="0"/>
        <w:widowControl w:val="0"/>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九、合同争议的解决</w:t>
      </w:r>
    </w:p>
    <w:p w14:paraId="31DA5BD5">
      <w:pPr>
        <w:keepNext w:val="0"/>
        <w:keepLines w:val="0"/>
        <w:pageBreakBefore w:val="0"/>
        <w:widowControl w:val="0"/>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合同执行中发生争议的，当事人双方应协商解决，协商达不成一致时，可向采购人所在地人民法院提请诉讼。</w:t>
      </w:r>
    </w:p>
    <w:p w14:paraId="0A3412A1">
      <w:pPr>
        <w:keepNext w:val="0"/>
        <w:keepLines w:val="0"/>
        <w:pageBreakBefore w:val="0"/>
        <w:widowControl w:val="0"/>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十、违约责任：</w:t>
      </w:r>
      <w:r>
        <w:rPr>
          <w:rFonts w:hint="eastAsia" w:ascii="宋体" w:hAnsi="宋体" w:eastAsia="宋体" w:cs="宋体"/>
          <w:color w:val="auto"/>
          <w:sz w:val="28"/>
          <w:szCs w:val="28"/>
        </w:rPr>
        <w:t>详见“第三章合同条款及格式前附表”</w:t>
      </w:r>
    </w:p>
    <w:p w14:paraId="3B834C22">
      <w:pPr>
        <w:keepNext w:val="0"/>
        <w:keepLines w:val="0"/>
        <w:pageBreakBefore w:val="0"/>
        <w:widowControl w:val="0"/>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十一、其他（</w:t>
      </w:r>
      <w:r>
        <w:rPr>
          <w:rFonts w:hint="eastAsia" w:ascii="宋体" w:hAnsi="宋体" w:eastAsia="宋体" w:cs="宋体"/>
          <w:color w:val="auto"/>
          <w:sz w:val="28"/>
          <w:szCs w:val="28"/>
        </w:rPr>
        <w:t>在合同中具体明确）</w:t>
      </w:r>
    </w:p>
    <w:p w14:paraId="456293A1">
      <w:pPr>
        <w:keepNext w:val="0"/>
        <w:keepLines w:val="0"/>
        <w:pageBreakBefore w:val="0"/>
        <w:widowControl w:val="0"/>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十二、合同订立</w:t>
      </w:r>
    </w:p>
    <w:p w14:paraId="3861F25A">
      <w:pPr>
        <w:keepNext w:val="0"/>
        <w:keepLines w:val="0"/>
        <w:pageBreakBefore w:val="0"/>
        <w:widowControl w:val="0"/>
        <w:wordWrap/>
        <w:overflowPunct/>
        <w:topLinePunct w:val="0"/>
        <w:autoSpaceDE/>
        <w:autoSpaceDN/>
        <w:bidi w:val="0"/>
        <w:adjustRightInd w:val="0"/>
        <w:snapToGrid w:val="0"/>
        <w:spacing w:line="440" w:lineRule="exact"/>
        <w:ind w:firstLine="554" w:firstLineChars="19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订立时间：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7EC1F527">
      <w:pPr>
        <w:keepNext w:val="0"/>
        <w:keepLines w:val="0"/>
        <w:pageBreakBefore w:val="0"/>
        <w:widowControl w:val="0"/>
        <w:wordWrap/>
        <w:overflowPunct/>
        <w:topLinePunct w:val="0"/>
        <w:autoSpaceDE/>
        <w:autoSpaceDN/>
        <w:bidi w:val="0"/>
        <w:adjustRightInd w:val="0"/>
        <w:snapToGrid w:val="0"/>
        <w:spacing w:line="440" w:lineRule="exact"/>
        <w:ind w:firstLine="554" w:firstLineChars="19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订立地点：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010C02CF">
      <w:pPr>
        <w:keepNext w:val="0"/>
        <w:keepLines w:val="0"/>
        <w:pageBreakBefore w:val="0"/>
        <w:widowControl w:val="0"/>
        <w:tabs>
          <w:tab w:val="left" w:pos="980"/>
        </w:tabs>
        <w:kinsoku w:val="0"/>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28"/>
          <w:szCs w:val="28"/>
        </w:rPr>
        <w:t>3. 本合同一式</w:t>
      </w:r>
      <w:r>
        <w:rPr>
          <w:rFonts w:hint="eastAsia" w:ascii="宋体" w:hAnsi="宋体" w:eastAsia="宋体" w:cs="宋体"/>
          <w:color w:val="auto"/>
          <w:sz w:val="28"/>
          <w:szCs w:val="28"/>
          <w:u w:val="single"/>
        </w:rPr>
        <w:t xml:space="preserve"> 陆 </w:t>
      </w:r>
      <w:r>
        <w:rPr>
          <w:rFonts w:hint="eastAsia" w:ascii="宋体" w:hAnsi="宋体" w:eastAsia="宋体" w:cs="宋体"/>
          <w:color w:val="auto"/>
          <w:sz w:val="28"/>
          <w:szCs w:val="28"/>
        </w:rPr>
        <w:t>份，具有同等法律效力，双方各执</w:t>
      </w:r>
      <w:r>
        <w:rPr>
          <w:rFonts w:hint="eastAsia" w:ascii="宋体" w:hAnsi="宋体" w:eastAsia="宋体" w:cs="宋体"/>
          <w:color w:val="auto"/>
          <w:sz w:val="28"/>
          <w:szCs w:val="28"/>
          <w:u w:val="single"/>
        </w:rPr>
        <w:t xml:space="preserve"> 贰 </w:t>
      </w:r>
      <w:r>
        <w:rPr>
          <w:rFonts w:hint="eastAsia" w:ascii="宋体" w:hAnsi="宋体" w:eastAsia="宋体" w:cs="宋体"/>
          <w:color w:val="auto"/>
          <w:sz w:val="28"/>
          <w:szCs w:val="28"/>
        </w:rPr>
        <w:t>份，监管部门备案</w:t>
      </w:r>
      <w:r>
        <w:rPr>
          <w:rFonts w:hint="eastAsia" w:ascii="宋体" w:hAnsi="宋体" w:eastAsia="宋体" w:cs="宋体"/>
          <w:color w:val="auto"/>
          <w:sz w:val="28"/>
          <w:szCs w:val="28"/>
          <w:u w:val="single"/>
        </w:rPr>
        <w:t xml:space="preserve"> 壹 </w:t>
      </w:r>
      <w:r>
        <w:rPr>
          <w:rFonts w:hint="eastAsia" w:ascii="宋体" w:hAnsi="宋体" w:eastAsia="宋体" w:cs="宋体"/>
          <w:color w:val="auto"/>
          <w:sz w:val="28"/>
          <w:szCs w:val="28"/>
        </w:rPr>
        <w:t>份、招标代理机构存档</w:t>
      </w:r>
      <w:r>
        <w:rPr>
          <w:rFonts w:hint="eastAsia" w:ascii="宋体" w:hAnsi="宋体" w:eastAsia="宋体" w:cs="宋体"/>
          <w:color w:val="auto"/>
          <w:sz w:val="28"/>
          <w:szCs w:val="28"/>
          <w:u w:val="single"/>
        </w:rPr>
        <w:t xml:space="preserve"> 壹 </w:t>
      </w:r>
      <w:r>
        <w:rPr>
          <w:rFonts w:hint="eastAsia" w:ascii="宋体" w:hAnsi="宋体" w:eastAsia="宋体" w:cs="宋体"/>
          <w:color w:val="auto"/>
          <w:sz w:val="28"/>
          <w:szCs w:val="28"/>
        </w:rPr>
        <w:t>份。各方签字盖章后生效，合同执行完毕自动失效。（合同的服务承诺则长期有</w:t>
      </w:r>
      <w:r>
        <w:rPr>
          <w:rFonts w:hint="eastAsia" w:ascii="宋体" w:hAnsi="宋体" w:eastAsia="宋体" w:cs="宋体"/>
          <w:color w:val="auto"/>
          <w:sz w:val="32"/>
          <w:szCs w:val="32"/>
        </w:rPr>
        <w:t>效）。</w:t>
      </w:r>
    </w:p>
    <w:p w14:paraId="3318B5A5">
      <w:pPr>
        <w:pStyle w:val="10"/>
        <w:rPr>
          <w:rFonts w:hint="eastAsia" w:ascii="宋体" w:hAnsi="宋体" w:eastAsia="宋体" w:cs="宋体"/>
          <w:color w:val="auto"/>
        </w:rPr>
      </w:pPr>
    </w:p>
    <w:p w14:paraId="099B2170">
      <w:pPr>
        <w:keepNext w:val="0"/>
        <w:keepLines w:val="0"/>
        <w:pageBreakBefore w:val="0"/>
        <w:widowControl w:val="0"/>
        <w:tabs>
          <w:tab w:val="left" w:pos="480"/>
        </w:tabs>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甲  方（公章）</w:t>
      </w:r>
      <w:r>
        <w:rPr>
          <w:rFonts w:hint="eastAsia" w:ascii="宋体" w:hAnsi="宋体" w:eastAsia="宋体" w:cs="宋体"/>
          <w:color w:val="auto"/>
          <w:sz w:val="28"/>
          <w:szCs w:val="28"/>
        </w:rPr>
        <w:t xml:space="preserve">           </w:t>
      </w:r>
      <w:r>
        <w:rPr>
          <w:rFonts w:hint="eastAsia" w:ascii="宋体" w:hAnsi="宋体" w:eastAsia="宋体" w:cs="宋体"/>
          <w:b/>
          <w:color w:val="auto"/>
          <w:sz w:val="28"/>
          <w:szCs w:val="28"/>
        </w:rPr>
        <w:t xml:space="preserve">乙  方（公章）        </w:t>
      </w:r>
    </w:p>
    <w:p w14:paraId="4C4D7B20">
      <w:pPr>
        <w:keepNext w:val="0"/>
        <w:keepLines w:val="0"/>
        <w:pageBreakBefore w:val="0"/>
        <w:widowControl w:val="0"/>
        <w:tabs>
          <w:tab w:val="left" w:pos="480"/>
        </w:tabs>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单位名称：               单位名称：           </w:t>
      </w:r>
    </w:p>
    <w:p w14:paraId="73C077FD">
      <w:pPr>
        <w:keepNext w:val="0"/>
        <w:keepLines w:val="0"/>
        <w:pageBreakBefore w:val="0"/>
        <w:widowControl w:val="0"/>
        <w:tabs>
          <w:tab w:val="left" w:pos="480"/>
        </w:tabs>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地    址：               地    址：                </w:t>
      </w:r>
    </w:p>
    <w:p w14:paraId="6F3AF70A">
      <w:pPr>
        <w:keepNext w:val="0"/>
        <w:keepLines w:val="0"/>
        <w:pageBreakBefore w:val="0"/>
        <w:widowControl w:val="0"/>
        <w:tabs>
          <w:tab w:val="left" w:pos="480"/>
        </w:tabs>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代 理 人：               代 理 人：          </w:t>
      </w:r>
    </w:p>
    <w:p w14:paraId="5197CC35">
      <w:pPr>
        <w:keepNext w:val="0"/>
        <w:keepLines w:val="0"/>
        <w:pageBreakBefore w:val="0"/>
        <w:widowControl w:val="0"/>
        <w:tabs>
          <w:tab w:val="left" w:pos="480"/>
        </w:tabs>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联系电话：               联系电话：            </w:t>
      </w:r>
    </w:p>
    <w:p w14:paraId="3BAEA7DF">
      <w:pPr>
        <w:keepNext w:val="0"/>
        <w:keepLines w:val="0"/>
        <w:pageBreakBefore w:val="0"/>
        <w:widowControl w:val="0"/>
        <w:tabs>
          <w:tab w:val="left" w:pos="480"/>
        </w:tabs>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帐    号：</w:t>
      </w:r>
    </w:p>
    <w:p w14:paraId="0CFC7C8E">
      <w:pPr>
        <w:keepNext w:val="0"/>
        <w:keepLines w:val="0"/>
        <w:pageBreakBefore w:val="0"/>
        <w:widowControl w:val="0"/>
        <w:tabs>
          <w:tab w:val="left" w:pos="480"/>
        </w:tabs>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开户银行： </w:t>
      </w:r>
    </w:p>
    <w:p w14:paraId="61E5942B">
      <w:pPr>
        <w:keepNext w:val="0"/>
        <w:keepLines w:val="0"/>
        <w:pageBreakBefore w:val="0"/>
        <w:widowControl w:val="0"/>
        <w:tabs>
          <w:tab w:val="left" w:pos="480"/>
          <w:tab w:val="left" w:pos="3261"/>
        </w:tabs>
        <w:wordWrap/>
        <w:overflowPunct/>
        <w:topLinePunct w:val="0"/>
        <w:autoSpaceDE/>
        <w:autoSpaceDN/>
        <w:bidi w:val="0"/>
        <w:spacing w:line="440" w:lineRule="exact"/>
        <w:textAlignment w:val="auto"/>
        <w:rPr>
          <w:rFonts w:hint="eastAsia" w:ascii="宋体" w:hAnsi="宋体" w:eastAsia="宋体" w:cs="宋体"/>
          <w:color w:val="auto"/>
          <w:sz w:val="32"/>
          <w:szCs w:val="32"/>
        </w:rPr>
      </w:pPr>
      <w:r>
        <w:rPr>
          <w:rFonts w:hint="eastAsia" w:ascii="宋体" w:hAnsi="宋体" w:eastAsia="宋体" w:cs="宋体"/>
          <w:color w:val="auto"/>
          <w:sz w:val="28"/>
          <w:szCs w:val="28"/>
        </w:rPr>
        <w:t xml:space="preserve">签订日期：               签订日期：        </w:t>
      </w:r>
    </w:p>
    <w:p w14:paraId="4A74CF94">
      <w:pPr>
        <w:pStyle w:val="12"/>
        <w:rPr>
          <w:rFonts w:hint="eastAsia"/>
          <w:color w:val="auto"/>
        </w:rPr>
      </w:pPr>
    </w:p>
    <w:p w14:paraId="7BF2B8D6">
      <w:pPr>
        <w:pStyle w:val="12"/>
        <w:rPr>
          <w:rFonts w:hint="eastAsia"/>
          <w:color w:val="auto"/>
        </w:rPr>
      </w:pPr>
    </w:p>
    <w:p w14:paraId="3CF33F14">
      <w:pPr>
        <w:pStyle w:val="12"/>
        <w:rPr>
          <w:rFonts w:hint="eastAsia"/>
          <w:color w:val="auto"/>
        </w:rPr>
      </w:pPr>
    </w:p>
    <w:p w14:paraId="0E41B901">
      <w:pPr>
        <w:pStyle w:val="12"/>
        <w:rPr>
          <w:rFonts w:hint="eastAsia"/>
          <w:color w:val="auto"/>
        </w:rPr>
      </w:pPr>
    </w:p>
    <w:p w14:paraId="21EB7A75">
      <w:pPr>
        <w:pStyle w:val="12"/>
        <w:rPr>
          <w:rFonts w:hint="eastAsia"/>
          <w:color w:val="auto"/>
        </w:rPr>
      </w:pPr>
    </w:p>
    <w:p w14:paraId="2677C82B">
      <w:pPr>
        <w:pStyle w:val="12"/>
        <w:rPr>
          <w:rFonts w:hint="eastAsia"/>
          <w:color w:val="auto"/>
        </w:rPr>
      </w:pPr>
    </w:p>
    <w:p w14:paraId="4A5E6B37">
      <w:pPr>
        <w:pStyle w:val="12"/>
        <w:rPr>
          <w:rFonts w:hint="eastAsia"/>
          <w:color w:val="auto"/>
        </w:rPr>
      </w:pPr>
    </w:p>
    <w:p w14:paraId="0B3A0DC3">
      <w:pPr>
        <w:pStyle w:val="12"/>
        <w:rPr>
          <w:rFonts w:hint="eastAsia"/>
          <w:color w:val="auto"/>
        </w:rPr>
      </w:pPr>
    </w:p>
    <w:p w14:paraId="56795FD8">
      <w:pPr>
        <w:pStyle w:val="12"/>
        <w:rPr>
          <w:rFonts w:hint="eastAsia"/>
          <w:color w:val="auto"/>
        </w:rPr>
      </w:pPr>
    </w:p>
    <w:p w14:paraId="18FDF3FE">
      <w:pPr>
        <w:rPr>
          <w:rFonts w:hint="eastAsia"/>
          <w:color w:val="auto"/>
        </w:rPr>
      </w:pPr>
    </w:p>
    <w:p w14:paraId="1218C72C">
      <w:pPr>
        <w:pStyle w:val="2"/>
        <w:rPr>
          <w:rFonts w:hint="eastAsia"/>
          <w:color w:val="auto"/>
        </w:rPr>
      </w:pPr>
    </w:p>
    <w:p w14:paraId="5A6FE607">
      <w:pPr>
        <w:pStyle w:val="12"/>
        <w:rPr>
          <w:rFonts w:hint="eastAsia"/>
          <w:color w:val="auto"/>
        </w:rPr>
      </w:pPr>
    </w:p>
    <w:p w14:paraId="0922624C">
      <w:pPr>
        <w:pStyle w:val="12"/>
        <w:rPr>
          <w:rFonts w:hint="eastAsia"/>
          <w:color w:val="auto"/>
        </w:rPr>
      </w:pPr>
    </w:p>
    <w:p w14:paraId="109E4DAD">
      <w:pPr>
        <w:pStyle w:val="12"/>
        <w:rPr>
          <w:rFonts w:hint="eastAsia"/>
          <w:color w:val="auto"/>
        </w:rPr>
      </w:pPr>
    </w:p>
    <w:p w14:paraId="397D16E6">
      <w:pPr>
        <w:bidi w:val="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第五章 响应文件格式</w:t>
      </w:r>
      <w:bookmarkEnd w:id="268"/>
      <w:bookmarkEnd w:id="269"/>
      <w:bookmarkEnd w:id="270"/>
      <w:bookmarkEnd w:id="271"/>
      <w:bookmarkEnd w:id="272"/>
      <w:bookmarkEnd w:id="273"/>
      <w:bookmarkEnd w:id="274"/>
      <w:bookmarkEnd w:id="275"/>
      <w:bookmarkEnd w:id="276"/>
    </w:p>
    <w:p w14:paraId="1F0F35DE">
      <w:pPr>
        <w:jc w:val="right"/>
        <w:rPr>
          <w:rFonts w:hint="eastAsia" w:ascii="宋体" w:hAnsi="宋体" w:eastAsia="宋体" w:cs="宋体"/>
          <w:b/>
          <w:color w:val="auto"/>
          <w:sz w:val="36"/>
          <w:szCs w:val="36"/>
          <w:bdr w:val="single" w:color="auto" w:sz="4" w:space="0"/>
          <w:shd w:val="pct10" w:color="auto" w:fill="FFFFFF"/>
        </w:rPr>
      </w:pPr>
    </w:p>
    <w:p w14:paraId="0BDE059E">
      <w:pPr>
        <w:jc w:val="right"/>
        <w:rPr>
          <w:rFonts w:hint="eastAsia" w:ascii="宋体" w:hAnsi="宋体" w:eastAsia="宋体" w:cs="宋体"/>
          <w:b/>
          <w:color w:val="auto"/>
          <w:sz w:val="36"/>
          <w:szCs w:val="36"/>
          <w:bdr w:val="single" w:color="auto" w:sz="4" w:space="0"/>
          <w:shd w:val="pct10" w:color="auto" w:fill="FFFFFF"/>
        </w:rPr>
      </w:pPr>
      <w:r>
        <w:rPr>
          <w:rFonts w:hint="eastAsia" w:ascii="宋体" w:hAnsi="宋体" w:eastAsia="宋体" w:cs="宋体"/>
          <w:b/>
          <w:color w:val="auto"/>
          <w:sz w:val="36"/>
          <w:szCs w:val="36"/>
          <w:bdr w:val="single" w:color="auto" w:sz="4" w:space="0"/>
          <w:shd w:val="pct10" w:color="auto" w:fill="FFFFFF"/>
        </w:rPr>
        <w:t>政府采购项目</w:t>
      </w:r>
    </w:p>
    <w:p w14:paraId="736426B9">
      <w:pPr>
        <w:ind w:right="728"/>
        <w:rPr>
          <w:rFonts w:hint="eastAsia" w:ascii="宋体" w:hAnsi="宋体" w:eastAsia="宋体" w:cs="宋体"/>
          <w:bCs/>
          <w:color w:val="auto"/>
          <w:sz w:val="32"/>
          <w:szCs w:val="32"/>
        </w:rPr>
      </w:pPr>
    </w:p>
    <w:p w14:paraId="0EA99983">
      <w:pPr>
        <w:ind w:right="728"/>
        <w:rPr>
          <w:rFonts w:hint="eastAsia" w:ascii="宋体" w:hAnsi="宋体" w:eastAsia="宋体" w:cs="宋体"/>
          <w:b/>
          <w:color w:val="auto"/>
          <w:sz w:val="36"/>
          <w:szCs w:val="36"/>
          <w:bdr w:val="single" w:color="auto" w:sz="4" w:space="0"/>
          <w:shd w:val="pct10" w:color="auto" w:fill="FFFFFF"/>
        </w:rPr>
      </w:pPr>
      <w:r>
        <w:rPr>
          <w:rFonts w:hint="eastAsia" w:ascii="宋体" w:hAnsi="宋体" w:eastAsia="宋体" w:cs="宋体"/>
          <w:bCs/>
          <w:color w:val="auto"/>
          <w:sz w:val="32"/>
          <w:szCs w:val="32"/>
          <w:lang w:val="en-US" w:eastAsia="zh-CN"/>
        </w:rPr>
        <w:t>项目</w:t>
      </w:r>
      <w:r>
        <w:rPr>
          <w:rFonts w:hint="eastAsia" w:ascii="宋体" w:hAnsi="宋体" w:eastAsia="宋体" w:cs="宋体"/>
          <w:bCs/>
          <w:color w:val="auto"/>
          <w:sz w:val="32"/>
          <w:szCs w:val="32"/>
        </w:rPr>
        <w:t>编号:</w:t>
      </w:r>
    </w:p>
    <w:p w14:paraId="790A255E">
      <w:pPr>
        <w:spacing w:line="600" w:lineRule="exact"/>
        <w:jc w:val="center"/>
        <w:rPr>
          <w:rFonts w:hint="eastAsia" w:ascii="宋体" w:hAnsi="宋体" w:eastAsia="宋体" w:cs="宋体"/>
          <w:b/>
          <w:color w:val="auto"/>
          <w:sz w:val="36"/>
          <w:szCs w:val="36"/>
        </w:rPr>
      </w:pPr>
    </w:p>
    <w:p w14:paraId="4F5F393A">
      <w:pPr>
        <w:spacing w:line="600" w:lineRule="exact"/>
        <w:jc w:val="center"/>
        <w:rPr>
          <w:rFonts w:hint="eastAsia" w:ascii="宋体" w:hAnsi="宋体" w:eastAsia="宋体" w:cs="宋体"/>
          <w:b/>
          <w:color w:val="auto"/>
          <w:sz w:val="36"/>
          <w:szCs w:val="36"/>
        </w:rPr>
      </w:pPr>
    </w:p>
    <w:p w14:paraId="2B8EFBE1">
      <w:pPr>
        <w:spacing w:line="600" w:lineRule="exact"/>
        <w:jc w:val="center"/>
        <w:rPr>
          <w:rFonts w:hint="eastAsia" w:ascii="宋体" w:hAnsi="宋体" w:eastAsia="宋体" w:cs="宋体"/>
          <w:b/>
          <w:color w:val="auto"/>
          <w:sz w:val="36"/>
          <w:szCs w:val="36"/>
        </w:rPr>
      </w:pPr>
    </w:p>
    <w:p w14:paraId="7EEBA878">
      <w:pPr>
        <w:spacing w:line="360" w:lineRule="auto"/>
        <w:jc w:val="center"/>
        <w:rPr>
          <w:rFonts w:hint="eastAsia" w:ascii="宋体" w:hAnsi="宋体" w:eastAsia="宋体" w:cs="宋体"/>
          <w:b/>
          <w:color w:val="auto"/>
          <w:w w:val="90"/>
          <w:sz w:val="56"/>
          <w:szCs w:val="56"/>
        </w:rPr>
      </w:pPr>
      <w:r>
        <w:rPr>
          <w:rFonts w:hint="eastAsia" w:ascii="宋体" w:hAnsi="宋体" w:eastAsia="宋体" w:cs="宋体"/>
          <w:b/>
          <w:color w:val="auto"/>
          <w:w w:val="90"/>
          <w:sz w:val="56"/>
          <w:szCs w:val="56"/>
          <w:u w:val="single"/>
          <w:lang w:val="en-US" w:eastAsia="zh-CN"/>
        </w:rPr>
        <w:t>（项目名称）</w:t>
      </w:r>
    </w:p>
    <w:p w14:paraId="5F4D58D7">
      <w:pPr>
        <w:spacing w:line="360" w:lineRule="auto"/>
        <w:jc w:val="center"/>
        <w:rPr>
          <w:rFonts w:hint="eastAsia" w:ascii="宋体" w:hAnsi="宋体" w:eastAsia="宋体" w:cs="宋体"/>
          <w:b/>
          <w:color w:val="auto"/>
          <w:w w:val="90"/>
          <w:sz w:val="56"/>
          <w:szCs w:val="56"/>
        </w:rPr>
      </w:pPr>
    </w:p>
    <w:p w14:paraId="72BD1710">
      <w:pPr>
        <w:spacing w:line="360" w:lineRule="auto"/>
        <w:jc w:val="center"/>
        <w:rPr>
          <w:rFonts w:hint="eastAsia" w:ascii="宋体" w:hAnsi="宋体" w:eastAsia="宋体" w:cs="宋体"/>
          <w:b/>
          <w:color w:val="auto"/>
          <w:sz w:val="28"/>
          <w:szCs w:val="28"/>
        </w:rPr>
      </w:pPr>
      <w:r>
        <w:rPr>
          <w:rFonts w:hint="eastAsia" w:ascii="宋体" w:hAnsi="宋体" w:eastAsia="宋体" w:cs="宋体"/>
          <w:color w:val="auto"/>
          <w:sz w:val="72"/>
          <w:szCs w:val="72"/>
          <w:lang w:eastAsia="zh-CN"/>
        </w:rPr>
        <w:t>响应</w:t>
      </w:r>
      <w:r>
        <w:rPr>
          <w:rFonts w:hint="eastAsia" w:ascii="宋体" w:hAnsi="宋体" w:eastAsia="宋体" w:cs="宋体"/>
          <w:color w:val="auto"/>
          <w:sz w:val="72"/>
          <w:szCs w:val="72"/>
        </w:rPr>
        <w:t>文件</w:t>
      </w:r>
    </w:p>
    <w:p w14:paraId="4D99334C">
      <w:pPr>
        <w:rPr>
          <w:rFonts w:hint="eastAsia" w:ascii="宋体" w:hAnsi="宋体" w:eastAsia="宋体" w:cs="宋体"/>
          <w:bCs/>
          <w:color w:val="auto"/>
          <w:sz w:val="18"/>
          <w:szCs w:val="18"/>
        </w:rPr>
      </w:pPr>
    </w:p>
    <w:p w14:paraId="514C74A4">
      <w:pPr>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正（副）本</w:t>
      </w:r>
    </w:p>
    <w:p w14:paraId="3E279ECE">
      <w:pPr>
        <w:spacing w:line="480" w:lineRule="auto"/>
        <w:rPr>
          <w:rFonts w:hint="eastAsia" w:ascii="宋体" w:hAnsi="宋体" w:eastAsia="宋体" w:cs="宋体"/>
          <w:bCs/>
          <w:color w:val="auto"/>
          <w:sz w:val="36"/>
          <w:szCs w:val="36"/>
        </w:rPr>
      </w:pPr>
    </w:p>
    <w:p w14:paraId="6CC88890">
      <w:pPr>
        <w:spacing w:line="480" w:lineRule="auto"/>
        <w:rPr>
          <w:rFonts w:hint="eastAsia" w:ascii="宋体" w:hAnsi="宋体" w:eastAsia="宋体" w:cs="宋体"/>
          <w:bCs/>
          <w:color w:val="auto"/>
          <w:sz w:val="36"/>
          <w:szCs w:val="36"/>
        </w:rPr>
      </w:pPr>
    </w:p>
    <w:p w14:paraId="01A89E66">
      <w:pPr>
        <w:spacing w:line="480" w:lineRule="auto"/>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供        应       商：</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（盖章）</w:t>
      </w:r>
    </w:p>
    <w:p w14:paraId="3986E561">
      <w:pPr>
        <w:spacing w:line="480" w:lineRule="auto"/>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法定代表人或被授权人：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（签字）</w:t>
      </w:r>
    </w:p>
    <w:p w14:paraId="55F6968C">
      <w:pPr>
        <w:spacing w:line="48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年   月</w:t>
      </w:r>
      <w:bookmarkStart w:id="277" w:name="_Toc30735"/>
      <w:r>
        <w:rPr>
          <w:rFonts w:hint="eastAsia" w:ascii="宋体" w:hAnsi="宋体" w:eastAsia="宋体" w:cs="宋体"/>
          <w:bCs/>
          <w:color w:val="auto"/>
          <w:sz w:val="24"/>
          <w:szCs w:val="24"/>
        </w:rPr>
        <w:t xml:space="preserve">    日</w:t>
      </w:r>
      <w:bookmarkEnd w:id="277"/>
      <w:bookmarkStart w:id="278" w:name="_Toc14189421"/>
      <w:bookmarkStart w:id="279" w:name="_Toc18412212"/>
      <w:bookmarkStart w:id="280" w:name="_Toc14189288"/>
      <w:bookmarkStart w:id="281" w:name="_Toc8364"/>
    </w:p>
    <w:p w14:paraId="7C806795">
      <w:pPr>
        <w:pStyle w:val="4"/>
        <w:rPr>
          <w:rFonts w:hint="eastAsia" w:ascii="宋体" w:hAnsi="宋体" w:eastAsia="宋体" w:cs="宋体"/>
          <w:b w:val="0"/>
          <w:color w:val="auto"/>
          <w:sz w:val="36"/>
        </w:rPr>
        <w:sectPr>
          <w:pgSz w:w="11905" w:h="16838"/>
          <w:pgMar w:top="1134"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97" w:charSpace="0"/>
        </w:sectPr>
      </w:pPr>
    </w:p>
    <w:p w14:paraId="0D4F0F66">
      <w:pPr>
        <w:spacing w:line="520" w:lineRule="exact"/>
        <w:jc w:val="center"/>
        <w:rPr>
          <w:rFonts w:hint="eastAsia" w:ascii="宋体" w:hAnsi="宋体" w:eastAsia="宋体" w:cs="宋体"/>
          <w:b/>
          <w:color w:val="auto"/>
          <w:sz w:val="48"/>
          <w:szCs w:val="48"/>
        </w:rPr>
      </w:pPr>
    </w:p>
    <w:p w14:paraId="0A2F9409">
      <w:pPr>
        <w:spacing w:line="520" w:lineRule="exact"/>
        <w:jc w:val="center"/>
        <w:rPr>
          <w:rFonts w:ascii="宋体" w:hAnsi="宋体" w:eastAsia="宋体" w:cs="宋体"/>
          <w:b/>
          <w:color w:val="auto"/>
          <w:sz w:val="48"/>
          <w:szCs w:val="48"/>
        </w:rPr>
      </w:pPr>
      <w:r>
        <w:rPr>
          <w:rFonts w:hint="eastAsia" w:ascii="宋体" w:hAnsi="宋体" w:eastAsia="宋体" w:cs="宋体"/>
          <w:b/>
          <w:color w:val="auto"/>
          <w:sz w:val="48"/>
          <w:szCs w:val="48"/>
        </w:rPr>
        <w:t>目   录</w:t>
      </w:r>
    </w:p>
    <w:p w14:paraId="5347139E">
      <w:pPr>
        <w:ind w:firstLine="1606" w:firstLineChars="500"/>
        <w:rPr>
          <w:rFonts w:ascii="宋体" w:hAnsi="宋体" w:eastAsia="宋体" w:cs="宋体"/>
          <w:b/>
          <w:color w:val="auto"/>
          <w:sz w:val="32"/>
          <w:szCs w:val="32"/>
        </w:rPr>
      </w:pPr>
    </w:p>
    <w:p w14:paraId="347097A4">
      <w:pPr>
        <w:pStyle w:val="19"/>
        <w:ind w:left="560"/>
        <w:rPr>
          <w:color w:val="auto"/>
          <w:sz w:val="30"/>
          <w:szCs w:val="30"/>
        </w:rPr>
      </w:pPr>
      <w:bookmarkStart w:id="282" w:name="_Toc23315674"/>
      <w:r>
        <w:rPr>
          <w:rFonts w:hint="eastAsia"/>
          <w:color w:val="auto"/>
          <w:sz w:val="30"/>
          <w:szCs w:val="30"/>
        </w:rPr>
        <w:t>一、投标函</w:t>
      </w:r>
      <w:bookmarkEnd w:id="282"/>
    </w:p>
    <w:p w14:paraId="01518A65">
      <w:pPr>
        <w:pStyle w:val="19"/>
        <w:ind w:left="560"/>
        <w:rPr>
          <w:color w:val="auto"/>
          <w:sz w:val="30"/>
          <w:szCs w:val="30"/>
        </w:rPr>
      </w:pPr>
      <w:bookmarkStart w:id="283" w:name="_Toc23315675"/>
      <w:r>
        <w:rPr>
          <w:rFonts w:hint="eastAsia"/>
          <w:color w:val="auto"/>
          <w:sz w:val="30"/>
          <w:szCs w:val="30"/>
        </w:rPr>
        <w:t>二、报价一览表</w:t>
      </w:r>
      <w:bookmarkEnd w:id="283"/>
    </w:p>
    <w:p w14:paraId="42BA8275">
      <w:pPr>
        <w:pStyle w:val="19"/>
        <w:ind w:left="560"/>
        <w:rPr>
          <w:rFonts w:hint="eastAsia"/>
          <w:color w:val="auto"/>
          <w:sz w:val="30"/>
          <w:szCs w:val="30"/>
        </w:rPr>
      </w:pPr>
      <w:bookmarkStart w:id="284" w:name="_Toc23315678"/>
      <w:r>
        <w:rPr>
          <w:rFonts w:hint="eastAsia"/>
          <w:color w:val="auto"/>
          <w:sz w:val="30"/>
          <w:szCs w:val="30"/>
          <w:lang w:eastAsia="zh-CN"/>
        </w:rPr>
        <w:t>三</w:t>
      </w:r>
      <w:r>
        <w:rPr>
          <w:rFonts w:hint="eastAsia"/>
          <w:color w:val="auto"/>
          <w:sz w:val="30"/>
          <w:szCs w:val="30"/>
        </w:rPr>
        <w:t>、</w:t>
      </w:r>
      <w:bookmarkEnd w:id="284"/>
      <w:r>
        <w:rPr>
          <w:rFonts w:hint="eastAsia"/>
          <w:color w:val="auto"/>
          <w:sz w:val="30"/>
          <w:szCs w:val="30"/>
          <w:lang w:eastAsia="zh-CN"/>
        </w:rPr>
        <w:t>供应商</w:t>
      </w:r>
      <w:r>
        <w:rPr>
          <w:rFonts w:hint="eastAsia"/>
          <w:color w:val="auto"/>
          <w:sz w:val="30"/>
          <w:szCs w:val="30"/>
        </w:rPr>
        <w:t>资质证明文件</w:t>
      </w:r>
    </w:p>
    <w:p w14:paraId="21E993CB">
      <w:pPr>
        <w:pStyle w:val="19"/>
        <w:ind w:left="560"/>
        <w:rPr>
          <w:rFonts w:hint="eastAsia"/>
          <w:color w:val="auto"/>
          <w:sz w:val="30"/>
          <w:szCs w:val="30"/>
          <w:lang w:eastAsia="zh-CN"/>
        </w:rPr>
      </w:pPr>
      <w:r>
        <w:rPr>
          <w:rFonts w:hint="eastAsia"/>
          <w:color w:val="auto"/>
          <w:sz w:val="30"/>
          <w:szCs w:val="30"/>
          <w:lang w:eastAsia="zh-CN"/>
        </w:rPr>
        <w:t>四、</w:t>
      </w:r>
      <w:r>
        <w:rPr>
          <w:rFonts w:hint="eastAsia"/>
          <w:color w:val="auto"/>
          <w:sz w:val="30"/>
          <w:szCs w:val="30"/>
          <w:lang w:val="en-US" w:eastAsia="zh-CN"/>
        </w:rPr>
        <w:t>商务响应偏离表</w:t>
      </w:r>
    </w:p>
    <w:p w14:paraId="6A318C92">
      <w:pPr>
        <w:pStyle w:val="19"/>
        <w:ind w:left="560"/>
        <w:rPr>
          <w:rFonts w:hint="eastAsia"/>
          <w:bCs/>
          <w:color w:val="auto"/>
          <w:sz w:val="30"/>
          <w:szCs w:val="30"/>
        </w:rPr>
      </w:pPr>
      <w:bookmarkStart w:id="285" w:name="_Toc23315679"/>
      <w:r>
        <w:rPr>
          <w:rFonts w:hint="eastAsia"/>
          <w:color w:val="auto"/>
          <w:sz w:val="30"/>
          <w:szCs w:val="30"/>
        </w:rPr>
        <w:t>五、</w:t>
      </w:r>
      <w:bookmarkEnd w:id="285"/>
      <w:r>
        <w:rPr>
          <w:rFonts w:hint="eastAsia"/>
          <w:color w:val="auto"/>
          <w:sz w:val="30"/>
          <w:szCs w:val="30"/>
          <w:lang w:val="en-US" w:eastAsia="zh-CN"/>
        </w:rPr>
        <w:t>监理大纲</w:t>
      </w:r>
    </w:p>
    <w:p w14:paraId="721B01A5">
      <w:pPr>
        <w:pStyle w:val="19"/>
        <w:ind w:left="560"/>
        <w:rPr>
          <w:color w:val="auto"/>
          <w:sz w:val="30"/>
          <w:szCs w:val="30"/>
        </w:rPr>
      </w:pPr>
      <w:bookmarkStart w:id="286" w:name="_Toc23434"/>
      <w:bookmarkStart w:id="287" w:name="_Toc23315682"/>
      <w:bookmarkStart w:id="288" w:name="_Toc12490"/>
      <w:r>
        <w:rPr>
          <w:rFonts w:hint="eastAsia"/>
          <w:color w:val="auto"/>
          <w:sz w:val="30"/>
          <w:szCs w:val="30"/>
          <w:lang w:eastAsia="zh-CN"/>
        </w:rPr>
        <w:t>六</w:t>
      </w:r>
      <w:r>
        <w:rPr>
          <w:rFonts w:hint="eastAsia"/>
          <w:color w:val="auto"/>
          <w:sz w:val="30"/>
          <w:szCs w:val="30"/>
        </w:rPr>
        <w:t>、</w:t>
      </w:r>
      <w:bookmarkEnd w:id="286"/>
      <w:bookmarkEnd w:id="287"/>
      <w:bookmarkEnd w:id="288"/>
      <w:r>
        <w:rPr>
          <w:rFonts w:hint="eastAsia"/>
          <w:color w:val="auto"/>
          <w:sz w:val="30"/>
          <w:szCs w:val="30"/>
        </w:rPr>
        <w:t>投标单位拒绝政府采购领域商业贿赂承诺书</w:t>
      </w:r>
    </w:p>
    <w:p w14:paraId="4C6D89DF">
      <w:pPr>
        <w:rPr>
          <w:rFonts w:hint="eastAsia" w:ascii="宋体" w:hAnsi="宋体" w:eastAsia="宋体"/>
          <w:b/>
          <w:bCs w:val="0"/>
          <w:color w:val="auto"/>
          <w:lang w:eastAsia="zh-CN"/>
        </w:rPr>
      </w:pPr>
      <w:bookmarkStart w:id="289" w:name="_Toc23316534"/>
      <w:bookmarkStart w:id="290" w:name="_Toc17080"/>
      <w:bookmarkStart w:id="291" w:name="_Toc35335270"/>
      <w:bookmarkStart w:id="292" w:name="_Toc23315683"/>
      <w:bookmarkStart w:id="293" w:name="_Toc4360"/>
      <w:bookmarkStart w:id="294" w:name="_Toc903"/>
      <w:bookmarkStart w:id="295" w:name="_Toc30120"/>
      <w:bookmarkStart w:id="296" w:name="_Toc14826"/>
      <w:bookmarkStart w:id="297" w:name="_Toc23316696"/>
      <w:bookmarkStart w:id="298" w:name="_Toc23316598"/>
    </w:p>
    <w:p w14:paraId="3A10FAD4">
      <w:pPr>
        <w:rPr>
          <w:rFonts w:hint="eastAsia" w:ascii="宋体" w:hAnsi="宋体" w:eastAsia="宋体"/>
          <w:b/>
          <w:bCs w:val="0"/>
          <w:color w:val="auto"/>
          <w:lang w:eastAsia="zh-CN"/>
        </w:rPr>
      </w:pPr>
    </w:p>
    <w:p w14:paraId="7BBE56B0">
      <w:pPr>
        <w:rPr>
          <w:rFonts w:hint="eastAsia" w:ascii="宋体" w:hAnsi="宋体" w:eastAsia="宋体"/>
          <w:b/>
          <w:bCs w:val="0"/>
          <w:color w:val="auto"/>
          <w:lang w:eastAsia="zh-CN"/>
        </w:rPr>
      </w:pPr>
    </w:p>
    <w:p w14:paraId="2021FECD">
      <w:pPr>
        <w:rPr>
          <w:rFonts w:hint="eastAsia" w:ascii="宋体" w:hAnsi="宋体" w:eastAsia="宋体"/>
          <w:b/>
          <w:bCs w:val="0"/>
          <w:color w:val="auto"/>
          <w:lang w:eastAsia="zh-CN"/>
        </w:rPr>
      </w:pPr>
    </w:p>
    <w:p w14:paraId="4078C925">
      <w:pPr>
        <w:rPr>
          <w:rFonts w:hint="eastAsia" w:ascii="宋体" w:hAnsi="宋体" w:eastAsia="宋体"/>
          <w:b/>
          <w:bCs w:val="0"/>
          <w:color w:val="auto"/>
          <w:lang w:eastAsia="zh-CN"/>
        </w:rPr>
      </w:pPr>
    </w:p>
    <w:p w14:paraId="0568808B">
      <w:pPr>
        <w:rPr>
          <w:rFonts w:hint="eastAsia" w:ascii="宋体" w:hAnsi="宋体" w:eastAsia="宋体"/>
          <w:b/>
          <w:bCs w:val="0"/>
          <w:color w:val="auto"/>
          <w:lang w:eastAsia="zh-CN"/>
        </w:rPr>
      </w:pPr>
    </w:p>
    <w:p w14:paraId="35C5FE3C">
      <w:pPr>
        <w:rPr>
          <w:rFonts w:hint="eastAsia" w:ascii="宋体" w:hAnsi="宋体" w:eastAsia="宋体"/>
          <w:b/>
          <w:bCs w:val="0"/>
          <w:color w:val="auto"/>
          <w:lang w:eastAsia="zh-CN"/>
        </w:rPr>
      </w:pPr>
    </w:p>
    <w:p w14:paraId="334C81B3">
      <w:pPr>
        <w:rPr>
          <w:rFonts w:hint="eastAsia" w:ascii="宋体" w:hAnsi="宋体" w:eastAsia="宋体"/>
          <w:b/>
          <w:bCs w:val="0"/>
          <w:color w:val="auto"/>
          <w:lang w:eastAsia="zh-CN"/>
        </w:rPr>
      </w:pPr>
    </w:p>
    <w:p w14:paraId="2A04A4A1">
      <w:pPr>
        <w:pStyle w:val="4"/>
        <w:keepNext/>
        <w:keepLines/>
        <w:pageBreakBefore w:val="0"/>
        <w:widowControl/>
        <w:kinsoku/>
        <w:wordWrap/>
        <w:overflowPunct/>
        <w:topLinePunct w:val="0"/>
        <w:autoSpaceDE/>
        <w:autoSpaceDN/>
        <w:bidi w:val="0"/>
        <w:adjustRightInd/>
        <w:snapToGrid/>
        <w:spacing w:after="196" w:afterLines="50"/>
        <w:jc w:val="center"/>
        <w:textAlignment w:val="auto"/>
        <w:rPr>
          <w:rFonts w:hint="eastAsia" w:ascii="宋体" w:hAnsi="宋体" w:eastAsia="宋体"/>
          <w:b/>
          <w:bCs w:val="0"/>
          <w:color w:val="auto"/>
          <w:lang w:eastAsia="zh-CN"/>
        </w:rPr>
        <w:sectPr>
          <w:pgSz w:w="11905" w:h="16838"/>
          <w:pgMar w:top="1134"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97" w:charSpace="0"/>
        </w:sectPr>
      </w:pPr>
    </w:p>
    <w:p w14:paraId="67234CA4">
      <w:pPr>
        <w:bidi w:val="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一、</w:t>
      </w:r>
      <w:r>
        <w:rPr>
          <w:rFonts w:hint="eastAsia" w:ascii="宋体" w:hAnsi="宋体" w:eastAsia="宋体" w:cs="宋体"/>
          <w:b/>
          <w:bCs/>
          <w:color w:val="auto"/>
          <w:sz w:val="32"/>
          <w:szCs w:val="32"/>
        </w:rPr>
        <w:t>投标函（格式）</w:t>
      </w:r>
      <w:bookmarkEnd w:id="278"/>
      <w:bookmarkEnd w:id="279"/>
      <w:bookmarkEnd w:id="280"/>
      <w:bookmarkEnd w:id="289"/>
      <w:bookmarkEnd w:id="290"/>
      <w:bookmarkEnd w:id="291"/>
      <w:bookmarkEnd w:id="292"/>
      <w:bookmarkEnd w:id="293"/>
      <w:bookmarkEnd w:id="294"/>
      <w:bookmarkEnd w:id="295"/>
      <w:bookmarkEnd w:id="296"/>
      <w:bookmarkEnd w:id="297"/>
      <w:bookmarkEnd w:id="298"/>
    </w:p>
    <w:p w14:paraId="1F83AD6E">
      <w:pPr>
        <w:spacing w:line="480" w:lineRule="exact"/>
        <w:ind w:right="560"/>
        <w:rPr>
          <w:rFonts w:hint="eastAsia" w:cs="仿宋" w:asciiTheme="minorEastAsia" w:hAnsiTheme="minorEastAsia" w:eastAsiaTheme="minorEastAsia"/>
          <w:bCs/>
          <w:color w:val="auto"/>
          <w:sz w:val="24"/>
          <w:szCs w:val="24"/>
          <w:lang w:eastAsia="zh-CN"/>
        </w:rPr>
      </w:pPr>
      <w:r>
        <w:rPr>
          <w:rFonts w:hint="eastAsia" w:cs="仿宋" w:asciiTheme="minorEastAsia" w:hAnsiTheme="minorEastAsia" w:eastAsiaTheme="minorEastAsia"/>
          <w:bCs/>
          <w:color w:val="auto"/>
          <w:sz w:val="24"/>
        </w:rPr>
        <w:t>致：</w:t>
      </w:r>
      <w:r>
        <w:rPr>
          <w:rFonts w:hint="eastAsia" w:cs="仿宋" w:asciiTheme="minorEastAsia" w:hAnsiTheme="minorEastAsia" w:eastAsiaTheme="minorEastAsia"/>
          <w:bCs/>
          <w:color w:val="auto"/>
          <w:sz w:val="24"/>
          <w:lang w:val="en-US" w:eastAsia="zh-CN"/>
        </w:rPr>
        <w:t>陕西途恒工程管理服务有限公司</w:t>
      </w:r>
    </w:p>
    <w:p w14:paraId="5D4F7CD5">
      <w:pPr>
        <w:spacing w:line="480" w:lineRule="exact"/>
        <w:ind w:firstLine="470" w:firstLineChars="196"/>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根据贵单位</w:t>
      </w:r>
      <w:r>
        <w:rPr>
          <w:rFonts w:hint="eastAsia" w:cs="仿宋" w:asciiTheme="minorEastAsia" w:hAnsiTheme="minorEastAsia" w:eastAsiaTheme="minorEastAsia"/>
          <w:bCs/>
          <w:color w:val="auto"/>
          <w:sz w:val="24"/>
          <w:u w:val="single"/>
        </w:rPr>
        <w:t xml:space="preserve">        （项目名称）</w:t>
      </w:r>
      <w:r>
        <w:rPr>
          <w:rFonts w:hint="eastAsia" w:cs="仿宋" w:asciiTheme="minorEastAsia" w:hAnsiTheme="minorEastAsia" w:eastAsiaTheme="minorEastAsia"/>
          <w:bCs/>
          <w:color w:val="auto"/>
          <w:sz w:val="24"/>
        </w:rPr>
        <w:t>项目的谈判公告，我方代表</w:t>
      </w:r>
      <w:r>
        <w:rPr>
          <w:rFonts w:hint="eastAsia" w:cs="仿宋" w:asciiTheme="minorEastAsia" w:hAnsiTheme="minorEastAsia" w:eastAsiaTheme="minorEastAsia"/>
          <w:bCs/>
          <w:color w:val="auto"/>
          <w:sz w:val="24"/>
          <w:u w:val="single"/>
        </w:rPr>
        <w:t xml:space="preserve">  （姓名、职务）</w:t>
      </w:r>
      <w:r>
        <w:rPr>
          <w:rFonts w:hint="eastAsia" w:cs="仿宋" w:asciiTheme="minorEastAsia" w:hAnsiTheme="minorEastAsia" w:eastAsiaTheme="minorEastAsia"/>
          <w:bCs/>
          <w:color w:val="auto"/>
          <w:sz w:val="24"/>
        </w:rPr>
        <w:t>经正式授权并代表</w:t>
      </w:r>
      <w:r>
        <w:rPr>
          <w:rFonts w:hint="eastAsia" w:cs="仿宋" w:asciiTheme="minorEastAsia" w:hAnsiTheme="minorEastAsia" w:eastAsiaTheme="minorEastAsia"/>
          <w:bCs/>
          <w:color w:val="auto"/>
          <w:sz w:val="24"/>
          <w:u w:val="single"/>
        </w:rPr>
        <w:t xml:space="preserve">     （供应商名称）</w:t>
      </w:r>
      <w:r>
        <w:rPr>
          <w:rFonts w:hint="eastAsia" w:cs="仿宋" w:asciiTheme="minorEastAsia" w:hAnsiTheme="minorEastAsia" w:eastAsiaTheme="minorEastAsia"/>
          <w:bCs/>
          <w:color w:val="auto"/>
          <w:sz w:val="24"/>
        </w:rPr>
        <w:t>就该项目进行投标。</w:t>
      </w:r>
    </w:p>
    <w:p w14:paraId="3AC4EEBE">
      <w:pPr>
        <w:spacing w:line="480" w:lineRule="exact"/>
        <w:ind w:firstLine="470" w:firstLineChars="196"/>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在此，我方郑重声明以下诸点，并负法律责任：</w:t>
      </w:r>
    </w:p>
    <w:p w14:paraId="2D85A4E8">
      <w:pPr>
        <w:spacing w:line="480" w:lineRule="exact"/>
        <w:ind w:firstLine="470" w:firstLineChars="196"/>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1、按照谈判文件中的一切要求，提供完全满足采购需求的合格服务保障。</w:t>
      </w:r>
    </w:p>
    <w:p w14:paraId="3C9B15BB">
      <w:pPr>
        <w:spacing w:line="480" w:lineRule="exact"/>
        <w:ind w:firstLine="470" w:firstLineChars="196"/>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2、如若成交，将根据谈判文件的要求、响应文件及承诺条件，全面签约并履行合同规定的责任和义务</w:t>
      </w:r>
    </w:p>
    <w:p w14:paraId="1014E89E">
      <w:pPr>
        <w:spacing w:line="480" w:lineRule="exact"/>
        <w:ind w:firstLine="470" w:firstLineChars="196"/>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val="en-US" w:eastAsia="zh-CN"/>
        </w:rPr>
        <w:t>3</w:t>
      </w:r>
      <w:r>
        <w:rPr>
          <w:rFonts w:hint="eastAsia" w:cs="仿宋" w:asciiTheme="minorEastAsia" w:hAnsiTheme="minorEastAsia" w:eastAsiaTheme="minorEastAsia"/>
          <w:bCs/>
          <w:color w:val="auto"/>
          <w:sz w:val="24"/>
        </w:rPr>
        <w:t>、按照谈判文件要求，我方投标</w:t>
      </w:r>
      <w:r>
        <w:rPr>
          <w:rFonts w:hint="eastAsia" w:cs="仿宋" w:asciiTheme="minorEastAsia" w:hAnsiTheme="minorEastAsia" w:eastAsiaTheme="minorEastAsia"/>
          <w:bCs/>
          <w:color w:val="auto"/>
          <w:sz w:val="24"/>
          <w:lang w:val="en-US" w:eastAsia="zh-CN"/>
        </w:rPr>
        <w:t>总价</w:t>
      </w:r>
      <w:r>
        <w:rPr>
          <w:rFonts w:hint="eastAsia" w:cs="仿宋" w:asciiTheme="minorEastAsia" w:hAnsiTheme="minorEastAsia" w:eastAsiaTheme="minorEastAsia"/>
          <w:bCs/>
          <w:color w:val="auto"/>
          <w:sz w:val="24"/>
        </w:rPr>
        <w:t>为：</w:t>
      </w:r>
      <w:r>
        <w:rPr>
          <w:rFonts w:hint="eastAsia" w:cs="仿宋" w:asciiTheme="minorEastAsia" w:hAnsiTheme="minorEastAsia" w:eastAsiaTheme="minorEastAsia"/>
          <w:bCs/>
          <w:color w:val="auto"/>
          <w:sz w:val="24"/>
          <w:lang w:val="zh-CN"/>
        </w:rPr>
        <w:t>总价</w:t>
      </w:r>
      <w:r>
        <w:rPr>
          <w:rFonts w:hint="eastAsia" w:cs="仿宋" w:asciiTheme="minorEastAsia" w:hAnsiTheme="minorEastAsia" w:eastAsiaTheme="minorEastAsia"/>
          <w:bCs/>
          <w:color w:val="auto"/>
          <w:sz w:val="24"/>
        </w:rPr>
        <w:t>(大写) 人民币</w:t>
      </w:r>
      <w:r>
        <w:rPr>
          <w:rFonts w:hint="eastAsia" w:cs="仿宋" w:asciiTheme="minorEastAsia" w:hAnsiTheme="minorEastAsia" w:eastAsiaTheme="minorEastAsia"/>
          <w:bCs/>
          <w:color w:val="auto"/>
          <w:sz w:val="24"/>
          <w:u w:val="single"/>
        </w:rPr>
        <w:t xml:space="preserve">       </w:t>
      </w:r>
      <w:r>
        <w:rPr>
          <w:rFonts w:hint="eastAsia" w:cs="仿宋" w:asciiTheme="minorEastAsia" w:hAnsiTheme="minorEastAsia" w:eastAsiaTheme="minorEastAsia"/>
          <w:bCs/>
          <w:color w:val="auto"/>
          <w:sz w:val="24"/>
        </w:rPr>
        <w:t xml:space="preserve"> ，</w:t>
      </w:r>
      <w:r>
        <w:rPr>
          <w:rFonts w:hint="eastAsia" w:cs="仿宋" w:asciiTheme="minorEastAsia" w:hAnsiTheme="minorEastAsia" w:eastAsiaTheme="minorEastAsia"/>
          <w:bCs/>
          <w:color w:val="auto"/>
          <w:sz w:val="24"/>
          <w:lang w:val="en-US" w:eastAsia="zh-CN"/>
        </w:rPr>
        <w:t>小写</w:t>
      </w:r>
      <w:r>
        <w:rPr>
          <w:rFonts w:hint="eastAsia" w:cs="仿宋" w:asciiTheme="minorEastAsia" w:hAnsiTheme="minorEastAsia" w:eastAsiaTheme="minorEastAsia"/>
          <w:bCs/>
          <w:color w:val="auto"/>
          <w:sz w:val="24"/>
          <w:u w:val="single"/>
        </w:rPr>
        <w:t xml:space="preserve">        </w:t>
      </w:r>
      <w:r>
        <w:rPr>
          <w:rFonts w:hint="eastAsia" w:cs="仿宋" w:asciiTheme="minorEastAsia" w:hAnsiTheme="minorEastAsia" w:eastAsiaTheme="minorEastAsia"/>
          <w:bCs/>
          <w:color w:val="auto"/>
          <w:sz w:val="24"/>
        </w:rPr>
        <w:t xml:space="preserve"> 。该报价一次报死，不受市场因素的影响。</w:t>
      </w:r>
    </w:p>
    <w:p w14:paraId="4117FC90">
      <w:pPr>
        <w:spacing w:line="480" w:lineRule="exact"/>
        <w:ind w:firstLine="470" w:firstLineChars="196"/>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val="en-US" w:eastAsia="zh-CN"/>
        </w:rPr>
        <w:t>4</w:t>
      </w:r>
      <w:r>
        <w:rPr>
          <w:rFonts w:hint="eastAsia" w:cs="仿宋" w:asciiTheme="minorEastAsia" w:hAnsiTheme="minorEastAsia" w:eastAsiaTheme="minorEastAsia"/>
          <w:bCs/>
          <w:color w:val="auto"/>
          <w:sz w:val="24"/>
        </w:rPr>
        <w:t>、我方已详细审查全部谈判文件，完全理解并同意放弃提出对这方面有不明及误解质疑的权力。</w:t>
      </w:r>
    </w:p>
    <w:p w14:paraId="4F2B4D97">
      <w:pPr>
        <w:spacing w:line="480" w:lineRule="exact"/>
        <w:ind w:firstLine="470" w:firstLineChars="196"/>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val="en-US" w:eastAsia="zh-CN"/>
        </w:rPr>
        <w:t>5</w:t>
      </w:r>
      <w:r>
        <w:rPr>
          <w:rFonts w:hint="eastAsia" w:cs="仿宋" w:asciiTheme="minorEastAsia" w:hAnsiTheme="minorEastAsia" w:eastAsiaTheme="minorEastAsia"/>
          <w:bCs/>
          <w:color w:val="auto"/>
          <w:sz w:val="24"/>
        </w:rPr>
        <w:t>、我方同意按照要求提供投标有关的一切数据或资料。</w:t>
      </w:r>
    </w:p>
    <w:p w14:paraId="60A22001">
      <w:pPr>
        <w:spacing w:line="480" w:lineRule="exact"/>
        <w:ind w:firstLine="470" w:firstLineChars="196"/>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val="en-US" w:eastAsia="zh-CN"/>
        </w:rPr>
        <w:t>6</w:t>
      </w:r>
      <w:r>
        <w:rPr>
          <w:rFonts w:hint="eastAsia" w:cs="仿宋" w:asciiTheme="minorEastAsia" w:hAnsiTheme="minorEastAsia" w:eastAsiaTheme="minorEastAsia"/>
          <w:bCs/>
          <w:color w:val="auto"/>
          <w:sz w:val="24"/>
        </w:rPr>
        <w:t>、我方完全理解最低报价不是成交的唯一条件，采购人有权选择质优价廉的服务。</w:t>
      </w:r>
    </w:p>
    <w:p w14:paraId="2EC2D24F">
      <w:pPr>
        <w:spacing w:line="480" w:lineRule="exact"/>
        <w:ind w:firstLine="470" w:firstLineChars="196"/>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val="en-US" w:eastAsia="zh-CN"/>
        </w:rPr>
        <w:t>7</w:t>
      </w:r>
      <w:r>
        <w:rPr>
          <w:rFonts w:hint="eastAsia" w:cs="仿宋" w:asciiTheme="minorEastAsia" w:hAnsiTheme="minorEastAsia" w:eastAsiaTheme="minorEastAsia"/>
          <w:bCs/>
          <w:color w:val="auto"/>
          <w:sz w:val="24"/>
        </w:rPr>
        <w:t>、我方同意按谈判文件规定，遵守贵方有关招标的各项规定。</w:t>
      </w:r>
    </w:p>
    <w:p w14:paraId="691CAFDE">
      <w:pPr>
        <w:spacing w:line="480" w:lineRule="exact"/>
        <w:ind w:firstLine="470" w:firstLineChars="196"/>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val="en-US" w:eastAsia="zh-CN"/>
        </w:rPr>
        <w:t>8</w:t>
      </w:r>
      <w:r>
        <w:rPr>
          <w:rFonts w:hint="eastAsia" w:cs="仿宋" w:asciiTheme="minorEastAsia" w:hAnsiTheme="minorEastAsia" w:eastAsiaTheme="minorEastAsia"/>
          <w:bCs/>
          <w:color w:val="auto"/>
          <w:sz w:val="24"/>
        </w:rPr>
        <w:t>、若我方成交，我方保证按有关规定向贵方支付招标服务费。</w:t>
      </w:r>
    </w:p>
    <w:p w14:paraId="067E3D8B">
      <w:pPr>
        <w:spacing w:line="480" w:lineRule="exact"/>
        <w:ind w:firstLine="470" w:firstLineChars="196"/>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val="en-US" w:eastAsia="zh-CN"/>
        </w:rPr>
        <w:t>9</w:t>
      </w:r>
      <w:r>
        <w:rPr>
          <w:rFonts w:hint="eastAsia" w:cs="仿宋" w:asciiTheme="minorEastAsia" w:hAnsiTheme="minorEastAsia" w:eastAsiaTheme="minorEastAsia"/>
          <w:bCs/>
          <w:color w:val="auto"/>
          <w:sz w:val="24"/>
        </w:rPr>
        <w:t>、投标有效期为自开标日起</w:t>
      </w:r>
      <w:r>
        <w:rPr>
          <w:rFonts w:hint="eastAsia" w:cs="仿宋" w:asciiTheme="minorEastAsia" w:hAnsiTheme="minorEastAsia" w:eastAsiaTheme="minorEastAsia"/>
          <w:bCs/>
          <w:color w:val="auto"/>
          <w:sz w:val="24"/>
          <w:u w:val="single"/>
        </w:rPr>
        <w:t xml:space="preserve">     </w:t>
      </w:r>
      <w:r>
        <w:rPr>
          <w:rFonts w:hint="eastAsia" w:cs="仿宋" w:asciiTheme="minorEastAsia" w:hAnsiTheme="minorEastAsia" w:eastAsiaTheme="minorEastAsia"/>
          <w:bCs/>
          <w:color w:val="auto"/>
          <w:sz w:val="24"/>
        </w:rPr>
        <w:t>个日历日。</w:t>
      </w:r>
    </w:p>
    <w:p w14:paraId="0D1EF382">
      <w:pPr>
        <w:spacing w:line="480" w:lineRule="exact"/>
        <w:ind w:firstLine="470" w:firstLineChars="196"/>
        <w:rPr>
          <w:rFonts w:cs="仿宋" w:asciiTheme="minorEastAsia" w:hAnsiTheme="minorEastAsia" w:eastAsiaTheme="minorEastAsia"/>
          <w:bCs/>
          <w:color w:val="auto"/>
          <w:sz w:val="24"/>
        </w:rPr>
      </w:pPr>
      <w:r>
        <w:rPr>
          <w:rFonts w:cs="仿宋" w:asciiTheme="minorEastAsia" w:hAnsiTheme="minorEastAsia" w:eastAsiaTheme="minorEastAsia"/>
          <w:bCs/>
          <w:color w:val="auto"/>
          <w:sz w:val="24"/>
        </w:rPr>
        <w:t>1</w:t>
      </w:r>
      <w:r>
        <w:rPr>
          <w:rFonts w:hint="eastAsia" w:cs="仿宋" w:asciiTheme="minorEastAsia" w:hAnsiTheme="minorEastAsia" w:eastAsiaTheme="minorEastAsia"/>
          <w:bCs/>
          <w:color w:val="auto"/>
          <w:sz w:val="24"/>
          <w:lang w:val="en-US" w:eastAsia="zh-CN"/>
        </w:rPr>
        <w:t>0</w:t>
      </w:r>
      <w:r>
        <w:rPr>
          <w:rFonts w:hint="eastAsia" w:cs="仿宋" w:asciiTheme="minorEastAsia" w:hAnsiTheme="minorEastAsia" w:eastAsiaTheme="minorEastAsia"/>
          <w:bCs/>
          <w:color w:val="auto"/>
          <w:sz w:val="24"/>
        </w:rPr>
        <w:t>、所有关于本项目的函电，请按下列地址联系：</w:t>
      </w:r>
    </w:p>
    <w:p w14:paraId="2C067E45">
      <w:pPr>
        <w:spacing w:line="480" w:lineRule="exact"/>
        <w:ind w:firstLine="480" w:firstLineChars="200"/>
        <w:rPr>
          <w:rFonts w:cs="仿宋" w:asciiTheme="minorEastAsia" w:hAnsiTheme="minorEastAsia" w:eastAsiaTheme="minorEastAsia"/>
          <w:bCs/>
          <w:color w:val="auto"/>
          <w:sz w:val="22"/>
          <w:szCs w:val="24"/>
          <w:u w:val="single"/>
        </w:rPr>
      </w:pPr>
      <w:r>
        <w:rPr>
          <w:rFonts w:hint="eastAsia" w:cs="仿宋" w:asciiTheme="minorEastAsia" w:hAnsiTheme="minorEastAsia" w:eastAsiaTheme="minorEastAsia"/>
          <w:bCs/>
          <w:color w:val="auto"/>
          <w:sz w:val="24"/>
        </w:rPr>
        <w:t>供应商名称（公章）：</w:t>
      </w:r>
      <w:r>
        <w:rPr>
          <w:rFonts w:hint="eastAsia" w:cs="仿宋" w:asciiTheme="minorEastAsia" w:hAnsiTheme="minorEastAsia" w:eastAsiaTheme="minorEastAsia"/>
          <w:bCs/>
          <w:color w:val="auto"/>
          <w:sz w:val="24"/>
          <w:u w:val="single"/>
        </w:rPr>
        <w:t xml:space="preserve">                                </w:t>
      </w:r>
    </w:p>
    <w:p w14:paraId="2C8A1DE8">
      <w:pPr>
        <w:spacing w:line="480" w:lineRule="exact"/>
        <w:ind w:firstLine="480" w:firstLineChars="200"/>
        <w:rPr>
          <w:rFonts w:cs="仿宋" w:asciiTheme="minorEastAsia" w:hAnsiTheme="minorEastAsia" w:eastAsiaTheme="minorEastAsia"/>
          <w:bCs/>
          <w:color w:val="auto"/>
          <w:sz w:val="24"/>
          <w:u w:val="single"/>
        </w:rPr>
      </w:pPr>
      <w:r>
        <w:rPr>
          <w:rFonts w:hint="eastAsia" w:cs="仿宋" w:asciiTheme="minorEastAsia" w:hAnsiTheme="minorEastAsia" w:eastAsiaTheme="minorEastAsia"/>
          <w:bCs/>
          <w:color w:val="auto"/>
          <w:sz w:val="24"/>
        </w:rPr>
        <w:t>详 细 地 址：</w:t>
      </w:r>
      <w:r>
        <w:rPr>
          <w:rFonts w:hint="eastAsia" w:cs="仿宋" w:asciiTheme="minorEastAsia" w:hAnsiTheme="minorEastAsia" w:eastAsiaTheme="minorEastAsia"/>
          <w:bCs/>
          <w:color w:val="auto"/>
          <w:sz w:val="24"/>
          <w:u w:val="single"/>
        </w:rPr>
        <w:t xml:space="preserve">                                      </w:t>
      </w:r>
    </w:p>
    <w:p w14:paraId="41300905">
      <w:pPr>
        <w:spacing w:line="480" w:lineRule="exact"/>
        <w:ind w:firstLine="480" w:firstLineChars="200"/>
        <w:rPr>
          <w:rFonts w:cs="仿宋" w:asciiTheme="minorEastAsia" w:hAnsiTheme="minorEastAsia" w:eastAsiaTheme="minorEastAsia"/>
          <w:bCs/>
          <w:color w:val="auto"/>
          <w:sz w:val="24"/>
          <w:u w:val="single"/>
        </w:rPr>
      </w:pPr>
      <w:r>
        <w:rPr>
          <w:rFonts w:hint="eastAsia" w:cs="仿宋" w:asciiTheme="minorEastAsia" w:hAnsiTheme="minorEastAsia" w:eastAsiaTheme="minorEastAsia"/>
          <w:bCs/>
          <w:color w:val="auto"/>
          <w:sz w:val="24"/>
        </w:rPr>
        <w:t>邮 政 编 码：</w:t>
      </w:r>
      <w:r>
        <w:rPr>
          <w:rFonts w:hint="eastAsia" w:cs="仿宋" w:asciiTheme="minorEastAsia" w:hAnsiTheme="minorEastAsia" w:eastAsiaTheme="minorEastAsia"/>
          <w:bCs/>
          <w:color w:val="auto"/>
          <w:sz w:val="24"/>
          <w:u w:val="single"/>
        </w:rPr>
        <w:t xml:space="preserve">                   </w:t>
      </w:r>
      <w:r>
        <w:rPr>
          <w:rFonts w:hint="eastAsia" w:cs="仿宋" w:asciiTheme="minorEastAsia" w:hAnsiTheme="minorEastAsia" w:eastAsiaTheme="minorEastAsia"/>
          <w:bCs/>
          <w:color w:val="auto"/>
          <w:sz w:val="24"/>
          <w:lang w:val="zh-CN"/>
        </w:rPr>
        <w:t>传       真：</w:t>
      </w:r>
      <w:r>
        <w:rPr>
          <w:rFonts w:hint="eastAsia" w:cs="仿宋" w:asciiTheme="minorEastAsia" w:hAnsiTheme="minorEastAsia" w:eastAsiaTheme="minorEastAsia"/>
          <w:bCs/>
          <w:color w:val="auto"/>
          <w:sz w:val="24"/>
          <w:u w:val="single"/>
          <w:lang w:val="zh-CN"/>
        </w:rPr>
        <w:t xml:space="preserve">                 </w:t>
      </w:r>
    </w:p>
    <w:p w14:paraId="0CD79103">
      <w:pPr>
        <w:spacing w:line="480" w:lineRule="exact"/>
        <w:ind w:firstLine="480" w:firstLineChars="200"/>
        <w:rPr>
          <w:rFonts w:cs="仿宋" w:asciiTheme="minorEastAsia" w:hAnsiTheme="minorEastAsia" w:eastAsiaTheme="minorEastAsia"/>
          <w:bCs/>
          <w:color w:val="auto"/>
          <w:sz w:val="24"/>
          <w:u w:val="single"/>
        </w:rPr>
      </w:pPr>
      <w:r>
        <w:rPr>
          <w:rFonts w:hint="eastAsia" w:cs="仿宋" w:asciiTheme="minorEastAsia" w:hAnsiTheme="minorEastAsia" w:eastAsiaTheme="minorEastAsia"/>
          <w:bCs/>
          <w:color w:val="auto"/>
          <w:sz w:val="24"/>
          <w:lang w:val="zh-CN"/>
        </w:rPr>
        <w:t>电       话：</w:t>
      </w:r>
      <w:r>
        <w:rPr>
          <w:rFonts w:hint="eastAsia" w:cs="仿宋" w:asciiTheme="minorEastAsia" w:hAnsiTheme="minorEastAsia" w:eastAsiaTheme="minorEastAsia"/>
          <w:bCs/>
          <w:color w:val="auto"/>
          <w:sz w:val="24"/>
          <w:u w:val="single"/>
          <w:lang w:val="zh-CN"/>
        </w:rPr>
        <w:t xml:space="preserve">                   </w:t>
      </w:r>
      <w:r>
        <w:rPr>
          <w:rFonts w:hint="eastAsia" w:cs="仿宋" w:asciiTheme="minorEastAsia" w:hAnsiTheme="minorEastAsia" w:eastAsiaTheme="minorEastAsia"/>
          <w:bCs/>
          <w:color w:val="auto"/>
          <w:sz w:val="24"/>
          <w:lang w:val="zh-CN"/>
        </w:rPr>
        <w:t>帐       号：</w:t>
      </w:r>
      <w:r>
        <w:rPr>
          <w:rFonts w:hint="eastAsia" w:cs="仿宋" w:asciiTheme="minorEastAsia" w:hAnsiTheme="minorEastAsia" w:eastAsiaTheme="minorEastAsia"/>
          <w:bCs/>
          <w:color w:val="auto"/>
          <w:sz w:val="24"/>
          <w:u w:val="single"/>
          <w:lang w:val="zh-CN"/>
        </w:rPr>
        <w:t xml:space="preserve">                </w:t>
      </w:r>
    </w:p>
    <w:p w14:paraId="2FC8F369">
      <w:pPr>
        <w:spacing w:line="480" w:lineRule="exact"/>
        <w:ind w:firstLine="480" w:firstLineChars="200"/>
        <w:rPr>
          <w:rFonts w:cs="仿宋" w:asciiTheme="minorEastAsia" w:hAnsiTheme="minorEastAsia" w:eastAsiaTheme="minorEastAsia"/>
          <w:bCs/>
          <w:color w:val="auto"/>
        </w:rPr>
      </w:pPr>
      <w:r>
        <w:rPr>
          <w:rFonts w:hint="eastAsia" w:cs="仿宋" w:asciiTheme="minorEastAsia" w:hAnsiTheme="minorEastAsia" w:eastAsiaTheme="minorEastAsia"/>
          <w:bCs/>
          <w:color w:val="auto"/>
          <w:sz w:val="24"/>
          <w:lang w:val="zh-CN"/>
        </w:rPr>
        <w:t>开 户 银 行：</w:t>
      </w:r>
      <w:r>
        <w:rPr>
          <w:rFonts w:hint="eastAsia" w:cs="仿宋" w:asciiTheme="minorEastAsia" w:hAnsiTheme="minorEastAsia" w:eastAsiaTheme="minorEastAsia"/>
          <w:bCs/>
          <w:color w:val="auto"/>
          <w:sz w:val="24"/>
          <w:u w:val="single"/>
          <w:lang w:val="zh-CN"/>
        </w:rPr>
        <w:t xml:space="preserve">                   </w:t>
      </w:r>
      <w:r>
        <w:rPr>
          <w:rFonts w:hint="eastAsia" w:cs="仿宋" w:asciiTheme="minorEastAsia" w:hAnsiTheme="minorEastAsia" w:eastAsiaTheme="minorEastAsia"/>
          <w:bCs/>
          <w:color w:val="auto"/>
          <w:sz w:val="24"/>
        </w:rPr>
        <w:t>电 子 邮 件：</w:t>
      </w:r>
      <w:r>
        <w:rPr>
          <w:rFonts w:hint="eastAsia" w:cs="仿宋" w:asciiTheme="minorEastAsia" w:hAnsiTheme="minorEastAsia" w:eastAsiaTheme="minorEastAsia"/>
          <w:bCs/>
          <w:color w:val="auto"/>
          <w:sz w:val="24"/>
          <w:u w:val="single"/>
        </w:rPr>
        <w:t xml:space="preserve">              </w:t>
      </w:r>
      <w:r>
        <w:rPr>
          <w:rFonts w:hint="eastAsia" w:cs="仿宋" w:asciiTheme="minorEastAsia" w:hAnsiTheme="minorEastAsia" w:eastAsiaTheme="minorEastAsia"/>
          <w:bCs/>
          <w:color w:val="auto"/>
          <w:u w:val="single"/>
        </w:rPr>
        <w:t xml:space="preserve">     </w:t>
      </w:r>
    </w:p>
    <w:bookmarkEnd w:id="281"/>
    <w:p w14:paraId="698C621D">
      <w:pPr>
        <w:spacing w:line="240" w:lineRule="auto"/>
        <w:jc w:val="left"/>
        <w:rPr>
          <w:rFonts w:ascii="宋体" w:hAnsi="宋体" w:eastAsia="宋体"/>
          <w:bCs/>
          <w:color w:val="auto"/>
          <w:sz w:val="32"/>
          <w:szCs w:val="32"/>
        </w:rPr>
      </w:pPr>
      <w:bookmarkStart w:id="299" w:name="_Toc30983"/>
      <w:bookmarkStart w:id="300" w:name="_Toc536202325"/>
      <w:bookmarkStart w:id="301" w:name="_Toc536202394"/>
      <w:bookmarkStart w:id="302" w:name="_Toc23315684"/>
      <w:bookmarkStart w:id="303" w:name="_Toc23316697"/>
      <w:bookmarkStart w:id="304" w:name="_Toc23316599"/>
      <w:bookmarkStart w:id="305" w:name="_Toc15789"/>
      <w:bookmarkStart w:id="306" w:name="_Toc536429387"/>
      <w:bookmarkStart w:id="307" w:name="_Toc23316535"/>
      <w:bookmarkStart w:id="308" w:name="_Toc536429334"/>
      <w:bookmarkStart w:id="309" w:name="_Toc13642252"/>
      <w:bookmarkStart w:id="310" w:name="_Toc20794"/>
      <w:r>
        <w:rPr>
          <w:rFonts w:ascii="宋体" w:hAnsi="宋体" w:eastAsia="宋体"/>
          <w:b/>
          <w:color w:val="auto"/>
        </w:rPr>
        <w:br w:type="page"/>
      </w:r>
    </w:p>
    <w:p w14:paraId="03B0DDCC">
      <w:pPr>
        <w:bidi w:val="0"/>
        <w:jc w:val="center"/>
        <w:rPr>
          <w:rFonts w:hint="eastAsia" w:ascii="宋体" w:hAnsi="宋体" w:eastAsia="宋体" w:cs="宋体"/>
          <w:b/>
          <w:bCs/>
          <w:color w:val="auto"/>
          <w:sz w:val="32"/>
          <w:szCs w:val="32"/>
          <w:lang w:val="en-US" w:eastAsia="zh-CN"/>
        </w:rPr>
      </w:pPr>
      <w:bookmarkStart w:id="311" w:name="_Toc35335271"/>
      <w:bookmarkStart w:id="312" w:name="_Toc20183"/>
      <w:bookmarkStart w:id="313" w:name="_Toc16745"/>
      <w:bookmarkStart w:id="314" w:name="_Toc22662"/>
      <w:r>
        <w:rPr>
          <w:rFonts w:hint="eastAsia" w:ascii="宋体" w:hAnsi="宋体" w:eastAsia="宋体" w:cs="宋体"/>
          <w:b/>
          <w:bCs/>
          <w:color w:val="auto"/>
          <w:sz w:val="32"/>
          <w:szCs w:val="32"/>
          <w:lang w:val="en-US" w:eastAsia="zh-CN"/>
        </w:rPr>
        <w:t>二、</w:t>
      </w:r>
      <w:bookmarkEnd w:id="299"/>
      <w:r>
        <w:rPr>
          <w:rFonts w:hint="eastAsia" w:ascii="宋体" w:hAnsi="宋体" w:eastAsia="宋体" w:cs="宋体"/>
          <w:b/>
          <w:bCs/>
          <w:color w:val="auto"/>
          <w:sz w:val="32"/>
          <w:szCs w:val="32"/>
          <w:lang w:val="en-US" w:eastAsia="zh-CN"/>
        </w:rPr>
        <w:t>报价一览表</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767AFAE3">
      <w:pPr>
        <w:widowControl w:val="0"/>
        <w:spacing w:line="240" w:lineRule="auto"/>
        <w:rPr>
          <w:rFonts w:ascii="宋体" w:hAnsi="宋体" w:eastAsia="宋体"/>
          <w:color w:val="auto"/>
          <w:sz w:val="24"/>
          <w:szCs w:val="24"/>
        </w:rPr>
      </w:pPr>
      <w:bookmarkStart w:id="315" w:name="_Toc536202395"/>
      <w:bookmarkStart w:id="316" w:name="_Toc536202326"/>
      <w:bookmarkStart w:id="317" w:name="_Toc536429388"/>
      <w:bookmarkStart w:id="318" w:name="_Toc536429335"/>
      <w:r>
        <w:rPr>
          <w:rFonts w:hint="eastAsia" w:ascii="宋体" w:hAnsi="宋体" w:eastAsia="宋体"/>
          <w:color w:val="auto"/>
          <w:sz w:val="24"/>
          <w:szCs w:val="24"/>
        </w:rPr>
        <w:t>供应商名称：</w:t>
      </w:r>
      <w:bookmarkEnd w:id="315"/>
      <w:bookmarkEnd w:id="316"/>
      <w:bookmarkEnd w:id="317"/>
      <w:bookmarkEnd w:id="318"/>
      <w:r>
        <w:rPr>
          <w:rFonts w:hint="eastAsia" w:ascii="宋体" w:hAnsi="宋体" w:eastAsia="宋体"/>
          <w:color w:val="auto"/>
          <w:sz w:val="24"/>
          <w:szCs w:val="24"/>
        </w:rPr>
        <w:t xml:space="preserve">                                          </w:t>
      </w:r>
    </w:p>
    <w:tbl>
      <w:tblPr>
        <w:tblStyle w:val="35"/>
        <w:tblW w:w="9197" w:type="dxa"/>
        <w:tblInd w:w="0" w:type="dxa"/>
        <w:tblLayout w:type="fixed"/>
        <w:tblCellMar>
          <w:top w:w="0" w:type="dxa"/>
          <w:left w:w="0" w:type="dxa"/>
          <w:bottom w:w="0" w:type="dxa"/>
          <w:right w:w="0" w:type="dxa"/>
        </w:tblCellMar>
      </w:tblPr>
      <w:tblGrid>
        <w:gridCol w:w="4006"/>
        <w:gridCol w:w="2084"/>
        <w:gridCol w:w="1575"/>
        <w:gridCol w:w="1532"/>
      </w:tblGrid>
      <w:tr w14:paraId="5B80DB0B">
        <w:tblPrEx>
          <w:tblCellMar>
            <w:top w:w="0" w:type="dxa"/>
            <w:left w:w="0" w:type="dxa"/>
            <w:bottom w:w="0" w:type="dxa"/>
            <w:right w:w="0" w:type="dxa"/>
          </w:tblCellMar>
        </w:tblPrEx>
        <w:trPr>
          <w:trHeight w:val="2085" w:hRule="atLeast"/>
        </w:trPr>
        <w:tc>
          <w:tcPr>
            <w:tcW w:w="4006" w:type="dxa"/>
            <w:tcBorders>
              <w:top w:val="single" w:color="auto" w:sz="8" w:space="0"/>
              <w:left w:val="single" w:color="auto" w:sz="8" w:space="0"/>
              <w:bottom w:val="single" w:color="auto" w:sz="8" w:space="0"/>
              <w:right w:val="single" w:color="auto" w:sz="8" w:space="0"/>
              <w:tl2br w:val="single" w:color="auto" w:sz="4" w:space="0"/>
            </w:tcBorders>
          </w:tcPr>
          <w:p w14:paraId="74414B39">
            <w:pPr>
              <w:keepNext w:val="0"/>
              <w:keepLines w:val="0"/>
              <w:widowControl/>
              <w:suppressLineNumbers w:val="0"/>
              <w:spacing w:before="100" w:beforeAutospacing="1" w:after="100" w:afterAutospacing="1" w:line="460" w:lineRule="atLeast"/>
              <w:ind w:left="0" w:right="0" w:firstLine="2880" w:firstLineChars="1200"/>
              <w:rPr>
                <w:rFonts w:hint="default" w:ascii="宋体" w:hAnsi="宋体" w:eastAsia="宋体" w:cs="仿宋"/>
                <w:b w:val="0"/>
                <w:bCs w:val="0"/>
                <w:color w:val="auto"/>
                <w:kern w:val="0"/>
                <w:sz w:val="24"/>
                <w:szCs w:val="24"/>
              </w:rPr>
            </w:pPr>
            <w:bookmarkStart w:id="319" w:name="_Hlk502055010"/>
            <w:r>
              <w:rPr>
                <w:rFonts w:hint="eastAsia" w:ascii="宋体" w:hAnsi="宋体" w:eastAsia="宋体" w:cs="仿宋"/>
                <w:b w:val="0"/>
                <w:bCs w:val="0"/>
                <w:color w:val="auto"/>
                <w:kern w:val="0"/>
                <w:sz w:val="24"/>
                <w:szCs w:val="24"/>
              </w:rPr>
              <w:t>报价内容</w:t>
            </w:r>
          </w:p>
          <w:p w14:paraId="679AED83">
            <w:pPr>
              <w:keepNext w:val="0"/>
              <w:keepLines w:val="0"/>
              <w:widowControl/>
              <w:suppressLineNumbers w:val="0"/>
              <w:spacing w:before="100" w:beforeAutospacing="1" w:after="100" w:afterAutospacing="1" w:line="460" w:lineRule="atLeast"/>
              <w:ind w:left="0" w:right="0"/>
              <w:rPr>
                <w:rFonts w:hint="eastAsia" w:ascii="宋体" w:hAnsi="宋体" w:eastAsia="宋体" w:cs="仿宋"/>
                <w:b w:val="0"/>
                <w:bCs w:val="0"/>
                <w:color w:val="auto"/>
                <w:kern w:val="0"/>
                <w:sz w:val="24"/>
                <w:szCs w:val="24"/>
              </w:rPr>
            </w:pPr>
            <w:r>
              <w:rPr>
                <w:rFonts w:hint="eastAsia" w:ascii="宋体" w:hAnsi="宋体" w:eastAsia="宋体" w:cs="仿宋"/>
                <w:b w:val="0"/>
                <w:bCs w:val="0"/>
                <w:color w:val="auto"/>
                <w:kern w:val="0"/>
                <w:sz w:val="24"/>
                <w:szCs w:val="24"/>
              </w:rPr>
              <w:t> </w:t>
            </w:r>
          </w:p>
          <w:p w14:paraId="429D38F7">
            <w:pPr>
              <w:keepNext w:val="0"/>
              <w:keepLines w:val="0"/>
              <w:widowControl/>
              <w:suppressLineNumbers w:val="0"/>
              <w:spacing w:before="100" w:beforeAutospacing="1" w:after="100" w:afterAutospacing="1" w:line="460" w:lineRule="atLeast"/>
              <w:ind w:left="0" w:right="0" w:firstLine="240" w:firstLineChars="100"/>
              <w:rPr>
                <w:rFonts w:hint="default" w:ascii="宋体" w:hAnsi="宋体" w:eastAsia="宋体" w:cs="仿宋"/>
                <w:bCs/>
                <w:color w:val="auto"/>
                <w:kern w:val="0"/>
                <w:sz w:val="24"/>
                <w:szCs w:val="24"/>
              </w:rPr>
            </w:pPr>
            <w:r>
              <w:rPr>
                <w:rFonts w:hint="default" w:ascii="宋体" w:hAnsi="宋体" w:eastAsia="宋体" w:cs="仿宋"/>
                <w:b w:val="0"/>
                <w:bCs w:val="0"/>
                <w:color w:val="auto"/>
                <w:kern w:val="0"/>
                <w:sz w:val="24"/>
                <w:szCs w:val="24"/>
              </w:rPr>
              <w:t>项目名称</w:t>
            </w:r>
          </w:p>
        </w:tc>
        <w:tc>
          <w:tcPr>
            <w:tcW w:w="208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5663FD">
            <w:pPr>
              <w:keepNext w:val="0"/>
              <w:keepLines w:val="0"/>
              <w:widowControl/>
              <w:suppressLineNumbers w:val="0"/>
              <w:spacing w:before="100" w:beforeAutospacing="1" w:after="100" w:afterAutospacing="1" w:line="440" w:lineRule="exact"/>
              <w:ind w:left="0" w:right="0"/>
              <w:jc w:val="center"/>
              <w:rPr>
                <w:rFonts w:hint="default" w:ascii="宋体" w:hAnsi="宋体" w:eastAsia="宋体" w:cs="仿宋"/>
                <w:bCs/>
                <w:color w:val="auto"/>
                <w:kern w:val="0"/>
                <w:sz w:val="24"/>
                <w:szCs w:val="24"/>
                <w:highlight w:val="none"/>
                <w:lang w:val="en-US" w:eastAsia="zh-CN"/>
              </w:rPr>
            </w:pPr>
            <w:r>
              <w:rPr>
                <w:rFonts w:hint="eastAsia" w:ascii="宋体" w:hAnsi="宋体" w:eastAsia="宋体" w:cs="仿宋"/>
                <w:bCs/>
                <w:color w:val="auto"/>
                <w:kern w:val="0"/>
                <w:sz w:val="24"/>
                <w:szCs w:val="24"/>
                <w:highlight w:val="none"/>
                <w:lang w:val="en-US" w:eastAsia="zh-CN"/>
              </w:rPr>
              <w:t>投标总报价</w:t>
            </w:r>
          </w:p>
          <w:p w14:paraId="591B652A">
            <w:pPr>
              <w:keepNext w:val="0"/>
              <w:keepLines w:val="0"/>
              <w:widowControl/>
              <w:suppressLineNumbers w:val="0"/>
              <w:spacing w:before="100" w:beforeAutospacing="1" w:after="100" w:afterAutospacing="1" w:line="440" w:lineRule="exact"/>
              <w:ind w:left="0" w:right="0"/>
              <w:jc w:val="center"/>
              <w:rPr>
                <w:rFonts w:hint="eastAsia" w:ascii="宋体" w:hAnsi="宋体" w:eastAsia="宋体" w:cs="仿宋"/>
                <w:bCs/>
                <w:color w:val="auto"/>
                <w:kern w:val="0"/>
                <w:sz w:val="24"/>
                <w:szCs w:val="24"/>
                <w:lang w:eastAsia="zh-CN"/>
              </w:rPr>
            </w:pPr>
            <w:r>
              <w:rPr>
                <w:rFonts w:hint="eastAsia" w:ascii="宋体" w:hAnsi="宋体" w:eastAsia="宋体" w:cs="仿宋"/>
                <w:bCs/>
                <w:color w:val="auto"/>
                <w:kern w:val="0"/>
                <w:sz w:val="24"/>
                <w:szCs w:val="24"/>
                <w:highlight w:val="none"/>
                <w:lang w:eastAsia="zh-CN"/>
              </w:rPr>
              <w:t>（元）</w:t>
            </w:r>
          </w:p>
        </w:tc>
        <w:tc>
          <w:tcPr>
            <w:tcW w:w="1575"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14:paraId="54080283">
            <w:pPr>
              <w:keepNext w:val="0"/>
              <w:keepLines w:val="0"/>
              <w:widowControl/>
              <w:suppressLineNumbers w:val="0"/>
              <w:spacing w:before="100" w:beforeAutospacing="1" w:after="100" w:afterAutospacing="1" w:line="440" w:lineRule="exact"/>
              <w:ind w:left="0" w:right="0"/>
              <w:jc w:val="center"/>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合同履行期</w:t>
            </w:r>
          </w:p>
          <w:p w14:paraId="0D96D13F">
            <w:pPr>
              <w:keepNext w:val="0"/>
              <w:keepLines w:val="0"/>
              <w:widowControl/>
              <w:suppressLineNumbers w:val="0"/>
              <w:spacing w:before="100" w:beforeAutospacing="1" w:after="100" w:afterAutospacing="1" w:line="440" w:lineRule="exact"/>
              <w:ind w:left="0" w:right="0"/>
              <w:jc w:val="center"/>
              <w:rPr>
                <w:rFonts w:hint="eastAsia" w:ascii="宋体" w:hAnsi="宋体" w:eastAsia="宋体" w:cs="仿宋"/>
                <w:bCs/>
                <w:color w:val="auto"/>
                <w:kern w:val="0"/>
                <w:sz w:val="24"/>
                <w:szCs w:val="24"/>
                <w:lang w:eastAsia="zh-CN"/>
              </w:rPr>
            </w:pPr>
            <w:r>
              <w:rPr>
                <w:rFonts w:hint="eastAsia" w:ascii="宋体" w:hAnsi="宋体" w:eastAsia="宋体" w:cs="宋体"/>
                <w:bCs/>
                <w:color w:val="auto"/>
                <w:kern w:val="0"/>
                <w:sz w:val="24"/>
                <w:szCs w:val="24"/>
                <w:lang w:val="en-US" w:eastAsia="zh-CN"/>
              </w:rPr>
              <w:t>（月）</w:t>
            </w:r>
          </w:p>
        </w:tc>
        <w:tc>
          <w:tcPr>
            <w:tcW w:w="1532"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6A557CAF">
            <w:pPr>
              <w:keepNext w:val="0"/>
              <w:keepLines w:val="0"/>
              <w:widowControl/>
              <w:suppressLineNumbers w:val="0"/>
              <w:spacing w:before="100" w:beforeAutospacing="1" w:after="100" w:afterAutospacing="1" w:line="440" w:lineRule="exact"/>
              <w:ind w:left="0" w:right="0"/>
              <w:jc w:val="center"/>
              <w:rPr>
                <w:rFonts w:hint="eastAsia" w:ascii="宋体" w:hAnsi="宋体" w:eastAsia="宋体" w:cs="仿宋"/>
                <w:bCs/>
                <w:color w:val="auto"/>
                <w:kern w:val="0"/>
                <w:sz w:val="24"/>
                <w:szCs w:val="24"/>
                <w:lang w:eastAsia="zh-CN"/>
              </w:rPr>
            </w:pPr>
            <w:r>
              <w:rPr>
                <w:rFonts w:hint="eastAsia" w:ascii="宋体" w:hAnsi="宋体" w:eastAsia="宋体" w:cs="仿宋"/>
                <w:bCs/>
                <w:color w:val="auto"/>
                <w:kern w:val="0"/>
                <w:sz w:val="24"/>
                <w:szCs w:val="24"/>
                <w:lang w:val="en-US" w:eastAsia="zh-CN"/>
              </w:rPr>
              <w:t>备注</w:t>
            </w:r>
          </w:p>
        </w:tc>
      </w:tr>
      <w:tr w14:paraId="218DE74E">
        <w:tblPrEx>
          <w:tblCellMar>
            <w:top w:w="0" w:type="dxa"/>
            <w:left w:w="0" w:type="dxa"/>
            <w:bottom w:w="0" w:type="dxa"/>
            <w:right w:w="0" w:type="dxa"/>
          </w:tblCellMar>
        </w:tblPrEx>
        <w:trPr>
          <w:trHeight w:val="2068" w:hRule="atLeast"/>
        </w:trPr>
        <w:tc>
          <w:tcPr>
            <w:tcW w:w="40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05D18C">
            <w:pPr>
              <w:keepNext w:val="0"/>
              <w:keepLines w:val="0"/>
              <w:widowControl/>
              <w:suppressLineNumbers w:val="0"/>
              <w:spacing w:before="100" w:beforeAutospacing="1" w:after="100" w:afterAutospacing="1" w:line="500" w:lineRule="atLeast"/>
              <w:ind w:left="0" w:right="0"/>
              <w:jc w:val="center"/>
              <w:rPr>
                <w:rFonts w:hint="default" w:ascii="宋体" w:hAnsi="宋体" w:eastAsia="宋体" w:cs="仿宋"/>
                <w:bCs/>
                <w:color w:val="auto"/>
                <w:kern w:val="0"/>
                <w:sz w:val="24"/>
                <w:szCs w:val="24"/>
              </w:rPr>
            </w:pPr>
            <w:r>
              <w:rPr>
                <w:rFonts w:hint="eastAsia" w:ascii="宋体" w:hAnsi="宋体" w:eastAsia="宋体" w:cs="仿宋"/>
                <w:bCs/>
                <w:color w:val="auto"/>
                <w:kern w:val="0"/>
                <w:sz w:val="24"/>
                <w:szCs w:val="24"/>
              </w:rPr>
              <w:t> </w:t>
            </w:r>
          </w:p>
        </w:tc>
        <w:tc>
          <w:tcPr>
            <w:tcW w:w="2084"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0E21A2">
            <w:pPr>
              <w:keepNext w:val="0"/>
              <w:keepLines w:val="0"/>
              <w:widowControl w:val="0"/>
              <w:suppressLineNumbers w:val="0"/>
              <w:spacing w:before="100" w:beforeAutospacing="1" w:after="100" w:afterAutospacing="1" w:line="500" w:lineRule="atLeast"/>
              <w:ind w:left="280" w:right="0"/>
              <w:jc w:val="center"/>
              <w:rPr>
                <w:rFonts w:hint="default" w:ascii="宋体" w:hAnsi="宋体" w:eastAsia="宋体" w:cs="仿宋"/>
                <w:bCs/>
                <w:color w:val="auto"/>
                <w:kern w:val="0"/>
                <w:sz w:val="24"/>
                <w:szCs w:val="24"/>
              </w:rPr>
            </w:pPr>
          </w:p>
        </w:tc>
        <w:tc>
          <w:tcPr>
            <w:tcW w:w="1575" w:type="dxa"/>
            <w:tcBorders>
              <w:top w:val="single" w:color="auto" w:sz="4" w:space="0"/>
              <w:left w:val="single" w:color="auto" w:sz="8" w:space="0"/>
              <w:bottom w:val="single" w:color="auto" w:sz="8" w:space="0"/>
              <w:right w:val="single" w:color="auto" w:sz="4" w:space="0"/>
            </w:tcBorders>
            <w:tcMar>
              <w:top w:w="0" w:type="dxa"/>
              <w:left w:w="108" w:type="dxa"/>
              <w:bottom w:w="0" w:type="dxa"/>
              <w:right w:w="108" w:type="dxa"/>
            </w:tcMar>
            <w:vAlign w:val="center"/>
          </w:tcPr>
          <w:p w14:paraId="59D00D0D">
            <w:pPr>
              <w:keepNext w:val="0"/>
              <w:keepLines w:val="0"/>
              <w:widowControl/>
              <w:suppressLineNumbers w:val="0"/>
              <w:spacing w:before="100" w:beforeAutospacing="1" w:after="100" w:afterAutospacing="1" w:line="460" w:lineRule="atLeast"/>
              <w:ind w:left="0" w:right="0"/>
              <w:jc w:val="left"/>
              <w:rPr>
                <w:rFonts w:hint="default" w:ascii="宋体" w:hAnsi="宋体" w:eastAsia="宋体" w:cs="仿宋"/>
                <w:bCs/>
                <w:color w:val="auto"/>
                <w:kern w:val="0"/>
                <w:sz w:val="24"/>
                <w:szCs w:val="24"/>
              </w:rPr>
            </w:pPr>
          </w:p>
        </w:tc>
        <w:tc>
          <w:tcPr>
            <w:tcW w:w="1532"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14:paraId="1C7C8FA9">
            <w:pPr>
              <w:keepNext w:val="0"/>
              <w:keepLines w:val="0"/>
              <w:widowControl/>
              <w:suppressLineNumbers w:val="0"/>
              <w:spacing w:before="100" w:beforeAutospacing="1" w:after="100" w:afterAutospacing="1" w:line="460" w:lineRule="atLeast"/>
              <w:ind w:left="0" w:right="0"/>
              <w:jc w:val="left"/>
              <w:rPr>
                <w:rFonts w:hint="default" w:ascii="宋体" w:hAnsi="宋体" w:eastAsia="宋体" w:cs="仿宋"/>
                <w:bCs/>
                <w:color w:val="auto"/>
                <w:kern w:val="0"/>
                <w:sz w:val="24"/>
                <w:szCs w:val="24"/>
              </w:rPr>
            </w:pPr>
          </w:p>
        </w:tc>
      </w:tr>
      <w:bookmarkEnd w:id="319"/>
    </w:tbl>
    <w:p w14:paraId="51EAF5D5">
      <w:pPr>
        <w:widowControl w:val="0"/>
        <w:adjustRightInd w:val="0"/>
        <w:snapToGrid w:val="0"/>
        <w:spacing w:line="480" w:lineRule="auto"/>
        <w:jc w:val="left"/>
        <w:rPr>
          <w:rFonts w:ascii="宋体" w:hAnsi="宋体" w:eastAsia="宋体" w:cs="宋体"/>
          <w:color w:val="auto"/>
          <w:sz w:val="24"/>
          <w:szCs w:val="24"/>
        </w:rPr>
      </w:pPr>
      <w:r>
        <w:rPr>
          <w:rFonts w:hint="eastAsia" w:ascii="宋体" w:hAnsi="宋体" w:eastAsia="宋体" w:cs="宋体"/>
          <w:color w:val="auto"/>
          <w:sz w:val="24"/>
          <w:szCs w:val="24"/>
        </w:rPr>
        <w:t>备注</w:t>
      </w:r>
      <w:r>
        <w:rPr>
          <w:rFonts w:ascii="宋体" w:hAnsi="宋体" w:eastAsia="宋体" w:cs="宋体"/>
          <w:color w:val="auto"/>
          <w:sz w:val="24"/>
          <w:szCs w:val="24"/>
        </w:rPr>
        <w:t>：</w:t>
      </w:r>
    </w:p>
    <w:p w14:paraId="3C1C3719">
      <w:pPr>
        <w:widowControl w:val="0"/>
        <w:adjustRightInd w:val="0"/>
        <w:snapToGrid w:val="0"/>
        <w:spacing w:line="48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投标人所报的价格应考虑到可能发生的所有与完成本项目相关服务及履行合同义务有关的一切费用</w:t>
      </w:r>
      <w:r>
        <w:rPr>
          <w:rFonts w:hint="eastAsia" w:ascii="宋体" w:hAnsi="宋体" w:eastAsia="宋体" w:cs="宋体"/>
          <w:color w:val="auto"/>
          <w:kern w:val="0"/>
          <w:sz w:val="24"/>
          <w:szCs w:val="24"/>
          <w:lang w:val="en-US" w:eastAsia="zh-CN" w:bidi="ar"/>
        </w:rPr>
        <w:t>。</w:t>
      </w:r>
    </w:p>
    <w:p w14:paraId="50739CF7">
      <w:pPr>
        <w:widowControl w:val="0"/>
        <w:adjustRightInd w:val="0"/>
        <w:snapToGrid w:val="0"/>
        <w:spacing w:line="480" w:lineRule="auto"/>
        <w:jc w:val="left"/>
        <w:rPr>
          <w:rFonts w:ascii="宋体" w:hAnsi="宋体" w:eastAsia="宋体" w:cs="宋体"/>
          <w:color w:val="auto"/>
          <w:sz w:val="24"/>
          <w:szCs w:val="24"/>
        </w:rPr>
      </w:pPr>
    </w:p>
    <w:p w14:paraId="447CD205">
      <w:pPr>
        <w:pStyle w:val="7"/>
        <w:rPr>
          <w:color w:val="auto"/>
          <w:lang w:val="en-US" w:eastAsia="zh-CN" w:bidi="ar-SA"/>
        </w:rPr>
      </w:pPr>
    </w:p>
    <w:p w14:paraId="53D600DE">
      <w:pPr>
        <w:widowControl w:val="0"/>
        <w:adjustRightInd w:val="0"/>
        <w:snapToGrid w:val="0"/>
        <w:spacing w:line="480" w:lineRule="auto"/>
        <w:jc w:val="left"/>
        <w:rPr>
          <w:rFonts w:ascii="宋体" w:hAnsi="宋体" w:eastAsia="宋体"/>
          <w:color w:val="auto"/>
          <w:sz w:val="24"/>
          <w:szCs w:val="24"/>
          <w:u w:val="single"/>
        </w:rPr>
      </w:pPr>
      <w:r>
        <w:rPr>
          <w:rFonts w:hint="eastAsia" w:ascii="宋体" w:hAnsi="宋体" w:eastAsia="宋体" w:cs="宋体"/>
          <w:color w:val="auto"/>
          <w:sz w:val="24"/>
          <w:szCs w:val="24"/>
        </w:rPr>
        <w:t>供应商（单位名称及公章）：____________________________</w:t>
      </w:r>
    </w:p>
    <w:p w14:paraId="41172945">
      <w:pPr>
        <w:widowControl w:val="0"/>
        <w:adjustRightInd w:val="0"/>
        <w:snapToGrid w:val="0"/>
        <w:spacing w:line="480" w:lineRule="auto"/>
        <w:rPr>
          <w:rFonts w:ascii="宋体" w:hAnsi="宋体" w:eastAsia="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被授权人（签字）：____________________________</w:t>
      </w:r>
    </w:p>
    <w:p w14:paraId="498FE92C">
      <w:pPr>
        <w:widowControl w:val="0"/>
        <w:adjustRightInd w:val="0"/>
        <w:snapToGrid w:val="0"/>
        <w:spacing w:line="480" w:lineRule="auto"/>
        <w:rPr>
          <w:rFonts w:ascii="宋体" w:hAnsi="宋体" w:eastAsia="宋体"/>
          <w:color w:val="auto"/>
          <w:sz w:val="24"/>
          <w:szCs w:val="24"/>
        </w:rPr>
      </w:pPr>
      <w:r>
        <w:rPr>
          <w:rFonts w:hint="eastAsia" w:ascii="宋体" w:hAnsi="宋体" w:eastAsia="宋体" w:cs="宋体"/>
          <w:color w:val="auto"/>
          <w:sz w:val="24"/>
          <w:szCs w:val="24"/>
        </w:rPr>
        <w:t>日</w:t>
      </w:r>
      <w:r>
        <w:rPr>
          <w:rFonts w:ascii="宋体" w:hAnsi="宋体" w:eastAsia="宋体" w:cs="宋体"/>
          <w:color w:val="auto"/>
          <w:sz w:val="24"/>
          <w:szCs w:val="24"/>
        </w:rPr>
        <w:t xml:space="preserve">    </w:t>
      </w:r>
      <w:r>
        <w:rPr>
          <w:rFonts w:hint="eastAsia" w:ascii="宋体" w:hAnsi="宋体" w:eastAsia="宋体" w:cs="宋体"/>
          <w:color w:val="auto"/>
          <w:sz w:val="24"/>
          <w:szCs w:val="24"/>
        </w:rPr>
        <w:t>期：_______年_______月_______日</w:t>
      </w:r>
    </w:p>
    <w:p w14:paraId="14FA0EA7">
      <w:pPr>
        <w:widowControl w:val="0"/>
        <w:kinsoku w:val="0"/>
        <w:spacing w:line="480" w:lineRule="auto"/>
        <w:jc w:val="left"/>
        <w:rPr>
          <w:rFonts w:ascii="宋体" w:hAnsi="宋体" w:eastAsia="宋体"/>
          <w:color w:val="auto"/>
          <w:sz w:val="24"/>
          <w:szCs w:val="24"/>
        </w:rPr>
      </w:pPr>
    </w:p>
    <w:p w14:paraId="2A3BFBFC">
      <w:pPr>
        <w:spacing w:line="240" w:lineRule="auto"/>
        <w:jc w:val="left"/>
        <w:rPr>
          <w:rFonts w:ascii="宋体" w:hAnsi="宋体" w:eastAsia="宋体"/>
          <w:bCs/>
          <w:color w:val="auto"/>
          <w:sz w:val="24"/>
          <w:szCs w:val="24"/>
        </w:rPr>
      </w:pPr>
      <w:bookmarkStart w:id="320" w:name="_Toc23316600"/>
      <w:bookmarkStart w:id="321" w:name="_Toc23316698"/>
      <w:bookmarkStart w:id="322" w:name="_Toc23316536"/>
      <w:bookmarkStart w:id="323" w:name="_Toc536429389"/>
      <w:bookmarkStart w:id="324" w:name="_Toc13642253"/>
      <w:bookmarkStart w:id="325" w:name="_Toc23694"/>
      <w:bookmarkStart w:id="326" w:name="_Toc23315685"/>
      <w:bookmarkStart w:id="327" w:name="_Toc23677"/>
      <w:bookmarkStart w:id="328" w:name="_Toc536202327"/>
      <w:bookmarkStart w:id="329" w:name="_Toc536429336"/>
      <w:bookmarkStart w:id="330" w:name="_Toc536202396"/>
      <w:r>
        <w:rPr>
          <w:rFonts w:ascii="宋体" w:hAnsi="宋体" w:eastAsia="宋体"/>
          <w:b/>
          <w:color w:val="auto"/>
          <w:sz w:val="24"/>
          <w:szCs w:val="24"/>
        </w:rPr>
        <w:br w:type="page"/>
      </w:r>
    </w:p>
    <w:bookmarkEnd w:id="320"/>
    <w:bookmarkEnd w:id="321"/>
    <w:bookmarkEnd w:id="322"/>
    <w:bookmarkEnd w:id="323"/>
    <w:bookmarkEnd w:id="324"/>
    <w:bookmarkEnd w:id="325"/>
    <w:bookmarkEnd w:id="326"/>
    <w:bookmarkEnd w:id="327"/>
    <w:bookmarkEnd w:id="328"/>
    <w:bookmarkEnd w:id="329"/>
    <w:bookmarkEnd w:id="330"/>
    <w:p w14:paraId="1DA198BB">
      <w:pPr>
        <w:adjustRightInd w:val="0"/>
        <w:snapToGrid w:val="0"/>
        <w:spacing w:line="400" w:lineRule="exact"/>
        <w:jc w:val="center"/>
        <w:rPr>
          <w:rFonts w:hint="eastAsia" w:ascii="宋体" w:hAnsi="宋体" w:eastAsia="宋体" w:cs="宋体"/>
          <w:b/>
          <w:bCs/>
          <w:color w:val="auto"/>
          <w:sz w:val="30"/>
          <w:szCs w:val="30"/>
        </w:rPr>
      </w:pPr>
      <w:bookmarkStart w:id="331" w:name="_Toc8710"/>
      <w:bookmarkStart w:id="332" w:name="_Toc11272"/>
      <w:bookmarkStart w:id="333" w:name="_Toc29999"/>
      <w:bookmarkStart w:id="334" w:name="_Toc19543353"/>
      <w:bookmarkStart w:id="335" w:name="_Toc10667"/>
      <w:r>
        <w:rPr>
          <w:rFonts w:hint="eastAsia" w:ascii="宋体" w:hAnsi="宋体" w:eastAsia="宋体" w:cs="宋体"/>
          <w:b/>
          <w:bCs/>
          <w:color w:val="auto"/>
          <w:sz w:val="30"/>
          <w:szCs w:val="30"/>
        </w:rPr>
        <w:t>分项报价表</w:t>
      </w:r>
    </w:p>
    <w:p w14:paraId="060B758B">
      <w:pPr>
        <w:adjustRightInd w:val="0"/>
        <w:snapToGrid w:val="0"/>
        <w:spacing w:line="400" w:lineRule="exact"/>
        <w:jc w:val="center"/>
        <w:rPr>
          <w:rFonts w:hint="eastAsia" w:ascii="宋体" w:hAnsi="宋体" w:eastAsia="宋体" w:cs="宋体"/>
          <w:b/>
          <w:bCs/>
          <w:color w:val="auto"/>
          <w:sz w:val="32"/>
          <w:szCs w:val="32"/>
        </w:rPr>
      </w:pPr>
    </w:p>
    <w:p w14:paraId="59E16686">
      <w:pPr>
        <w:adjustRightInd w:val="0"/>
        <w:snapToGrid w:val="0"/>
        <w:ind w:firstLine="640" w:firstLineChars="200"/>
        <w:jc w:val="left"/>
        <w:rPr>
          <w:rFonts w:hint="eastAsia" w:ascii="宋体" w:hAnsi="宋体" w:eastAsia="宋体" w:cs="宋体"/>
          <w:color w:val="auto"/>
          <w:sz w:val="24"/>
          <w:szCs w:val="24"/>
        </w:rPr>
      </w:pPr>
      <w:r>
        <w:rPr>
          <w:rFonts w:hint="eastAsia" w:ascii="宋体" w:hAnsi="宋体" w:eastAsia="宋体" w:cs="宋体"/>
          <w:color w:val="auto"/>
          <w:sz w:val="32"/>
          <w:szCs w:val="32"/>
        </w:rPr>
        <w:t xml:space="preserve">                                       </w:t>
      </w:r>
      <w:r>
        <w:rPr>
          <w:rFonts w:hint="eastAsia" w:ascii="宋体" w:hAnsi="宋体" w:eastAsia="宋体" w:cs="宋体"/>
          <w:color w:val="auto"/>
          <w:sz w:val="24"/>
          <w:szCs w:val="24"/>
        </w:rPr>
        <w:t>共  页，第  页</w:t>
      </w:r>
    </w:p>
    <w:tbl>
      <w:tblPr>
        <w:tblStyle w:val="35"/>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73"/>
        <w:gridCol w:w="1197"/>
        <w:gridCol w:w="1223"/>
        <w:gridCol w:w="1223"/>
        <w:gridCol w:w="1224"/>
        <w:gridCol w:w="879"/>
      </w:tblGrid>
      <w:tr w14:paraId="7D9D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99" w:type="dxa"/>
            <w:vAlign w:val="center"/>
          </w:tcPr>
          <w:p w14:paraId="21A57B1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73" w:type="dxa"/>
            <w:vAlign w:val="center"/>
          </w:tcPr>
          <w:p w14:paraId="66962A4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分项</w:t>
            </w:r>
            <w:r>
              <w:rPr>
                <w:rFonts w:hint="eastAsia" w:ascii="宋体" w:hAnsi="宋体" w:eastAsia="宋体" w:cs="宋体"/>
                <w:color w:val="auto"/>
                <w:sz w:val="24"/>
                <w:szCs w:val="24"/>
              </w:rPr>
              <w:t>内容</w:t>
            </w:r>
          </w:p>
        </w:tc>
        <w:tc>
          <w:tcPr>
            <w:tcW w:w="1197" w:type="dxa"/>
            <w:vAlign w:val="center"/>
          </w:tcPr>
          <w:p w14:paraId="4625F9B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223" w:type="dxa"/>
            <w:vAlign w:val="center"/>
          </w:tcPr>
          <w:p w14:paraId="3969643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223" w:type="dxa"/>
            <w:vAlign w:val="center"/>
          </w:tcPr>
          <w:p w14:paraId="6DEA32D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1224" w:type="dxa"/>
            <w:vAlign w:val="center"/>
          </w:tcPr>
          <w:p w14:paraId="464AA17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小计</w:t>
            </w:r>
          </w:p>
        </w:tc>
        <w:tc>
          <w:tcPr>
            <w:tcW w:w="879" w:type="dxa"/>
            <w:vAlign w:val="center"/>
          </w:tcPr>
          <w:p w14:paraId="5787673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697C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4851A04C">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573" w:type="dxa"/>
            <w:vAlign w:val="center"/>
          </w:tcPr>
          <w:p w14:paraId="2D83965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197" w:type="dxa"/>
            <w:vAlign w:val="center"/>
          </w:tcPr>
          <w:p w14:paraId="4B1CE6C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3D175A7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096FCA5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4" w:type="dxa"/>
            <w:vAlign w:val="center"/>
          </w:tcPr>
          <w:p w14:paraId="0F12015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879" w:type="dxa"/>
          </w:tcPr>
          <w:p w14:paraId="33C2F2C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r>
      <w:tr w14:paraId="0BF9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76A4CF9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573" w:type="dxa"/>
            <w:vAlign w:val="center"/>
          </w:tcPr>
          <w:p w14:paraId="5D28BCE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197" w:type="dxa"/>
            <w:vAlign w:val="center"/>
          </w:tcPr>
          <w:p w14:paraId="4E9E42C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1E79709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0278E0BC">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4" w:type="dxa"/>
            <w:vAlign w:val="center"/>
          </w:tcPr>
          <w:p w14:paraId="12F4988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879" w:type="dxa"/>
          </w:tcPr>
          <w:p w14:paraId="0FBFDF7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r>
      <w:tr w14:paraId="45D1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6660F8C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573" w:type="dxa"/>
            <w:vAlign w:val="center"/>
          </w:tcPr>
          <w:p w14:paraId="5AF7436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197" w:type="dxa"/>
            <w:vAlign w:val="center"/>
          </w:tcPr>
          <w:p w14:paraId="32D314D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242AE63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3339606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4" w:type="dxa"/>
            <w:vAlign w:val="center"/>
          </w:tcPr>
          <w:p w14:paraId="0B91F81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879" w:type="dxa"/>
          </w:tcPr>
          <w:p w14:paraId="22CEF21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r>
      <w:tr w14:paraId="0629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270F043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573" w:type="dxa"/>
            <w:vAlign w:val="center"/>
          </w:tcPr>
          <w:p w14:paraId="7B0D7D2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197" w:type="dxa"/>
            <w:vAlign w:val="center"/>
          </w:tcPr>
          <w:p w14:paraId="35CFF96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49554BB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6D6A2B6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4" w:type="dxa"/>
            <w:vAlign w:val="center"/>
          </w:tcPr>
          <w:p w14:paraId="0AC92CC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879" w:type="dxa"/>
          </w:tcPr>
          <w:p w14:paraId="0EA3B12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r>
      <w:tr w14:paraId="6516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5F717CC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573" w:type="dxa"/>
            <w:vAlign w:val="center"/>
          </w:tcPr>
          <w:p w14:paraId="6D0C314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197" w:type="dxa"/>
            <w:vAlign w:val="center"/>
          </w:tcPr>
          <w:p w14:paraId="01147C5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6A31826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5764B63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4" w:type="dxa"/>
            <w:vAlign w:val="center"/>
          </w:tcPr>
          <w:p w14:paraId="5512998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879" w:type="dxa"/>
          </w:tcPr>
          <w:p w14:paraId="3123426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r>
      <w:tr w14:paraId="7C74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74185E6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573" w:type="dxa"/>
            <w:vAlign w:val="center"/>
          </w:tcPr>
          <w:p w14:paraId="683B280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197" w:type="dxa"/>
            <w:vAlign w:val="center"/>
          </w:tcPr>
          <w:p w14:paraId="08293A0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3184346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52B217F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4" w:type="dxa"/>
            <w:vAlign w:val="center"/>
          </w:tcPr>
          <w:p w14:paraId="5DE406F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879" w:type="dxa"/>
          </w:tcPr>
          <w:p w14:paraId="0480DC4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r>
      <w:tr w14:paraId="4318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21261B4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573" w:type="dxa"/>
            <w:vAlign w:val="center"/>
          </w:tcPr>
          <w:p w14:paraId="7920C8D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197" w:type="dxa"/>
            <w:vAlign w:val="center"/>
          </w:tcPr>
          <w:p w14:paraId="7B6AC5F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291BA56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692643B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4" w:type="dxa"/>
            <w:vAlign w:val="center"/>
          </w:tcPr>
          <w:p w14:paraId="4EC2E52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879" w:type="dxa"/>
          </w:tcPr>
          <w:p w14:paraId="54415B0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r>
      <w:tr w14:paraId="184E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00A57A5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573" w:type="dxa"/>
            <w:vAlign w:val="center"/>
          </w:tcPr>
          <w:p w14:paraId="67BFA0C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197" w:type="dxa"/>
            <w:vAlign w:val="center"/>
          </w:tcPr>
          <w:p w14:paraId="5FDB3A4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5E7959A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07F7295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4" w:type="dxa"/>
            <w:vAlign w:val="center"/>
          </w:tcPr>
          <w:p w14:paraId="6C19420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879" w:type="dxa"/>
          </w:tcPr>
          <w:p w14:paraId="36352A2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r>
      <w:tr w14:paraId="0E1D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27CD4CF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573" w:type="dxa"/>
            <w:vAlign w:val="center"/>
          </w:tcPr>
          <w:p w14:paraId="0334802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197" w:type="dxa"/>
            <w:vAlign w:val="center"/>
          </w:tcPr>
          <w:p w14:paraId="5D9B4D0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7677D83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29D27F8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4" w:type="dxa"/>
            <w:vAlign w:val="center"/>
          </w:tcPr>
          <w:p w14:paraId="40A971F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879" w:type="dxa"/>
          </w:tcPr>
          <w:p w14:paraId="759B195D">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r>
      <w:tr w14:paraId="2537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632C700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573" w:type="dxa"/>
            <w:vAlign w:val="center"/>
          </w:tcPr>
          <w:p w14:paraId="29EFC7E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197" w:type="dxa"/>
            <w:vAlign w:val="center"/>
          </w:tcPr>
          <w:p w14:paraId="74317A2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04FCC3D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07378B9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4" w:type="dxa"/>
            <w:vAlign w:val="center"/>
          </w:tcPr>
          <w:p w14:paraId="0079BC6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879" w:type="dxa"/>
          </w:tcPr>
          <w:p w14:paraId="2BFE643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r>
      <w:tr w14:paraId="19D3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78268CF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573" w:type="dxa"/>
            <w:vAlign w:val="center"/>
          </w:tcPr>
          <w:p w14:paraId="7639564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197" w:type="dxa"/>
            <w:vAlign w:val="center"/>
          </w:tcPr>
          <w:p w14:paraId="26BB7BA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04F43DB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3" w:type="dxa"/>
            <w:vAlign w:val="center"/>
          </w:tcPr>
          <w:p w14:paraId="48EC2C9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1224" w:type="dxa"/>
            <w:vAlign w:val="center"/>
          </w:tcPr>
          <w:p w14:paraId="7B5304E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c>
          <w:tcPr>
            <w:tcW w:w="879" w:type="dxa"/>
          </w:tcPr>
          <w:p w14:paraId="449BAE2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p>
        </w:tc>
      </w:tr>
    </w:tbl>
    <w:p w14:paraId="5B8DAE8E">
      <w:pPr>
        <w:pStyle w:val="26"/>
        <w:spacing w:line="160" w:lineRule="exact"/>
        <w:ind w:left="-274" w:leftChars="-98"/>
        <w:rPr>
          <w:rFonts w:hint="eastAsia" w:ascii="宋体" w:hAnsi="宋体" w:eastAsia="宋体" w:cs="宋体"/>
          <w:color w:val="auto"/>
          <w:sz w:val="24"/>
          <w:szCs w:val="24"/>
        </w:rPr>
      </w:pPr>
    </w:p>
    <w:p w14:paraId="028C3C0E">
      <w:pPr>
        <w:pStyle w:val="26"/>
        <w:ind w:left="-274" w:leftChars="-98"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注： 本表中的“合计”与“报价</w:t>
      </w:r>
      <w:r>
        <w:rPr>
          <w:rFonts w:hint="eastAsia" w:ascii="宋体" w:hAnsi="宋体" w:eastAsia="宋体" w:cs="宋体"/>
          <w:color w:val="auto"/>
          <w:sz w:val="24"/>
          <w:szCs w:val="24"/>
          <w:lang w:val="en-US" w:eastAsia="zh-CN"/>
        </w:rPr>
        <w:t>一览表</w:t>
      </w:r>
      <w:r>
        <w:rPr>
          <w:rFonts w:hint="eastAsia" w:ascii="宋体" w:hAnsi="宋体" w:eastAsia="宋体" w:cs="宋体"/>
          <w:color w:val="auto"/>
          <w:sz w:val="24"/>
          <w:szCs w:val="24"/>
        </w:rPr>
        <w:t>”中的“总价”一致，各子项分别报价。</w:t>
      </w:r>
    </w:p>
    <w:p w14:paraId="03FC5CC6">
      <w:p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1.投标人可根据实际情况自行扩展表格细项。</w:t>
      </w:r>
    </w:p>
    <w:p w14:paraId="2BA93EAE">
      <w:p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2.所投货币为人民币。</w:t>
      </w:r>
    </w:p>
    <w:p w14:paraId="15B48985">
      <w:pPr>
        <w:pStyle w:val="21"/>
        <w:rPr>
          <w:rFonts w:hint="eastAsia" w:ascii="宋体" w:hAnsi="宋体" w:eastAsia="宋体" w:cs="宋体"/>
          <w:color w:val="auto"/>
        </w:rPr>
      </w:pPr>
    </w:p>
    <w:p w14:paraId="76A4805F">
      <w:pPr>
        <w:pStyle w:val="21"/>
        <w:rPr>
          <w:rFonts w:hint="eastAsia" w:ascii="宋体" w:hAnsi="宋体" w:eastAsia="宋体" w:cs="宋体"/>
          <w:color w:val="auto"/>
        </w:rPr>
      </w:pPr>
    </w:p>
    <w:p w14:paraId="34B83B80">
      <w:pPr>
        <w:adjustRightInd w:val="0"/>
        <w:snapToGrid w:val="0"/>
        <w:spacing w:line="48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供应商（单位名称及公章）：____________________________</w:t>
      </w:r>
    </w:p>
    <w:p w14:paraId="27C9F21D">
      <w:pPr>
        <w:adjustRightInd w:val="0"/>
        <w:snapToGrid w:val="0"/>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被授权人（签字）：____________________________</w:t>
      </w:r>
    </w:p>
    <w:p w14:paraId="6DB4E1AE">
      <w:pPr>
        <w:adjustRightInd w:val="0"/>
        <w:snapToGrid w:val="0"/>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日    期：_______年_______月_______日</w:t>
      </w:r>
    </w:p>
    <w:p w14:paraId="460C41A1">
      <w:pPr>
        <w:pStyle w:val="5"/>
        <w:rPr>
          <w:rFonts w:hint="eastAsia" w:ascii="宋体" w:hAnsi="宋体" w:eastAsia="宋体" w:cs="宋体"/>
          <w:b w:val="0"/>
          <w:bCs w:val="0"/>
          <w:color w:val="auto"/>
          <w:sz w:val="24"/>
          <w:szCs w:val="24"/>
        </w:rPr>
      </w:pPr>
    </w:p>
    <w:p w14:paraId="2B176C61">
      <w:pPr>
        <w:pStyle w:val="5"/>
        <w:rPr>
          <w:rFonts w:hint="eastAsia" w:ascii="宋体" w:hAnsi="宋体" w:eastAsia="宋体" w:cs="宋体"/>
          <w:b w:val="0"/>
          <w:bCs w:val="0"/>
          <w:color w:val="auto"/>
          <w:sz w:val="24"/>
          <w:szCs w:val="24"/>
          <w:lang w:eastAsia="zh-CN"/>
        </w:rPr>
        <w:sectPr>
          <w:pgSz w:w="11905" w:h="16838"/>
          <w:pgMar w:top="1134"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97" w:charSpace="0"/>
        </w:sectPr>
      </w:pPr>
    </w:p>
    <w:p w14:paraId="0A5CF3EC">
      <w:pPr>
        <w:bidi w:val="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三、供应商资质证明文件</w:t>
      </w:r>
      <w:bookmarkEnd w:id="331"/>
      <w:bookmarkEnd w:id="332"/>
      <w:bookmarkEnd w:id="333"/>
    </w:p>
    <w:p w14:paraId="23B4BD75">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bidi="zh-CN"/>
        </w:rPr>
      </w:pPr>
    </w:p>
    <w:p w14:paraId="1A680B1A">
      <w:pPr>
        <w:pStyle w:val="4"/>
        <w:keepNext w:val="0"/>
        <w:keepLines w:val="0"/>
        <w:pageBreakBefore w:val="0"/>
        <w:numPr>
          <w:ilvl w:val="0"/>
          <w:numId w:val="0"/>
        </w:numPr>
        <w:kinsoku/>
        <w:wordWrap/>
        <w:overflowPunct/>
        <w:topLinePunct w:val="0"/>
        <w:bidi w:val="0"/>
        <w:adjustRightInd/>
        <w:snapToGrid/>
        <w:spacing w:before="0" w:after="0" w:line="400" w:lineRule="exact"/>
        <w:ind w:left="0" w:leftChars="0" w:right="0" w:rightChars="0"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kern w:val="2"/>
          <w:sz w:val="24"/>
          <w:szCs w:val="24"/>
          <w:shd w:val="clear" w:fill="FFFFFF"/>
          <w:lang w:val="en-US" w:eastAsia="zh-CN" w:bidi="ar-SA"/>
        </w:rPr>
        <w:t>（1）</w:t>
      </w:r>
      <w:r>
        <w:rPr>
          <w:rFonts w:hint="eastAsia" w:asciiTheme="minorEastAsia" w:hAnsiTheme="minorEastAsia" w:eastAsiaTheme="minorEastAsia" w:cstheme="minorEastAsia"/>
          <w:b w:val="0"/>
          <w:bCs w:val="0"/>
          <w:i w:val="0"/>
          <w:iCs w:val="0"/>
          <w:caps w:val="0"/>
          <w:color w:val="auto"/>
          <w:spacing w:val="0"/>
          <w:sz w:val="24"/>
          <w:szCs w:val="24"/>
          <w:shd w:val="clear" w:fill="FFFFFF"/>
        </w:rPr>
        <w:t>具有独立承担民事责任的能力，提供营业执照、税务登记证、组织机构代码证或登载有统一社会信用代码的营业执照（或《事业单位法人证书》或其他合法组织登记证书）； </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auto"/>
          <w:spacing w:val="0"/>
          <w:sz w:val="24"/>
          <w:szCs w:val="24"/>
          <w:shd w:val="clear" w:fill="FFFFFF"/>
        </w:rPr>
        <w:t>（2）供应商法定代表人授权委托书、被授权人身份证（法定代表人直接参加，只须提交其身份证）。</w:t>
      </w:r>
    </w:p>
    <w:p w14:paraId="6C850FA5">
      <w:pPr>
        <w:pStyle w:val="4"/>
        <w:keepNext w:val="0"/>
        <w:keepLines w:val="0"/>
        <w:pageBreakBefore w:val="0"/>
        <w:numPr>
          <w:ilvl w:val="0"/>
          <w:numId w:val="0"/>
        </w:numPr>
        <w:kinsoku/>
        <w:wordWrap/>
        <w:overflowPunct/>
        <w:topLinePunct w:val="0"/>
        <w:bidi w:val="0"/>
        <w:adjustRightInd/>
        <w:snapToGrid/>
        <w:spacing w:before="0" w:after="0" w:line="400" w:lineRule="exact"/>
        <w:ind w:leftChars="200" w:right="0" w:rightChars="0"/>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3）供应商须具备建设行政主管部门或交通运输主管部门颁发的监理综合资质或公路工程专业乙级（含乙级）以上监理资质,并在人员、设备、资金等方面具备相应的监理能力；拟派项目总监理工程师须具备公路工程专业国家注册监理工程师执业资格；</w:t>
      </w:r>
    </w:p>
    <w:p w14:paraId="25E9AF56">
      <w:pPr>
        <w:pStyle w:val="4"/>
        <w:keepNext w:val="0"/>
        <w:keepLines w:val="0"/>
        <w:pageBreakBefore w:val="0"/>
        <w:numPr>
          <w:ilvl w:val="0"/>
          <w:numId w:val="0"/>
        </w:numPr>
        <w:kinsoku/>
        <w:wordWrap/>
        <w:overflowPunct/>
        <w:topLinePunct w:val="0"/>
        <w:bidi w:val="0"/>
        <w:adjustRightInd/>
        <w:snapToGrid/>
        <w:spacing w:before="0" w:after="0" w:line="400" w:lineRule="exact"/>
        <w:ind w:leftChars="200" w:right="0" w:rightChars="0"/>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（4）财务状况报告：提供2023年或2024年度经审计完整的财务报告(成立时间至提交磋商响应文件截止时间不足年的可提供成立后任意时段的资产负债表)或其开标前三个月内银行出具的资信证明；</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（5）依法缴纳税收和社会保障资金的良好记录【投标人提供2024年</w:t>
      </w: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6</w:t>
      </w:r>
      <w:r>
        <w:rPr>
          <w:rFonts w:hint="eastAsia" w:asciiTheme="minorEastAsia" w:hAnsiTheme="minorEastAsia" w:eastAsiaTheme="minorEastAsia" w:cstheme="minorEastAsia"/>
          <w:b w:val="0"/>
          <w:bCs w:val="0"/>
          <w:i w:val="0"/>
          <w:iCs w:val="0"/>
          <w:caps w:val="0"/>
          <w:color w:val="auto"/>
          <w:spacing w:val="0"/>
          <w:sz w:val="24"/>
          <w:szCs w:val="24"/>
          <w:shd w:val="clear" w:fill="FFFFFF"/>
        </w:rPr>
        <w:t>月至今</w:t>
      </w: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任意1</w:t>
      </w:r>
      <w:r>
        <w:rPr>
          <w:rFonts w:hint="eastAsia" w:asciiTheme="minorEastAsia" w:hAnsiTheme="minorEastAsia" w:eastAsiaTheme="minorEastAsia" w:cstheme="minorEastAsia"/>
          <w:b w:val="0"/>
          <w:bCs w:val="0"/>
          <w:i w:val="0"/>
          <w:iCs w:val="0"/>
          <w:caps w:val="0"/>
          <w:color w:val="auto"/>
          <w:spacing w:val="0"/>
          <w:sz w:val="24"/>
          <w:szCs w:val="24"/>
          <w:shd w:val="clear" w:fill="FFFFFF"/>
        </w:rPr>
        <w:t>个月的完税证明（依法免税的投标人应提供相关文件证明）和社保缴纳证明（专用收据或社会保险缴纳清单或参保缴费证明，依法不需要缴纳社会保障资金的投标人应提供相关文件证明）】；</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（6）参加政府采购活动近3年内在经营活动中没有重大违法记录，以及未被列入失信被执行人、重大税收违法案件当事人名单、政府采购严重违法失信行为记录名单的书面声明。</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（7）具有履行合同所必需的设备和专业技术能力的书面声明；</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8）通过“信用中国”网站(www.creditchina.gov.cn)、中国政府采购网(www.ccgp.gov.cn)等渠道查询相关主体无失信记录（评审小组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 查询结果为准。</w:t>
      </w:r>
      <w:r>
        <w:rPr>
          <w:rFonts w:hint="eastAsia" w:asciiTheme="minorEastAsia" w:hAnsiTheme="minorEastAsia" w:eastAsiaTheme="minorEastAsia" w:cstheme="minorEastAsia"/>
          <w:b w:val="0"/>
          <w:bCs w:val="0"/>
          <w:i w:val="0"/>
          <w:iCs w:val="0"/>
          <w:caps w:val="0"/>
          <w:color w:val="auto"/>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auto"/>
          <w:spacing w:val="0"/>
          <w:sz w:val="24"/>
          <w:szCs w:val="24"/>
          <w:shd w:val="clear" w:fill="FFFFFF"/>
        </w:rPr>
        <w:t>（9）本项目为专门面向中小企业项目，供应商应为中型企业或小型、微型企业或监狱企业或残疾人福利性单位。供应商为中小企业的，提供《中小企业声明函》；本项目采购标的对应的中小企业划分标准所属行业为：其他未列明行业；供应商为监狱企业的，应提供监狱企业的证明文件；供应商为残疾人福利性单位的，应提供《残疾人福利性单位声明函》（监狱企业或残疾人福利性单位视同小型、微型企业）。</w:t>
      </w:r>
    </w:p>
    <w:p w14:paraId="716C105C">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（注：以上资格证明文件投标人必须完全提供，且胶装于投标文件中，一项不合格即按照无效响应处理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w:t>
      </w:r>
    </w:p>
    <w:p w14:paraId="18CA2450">
      <w:pPr>
        <w:pStyle w:val="5"/>
        <w:rPr>
          <w:rFonts w:hint="eastAsia"/>
          <w:color w:val="auto"/>
        </w:rPr>
      </w:pPr>
    </w:p>
    <w:p w14:paraId="37B46286">
      <w:pPr>
        <w:rPr>
          <w:rFonts w:hint="eastAsia"/>
          <w:color w:val="auto"/>
        </w:rPr>
        <w:sectPr>
          <w:pgSz w:w="11905" w:h="16838"/>
          <w:pgMar w:top="1134"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97" w:charSpace="0"/>
        </w:sectPr>
      </w:pPr>
    </w:p>
    <w:p w14:paraId="522C369E">
      <w:pPr>
        <w:tabs>
          <w:tab w:val="left" w:pos="210"/>
        </w:tabs>
        <w:spacing w:line="420" w:lineRule="exact"/>
        <w:jc w:val="center"/>
        <w:rPr>
          <w:rFonts w:hint="eastAsia" w:ascii="宋体" w:hAnsi="宋体" w:eastAsia="宋体" w:cs="宋体"/>
          <w:b/>
          <w:color w:val="auto"/>
          <w:kern w:val="0"/>
          <w:sz w:val="32"/>
          <w:szCs w:val="32"/>
          <w:lang w:eastAsia="zh-CN"/>
        </w:rPr>
      </w:pPr>
      <w:bookmarkStart w:id="336" w:name="_Toc19543356"/>
      <w:bookmarkStart w:id="337" w:name="_Toc22461"/>
      <w:bookmarkStart w:id="338" w:name="_Toc13614"/>
      <w:bookmarkStart w:id="339" w:name="_Toc10261"/>
    </w:p>
    <w:p w14:paraId="63DCD670">
      <w:pPr>
        <w:tabs>
          <w:tab w:val="left" w:pos="210"/>
        </w:tabs>
        <w:spacing w:line="420" w:lineRule="exact"/>
        <w:jc w:val="center"/>
        <w:rPr>
          <w:rFonts w:hint="eastAsia" w:ascii="宋体" w:hAnsi="宋体" w:eastAsia="宋体" w:cs="宋体"/>
          <w:b/>
          <w:color w:val="auto"/>
          <w:kern w:val="0"/>
          <w:sz w:val="32"/>
          <w:szCs w:val="32"/>
          <w:lang w:eastAsia="zh-CN"/>
        </w:rPr>
      </w:pPr>
      <w:r>
        <w:rPr>
          <w:rFonts w:hint="eastAsia" w:ascii="宋体" w:hAnsi="宋体" w:eastAsia="宋体" w:cs="宋体"/>
          <w:b/>
          <w:color w:val="auto"/>
          <w:kern w:val="0"/>
          <w:sz w:val="32"/>
          <w:szCs w:val="32"/>
          <w:lang w:eastAsia="zh-CN"/>
        </w:rPr>
        <w:t>法定代表人授权书</w:t>
      </w:r>
      <w:bookmarkEnd w:id="336"/>
      <w:bookmarkEnd w:id="337"/>
      <w:bookmarkEnd w:id="338"/>
      <w:bookmarkEnd w:id="339"/>
    </w:p>
    <w:p w14:paraId="4F9A67F0">
      <w:pPr>
        <w:pStyle w:val="16"/>
        <w:spacing w:line="400" w:lineRule="exact"/>
        <w:jc w:val="left"/>
        <w:rPr>
          <w:rFonts w:hint="eastAsia" w:ascii="宋体" w:hAnsi="宋体" w:eastAsia="宋体" w:cs="宋体"/>
          <w:color w:val="auto"/>
          <w:sz w:val="24"/>
          <w:szCs w:val="24"/>
        </w:rPr>
      </w:pPr>
      <w:r>
        <w:rPr>
          <w:rFonts w:hint="eastAsia" w:hAnsi="宋体" w:cs="宋体"/>
          <w:color w:val="auto"/>
          <w:sz w:val="24"/>
          <w:szCs w:val="24"/>
          <w:lang w:eastAsia="zh-CN"/>
        </w:rPr>
        <w:t>陕西途恒工程管理服务有限公司</w:t>
      </w:r>
      <w:r>
        <w:rPr>
          <w:rFonts w:hint="eastAsia" w:ascii="宋体" w:hAnsi="宋体" w:eastAsia="宋体" w:cs="宋体"/>
          <w:color w:val="auto"/>
          <w:sz w:val="24"/>
          <w:szCs w:val="24"/>
        </w:rPr>
        <w:t>：</w:t>
      </w:r>
    </w:p>
    <w:p w14:paraId="3A5300B4">
      <w:pPr>
        <w:tabs>
          <w:tab w:val="left" w:pos="8820"/>
        </w:tabs>
        <w:spacing w:line="400" w:lineRule="exact"/>
        <w:ind w:firstLine="570"/>
        <w:rPr>
          <w:rFonts w:hint="eastAsia" w:ascii="宋体" w:hAnsi="宋体" w:eastAsia="宋体" w:cs="宋体"/>
          <w:color w:val="auto"/>
          <w:sz w:val="24"/>
          <w:szCs w:val="24"/>
          <w:u w:val="single"/>
        </w:rPr>
      </w:pPr>
      <w:r>
        <w:rPr>
          <w:rFonts w:hint="eastAsia" w:ascii="宋体" w:hAnsi="宋体" w:eastAsia="宋体" w:cs="宋体"/>
          <w:color w:val="auto"/>
          <w:sz w:val="24"/>
          <w:szCs w:val="24"/>
        </w:rPr>
        <w:t>本授权委托书声明：我</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（法定代表人姓名）</w:t>
      </w:r>
      <w:r>
        <w:rPr>
          <w:rFonts w:hint="eastAsia" w:ascii="宋体" w:hAnsi="宋体" w:eastAsia="宋体" w:cs="宋体"/>
          <w:color w:val="auto"/>
          <w:sz w:val="24"/>
          <w:szCs w:val="24"/>
        </w:rPr>
        <w:t>系注册于</w:t>
      </w:r>
      <w:r>
        <w:rPr>
          <w:rFonts w:hint="eastAsia" w:ascii="宋体" w:hAnsi="宋体" w:eastAsia="宋体" w:cs="宋体"/>
          <w:color w:val="auto"/>
          <w:sz w:val="24"/>
          <w:szCs w:val="24"/>
          <w:u w:val="single"/>
        </w:rPr>
        <w:t xml:space="preserve">  （供应商地址）</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的法定代表人，现代表公司授权下面签字的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（被授权人的姓名、职务）</w:t>
      </w:r>
      <w:r>
        <w:rPr>
          <w:rFonts w:hint="eastAsia" w:ascii="宋体" w:hAnsi="宋体" w:eastAsia="宋体" w:cs="宋体"/>
          <w:color w:val="auto"/>
          <w:sz w:val="24"/>
          <w:szCs w:val="24"/>
        </w:rPr>
        <w:t>为我公司合法代理人，代表本公司参加</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采购项目编号为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的采购活动。以我方名义全权处理该项目有关</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、签订合同以及执行合同等一切事宜。</w:t>
      </w:r>
    </w:p>
    <w:p w14:paraId="29DD0EC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有效期自</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日历日，特此声明。</w:t>
      </w:r>
    </w:p>
    <w:p w14:paraId="49990E79">
      <w:pPr>
        <w:pStyle w:val="16"/>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供应商（单位名称及公章）：________</w:t>
      </w:r>
    </w:p>
    <w:p w14:paraId="198265EB">
      <w:pPr>
        <w:pStyle w:val="16"/>
        <w:spacing w:line="40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法定代表人（签字或盖章）：________</w:t>
      </w:r>
    </w:p>
    <w:p w14:paraId="0365BD13">
      <w:pPr>
        <w:pStyle w:val="16"/>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被授权人（签字）：________性别：________</w:t>
      </w:r>
    </w:p>
    <w:p w14:paraId="02C77BC7">
      <w:pPr>
        <w:pStyle w:val="16"/>
        <w:spacing w:line="40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联系地址：________________</w:t>
      </w:r>
    </w:p>
    <w:p w14:paraId="1FB4CCEB">
      <w:pPr>
        <w:pStyle w:val="16"/>
        <w:spacing w:line="40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联系电话：________________</w:t>
      </w:r>
    </w:p>
    <w:p w14:paraId="527E1B35">
      <w:pPr>
        <w:pStyle w:val="16"/>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法定代表人及被授权人身份证复印件（注：身份证复印件须加盖企业公章）</w:t>
      </w:r>
    </w:p>
    <w:tbl>
      <w:tblPr>
        <w:tblStyle w:val="3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6CA5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54B856BA">
            <w:pPr>
              <w:pStyle w:val="16"/>
              <w:keepNext w:val="0"/>
              <w:keepLines w:val="0"/>
              <w:widowControl/>
              <w:suppressLineNumbers w:val="0"/>
              <w:spacing w:before="0" w:beforeAutospacing="0" w:after="0" w:afterAutospacing="0" w:line="500" w:lineRule="exact"/>
              <w:ind w:left="0" w:right="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法定代表人身份证复印件（正面）</w:t>
            </w:r>
          </w:p>
        </w:tc>
        <w:tc>
          <w:tcPr>
            <w:tcW w:w="4531" w:type="dxa"/>
            <w:shd w:val="clear" w:color="auto" w:fill="D9D9D9"/>
            <w:vAlign w:val="center"/>
          </w:tcPr>
          <w:p w14:paraId="77D28211">
            <w:pPr>
              <w:pStyle w:val="16"/>
              <w:keepNext w:val="0"/>
              <w:keepLines w:val="0"/>
              <w:widowControl/>
              <w:suppressLineNumbers w:val="0"/>
              <w:spacing w:before="0" w:beforeAutospacing="0" w:after="0" w:afterAutospacing="0" w:line="500" w:lineRule="exact"/>
              <w:ind w:left="0" w:right="0" w:firstLine="440" w:firstLineChars="20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被授权人身份证复印件（正面）</w:t>
            </w:r>
          </w:p>
        </w:tc>
      </w:tr>
      <w:tr w14:paraId="17C3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5B622E86">
            <w:pPr>
              <w:pStyle w:val="16"/>
              <w:keepNext w:val="0"/>
              <w:keepLines w:val="0"/>
              <w:widowControl/>
              <w:suppressLineNumbers w:val="0"/>
              <w:spacing w:before="0" w:beforeAutospacing="0" w:after="0" w:afterAutospacing="0" w:line="500" w:lineRule="exact"/>
              <w:ind w:left="0" w:right="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法定代表人身份证复印件（反面）</w:t>
            </w:r>
          </w:p>
        </w:tc>
        <w:tc>
          <w:tcPr>
            <w:tcW w:w="4531" w:type="dxa"/>
            <w:shd w:val="clear" w:color="auto" w:fill="D9D9D9"/>
            <w:vAlign w:val="center"/>
          </w:tcPr>
          <w:p w14:paraId="13CBE90A">
            <w:pPr>
              <w:pStyle w:val="16"/>
              <w:keepNext w:val="0"/>
              <w:keepLines w:val="0"/>
              <w:widowControl/>
              <w:suppressLineNumbers w:val="0"/>
              <w:spacing w:before="0" w:beforeAutospacing="0" w:after="0" w:afterAutospacing="0" w:line="500" w:lineRule="exact"/>
              <w:ind w:left="0" w:right="0" w:firstLine="440" w:firstLineChars="20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被授权人身份证复印件（反面）</w:t>
            </w:r>
          </w:p>
        </w:tc>
      </w:tr>
    </w:tbl>
    <w:p w14:paraId="36491544">
      <w:pPr>
        <w:pStyle w:val="16"/>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4FA78B03">
      <w:pPr>
        <w:pStyle w:val="16"/>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1．本授权书有效期自招标大会之日计算不得少于90日历日。</w:t>
      </w:r>
    </w:p>
    <w:p w14:paraId="068223D4">
      <w:pPr>
        <w:ind w:firstLine="480" w:firstLineChars="200"/>
        <w:rPr>
          <w:rFonts w:hint="eastAsia" w:ascii="宋体" w:hAnsi="宋体" w:eastAsia="宋体" w:cs="宋体"/>
          <w:color w:val="auto"/>
          <w:sz w:val="24"/>
          <w:szCs w:val="24"/>
        </w:rPr>
        <w:sectPr>
          <w:pgSz w:w="11905" w:h="16838"/>
          <w:pgMar w:top="1134"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97" w:charSpace="0"/>
        </w:sectPr>
      </w:pPr>
      <w:r>
        <w:rPr>
          <w:rFonts w:hint="eastAsia" w:ascii="宋体" w:hAnsi="宋体" w:eastAsia="宋体" w:cs="宋体"/>
          <w:color w:val="auto"/>
          <w:sz w:val="24"/>
          <w:szCs w:val="24"/>
        </w:rPr>
        <w:t>2．授权书内容填写要明确，文字要工整清楚，涂改无效。</w:t>
      </w:r>
    </w:p>
    <w:p w14:paraId="005EDB8C">
      <w:pPr>
        <w:tabs>
          <w:tab w:val="left" w:pos="210"/>
        </w:tabs>
        <w:spacing w:line="420" w:lineRule="exact"/>
        <w:jc w:val="center"/>
        <w:rPr>
          <w:rFonts w:hint="eastAsia" w:ascii="宋体" w:hAnsi="宋体" w:eastAsia="宋体" w:cs="宋体"/>
          <w:b/>
          <w:color w:val="auto"/>
          <w:kern w:val="0"/>
          <w:sz w:val="32"/>
          <w:szCs w:val="32"/>
          <w:lang w:val="en-US" w:eastAsia="zh-CN"/>
        </w:rPr>
      </w:pPr>
      <w:bookmarkStart w:id="340" w:name="_Toc26921"/>
      <w:r>
        <w:rPr>
          <w:rFonts w:hint="eastAsia" w:ascii="宋体" w:hAnsi="宋体" w:eastAsia="宋体" w:cs="宋体"/>
          <w:b/>
          <w:color w:val="auto"/>
          <w:kern w:val="0"/>
          <w:sz w:val="32"/>
          <w:szCs w:val="32"/>
          <w:lang w:val="en-US" w:eastAsia="zh-CN"/>
        </w:rPr>
        <w:t>中小企业声明函（工程、服务）</w:t>
      </w:r>
      <w:bookmarkEnd w:id="340"/>
    </w:p>
    <w:p w14:paraId="68190BE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C4FFD4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万元，属于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45AE5AC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059D2D59">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08EC1FB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4C1FB641">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08F5A9EB">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11AFF579">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17F3280D">
      <w:pPr>
        <w:pStyle w:val="132"/>
        <w:rPr>
          <w:rFonts w:hint="eastAsia"/>
          <w:color w:val="auto"/>
          <w:lang w:val="en-US" w:eastAsia="zh-CN"/>
        </w:rPr>
      </w:pPr>
    </w:p>
    <w:p w14:paraId="10DA5CF4">
      <w:pPr>
        <w:pStyle w:val="3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注：从业人员、营业收入、资产总额填报上一年度数据，无上一年度数据的新成立企业可不填报。</w:t>
      </w:r>
    </w:p>
    <w:p w14:paraId="17F98696">
      <w:pPr>
        <w:pStyle w:val="12"/>
        <w:rPr>
          <w:rFonts w:hint="eastAsia" w:ascii="宋体" w:hAnsi="宋体" w:eastAsia="宋体" w:cs="宋体"/>
          <w:color w:val="auto"/>
          <w:sz w:val="24"/>
          <w:szCs w:val="24"/>
        </w:rPr>
        <w:sectPr>
          <w:pgSz w:w="11905" w:h="16838"/>
          <w:pgMar w:top="1134"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97" w:charSpace="0"/>
        </w:sectPr>
      </w:pPr>
    </w:p>
    <w:p w14:paraId="68F2F8F6">
      <w:pPr>
        <w:bidi w:val="0"/>
        <w:jc w:val="center"/>
        <w:rPr>
          <w:rFonts w:hint="eastAsia" w:ascii="宋体" w:hAnsi="宋体" w:eastAsia="宋体" w:cs="宋体"/>
          <w:b/>
          <w:bCs/>
          <w:color w:val="auto"/>
          <w:sz w:val="32"/>
          <w:szCs w:val="32"/>
          <w:lang w:val="en-US" w:eastAsia="zh-CN"/>
        </w:rPr>
      </w:pPr>
      <w:bookmarkStart w:id="341" w:name="_Toc342"/>
      <w:bookmarkStart w:id="342" w:name="_Toc16281"/>
      <w:bookmarkStart w:id="343" w:name="_Toc27057"/>
      <w:r>
        <w:rPr>
          <w:rFonts w:hint="eastAsia" w:ascii="宋体" w:hAnsi="宋体" w:eastAsia="宋体" w:cs="宋体"/>
          <w:b/>
          <w:bCs/>
          <w:color w:val="auto"/>
          <w:sz w:val="32"/>
          <w:szCs w:val="32"/>
          <w:lang w:val="en-US" w:eastAsia="zh-CN"/>
        </w:rPr>
        <w:t>四、商务响应偏离表</w:t>
      </w:r>
      <w:bookmarkEnd w:id="341"/>
      <w:bookmarkEnd w:id="342"/>
      <w:bookmarkEnd w:id="343"/>
    </w:p>
    <w:bookmarkEnd w:id="334"/>
    <w:tbl>
      <w:tblPr>
        <w:tblStyle w:val="35"/>
        <w:tblW w:w="8259"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966"/>
        <w:gridCol w:w="2670"/>
        <w:gridCol w:w="1586"/>
      </w:tblGrid>
      <w:tr w14:paraId="303C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037" w:type="dxa"/>
            <w:vAlign w:val="center"/>
          </w:tcPr>
          <w:p w14:paraId="0848169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966" w:type="dxa"/>
            <w:vAlign w:val="center"/>
          </w:tcPr>
          <w:p w14:paraId="409DD78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招标文件商务要求</w:t>
            </w:r>
          </w:p>
        </w:tc>
        <w:tc>
          <w:tcPr>
            <w:tcW w:w="2670" w:type="dxa"/>
            <w:vAlign w:val="center"/>
          </w:tcPr>
          <w:p w14:paraId="6AE1B17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投标文件商务条款</w:t>
            </w:r>
          </w:p>
        </w:tc>
        <w:tc>
          <w:tcPr>
            <w:tcW w:w="1586" w:type="dxa"/>
            <w:vAlign w:val="center"/>
          </w:tcPr>
          <w:p w14:paraId="0C5F672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14:paraId="2A08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0E97A47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66" w:type="dxa"/>
            <w:vAlign w:val="center"/>
          </w:tcPr>
          <w:p w14:paraId="3635008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670" w:type="dxa"/>
            <w:vAlign w:val="center"/>
          </w:tcPr>
          <w:p w14:paraId="0CDF3C7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586" w:type="dxa"/>
            <w:vAlign w:val="center"/>
          </w:tcPr>
          <w:p w14:paraId="3FC67B6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5174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282D939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66" w:type="dxa"/>
            <w:vAlign w:val="center"/>
          </w:tcPr>
          <w:p w14:paraId="321CB505">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670" w:type="dxa"/>
            <w:vAlign w:val="center"/>
          </w:tcPr>
          <w:p w14:paraId="4577E789">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586" w:type="dxa"/>
            <w:vAlign w:val="center"/>
          </w:tcPr>
          <w:p w14:paraId="5CB3BBC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7570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6C0F38D5">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66" w:type="dxa"/>
            <w:vAlign w:val="center"/>
          </w:tcPr>
          <w:p w14:paraId="6B14269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670" w:type="dxa"/>
            <w:vAlign w:val="center"/>
          </w:tcPr>
          <w:p w14:paraId="2B340EB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586" w:type="dxa"/>
            <w:vAlign w:val="center"/>
          </w:tcPr>
          <w:p w14:paraId="4C654DF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6DD2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6EDA263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66" w:type="dxa"/>
            <w:vAlign w:val="center"/>
          </w:tcPr>
          <w:p w14:paraId="491E87E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670" w:type="dxa"/>
            <w:vAlign w:val="center"/>
          </w:tcPr>
          <w:p w14:paraId="7BFF3F26">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586" w:type="dxa"/>
            <w:vAlign w:val="center"/>
          </w:tcPr>
          <w:p w14:paraId="6B5B80B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78F8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3EFD01E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66" w:type="dxa"/>
            <w:vAlign w:val="center"/>
          </w:tcPr>
          <w:p w14:paraId="1370858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670" w:type="dxa"/>
            <w:vAlign w:val="center"/>
          </w:tcPr>
          <w:p w14:paraId="39E32D6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586" w:type="dxa"/>
            <w:vAlign w:val="center"/>
          </w:tcPr>
          <w:p w14:paraId="29261CE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57D3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44264EB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66" w:type="dxa"/>
            <w:vAlign w:val="center"/>
          </w:tcPr>
          <w:p w14:paraId="69992A2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670" w:type="dxa"/>
            <w:vAlign w:val="center"/>
          </w:tcPr>
          <w:p w14:paraId="035D29B6">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586" w:type="dxa"/>
            <w:vAlign w:val="center"/>
          </w:tcPr>
          <w:p w14:paraId="7C04835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3E15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3D7B0EF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66" w:type="dxa"/>
            <w:vAlign w:val="center"/>
          </w:tcPr>
          <w:p w14:paraId="0FFE3A5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670" w:type="dxa"/>
            <w:vAlign w:val="center"/>
          </w:tcPr>
          <w:p w14:paraId="2C4DF8A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586" w:type="dxa"/>
            <w:vAlign w:val="center"/>
          </w:tcPr>
          <w:p w14:paraId="10D8F695">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2A5A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6104BEB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66" w:type="dxa"/>
            <w:vAlign w:val="center"/>
          </w:tcPr>
          <w:p w14:paraId="1BDCA5F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670" w:type="dxa"/>
            <w:vAlign w:val="center"/>
          </w:tcPr>
          <w:p w14:paraId="4F04BF7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586" w:type="dxa"/>
            <w:vAlign w:val="center"/>
          </w:tcPr>
          <w:p w14:paraId="79A2DB6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063C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4B99AFA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66" w:type="dxa"/>
            <w:vAlign w:val="center"/>
          </w:tcPr>
          <w:p w14:paraId="75BF7CB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670" w:type="dxa"/>
            <w:vAlign w:val="center"/>
          </w:tcPr>
          <w:p w14:paraId="48FF20D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586" w:type="dxa"/>
            <w:vAlign w:val="center"/>
          </w:tcPr>
          <w:p w14:paraId="7923E366">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12E3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6F444BD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66" w:type="dxa"/>
            <w:vAlign w:val="center"/>
          </w:tcPr>
          <w:p w14:paraId="33B4FD2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670" w:type="dxa"/>
            <w:vAlign w:val="center"/>
          </w:tcPr>
          <w:p w14:paraId="41961B1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586" w:type="dxa"/>
            <w:vAlign w:val="center"/>
          </w:tcPr>
          <w:p w14:paraId="33BFFFC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bl>
    <w:p w14:paraId="32418610">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投标人可根据实际情况自行扩展表格细项。</w:t>
      </w:r>
    </w:p>
    <w:p w14:paraId="36A47A15">
      <w:pPr>
        <w:pStyle w:val="21"/>
        <w:rPr>
          <w:rFonts w:hint="eastAsia" w:ascii="宋体" w:hAnsi="宋体" w:eastAsia="宋体" w:cs="宋体"/>
          <w:color w:val="auto"/>
        </w:rPr>
      </w:pPr>
    </w:p>
    <w:p w14:paraId="7E6F3D4E">
      <w:pPr>
        <w:pStyle w:val="21"/>
        <w:rPr>
          <w:rFonts w:hint="eastAsia" w:ascii="宋体" w:hAnsi="宋体" w:eastAsia="宋体" w:cs="宋体"/>
          <w:color w:val="auto"/>
        </w:rPr>
      </w:pPr>
    </w:p>
    <w:p w14:paraId="4B300D0E">
      <w:pPr>
        <w:pStyle w:val="21"/>
        <w:rPr>
          <w:rFonts w:hint="eastAsia" w:ascii="宋体" w:hAnsi="宋体" w:eastAsia="宋体" w:cs="宋体"/>
          <w:color w:val="auto"/>
        </w:rPr>
      </w:pPr>
    </w:p>
    <w:p w14:paraId="0B562782">
      <w:pPr>
        <w:adjustRightInd w:val="0"/>
        <w:snapToGrid w:val="0"/>
        <w:spacing w:line="48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供应商（单位名称及公章）：____________________________</w:t>
      </w:r>
    </w:p>
    <w:p w14:paraId="0F7D29F0">
      <w:pPr>
        <w:adjustRightInd w:val="0"/>
        <w:snapToGrid w:val="0"/>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被授权人（签字）：____________________________</w:t>
      </w:r>
    </w:p>
    <w:p w14:paraId="1F3AD279">
      <w:pPr>
        <w:adjustRightInd w:val="0"/>
        <w:snapToGrid w:val="0"/>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日    期：_______年_______月_______日</w:t>
      </w:r>
    </w:p>
    <w:p w14:paraId="3437DD82">
      <w:pPr>
        <w:pStyle w:val="21"/>
        <w:rPr>
          <w:rFonts w:hint="eastAsia" w:ascii="宋体" w:hAnsi="宋体" w:eastAsia="宋体" w:cs="宋体"/>
          <w:color w:val="auto"/>
        </w:rPr>
      </w:pPr>
    </w:p>
    <w:p w14:paraId="77AB1FC7">
      <w:pPr>
        <w:pStyle w:val="16"/>
        <w:spacing w:line="500" w:lineRule="exact"/>
        <w:jc w:val="left"/>
        <w:rPr>
          <w:rFonts w:hint="eastAsia" w:ascii="宋体" w:hAnsi="宋体" w:eastAsia="宋体" w:cs="宋体"/>
          <w:b/>
          <w:bCs/>
          <w:color w:val="auto"/>
          <w:kern w:val="2"/>
          <w:sz w:val="32"/>
          <w:szCs w:val="32"/>
          <w:lang w:val="en-US" w:eastAsia="zh-CN" w:bidi="ar-SA"/>
        </w:rPr>
        <w:sectPr>
          <w:footerReference r:id="rId11" w:type="default"/>
          <w:pgSz w:w="11905" w:h="16838"/>
          <w:pgMar w:top="1134"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97" w:charSpace="0"/>
        </w:sectPr>
      </w:pPr>
      <w:bookmarkStart w:id="344" w:name="_Toc5895"/>
      <w:bookmarkStart w:id="345" w:name="_Toc536429391"/>
      <w:bookmarkStart w:id="346" w:name="_Toc536202398"/>
      <w:bookmarkStart w:id="347" w:name="_Toc536202329"/>
      <w:bookmarkStart w:id="348" w:name="_Toc536429338"/>
    </w:p>
    <w:bookmarkEnd w:id="344"/>
    <w:bookmarkEnd w:id="345"/>
    <w:bookmarkEnd w:id="346"/>
    <w:bookmarkEnd w:id="347"/>
    <w:bookmarkEnd w:id="348"/>
    <w:p w14:paraId="753F26F5">
      <w:pPr>
        <w:bidi w:val="0"/>
        <w:jc w:val="center"/>
        <w:rPr>
          <w:rFonts w:hint="eastAsia" w:ascii="宋体" w:hAnsi="宋体" w:eastAsia="宋体" w:cs="宋体"/>
          <w:b/>
          <w:bCs/>
          <w:color w:val="auto"/>
          <w:sz w:val="32"/>
          <w:szCs w:val="32"/>
          <w:lang w:val="en-US" w:eastAsia="zh-CN"/>
        </w:rPr>
      </w:pPr>
      <w:bookmarkStart w:id="349" w:name="_Toc14937"/>
      <w:bookmarkStart w:id="350" w:name="_Toc228"/>
      <w:bookmarkStart w:id="351" w:name="_Toc536429392"/>
      <w:bookmarkStart w:id="352" w:name="_Toc536429339"/>
      <w:bookmarkStart w:id="353" w:name="_Toc9172"/>
      <w:bookmarkStart w:id="354" w:name="_Toc6102"/>
      <w:bookmarkStart w:id="355" w:name="_Toc536202399"/>
      <w:bookmarkStart w:id="356" w:name="_Toc19543359"/>
      <w:bookmarkStart w:id="357" w:name="_Toc28798"/>
      <w:bookmarkStart w:id="358" w:name="_Toc536202330"/>
      <w:r>
        <w:rPr>
          <w:rFonts w:hint="eastAsia" w:ascii="宋体" w:hAnsi="宋体" w:eastAsia="宋体" w:cs="宋体"/>
          <w:b/>
          <w:bCs/>
          <w:color w:val="auto"/>
          <w:sz w:val="32"/>
          <w:szCs w:val="32"/>
          <w:lang w:val="en-US" w:eastAsia="zh-CN"/>
        </w:rPr>
        <w:t>五、</w:t>
      </w:r>
      <w:bookmarkEnd w:id="349"/>
      <w:bookmarkEnd w:id="350"/>
      <w:bookmarkEnd w:id="351"/>
      <w:bookmarkEnd w:id="352"/>
      <w:bookmarkEnd w:id="353"/>
      <w:bookmarkEnd w:id="354"/>
      <w:bookmarkEnd w:id="355"/>
      <w:bookmarkEnd w:id="356"/>
      <w:bookmarkEnd w:id="357"/>
      <w:bookmarkEnd w:id="358"/>
      <w:r>
        <w:rPr>
          <w:rFonts w:hint="eastAsia" w:ascii="宋体" w:hAnsi="宋体" w:eastAsia="宋体" w:cs="宋体"/>
          <w:b/>
          <w:bCs/>
          <w:color w:val="auto"/>
          <w:sz w:val="32"/>
          <w:szCs w:val="32"/>
          <w:lang w:val="en-US" w:eastAsia="zh-CN"/>
        </w:rPr>
        <w:t>监理大纲</w:t>
      </w:r>
    </w:p>
    <w:p w14:paraId="15FE65AD">
      <w:pPr>
        <w:pStyle w:val="12"/>
        <w:rPr>
          <w:b/>
          <w:color w:val="auto"/>
          <w:sz w:val="30"/>
        </w:rPr>
      </w:pPr>
    </w:p>
    <w:p w14:paraId="3B965B03">
      <w:pPr>
        <w:pStyle w:val="12"/>
        <w:rPr>
          <w:b/>
          <w:color w:val="auto"/>
          <w:sz w:val="28"/>
        </w:rPr>
      </w:pPr>
    </w:p>
    <w:p w14:paraId="56B7580D">
      <w:pPr>
        <w:pStyle w:val="12"/>
        <w:ind w:left="828"/>
        <w:rPr>
          <w:color w:val="auto"/>
        </w:rPr>
      </w:pPr>
      <w:r>
        <w:rPr>
          <w:color w:val="auto"/>
        </w:rPr>
        <w:t>包含但不限于下列内容，要求针对本工程特点叙述：</w:t>
      </w:r>
    </w:p>
    <w:p w14:paraId="1C9E821A">
      <w:pPr>
        <w:pStyle w:val="12"/>
        <w:spacing w:before="132"/>
        <w:ind w:left="1308"/>
        <w:rPr>
          <w:color w:val="auto"/>
        </w:rPr>
      </w:pPr>
      <w:r>
        <w:rPr>
          <w:rFonts w:ascii="Times New Roman" w:eastAsia="Times New Roman"/>
          <w:color w:val="auto"/>
        </w:rPr>
        <w:t>1</w:t>
      </w:r>
      <w:r>
        <w:rPr>
          <w:color w:val="auto"/>
        </w:rPr>
        <w:t>、工程项目概况；</w:t>
      </w:r>
    </w:p>
    <w:p w14:paraId="4F5FF032">
      <w:pPr>
        <w:pStyle w:val="12"/>
        <w:spacing w:before="132"/>
        <w:ind w:left="1308"/>
        <w:rPr>
          <w:color w:val="auto"/>
        </w:rPr>
      </w:pPr>
      <w:r>
        <w:rPr>
          <w:rFonts w:ascii="Times New Roman" w:eastAsia="Times New Roman"/>
          <w:color w:val="auto"/>
        </w:rPr>
        <w:t>2</w:t>
      </w:r>
      <w:r>
        <w:rPr>
          <w:color w:val="auto"/>
        </w:rPr>
        <w:t>、监理工作范围、监理工作内容及监理依据；</w:t>
      </w:r>
    </w:p>
    <w:p w14:paraId="66B46326">
      <w:pPr>
        <w:pStyle w:val="12"/>
        <w:spacing w:before="134"/>
        <w:ind w:left="1308"/>
        <w:rPr>
          <w:color w:val="auto"/>
        </w:rPr>
      </w:pPr>
      <w:r>
        <w:rPr>
          <w:rFonts w:ascii="Times New Roman" w:eastAsia="Times New Roman"/>
          <w:color w:val="auto"/>
        </w:rPr>
        <w:t>3</w:t>
      </w:r>
      <w:r>
        <w:rPr>
          <w:color w:val="auto"/>
        </w:rPr>
        <w:t>、监理工作目标；</w:t>
      </w:r>
    </w:p>
    <w:p w14:paraId="3012EFD5">
      <w:pPr>
        <w:pStyle w:val="12"/>
        <w:spacing w:before="132"/>
        <w:ind w:left="1308"/>
        <w:rPr>
          <w:color w:val="auto"/>
        </w:rPr>
      </w:pPr>
      <w:r>
        <w:rPr>
          <w:rFonts w:ascii="Times New Roman" w:eastAsia="Times New Roman"/>
          <w:color w:val="auto"/>
        </w:rPr>
        <w:t>4</w:t>
      </w:r>
      <w:r>
        <w:rPr>
          <w:color w:val="auto"/>
        </w:rPr>
        <w:t>、项目监理机构的组织形式和人员配备计划；</w:t>
      </w:r>
    </w:p>
    <w:p w14:paraId="7922644F">
      <w:pPr>
        <w:pStyle w:val="12"/>
        <w:spacing w:before="131"/>
        <w:ind w:left="1308"/>
        <w:rPr>
          <w:color w:val="auto"/>
        </w:rPr>
      </w:pPr>
      <w:r>
        <w:rPr>
          <w:rFonts w:ascii="Times New Roman" w:eastAsia="Times New Roman"/>
          <w:color w:val="auto"/>
        </w:rPr>
        <w:t>5</w:t>
      </w:r>
      <w:r>
        <w:rPr>
          <w:color w:val="auto"/>
        </w:rPr>
        <w:t>、项目监理机构的人员岗位职责；</w:t>
      </w:r>
    </w:p>
    <w:p w14:paraId="0212BFE5">
      <w:pPr>
        <w:pStyle w:val="12"/>
        <w:spacing w:before="134"/>
        <w:ind w:left="1308"/>
        <w:rPr>
          <w:color w:val="auto"/>
        </w:rPr>
      </w:pPr>
      <w:r>
        <w:rPr>
          <w:rFonts w:ascii="Times New Roman" w:eastAsia="Times New Roman"/>
          <w:color w:val="auto"/>
        </w:rPr>
        <w:t>6</w:t>
      </w:r>
      <w:r>
        <w:rPr>
          <w:color w:val="auto"/>
        </w:rPr>
        <w:t>、监理工作程序；</w:t>
      </w:r>
    </w:p>
    <w:p w14:paraId="46393CFF">
      <w:pPr>
        <w:pStyle w:val="12"/>
        <w:spacing w:before="132"/>
        <w:ind w:left="1308"/>
        <w:rPr>
          <w:color w:val="auto"/>
        </w:rPr>
      </w:pPr>
      <w:r>
        <w:rPr>
          <w:rFonts w:ascii="Times New Roman" w:eastAsia="Times New Roman"/>
          <w:color w:val="auto"/>
        </w:rPr>
        <w:t>7</w:t>
      </w:r>
      <w:r>
        <w:rPr>
          <w:color w:val="auto"/>
        </w:rPr>
        <w:t>、监理工作方法及措施；</w:t>
      </w:r>
    </w:p>
    <w:p w14:paraId="18CE687C">
      <w:pPr>
        <w:pStyle w:val="85"/>
        <w:numPr>
          <w:ilvl w:val="1"/>
          <w:numId w:val="2"/>
        </w:numPr>
        <w:tabs>
          <w:tab w:val="left" w:pos="1988"/>
        </w:tabs>
        <w:spacing w:before="132" w:after="0" w:line="240" w:lineRule="auto"/>
        <w:ind w:left="1988" w:right="0" w:hanging="320"/>
        <w:jc w:val="left"/>
        <w:rPr>
          <w:color w:val="auto"/>
          <w:sz w:val="24"/>
        </w:rPr>
      </w:pPr>
      <w:r>
        <w:rPr>
          <w:color w:val="auto"/>
          <w:sz w:val="24"/>
        </w:rPr>
        <w:t>质量控制</w:t>
      </w:r>
    </w:p>
    <w:p w14:paraId="30E01630">
      <w:pPr>
        <w:pStyle w:val="85"/>
        <w:numPr>
          <w:ilvl w:val="1"/>
          <w:numId w:val="2"/>
        </w:numPr>
        <w:tabs>
          <w:tab w:val="left" w:pos="1988"/>
        </w:tabs>
        <w:spacing w:before="134" w:after="0" w:line="240" w:lineRule="auto"/>
        <w:ind w:left="1988" w:right="0" w:hanging="320"/>
        <w:jc w:val="left"/>
        <w:rPr>
          <w:color w:val="auto"/>
          <w:sz w:val="24"/>
        </w:rPr>
      </w:pPr>
      <w:r>
        <w:rPr>
          <w:color w:val="auto"/>
          <w:sz w:val="24"/>
        </w:rPr>
        <w:t>进度控制</w:t>
      </w:r>
    </w:p>
    <w:p w14:paraId="74CC8F87">
      <w:pPr>
        <w:pStyle w:val="85"/>
        <w:numPr>
          <w:ilvl w:val="1"/>
          <w:numId w:val="2"/>
        </w:numPr>
        <w:tabs>
          <w:tab w:val="left" w:pos="1988"/>
        </w:tabs>
        <w:spacing w:before="132" w:after="0" w:line="240" w:lineRule="auto"/>
        <w:ind w:left="1988" w:right="0" w:hanging="320"/>
        <w:jc w:val="left"/>
        <w:rPr>
          <w:color w:val="auto"/>
          <w:sz w:val="24"/>
        </w:rPr>
      </w:pPr>
      <w:r>
        <w:rPr>
          <w:color w:val="auto"/>
          <w:sz w:val="24"/>
        </w:rPr>
        <w:t>费用控制</w:t>
      </w:r>
    </w:p>
    <w:p w14:paraId="26AD7919">
      <w:pPr>
        <w:pStyle w:val="85"/>
        <w:numPr>
          <w:ilvl w:val="1"/>
          <w:numId w:val="2"/>
        </w:numPr>
        <w:tabs>
          <w:tab w:val="left" w:pos="1988"/>
        </w:tabs>
        <w:spacing w:before="131" w:after="0" w:line="240" w:lineRule="auto"/>
        <w:ind w:left="1988" w:right="0" w:hanging="320"/>
        <w:jc w:val="left"/>
        <w:rPr>
          <w:color w:val="auto"/>
          <w:sz w:val="24"/>
        </w:rPr>
      </w:pPr>
      <w:r>
        <w:rPr>
          <w:color w:val="auto"/>
          <w:sz w:val="24"/>
        </w:rPr>
        <w:t>重点工程部位及关键工序控制方法</w:t>
      </w:r>
    </w:p>
    <w:p w14:paraId="3F284BBC">
      <w:pPr>
        <w:pStyle w:val="85"/>
        <w:numPr>
          <w:ilvl w:val="1"/>
          <w:numId w:val="2"/>
        </w:numPr>
        <w:tabs>
          <w:tab w:val="left" w:pos="1988"/>
        </w:tabs>
        <w:spacing w:before="134" w:after="0" w:line="240" w:lineRule="auto"/>
        <w:ind w:left="1988" w:right="0" w:hanging="320"/>
        <w:jc w:val="left"/>
        <w:rPr>
          <w:color w:val="auto"/>
          <w:sz w:val="24"/>
        </w:rPr>
      </w:pPr>
      <w:r>
        <w:rPr>
          <w:color w:val="auto"/>
          <w:sz w:val="24"/>
        </w:rPr>
        <w:t>安全生产监督管理</w:t>
      </w:r>
    </w:p>
    <w:p w14:paraId="6FE2BE8F">
      <w:pPr>
        <w:pStyle w:val="85"/>
        <w:numPr>
          <w:ilvl w:val="1"/>
          <w:numId w:val="2"/>
        </w:numPr>
        <w:tabs>
          <w:tab w:val="left" w:pos="1988"/>
        </w:tabs>
        <w:spacing w:before="132" w:after="0" w:line="240" w:lineRule="auto"/>
        <w:ind w:left="1988" w:right="0" w:hanging="320"/>
        <w:jc w:val="left"/>
        <w:rPr>
          <w:color w:val="auto"/>
          <w:sz w:val="24"/>
        </w:rPr>
      </w:pPr>
      <w:r>
        <w:rPr>
          <w:color w:val="auto"/>
          <w:sz w:val="24"/>
        </w:rPr>
        <w:t>信息管理</w:t>
      </w:r>
    </w:p>
    <w:p w14:paraId="42B9A532">
      <w:pPr>
        <w:pStyle w:val="85"/>
        <w:numPr>
          <w:ilvl w:val="1"/>
          <w:numId w:val="2"/>
        </w:numPr>
        <w:tabs>
          <w:tab w:val="left" w:pos="1988"/>
        </w:tabs>
        <w:spacing w:before="132" w:after="0" w:line="240" w:lineRule="auto"/>
        <w:ind w:left="1988" w:right="0" w:hanging="320"/>
        <w:jc w:val="left"/>
        <w:rPr>
          <w:color w:val="auto"/>
          <w:sz w:val="24"/>
        </w:rPr>
      </w:pPr>
      <w:r>
        <w:rPr>
          <w:color w:val="auto"/>
          <w:sz w:val="24"/>
        </w:rPr>
        <w:t>合同管理</w:t>
      </w:r>
    </w:p>
    <w:p w14:paraId="7E06DCC3">
      <w:pPr>
        <w:pStyle w:val="12"/>
        <w:spacing w:before="134"/>
        <w:ind w:left="1308"/>
        <w:rPr>
          <w:color w:val="auto"/>
        </w:rPr>
      </w:pPr>
      <w:r>
        <w:rPr>
          <w:rFonts w:ascii="Times New Roman" w:eastAsia="Times New Roman"/>
          <w:color w:val="auto"/>
        </w:rPr>
        <w:t>8</w:t>
      </w:r>
      <w:r>
        <w:rPr>
          <w:color w:val="auto"/>
        </w:rPr>
        <w:t>、监理工作制度；</w:t>
      </w:r>
    </w:p>
    <w:p w14:paraId="1CF07F51">
      <w:pPr>
        <w:pStyle w:val="12"/>
        <w:spacing w:before="132"/>
        <w:ind w:left="1308"/>
        <w:rPr>
          <w:color w:val="auto"/>
        </w:rPr>
      </w:pPr>
      <w:r>
        <w:rPr>
          <w:rFonts w:ascii="Times New Roman" w:eastAsia="Times New Roman"/>
          <w:color w:val="auto"/>
        </w:rPr>
        <w:t>9</w:t>
      </w:r>
      <w:r>
        <w:rPr>
          <w:color w:val="auto"/>
        </w:rPr>
        <w:t>、监理设施配备。</w:t>
      </w:r>
    </w:p>
    <w:p w14:paraId="4D221C1A">
      <w:pPr>
        <w:pageBreakBefore w:val="0"/>
        <w:kinsoku/>
        <w:wordWrap/>
        <w:overflowPunct/>
        <w:topLinePunct w:val="0"/>
        <w:bidi w:val="0"/>
        <w:snapToGrid/>
        <w:spacing w:line="480" w:lineRule="exact"/>
        <w:ind w:firstLine="480" w:firstLineChars="200"/>
        <w:rPr>
          <w:rFonts w:hint="eastAsia" w:ascii="宋体" w:hAnsi="宋体" w:eastAsia="宋体" w:cs="宋体"/>
          <w:color w:val="auto"/>
          <w:sz w:val="24"/>
          <w:szCs w:val="24"/>
        </w:rPr>
      </w:pPr>
    </w:p>
    <w:p w14:paraId="71F2ADB1">
      <w:pPr>
        <w:pageBreakBefore w:val="0"/>
        <w:kinsoku/>
        <w:wordWrap/>
        <w:overflowPunct/>
        <w:topLinePunct w:val="0"/>
        <w:bidi w:val="0"/>
        <w:snapToGrid/>
        <w:spacing w:line="480" w:lineRule="exact"/>
        <w:ind w:firstLine="480" w:firstLineChars="200"/>
        <w:rPr>
          <w:rFonts w:hint="eastAsia" w:ascii="宋体" w:hAnsi="宋体" w:eastAsia="宋体" w:cs="宋体"/>
          <w:color w:val="auto"/>
          <w:sz w:val="24"/>
          <w:szCs w:val="24"/>
        </w:rPr>
      </w:pPr>
    </w:p>
    <w:p w14:paraId="1B26CD3D">
      <w:pPr>
        <w:pageBreakBefore w:val="0"/>
        <w:kinsoku/>
        <w:wordWrap/>
        <w:overflowPunct/>
        <w:topLinePunct w:val="0"/>
        <w:bidi w:val="0"/>
        <w:snapToGrid/>
        <w:spacing w:line="480" w:lineRule="exact"/>
        <w:rPr>
          <w:rFonts w:hint="eastAsia" w:ascii="宋体" w:hAnsi="宋体" w:eastAsia="宋体" w:cs="宋体"/>
          <w:color w:val="auto"/>
          <w:sz w:val="24"/>
          <w:szCs w:val="24"/>
        </w:rPr>
      </w:pPr>
    </w:p>
    <w:p w14:paraId="201A8B51">
      <w:pPr>
        <w:spacing w:line="360" w:lineRule="auto"/>
        <w:ind w:firstLine="560" w:firstLineChars="200"/>
        <w:rPr>
          <w:rFonts w:hint="eastAsia" w:ascii="宋体" w:hAnsi="宋体" w:eastAsia="宋体" w:cs="宋体"/>
          <w:color w:val="auto"/>
          <w:lang w:eastAsia="zh-CN"/>
        </w:rPr>
      </w:pPr>
    </w:p>
    <w:p w14:paraId="4EE62E71">
      <w:pPr>
        <w:pStyle w:val="2"/>
        <w:rPr>
          <w:rFonts w:hint="eastAsia" w:ascii="宋体" w:hAnsi="宋体" w:eastAsia="宋体" w:cs="宋体"/>
          <w:color w:val="auto"/>
          <w:lang w:eastAsia="zh-CN"/>
        </w:rPr>
      </w:pPr>
    </w:p>
    <w:p w14:paraId="03F5A4E5">
      <w:pPr>
        <w:pStyle w:val="2"/>
        <w:rPr>
          <w:rFonts w:hint="eastAsia" w:ascii="宋体" w:hAnsi="宋体" w:eastAsia="宋体" w:cs="宋体"/>
          <w:color w:val="auto"/>
          <w:lang w:eastAsia="zh-CN"/>
        </w:rPr>
      </w:pPr>
    </w:p>
    <w:p w14:paraId="75416059">
      <w:pPr>
        <w:pStyle w:val="2"/>
        <w:rPr>
          <w:rFonts w:hint="eastAsia" w:ascii="宋体" w:hAnsi="宋体" w:eastAsia="宋体" w:cs="宋体"/>
          <w:color w:val="auto"/>
          <w:lang w:eastAsia="zh-CN"/>
        </w:rPr>
      </w:pPr>
    </w:p>
    <w:p w14:paraId="1AE38F06">
      <w:pPr>
        <w:pStyle w:val="2"/>
        <w:rPr>
          <w:rFonts w:hint="eastAsia" w:ascii="宋体" w:hAnsi="宋体" w:eastAsia="宋体" w:cs="宋体"/>
          <w:color w:val="auto"/>
          <w:lang w:eastAsia="zh-CN"/>
        </w:rPr>
      </w:pPr>
    </w:p>
    <w:p w14:paraId="5414A0B7">
      <w:pPr>
        <w:pStyle w:val="2"/>
        <w:rPr>
          <w:rFonts w:hint="eastAsia" w:ascii="宋体" w:hAnsi="宋体" w:eastAsia="宋体" w:cs="宋体"/>
          <w:color w:val="auto"/>
          <w:lang w:eastAsia="zh-CN"/>
        </w:rPr>
      </w:pPr>
    </w:p>
    <w:p w14:paraId="273F7AAD">
      <w:pPr>
        <w:pStyle w:val="2"/>
        <w:rPr>
          <w:rFonts w:hint="eastAsia" w:ascii="宋体" w:hAnsi="宋体" w:eastAsia="宋体" w:cs="宋体"/>
          <w:color w:val="auto"/>
          <w:lang w:eastAsia="zh-CN"/>
        </w:rPr>
      </w:pPr>
    </w:p>
    <w:p w14:paraId="3FE91C74">
      <w:pPr>
        <w:pStyle w:val="2"/>
        <w:rPr>
          <w:rFonts w:hint="eastAsia" w:ascii="宋体" w:hAnsi="宋体" w:eastAsia="宋体" w:cs="宋体"/>
          <w:color w:val="auto"/>
          <w:lang w:eastAsia="zh-CN"/>
        </w:rPr>
      </w:pPr>
    </w:p>
    <w:p w14:paraId="7D6DD626">
      <w:pPr>
        <w:pStyle w:val="2"/>
        <w:rPr>
          <w:rFonts w:hint="eastAsia" w:ascii="宋体" w:hAnsi="宋体" w:eastAsia="宋体" w:cs="宋体"/>
          <w:color w:val="auto"/>
          <w:lang w:eastAsia="zh-CN"/>
        </w:rPr>
      </w:pPr>
    </w:p>
    <w:p w14:paraId="66E8EBD9">
      <w:pPr>
        <w:pStyle w:val="2"/>
        <w:rPr>
          <w:rFonts w:hint="eastAsia" w:ascii="宋体" w:hAnsi="宋体" w:eastAsia="宋体" w:cs="宋体"/>
          <w:color w:val="auto"/>
          <w:lang w:eastAsia="zh-CN"/>
        </w:rPr>
      </w:pPr>
    </w:p>
    <w:p w14:paraId="6786FA4E">
      <w:pPr>
        <w:pStyle w:val="2"/>
        <w:rPr>
          <w:rFonts w:hint="eastAsia" w:ascii="宋体" w:hAnsi="宋体" w:eastAsia="宋体" w:cs="宋体"/>
          <w:color w:val="auto"/>
          <w:lang w:eastAsia="zh-CN"/>
        </w:rPr>
      </w:pPr>
    </w:p>
    <w:p w14:paraId="7426A65F">
      <w:pPr>
        <w:bidi w:val="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拟派本项目总监理工程师资格一览表</w:t>
      </w:r>
    </w:p>
    <w:p w14:paraId="381E84F0">
      <w:pPr>
        <w:pStyle w:val="12"/>
        <w:spacing w:before="5"/>
        <w:rPr>
          <w:b/>
          <w:color w:val="auto"/>
          <w:sz w:val="9"/>
        </w:rPr>
      </w:pPr>
    </w:p>
    <w:tbl>
      <w:tblPr>
        <w:tblStyle w:val="35"/>
        <w:tblW w:w="922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0"/>
        <w:gridCol w:w="2880"/>
        <w:gridCol w:w="4425"/>
      </w:tblGrid>
      <w:tr w14:paraId="7E2A1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1920" w:type="dxa"/>
          </w:tcPr>
          <w:p w14:paraId="290D982D">
            <w:pPr>
              <w:pStyle w:val="134"/>
              <w:keepNext w:val="0"/>
              <w:keepLines w:val="0"/>
              <w:widowControl/>
              <w:suppressLineNumbers w:val="0"/>
              <w:spacing w:before="0" w:beforeAutospacing="0" w:after="0" w:afterAutospacing="0"/>
              <w:ind w:left="0" w:right="0"/>
              <w:jc w:val="center"/>
              <w:rPr>
                <w:rFonts w:hint="default"/>
                <w:b/>
                <w:color w:val="auto"/>
                <w:sz w:val="24"/>
              </w:rPr>
            </w:pPr>
          </w:p>
          <w:p w14:paraId="78928A09">
            <w:pPr>
              <w:pStyle w:val="134"/>
              <w:keepNext w:val="0"/>
              <w:keepLines w:val="0"/>
              <w:widowControl/>
              <w:suppressLineNumbers w:val="0"/>
              <w:spacing w:before="1" w:beforeAutospacing="0" w:after="0" w:afterAutospacing="0"/>
              <w:ind w:left="0" w:right="0"/>
              <w:jc w:val="center"/>
              <w:rPr>
                <w:rFonts w:hint="default"/>
                <w:b/>
                <w:color w:val="auto"/>
                <w:sz w:val="18"/>
              </w:rPr>
            </w:pPr>
          </w:p>
          <w:p w14:paraId="2F19A4DD">
            <w:pPr>
              <w:pStyle w:val="134"/>
              <w:keepNext w:val="0"/>
              <w:keepLines w:val="0"/>
              <w:widowControl/>
              <w:suppressLineNumbers w:val="0"/>
              <w:spacing w:before="0" w:beforeAutospacing="0" w:after="0" w:afterAutospacing="0"/>
              <w:ind w:left="0" w:right="233"/>
              <w:jc w:val="center"/>
              <w:rPr>
                <w:rFonts w:hint="default"/>
                <w:color w:val="auto"/>
                <w:sz w:val="24"/>
              </w:rPr>
            </w:pPr>
            <w:r>
              <w:rPr>
                <w:rFonts w:hint="default"/>
                <w:color w:val="auto"/>
                <w:sz w:val="24"/>
              </w:rPr>
              <w:t>姓</w:t>
            </w:r>
            <w:r>
              <w:rPr>
                <w:rFonts w:hint="eastAsia"/>
                <w:color w:val="auto"/>
                <w:sz w:val="24"/>
                <w:lang w:val="en-US" w:eastAsia="zh-CN"/>
              </w:rPr>
              <w:t xml:space="preserve">  </w:t>
            </w:r>
            <w:r>
              <w:rPr>
                <w:rFonts w:hint="default"/>
                <w:color w:val="auto"/>
                <w:sz w:val="24"/>
              </w:rPr>
              <w:t>名</w:t>
            </w:r>
          </w:p>
        </w:tc>
        <w:tc>
          <w:tcPr>
            <w:tcW w:w="2880" w:type="dxa"/>
          </w:tcPr>
          <w:p w14:paraId="0EA0E3C0">
            <w:pPr>
              <w:pStyle w:val="134"/>
              <w:keepNext w:val="0"/>
              <w:keepLines w:val="0"/>
              <w:widowControl/>
              <w:suppressLineNumbers w:val="0"/>
              <w:spacing w:before="0" w:beforeAutospacing="0" w:after="0" w:afterAutospacing="0"/>
              <w:ind w:left="0" w:right="0"/>
              <w:rPr>
                <w:rFonts w:hint="default" w:ascii="Times New Roman"/>
                <w:color w:val="auto"/>
                <w:sz w:val="24"/>
              </w:rPr>
            </w:pPr>
          </w:p>
        </w:tc>
        <w:tc>
          <w:tcPr>
            <w:tcW w:w="4425" w:type="dxa"/>
          </w:tcPr>
          <w:p w14:paraId="6B014AE6">
            <w:pPr>
              <w:pStyle w:val="134"/>
              <w:keepNext w:val="0"/>
              <w:keepLines w:val="0"/>
              <w:widowControl/>
              <w:suppressLineNumbers w:val="0"/>
              <w:spacing w:before="9" w:beforeAutospacing="0" w:after="0" w:afterAutospacing="0"/>
              <w:ind w:left="0" w:right="0"/>
              <w:rPr>
                <w:rFonts w:hint="default"/>
                <w:b/>
                <w:color w:val="auto"/>
                <w:sz w:val="17"/>
              </w:rPr>
            </w:pPr>
          </w:p>
          <w:p w14:paraId="0E178569">
            <w:pPr>
              <w:pStyle w:val="134"/>
              <w:keepNext w:val="0"/>
              <w:keepLines w:val="0"/>
              <w:widowControl/>
              <w:suppressLineNumbers w:val="0"/>
              <w:spacing w:before="0" w:beforeAutospacing="0" w:after="0" w:afterAutospacing="0"/>
              <w:ind w:left="0" w:right="0"/>
              <w:jc w:val="center"/>
              <w:rPr>
                <w:rFonts w:hint="eastAsia"/>
                <w:color w:val="auto"/>
                <w:sz w:val="24"/>
                <w:lang w:val="en-US" w:eastAsia="zh-CN"/>
              </w:rPr>
            </w:pPr>
            <w:r>
              <w:rPr>
                <w:rFonts w:hint="eastAsia"/>
                <w:color w:val="auto"/>
                <w:sz w:val="24"/>
                <w:lang w:val="en-US" w:eastAsia="zh-CN"/>
              </w:rPr>
              <w:t>2022年1月1日起至今</w:t>
            </w:r>
            <w:r>
              <w:rPr>
                <w:rFonts w:hint="eastAsia"/>
                <w:color w:val="auto"/>
                <w:sz w:val="24"/>
                <w:lang w:eastAsia="zh-CN"/>
              </w:rPr>
              <w:t>至少</w:t>
            </w:r>
            <w:r>
              <w:rPr>
                <w:rFonts w:hint="default"/>
                <w:color w:val="auto"/>
                <w:sz w:val="24"/>
              </w:rPr>
              <w:t>担任</w:t>
            </w:r>
            <w:r>
              <w:rPr>
                <w:rFonts w:hint="eastAsia"/>
                <w:color w:val="auto"/>
                <w:sz w:val="24"/>
                <w:lang w:val="en-US" w:eastAsia="zh-CN"/>
              </w:rPr>
              <w:t>1个</w:t>
            </w:r>
          </w:p>
          <w:p w14:paraId="68540FA7">
            <w:pPr>
              <w:pStyle w:val="134"/>
              <w:keepNext w:val="0"/>
              <w:keepLines w:val="0"/>
              <w:widowControl/>
              <w:suppressLineNumbers w:val="0"/>
              <w:spacing w:before="0" w:beforeAutospacing="0" w:after="0" w:afterAutospacing="0"/>
              <w:ind w:left="0" w:right="0"/>
              <w:jc w:val="center"/>
              <w:rPr>
                <w:rFonts w:hint="default"/>
                <w:color w:val="auto"/>
                <w:sz w:val="24"/>
              </w:rPr>
            </w:pPr>
            <w:r>
              <w:rPr>
                <w:rFonts w:hint="eastAsia"/>
                <w:color w:val="auto"/>
                <w:sz w:val="24"/>
                <w:lang w:val="en-US" w:eastAsia="zh-CN"/>
              </w:rPr>
              <w:t>类似</w:t>
            </w:r>
            <w:r>
              <w:rPr>
                <w:rFonts w:hint="default"/>
                <w:color w:val="auto"/>
                <w:sz w:val="24"/>
              </w:rPr>
              <w:t>项目</w:t>
            </w:r>
            <w:r>
              <w:rPr>
                <w:rFonts w:hint="eastAsia"/>
                <w:color w:val="auto"/>
                <w:sz w:val="24"/>
                <w:lang w:eastAsia="zh-CN"/>
              </w:rPr>
              <w:t>的</w:t>
            </w:r>
            <w:r>
              <w:rPr>
                <w:rFonts w:hint="default"/>
                <w:color w:val="auto"/>
                <w:sz w:val="24"/>
              </w:rPr>
              <w:t>总监理工程师</w:t>
            </w:r>
          </w:p>
        </w:tc>
      </w:tr>
      <w:tr w14:paraId="11551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1920" w:type="dxa"/>
          </w:tcPr>
          <w:p w14:paraId="2CC62661">
            <w:pPr>
              <w:pStyle w:val="134"/>
              <w:keepNext w:val="0"/>
              <w:keepLines w:val="0"/>
              <w:widowControl/>
              <w:suppressLineNumbers w:val="0"/>
              <w:spacing w:before="9" w:beforeAutospacing="0" w:after="0" w:afterAutospacing="0"/>
              <w:ind w:left="0" w:right="0"/>
              <w:jc w:val="center"/>
              <w:rPr>
                <w:rFonts w:hint="default"/>
                <w:b/>
                <w:color w:val="auto"/>
                <w:sz w:val="18"/>
              </w:rPr>
            </w:pPr>
          </w:p>
          <w:p w14:paraId="76D3F3C7">
            <w:pPr>
              <w:pStyle w:val="134"/>
              <w:keepNext w:val="0"/>
              <w:keepLines w:val="0"/>
              <w:widowControl/>
              <w:suppressLineNumbers w:val="0"/>
              <w:spacing w:before="0" w:beforeAutospacing="0" w:after="0" w:afterAutospacing="0"/>
              <w:ind w:left="0" w:right="233"/>
              <w:jc w:val="center"/>
              <w:rPr>
                <w:rFonts w:hint="eastAsia" w:eastAsia="宋体"/>
                <w:color w:val="auto"/>
                <w:sz w:val="24"/>
                <w:lang w:eastAsia="zh-CN"/>
              </w:rPr>
            </w:pPr>
            <w:r>
              <w:rPr>
                <w:rFonts w:hint="eastAsia"/>
                <w:color w:val="auto"/>
                <w:sz w:val="24"/>
                <w:lang w:eastAsia="zh-CN"/>
              </w:rPr>
              <w:t>性</w:t>
            </w:r>
            <w:r>
              <w:rPr>
                <w:rFonts w:hint="eastAsia"/>
                <w:color w:val="auto"/>
                <w:sz w:val="24"/>
                <w:lang w:val="en-US" w:eastAsia="zh-CN"/>
              </w:rPr>
              <w:t xml:space="preserve">  </w:t>
            </w:r>
            <w:r>
              <w:rPr>
                <w:rFonts w:hint="eastAsia"/>
                <w:color w:val="auto"/>
                <w:sz w:val="24"/>
                <w:lang w:eastAsia="zh-CN"/>
              </w:rPr>
              <w:t>别</w:t>
            </w:r>
          </w:p>
        </w:tc>
        <w:tc>
          <w:tcPr>
            <w:tcW w:w="2880" w:type="dxa"/>
          </w:tcPr>
          <w:p w14:paraId="20D32C02">
            <w:pPr>
              <w:pStyle w:val="134"/>
              <w:keepNext w:val="0"/>
              <w:keepLines w:val="0"/>
              <w:widowControl/>
              <w:suppressLineNumbers w:val="0"/>
              <w:spacing w:before="0" w:beforeAutospacing="0" w:after="0" w:afterAutospacing="0"/>
              <w:ind w:left="0" w:right="0"/>
              <w:rPr>
                <w:rFonts w:hint="default" w:ascii="Times New Roman"/>
                <w:color w:val="auto"/>
                <w:sz w:val="24"/>
              </w:rPr>
            </w:pPr>
          </w:p>
        </w:tc>
        <w:tc>
          <w:tcPr>
            <w:tcW w:w="4425" w:type="dxa"/>
            <w:vMerge w:val="restart"/>
          </w:tcPr>
          <w:p w14:paraId="5D85CED0">
            <w:pPr>
              <w:pStyle w:val="134"/>
              <w:keepNext w:val="0"/>
              <w:keepLines w:val="0"/>
              <w:widowControl/>
              <w:suppressLineNumbers w:val="0"/>
              <w:spacing w:before="0" w:beforeAutospacing="0" w:after="0" w:afterAutospacing="0"/>
              <w:ind w:left="0" w:right="0"/>
              <w:rPr>
                <w:rFonts w:hint="default" w:ascii="Times New Roman"/>
                <w:color w:val="auto"/>
                <w:sz w:val="24"/>
              </w:rPr>
            </w:pPr>
          </w:p>
        </w:tc>
      </w:tr>
      <w:tr w14:paraId="00F44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920" w:type="dxa"/>
          </w:tcPr>
          <w:p w14:paraId="302ACD43">
            <w:pPr>
              <w:pStyle w:val="134"/>
              <w:keepNext w:val="0"/>
              <w:keepLines w:val="0"/>
              <w:widowControl/>
              <w:suppressLineNumbers w:val="0"/>
              <w:spacing w:before="10" w:beforeAutospacing="0" w:after="0" w:afterAutospacing="0"/>
              <w:ind w:left="0" w:right="0"/>
              <w:jc w:val="center"/>
              <w:rPr>
                <w:rFonts w:hint="default"/>
                <w:b/>
                <w:color w:val="auto"/>
                <w:sz w:val="18"/>
              </w:rPr>
            </w:pPr>
          </w:p>
          <w:p w14:paraId="11B9B0CB">
            <w:pPr>
              <w:pStyle w:val="134"/>
              <w:keepNext w:val="0"/>
              <w:keepLines w:val="0"/>
              <w:widowControl/>
              <w:suppressLineNumbers w:val="0"/>
              <w:spacing w:before="0" w:beforeAutospacing="0" w:after="0" w:afterAutospacing="0"/>
              <w:ind w:left="0" w:right="233"/>
              <w:jc w:val="center"/>
              <w:rPr>
                <w:rFonts w:hint="default"/>
                <w:color w:val="auto"/>
                <w:sz w:val="24"/>
              </w:rPr>
            </w:pPr>
            <w:r>
              <w:rPr>
                <w:rFonts w:hint="default"/>
                <w:color w:val="auto"/>
                <w:sz w:val="24"/>
              </w:rPr>
              <w:t>年</w:t>
            </w:r>
            <w:r>
              <w:rPr>
                <w:rFonts w:hint="eastAsia"/>
                <w:color w:val="auto"/>
                <w:sz w:val="24"/>
                <w:lang w:val="en-US" w:eastAsia="zh-CN"/>
              </w:rPr>
              <w:t xml:space="preserve">  </w:t>
            </w:r>
            <w:r>
              <w:rPr>
                <w:rFonts w:hint="default"/>
                <w:color w:val="auto"/>
                <w:sz w:val="24"/>
              </w:rPr>
              <w:t>龄</w:t>
            </w:r>
          </w:p>
        </w:tc>
        <w:tc>
          <w:tcPr>
            <w:tcW w:w="2880" w:type="dxa"/>
          </w:tcPr>
          <w:p w14:paraId="52AB282F">
            <w:pPr>
              <w:pStyle w:val="134"/>
              <w:keepNext w:val="0"/>
              <w:keepLines w:val="0"/>
              <w:widowControl/>
              <w:suppressLineNumbers w:val="0"/>
              <w:spacing w:before="0" w:beforeAutospacing="0" w:after="0" w:afterAutospacing="0"/>
              <w:ind w:left="0" w:right="0"/>
              <w:rPr>
                <w:rFonts w:hint="default" w:ascii="Times New Roman"/>
                <w:color w:val="auto"/>
                <w:sz w:val="24"/>
              </w:rPr>
            </w:pPr>
          </w:p>
        </w:tc>
        <w:tc>
          <w:tcPr>
            <w:tcW w:w="4425" w:type="dxa"/>
            <w:vMerge w:val="continue"/>
            <w:tcBorders>
              <w:top w:val="nil"/>
            </w:tcBorders>
          </w:tcPr>
          <w:p w14:paraId="75E3E892">
            <w:pPr>
              <w:keepNext w:val="0"/>
              <w:keepLines w:val="0"/>
              <w:widowControl/>
              <w:suppressLineNumbers w:val="0"/>
              <w:spacing w:before="0" w:beforeAutospacing="0" w:after="0" w:afterAutospacing="0"/>
              <w:ind w:left="0" w:right="0"/>
              <w:rPr>
                <w:rFonts w:hint="default"/>
                <w:color w:val="auto"/>
                <w:sz w:val="2"/>
                <w:szCs w:val="2"/>
              </w:rPr>
            </w:pPr>
          </w:p>
        </w:tc>
      </w:tr>
      <w:tr w14:paraId="2017B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920" w:type="dxa"/>
          </w:tcPr>
          <w:p w14:paraId="75605C38">
            <w:pPr>
              <w:pStyle w:val="134"/>
              <w:keepNext w:val="0"/>
              <w:keepLines w:val="0"/>
              <w:widowControl/>
              <w:suppressLineNumbers w:val="0"/>
              <w:spacing w:before="9" w:beforeAutospacing="0" w:after="0" w:afterAutospacing="0"/>
              <w:ind w:left="0" w:right="0"/>
              <w:jc w:val="center"/>
              <w:rPr>
                <w:rFonts w:hint="default"/>
                <w:b/>
                <w:color w:val="auto"/>
                <w:sz w:val="18"/>
              </w:rPr>
            </w:pPr>
          </w:p>
          <w:p w14:paraId="72CF8F8B">
            <w:pPr>
              <w:pStyle w:val="134"/>
              <w:keepNext w:val="0"/>
              <w:keepLines w:val="0"/>
              <w:widowControl/>
              <w:suppressLineNumbers w:val="0"/>
              <w:spacing w:before="0" w:beforeAutospacing="0" w:after="0" w:afterAutospacing="0"/>
              <w:ind w:left="0" w:right="233"/>
              <w:jc w:val="center"/>
              <w:rPr>
                <w:rFonts w:hint="default"/>
                <w:color w:val="auto"/>
                <w:sz w:val="24"/>
              </w:rPr>
            </w:pPr>
            <w:r>
              <w:rPr>
                <w:rFonts w:hint="default"/>
                <w:color w:val="auto"/>
                <w:sz w:val="24"/>
              </w:rPr>
              <w:t>职</w:t>
            </w:r>
            <w:r>
              <w:rPr>
                <w:rFonts w:hint="eastAsia"/>
                <w:color w:val="auto"/>
                <w:sz w:val="24"/>
                <w:lang w:val="en-US" w:eastAsia="zh-CN"/>
              </w:rPr>
              <w:t xml:space="preserve">  </w:t>
            </w:r>
            <w:r>
              <w:rPr>
                <w:rFonts w:hint="default"/>
                <w:color w:val="auto"/>
                <w:sz w:val="24"/>
              </w:rPr>
              <w:t>称</w:t>
            </w:r>
          </w:p>
        </w:tc>
        <w:tc>
          <w:tcPr>
            <w:tcW w:w="2880" w:type="dxa"/>
          </w:tcPr>
          <w:p w14:paraId="76811094">
            <w:pPr>
              <w:pStyle w:val="134"/>
              <w:keepNext w:val="0"/>
              <w:keepLines w:val="0"/>
              <w:widowControl/>
              <w:suppressLineNumbers w:val="0"/>
              <w:spacing w:before="0" w:beforeAutospacing="0" w:after="0" w:afterAutospacing="0"/>
              <w:ind w:left="0" w:right="0"/>
              <w:rPr>
                <w:rFonts w:hint="default" w:ascii="Times New Roman"/>
                <w:color w:val="auto"/>
                <w:sz w:val="24"/>
              </w:rPr>
            </w:pPr>
          </w:p>
        </w:tc>
        <w:tc>
          <w:tcPr>
            <w:tcW w:w="4425" w:type="dxa"/>
            <w:vMerge w:val="continue"/>
            <w:tcBorders>
              <w:top w:val="nil"/>
            </w:tcBorders>
          </w:tcPr>
          <w:p w14:paraId="0B6EF348">
            <w:pPr>
              <w:keepNext w:val="0"/>
              <w:keepLines w:val="0"/>
              <w:widowControl/>
              <w:suppressLineNumbers w:val="0"/>
              <w:spacing w:before="0" w:beforeAutospacing="0" w:after="0" w:afterAutospacing="0"/>
              <w:ind w:left="0" w:right="0"/>
              <w:rPr>
                <w:rFonts w:hint="default"/>
                <w:color w:val="auto"/>
                <w:sz w:val="2"/>
                <w:szCs w:val="2"/>
              </w:rPr>
            </w:pPr>
          </w:p>
        </w:tc>
      </w:tr>
      <w:tr w14:paraId="0CC9EECB">
        <w:tblPrEx>
          <w:tblCellMar>
            <w:top w:w="0" w:type="dxa"/>
            <w:left w:w="0" w:type="dxa"/>
            <w:bottom w:w="0" w:type="dxa"/>
            <w:right w:w="0" w:type="dxa"/>
          </w:tblCellMar>
        </w:tblPrEx>
        <w:trPr>
          <w:trHeight w:val="806" w:hRule="atLeast"/>
        </w:trPr>
        <w:tc>
          <w:tcPr>
            <w:tcW w:w="1920" w:type="dxa"/>
          </w:tcPr>
          <w:p w14:paraId="378A4196">
            <w:pPr>
              <w:pStyle w:val="134"/>
              <w:keepNext w:val="0"/>
              <w:keepLines w:val="0"/>
              <w:widowControl/>
              <w:suppressLineNumbers w:val="0"/>
              <w:spacing w:before="7" w:beforeAutospacing="0" w:after="0" w:afterAutospacing="0"/>
              <w:ind w:left="0" w:right="0"/>
              <w:jc w:val="both"/>
              <w:rPr>
                <w:rFonts w:hint="default"/>
                <w:b/>
                <w:color w:val="auto"/>
                <w:sz w:val="19"/>
              </w:rPr>
            </w:pPr>
          </w:p>
          <w:p w14:paraId="5E7C1C4C">
            <w:pPr>
              <w:pStyle w:val="134"/>
              <w:keepNext w:val="0"/>
              <w:keepLines w:val="0"/>
              <w:widowControl/>
              <w:suppressLineNumbers w:val="0"/>
              <w:spacing w:before="0" w:beforeAutospacing="0" w:after="0" w:afterAutospacing="0"/>
              <w:ind w:left="0" w:right="0" w:firstLine="240" w:firstLineChars="100"/>
              <w:jc w:val="both"/>
              <w:rPr>
                <w:rFonts w:hint="default"/>
                <w:color w:val="auto"/>
                <w:sz w:val="24"/>
              </w:rPr>
            </w:pPr>
            <w:r>
              <w:rPr>
                <w:rFonts w:hint="default"/>
                <w:color w:val="auto"/>
                <w:sz w:val="24"/>
              </w:rPr>
              <w:t>毕业学校</w:t>
            </w:r>
          </w:p>
        </w:tc>
        <w:tc>
          <w:tcPr>
            <w:tcW w:w="2880" w:type="dxa"/>
          </w:tcPr>
          <w:p w14:paraId="243C18C0">
            <w:pPr>
              <w:pStyle w:val="134"/>
              <w:keepNext w:val="0"/>
              <w:keepLines w:val="0"/>
              <w:widowControl/>
              <w:suppressLineNumbers w:val="0"/>
              <w:spacing w:before="0" w:beforeAutospacing="0" w:after="0" w:afterAutospacing="0"/>
              <w:ind w:left="0" w:right="0"/>
              <w:rPr>
                <w:rFonts w:hint="default" w:ascii="Times New Roman"/>
                <w:color w:val="auto"/>
                <w:sz w:val="24"/>
              </w:rPr>
            </w:pPr>
          </w:p>
        </w:tc>
        <w:tc>
          <w:tcPr>
            <w:tcW w:w="4425" w:type="dxa"/>
            <w:vMerge w:val="continue"/>
            <w:tcBorders>
              <w:top w:val="nil"/>
            </w:tcBorders>
          </w:tcPr>
          <w:p w14:paraId="1852A143">
            <w:pPr>
              <w:keepNext w:val="0"/>
              <w:keepLines w:val="0"/>
              <w:widowControl/>
              <w:suppressLineNumbers w:val="0"/>
              <w:spacing w:before="0" w:beforeAutospacing="0" w:after="0" w:afterAutospacing="0"/>
              <w:ind w:left="0" w:right="0"/>
              <w:rPr>
                <w:rFonts w:hint="default"/>
                <w:color w:val="auto"/>
                <w:sz w:val="2"/>
                <w:szCs w:val="2"/>
              </w:rPr>
            </w:pPr>
          </w:p>
        </w:tc>
      </w:tr>
      <w:tr w14:paraId="407C5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1920" w:type="dxa"/>
          </w:tcPr>
          <w:p w14:paraId="7A446212">
            <w:pPr>
              <w:pStyle w:val="134"/>
              <w:keepNext w:val="0"/>
              <w:keepLines w:val="0"/>
              <w:widowControl/>
              <w:suppressLineNumbers w:val="0"/>
              <w:spacing w:before="9" w:beforeAutospacing="0" w:after="0" w:afterAutospacing="0"/>
              <w:ind w:left="0" w:right="0"/>
              <w:jc w:val="both"/>
              <w:rPr>
                <w:rFonts w:hint="default"/>
                <w:b/>
                <w:color w:val="auto"/>
                <w:sz w:val="18"/>
              </w:rPr>
            </w:pPr>
          </w:p>
          <w:p w14:paraId="18E7E061">
            <w:pPr>
              <w:pStyle w:val="134"/>
              <w:keepNext w:val="0"/>
              <w:keepLines w:val="0"/>
              <w:widowControl/>
              <w:suppressLineNumbers w:val="0"/>
              <w:spacing w:before="0" w:beforeAutospacing="0" w:after="0" w:afterAutospacing="0"/>
              <w:ind w:left="0" w:right="0" w:firstLine="240" w:firstLineChars="100"/>
              <w:jc w:val="both"/>
              <w:rPr>
                <w:rFonts w:hint="default"/>
                <w:color w:val="auto"/>
                <w:sz w:val="24"/>
              </w:rPr>
            </w:pPr>
            <w:r>
              <w:rPr>
                <w:rFonts w:hint="default"/>
                <w:color w:val="auto"/>
                <w:sz w:val="24"/>
              </w:rPr>
              <w:t>毕业时间</w:t>
            </w:r>
          </w:p>
        </w:tc>
        <w:tc>
          <w:tcPr>
            <w:tcW w:w="2880" w:type="dxa"/>
          </w:tcPr>
          <w:p w14:paraId="60E1E4CA">
            <w:pPr>
              <w:pStyle w:val="134"/>
              <w:keepNext w:val="0"/>
              <w:keepLines w:val="0"/>
              <w:widowControl/>
              <w:suppressLineNumbers w:val="0"/>
              <w:spacing w:before="0" w:beforeAutospacing="0" w:after="0" w:afterAutospacing="0"/>
              <w:ind w:left="0" w:right="0"/>
              <w:rPr>
                <w:rFonts w:hint="default" w:ascii="Times New Roman"/>
                <w:color w:val="auto"/>
                <w:sz w:val="24"/>
              </w:rPr>
            </w:pPr>
          </w:p>
        </w:tc>
        <w:tc>
          <w:tcPr>
            <w:tcW w:w="4425" w:type="dxa"/>
            <w:vMerge w:val="continue"/>
            <w:tcBorders>
              <w:top w:val="nil"/>
            </w:tcBorders>
          </w:tcPr>
          <w:p w14:paraId="1E599A4B">
            <w:pPr>
              <w:keepNext w:val="0"/>
              <w:keepLines w:val="0"/>
              <w:widowControl/>
              <w:suppressLineNumbers w:val="0"/>
              <w:spacing w:before="0" w:beforeAutospacing="0" w:after="0" w:afterAutospacing="0"/>
              <w:ind w:left="0" w:right="0"/>
              <w:rPr>
                <w:rFonts w:hint="default"/>
                <w:color w:val="auto"/>
                <w:sz w:val="2"/>
                <w:szCs w:val="2"/>
              </w:rPr>
            </w:pPr>
          </w:p>
        </w:tc>
      </w:tr>
      <w:tr w14:paraId="5FA5B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920" w:type="dxa"/>
          </w:tcPr>
          <w:p w14:paraId="45A83CE1">
            <w:pPr>
              <w:pStyle w:val="134"/>
              <w:keepNext w:val="0"/>
              <w:keepLines w:val="0"/>
              <w:widowControl/>
              <w:suppressLineNumbers w:val="0"/>
              <w:spacing w:before="10" w:beforeAutospacing="0" w:after="0" w:afterAutospacing="0"/>
              <w:ind w:left="0" w:right="0"/>
              <w:jc w:val="both"/>
              <w:rPr>
                <w:rFonts w:hint="default"/>
                <w:b/>
                <w:color w:val="auto"/>
                <w:sz w:val="18"/>
              </w:rPr>
            </w:pPr>
          </w:p>
          <w:p w14:paraId="74AB2608">
            <w:pPr>
              <w:pStyle w:val="134"/>
              <w:keepNext w:val="0"/>
              <w:keepLines w:val="0"/>
              <w:widowControl/>
              <w:suppressLineNumbers w:val="0"/>
              <w:spacing w:before="0" w:beforeAutospacing="0" w:after="0" w:afterAutospacing="0"/>
              <w:ind w:left="0" w:right="0" w:firstLine="240" w:firstLineChars="100"/>
              <w:jc w:val="both"/>
              <w:rPr>
                <w:rFonts w:hint="default"/>
                <w:color w:val="auto"/>
                <w:sz w:val="24"/>
              </w:rPr>
            </w:pPr>
            <w:r>
              <w:rPr>
                <w:rFonts w:hint="default"/>
                <w:color w:val="auto"/>
                <w:sz w:val="24"/>
              </w:rPr>
              <w:t>所学专业</w:t>
            </w:r>
          </w:p>
        </w:tc>
        <w:tc>
          <w:tcPr>
            <w:tcW w:w="2880" w:type="dxa"/>
          </w:tcPr>
          <w:p w14:paraId="42B4306D">
            <w:pPr>
              <w:pStyle w:val="134"/>
              <w:keepNext w:val="0"/>
              <w:keepLines w:val="0"/>
              <w:widowControl/>
              <w:suppressLineNumbers w:val="0"/>
              <w:spacing w:before="0" w:beforeAutospacing="0" w:after="0" w:afterAutospacing="0"/>
              <w:ind w:left="0" w:right="0"/>
              <w:rPr>
                <w:rFonts w:hint="default" w:ascii="Times New Roman"/>
                <w:color w:val="auto"/>
                <w:sz w:val="24"/>
              </w:rPr>
            </w:pPr>
          </w:p>
        </w:tc>
        <w:tc>
          <w:tcPr>
            <w:tcW w:w="4425" w:type="dxa"/>
            <w:vMerge w:val="continue"/>
            <w:tcBorders>
              <w:top w:val="nil"/>
            </w:tcBorders>
          </w:tcPr>
          <w:p w14:paraId="7FBB8527">
            <w:pPr>
              <w:keepNext w:val="0"/>
              <w:keepLines w:val="0"/>
              <w:widowControl/>
              <w:suppressLineNumbers w:val="0"/>
              <w:spacing w:before="0" w:beforeAutospacing="0" w:after="0" w:afterAutospacing="0"/>
              <w:ind w:left="0" w:right="0"/>
              <w:rPr>
                <w:rFonts w:hint="default"/>
                <w:color w:val="auto"/>
                <w:sz w:val="2"/>
                <w:szCs w:val="2"/>
              </w:rPr>
            </w:pPr>
          </w:p>
        </w:tc>
      </w:tr>
      <w:tr w14:paraId="7C9D8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920" w:type="dxa"/>
          </w:tcPr>
          <w:p w14:paraId="41C3B2B3">
            <w:pPr>
              <w:pStyle w:val="134"/>
              <w:keepNext w:val="0"/>
              <w:keepLines w:val="0"/>
              <w:widowControl/>
              <w:suppressLineNumbers w:val="0"/>
              <w:spacing w:before="158" w:beforeAutospacing="0" w:after="0" w:afterAutospacing="0"/>
              <w:ind w:left="0" w:right="143"/>
              <w:jc w:val="center"/>
              <w:rPr>
                <w:rFonts w:hint="default"/>
                <w:color w:val="auto"/>
                <w:sz w:val="24"/>
              </w:rPr>
            </w:pPr>
            <w:r>
              <w:rPr>
                <w:rFonts w:hint="default"/>
                <w:color w:val="auto"/>
                <w:sz w:val="24"/>
              </w:rPr>
              <w:t>注册监理工程师证书编号</w:t>
            </w:r>
          </w:p>
        </w:tc>
        <w:tc>
          <w:tcPr>
            <w:tcW w:w="2880" w:type="dxa"/>
          </w:tcPr>
          <w:p w14:paraId="52D5C776">
            <w:pPr>
              <w:pStyle w:val="134"/>
              <w:keepNext w:val="0"/>
              <w:keepLines w:val="0"/>
              <w:widowControl/>
              <w:suppressLineNumbers w:val="0"/>
              <w:spacing w:before="0" w:beforeAutospacing="0" w:after="0" w:afterAutospacing="0"/>
              <w:ind w:left="0" w:right="0"/>
              <w:rPr>
                <w:rFonts w:hint="default" w:ascii="Times New Roman"/>
                <w:color w:val="auto"/>
                <w:sz w:val="24"/>
              </w:rPr>
            </w:pPr>
          </w:p>
        </w:tc>
        <w:tc>
          <w:tcPr>
            <w:tcW w:w="4425" w:type="dxa"/>
            <w:vMerge w:val="continue"/>
            <w:tcBorders>
              <w:top w:val="nil"/>
            </w:tcBorders>
          </w:tcPr>
          <w:p w14:paraId="63E6DF88">
            <w:pPr>
              <w:keepNext w:val="0"/>
              <w:keepLines w:val="0"/>
              <w:widowControl/>
              <w:suppressLineNumbers w:val="0"/>
              <w:spacing w:before="0" w:beforeAutospacing="0" w:after="0" w:afterAutospacing="0"/>
              <w:ind w:left="0" w:right="0"/>
              <w:rPr>
                <w:rFonts w:hint="default"/>
                <w:color w:val="auto"/>
                <w:sz w:val="2"/>
                <w:szCs w:val="2"/>
              </w:rPr>
            </w:pPr>
          </w:p>
        </w:tc>
      </w:tr>
      <w:tr w14:paraId="45582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920" w:type="dxa"/>
          </w:tcPr>
          <w:p w14:paraId="3DB37D46">
            <w:pPr>
              <w:pStyle w:val="134"/>
              <w:keepNext w:val="0"/>
              <w:keepLines w:val="0"/>
              <w:widowControl/>
              <w:suppressLineNumbers w:val="0"/>
              <w:spacing w:before="5" w:beforeAutospacing="0" w:after="0" w:afterAutospacing="0"/>
              <w:ind w:left="0" w:right="0"/>
              <w:jc w:val="center"/>
              <w:rPr>
                <w:rFonts w:hint="default"/>
                <w:b/>
                <w:color w:val="auto"/>
                <w:sz w:val="19"/>
              </w:rPr>
            </w:pPr>
          </w:p>
          <w:p w14:paraId="64EA1EC0">
            <w:pPr>
              <w:pStyle w:val="134"/>
              <w:keepNext w:val="0"/>
              <w:keepLines w:val="0"/>
              <w:widowControl/>
              <w:suppressLineNumbers w:val="0"/>
              <w:spacing w:before="1" w:beforeAutospacing="0" w:after="0" w:afterAutospacing="0"/>
              <w:ind w:left="0" w:right="0" w:firstLine="240" w:firstLineChars="100"/>
              <w:jc w:val="both"/>
              <w:rPr>
                <w:rFonts w:hint="default"/>
                <w:color w:val="auto"/>
                <w:sz w:val="24"/>
              </w:rPr>
            </w:pPr>
            <w:r>
              <w:rPr>
                <w:rFonts w:hint="default"/>
                <w:color w:val="auto"/>
                <w:sz w:val="24"/>
              </w:rPr>
              <w:t>联系电话</w:t>
            </w:r>
          </w:p>
        </w:tc>
        <w:tc>
          <w:tcPr>
            <w:tcW w:w="2880" w:type="dxa"/>
          </w:tcPr>
          <w:p w14:paraId="0329CA71">
            <w:pPr>
              <w:pStyle w:val="134"/>
              <w:keepNext w:val="0"/>
              <w:keepLines w:val="0"/>
              <w:widowControl/>
              <w:suppressLineNumbers w:val="0"/>
              <w:spacing w:before="0" w:beforeAutospacing="0" w:after="0" w:afterAutospacing="0"/>
              <w:ind w:left="0" w:right="0"/>
              <w:rPr>
                <w:rFonts w:hint="default" w:ascii="Times New Roman"/>
                <w:color w:val="auto"/>
                <w:sz w:val="24"/>
              </w:rPr>
            </w:pPr>
          </w:p>
        </w:tc>
        <w:tc>
          <w:tcPr>
            <w:tcW w:w="4425" w:type="dxa"/>
            <w:vMerge w:val="continue"/>
            <w:tcBorders>
              <w:top w:val="nil"/>
            </w:tcBorders>
          </w:tcPr>
          <w:p w14:paraId="1F668238">
            <w:pPr>
              <w:keepNext w:val="0"/>
              <w:keepLines w:val="0"/>
              <w:widowControl/>
              <w:suppressLineNumbers w:val="0"/>
              <w:spacing w:before="0" w:beforeAutospacing="0" w:after="0" w:afterAutospacing="0"/>
              <w:ind w:left="0" w:right="0"/>
              <w:rPr>
                <w:rFonts w:hint="default"/>
                <w:color w:val="auto"/>
                <w:sz w:val="2"/>
                <w:szCs w:val="2"/>
              </w:rPr>
            </w:pPr>
          </w:p>
        </w:tc>
      </w:tr>
    </w:tbl>
    <w:p w14:paraId="67858FA7">
      <w:pPr>
        <w:spacing w:before="34" w:line="230" w:lineRule="auto"/>
        <w:rPr>
          <w:color w:val="auto"/>
        </w:rPr>
      </w:pPr>
    </w:p>
    <w:p w14:paraId="1F5FBD7C">
      <w:pPr>
        <w:spacing w:before="34" w:line="230" w:lineRule="auto"/>
        <w:ind w:left="469"/>
        <w:rPr>
          <w:rFonts w:ascii="宋体" w:hAnsi="宋体" w:eastAsia="宋体" w:cs="宋体"/>
          <w:b/>
          <w:bCs/>
          <w:color w:val="auto"/>
          <w:spacing w:val="9"/>
          <w:sz w:val="23"/>
          <w:szCs w:val="23"/>
        </w:rPr>
      </w:pPr>
      <w:r>
        <w:rPr>
          <w:rFonts w:hint="eastAsia" w:ascii="宋体" w:hAnsi="宋体" w:eastAsia="宋体" w:cs="宋体"/>
          <w:b/>
          <w:bCs/>
          <w:color w:val="auto"/>
          <w:spacing w:val="8"/>
          <w:kern w:val="0"/>
          <w:sz w:val="23"/>
          <w:szCs w:val="23"/>
          <w:lang w:val="zh-CN" w:eastAsia="zh-CN" w:bidi="zh-CN"/>
        </w:rPr>
        <w:t>注：1、供应商应</w:t>
      </w:r>
      <w:r>
        <w:rPr>
          <w:rFonts w:ascii="宋体" w:hAnsi="宋体" w:eastAsia="宋体" w:cs="宋体"/>
          <w:b/>
          <w:bCs/>
          <w:color w:val="auto"/>
          <w:spacing w:val="9"/>
          <w:sz w:val="23"/>
          <w:szCs w:val="23"/>
        </w:rPr>
        <w:t>如实列出以上情况，如有隐瞒，一经查实将按无效投标处理。</w:t>
      </w:r>
    </w:p>
    <w:p w14:paraId="78A7162B">
      <w:pPr>
        <w:numPr>
          <w:ilvl w:val="0"/>
          <w:numId w:val="0"/>
        </w:numPr>
        <w:spacing w:before="34" w:line="230" w:lineRule="auto"/>
        <w:ind w:left="420" w:leftChars="0" w:right="0" w:rightChars="0" w:firstLine="498" w:firstLineChars="200"/>
        <w:rPr>
          <w:rFonts w:ascii="宋体" w:hAnsi="宋体" w:eastAsia="宋体" w:cs="宋体"/>
          <w:b/>
          <w:bCs/>
          <w:color w:val="auto"/>
          <w:spacing w:val="9"/>
          <w:sz w:val="23"/>
          <w:szCs w:val="23"/>
        </w:rPr>
      </w:pPr>
      <w:r>
        <w:rPr>
          <w:rFonts w:ascii="宋体" w:hAnsi="宋体" w:eastAsia="宋体" w:cs="宋体"/>
          <w:b/>
          <w:bCs/>
          <w:color w:val="auto"/>
          <w:spacing w:val="9"/>
          <w:sz w:val="23"/>
          <w:szCs w:val="23"/>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398145</wp:posOffset>
                </wp:positionV>
                <wp:extent cx="280670" cy="2146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80670" cy="214630"/>
                        </a:xfrm>
                        <a:prstGeom prst="rect">
                          <a:avLst/>
                        </a:prstGeom>
                        <a:noFill/>
                        <a:ln>
                          <a:noFill/>
                        </a:ln>
                      </wps:spPr>
                      <wps:txbx>
                        <w:txbxContent>
                          <w:p w14:paraId="4C4D4D85">
                            <w:pPr>
                              <w:spacing w:before="169" w:line="124" w:lineRule="exact"/>
                              <w:ind w:left="269"/>
                              <w:rPr>
                                <w:rFonts w:ascii="宋体" w:hAnsi="宋体" w:eastAsia="宋体" w:cs="宋体"/>
                                <w:sz w:val="23"/>
                                <w:szCs w:val="23"/>
                              </w:rPr>
                            </w:pPr>
                            <w:r>
                              <w:rPr>
                                <w:rFonts w:ascii="宋体" w:hAnsi="宋体" w:eastAsia="宋体" w:cs="宋体"/>
                                <w:spacing w:val="-4"/>
                                <w:w w:val="18"/>
                                <w:position w:val="1"/>
                                <w:sz w:val="23"/>
                                <w:szCs w:val="23"/>
                              </w:rPr>
                              <w:t>，</w:t>
                            </w:r>
                          </w:p>
                        </w:txbxContent>
                      </wps:txbx>
                      <wps:bodyPr lIns="0" tIns="0" rIns="0" bIns="0" upright="1"/>
                    </wps:wsp>
                  </a:graphicData>
                </a:graphic>
              </wp:anchor>
            </w:drawing>
          </mc:Choice>
          <mc:Fallback>
            <w:pict>
              <v:shape id="_x0000_s1026" o:spid="_x0000_s1026" o:spt="202" type="#_x0000_t202" style="position:absolute;left:0pt;margin-left:-1pt;margin-top:31.35pt;height:16.9pt;width:22.1pt;z-index:251662336;mso-width-relative:page;mso-height-relative:page;" filled="f" stroked="f" coordsize="21600,21600" o:gfxdata="UEsDBAoAAAAAAIdO4kAAAAAAAAAAAAAAAAAEAAAAZHJzL1BLAwQUAAAACACHTuJAWC6ngdcAAAAH&#10;AQAADwAAAGRycy9kb3ducmV2LnhtbE2PzU7DMBCE70i8g7VI3Fq7FgQasqkQghMSIg0Hjk68TaLG&#10;6xC7P7w95gTH0Yxmvik2ZzeKI81h8IywWioQxK23A3cIH/XL4h5EiIatGT0TwjcF2JSXF4XJrT9x&#10;Rcdt7EQq4ZAbhD7GKZcytD05E5Z+Ik7ezs/OxCTnTtrZnFK5G6VWKpPODJwWejPRU0/tfntwCI+f&#10;XD0PX2/Ne7WrhrpeK37N9ojXVyv1ACLSOf6F4Rc/oUOZmBp/YBvEiLDQ6UpEyPQdiOTfaA2iQVhn&#10;tyDLQv7nL38AUEsDBBQAAAAIAIdO4kB1N/wquwEAAHEDAAAOAAAAZHJzL2Uyb0RvYy54bWytU0tu&#10;2zAQ3RfIHQjuY8pu4CaC5QCFkaBA0RZIewCaIi0C/IFDW/IF2ht01U33PZfP0SFtOW2yySIbajQz&#10;evPeG2pxO1hDdjKC9q6h00lFiXTCt9ptGvrt693lNSWQuGu58U42dC+B3i4v3iz6UMuZ77xpZSQI&#10;4qDuQ0O7lELNGIhOWg4TH6TDovLR8oSvccPayHtEt4bNqmrOeh/bEL2QAJhdHYv0hBhfAuiV0kKu&#10;vNha6dIRNUrDE0qCTgegy8JWKSnSZ6VAJmIaikpTOXEIxut8suWC15vIQ6fFiQJ/CYUnmizXDoee&#10;oVY8cbKN+hmU1SJ68CpNhLfsKKQ4giqm1RNvHjoeZNGCVkM4mw6vBys+7b5EotuG3lDiuMWFH37+&#10;OPz6c/j9ndxke/oANXY9BOxLw3s/4KUZ84DJrHpQ0eYn6iFYR3P3Z3PlkIjA5Oy6mr/DisDSbHo1&#10;f1vMZ48fhwjpXnpLctDQiLsrlvLdR0hIBFvHljzL+TttTNmfcf8lsDFnWGZ+ZJijNKyHk5y1b/eo&#10;xnxw6GS+FWMQx2A9BtsQ9aZDOkVzgcRNFDKnW5NX/e97Gfz4py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gup4HXAAAABwEAAA8AAAAAAAAAAQAgAAAAIgAAAGRycy9kb3ducmV2LnhtbFBLAQIU&#10;ABQAAAAIAIdO4kB1N/wquwEAAHEDAAAOAAAAAAAAAAEAIAAAACYBAABkcnMvZTJvRG9jLnhtbFBL&#10;BQYAAAAABgAGAFkBAABTBQAAAAA=&#10;">
                <v:fill on="f" focussize="0,0"/>
                <v:stroke on="f"/>
                <v:imagedata o:title=""/>
                <o:lock v:ext="edit" aspectratio="f"/>
                <v:textbox inset="0mm,0mm,0mm,0mm">
                  <w:txbxContent>
                    <w:p w14:paraId="4C4D4D85">
                      <w:pPr>
                        <w:spacing w:before="169" w:line="124" w:lineRule="exact"/>
                        <w:ind w:left="269"/>
                        <w:rPr>
                          <w:rFonts w:ascii="宋体" w:hAnsi="宋体" w:eastAsia="宋体" w:cs="宋体"/>
                          <w:sz w:val="23"/>
                          <w:szCs w:val="23"/>
                        </w:rPr>
                      </w:pPr>
                      <w:r>
                        <w:rPr>
                          <w:rFonts w:ascii="宋体" w:hAnsi="宋体" w:eastAsia="宋体" w:cs="宋体"/>
                          <w:spacing w:val="-4"/>
                          <w:w w:val="18"/>
                          <w:position w:val="1"/>
                          <w:sz w:val="23"/>
                          <w:szCs w:val="23"/>
                        </w:rPr>
                        <w:t>，</w:t>
                      </w:r>
                    </w:p>
                  </w:txbxContent>
                </v:textbox>
              </v:shape>
            </w:pict>
          </mc:Fallback>
        </mc:AlternateContent>
      </w:r>
      <w:r>
        <w:rPr>
          <w:rFonts w:hint="eastAsia" w:ascii="宋体" w:hAnsi="宋体" w:eastAsia="宋体" w:cs="宋体"/>
          <w:b/>
          <w:bCs/>
          <w:color w:val="auto"/>
          <w:spacing w:val="9"/>
          <w:sz w:val="23"/>
          <w:szCs w:val="23"/>
          <w:lang w:val="en-US" w:eastAsia="zh-CN"/>
        </w:rPr>
        <w:t>2、</w:t>
      </w:r>
      <w:r>
        <w:rPr>
          <w:rFonts w:hint="eastAsia" w:ascii="宋体" w:hAnsi="宋体" w:eastAsia="宋体" w:cs="宋体"/>
          <w:b/>
          <w:bCs/>
          <w:color w:val="auto"/>
          <w:spacing w:val="9"/>
          <w:sz w:val="23"/>
          <w:szCs w:val="23"/>
          <w:lang w:eastAsia="zh-CN"/>
        </w:rPr>
        <w:t>类似</w:t>
      </w:r>
      <w:r>
        <w:rPr>
          <w:rFonts w:ascii="宋体" w:hAnsi="宋体" w:eastAsia="宋体" w:cs="宋体"/>
          <w:b/>
          <w:bCs/>
          <w:color w:val="auto"/>
          <w:spacing w:val="9"/>
          <w:sz w:val="23"/>
          <w:szCs w:val="23"/>
        </w:rPr>
        <w:t>项目业绩</w:t>
      </w:r>
      <w:r>
        <w:rPr>
          <w:rFonts w:hint="eastAsia" w:ascii="宋体" w:hAnsi="宋体" w:eastAsia="宋体" w:cs="宋体"/>
          <w:b/>
          <w:bCs/>
          <w:color w:val="auto"/>
          <w:spacing w:val="9"/>
          <w:sz w:val="23"/>
          <w:szCs w:val="23"/>
          <w:lang w:eastAsia="zh-CN"/>
        </w:rPr>
        <w:t>需附</w:t>
      </w:r>
      <w:r>
        <w:rPr>
          <w:rFonts w:ascii="宋体" w:hAnsi="宋体" w:eastAsia="宋体" w:cs="宋体"/>
          <w:b/>
          <w:bCs/>
          <w:color w:val="auto"/>
          <w:spacing w:val="9"/>
          <w:sz w:val="23"/>
          <w:szCs w:val="23"/>
        </w:rPr>
        <w:t>中标通知书</w:t>
      </w:r>
      <w:r>
        <w:rPr>
          <w:rFonts w:hint="eastAsia" w:ascii="宋体" w:hAnsi="宋体" w:eastAsia="宋体" w:cs="宋体"/>
          <w:b/>
          <w:bCs/>
          <w:color w:val="auto"/>
          <w:spacing w:val="9"/>
          <w:sz w:val="23"/>
          <w:szCs w:val="23"/>
          <w:lang w:val="en-US" w:eastAsia="zh-CN"/>
        </w:rPr>
        <w:t>或</w:t>
      </w:r>
      <w:r>
        <w:rPr>
          <w:rFonts w:ascii="宋体" w:hAnsi="宋体" w:eastAsia="宋体" w:cs="宋体"/>
          <w:b/>
          <w:bCs/>
          <w:color w:val="auto"/>
          <w:spacing w:val="9"/>
          <w:sz w:val="23"/>
          <w:szCs w:val="23"/>
        </w:rPr>
        <w:t>合同</w:t>
      </w:r>
      <w:r>
        <w:rPr>
          <w:rFonts w:hint="eastAsia" w:ascii="宋体" w:hAnsi="宋体" w:eastAsia="宋体" w:cs="宋体"/>
          <w:b/>
          <w:bCs/>
          <w:color w:val="auto"/>
          <w:spacing w:val="9"/>
          <w:sz w:val="23"/>
          <w:szCs w:val="23"/>
          <w:lang w:eastAsia="zh-CN"/>
        </w:rPr>
        <w:t>并</w:t>
      </w:r>
      <w:r>
        <w:rPr>
          <w:rFonts w:ascii="宋体" w:hAnsi="宋体" w:eastAsia="宋体" w:cs="宋体"/>
          <w:b/>
          <w:bCs/>
          <w:color w:val="auto"/>
          <w:spacing w:val="9"/>
          <w:sz w:val="23"/>
          <w:szCs w:val="23"/>
        </w:rPr>
        <w:t>加盖</w:t>
      </w:r>
      <w:r>
        <w:rPr>
          <w:rFonts w:hint="eastAsia" w:ascii="宋体" w:hAnsi="宋体" w:eastAsia="宋体" w:cs="宋体"/>
          <w:b/>
          <w:bCs/>
          <w:color w:val="auto"/>
          <w:spacing w:val="9"/>
          <w:sz w:val="23"/>
          <w:szCs w:val="23"/>
          <w:lang w:eastAsia="zh-CN"/>
        </w:rPr>
        <w:t>公司</w:t>
      </w:r>
      <w:r>
        <w:rPr>
          <w:rFonts w:ascii="宋体" w:hAnsi="宋体" w:eastAsia="宋体" w:cs="宋体"/>
          <w:b/>
          <w:bCs/>
          <w:color w:val="auto"/>
          <w:spacing w:val="9"/>
          <w:sz w:val="23"/>
          <w:szCs w:val="23"/>
        </w:rPr>
        <w:t>公章。</w:t>
      </w:r>
    </w:p>
    <w:p w14:paraId="5990531F">
      <w:pPr>
        <w:pStyle w:val="12"/>
        <w:rPr>
          <w:color w:val="auto"/>
          <w:sz w:val="25"/>
        </w:rPr>
      </w:pPr>
    </w:p>
    <w:p w14:paraId="0975A7FD">
      <w:pPr>
        <w:pStyle w:val="12"/>
        <w:tabs>
          <w:tab w:val="left" w:pos="5567"/>
        </w:tabs>
        <w:ind w:left="588"/>
        <w:rPr>
          <w:rFonts w:ascii="Times New Roman" w:eastAsia="Times New Roman"/>
          <w:color w:val="auto"/>
        </w:rPr>
      </w:pPr>
      <w:r>
        <w:rPr>
          <w:color w:val="auto"/>
          <w:spacing w:val="-1"/>
        </w:rPr>
        <w:t>供</w:t>
      </w:r>
      <w:r>
        <w:rPr>
          <w:color w:val="auto"/>
        </w:rPr>
        <w:t>应商（盖章）：</w:t>
      </w:r>
      <w:r>
        <w:rPr>
          <w:rFonts w:ascii="Times New Roman" w:eastAsia="Times New Roman"/>
          <w:color w:val="auto"/>
          <w:u w:val="single"/>
        </w:rPr>
        <w:t xml:space="preserve"> </w:t>
      </w:r>
      <w:r>
        <w:rPr>
          <w:rFonts w:ascii="Times New Roman" w:eastAsia="Times New Roman"/>
          <w:color w:val="auto"/>
          <w:u w:val="single"/>
        </w:rPr>
        <w:tab/>
      </w:r>
    </w:p>
    <w:p w14:paraId="776A507D">
      <w:pPr>
        <w:pStyle w:val="12"/>
        <w:spacing w:before="1"/>
        <w:rPr>
          <w:rFonts w:ascii="Times New Roman"/>
          <w:color w:val="auto"/>
          <w:sz w:val="21"/>
        </w:rPr>
      </w:pPr>
    </w:p>
    <w:p w14:paraId="023480C6">
      <w:pPr>
        <w:pStyle w:val="12"/>
        <w:tabs>
          <w:tab w:val="left" w:pos="5687"/>
        </w:tabs>
        <w:spacing w:before="74"/>
        <w:ind w:left="588"/>
        <w:rPr>
          <w:rFonts w:ascii="Times New Roman" w:eastAsia="Times New Roman"/>
          <w:color w:val="auto"/>
        </w:rPr>
      </w:pPr>
      <w:r>
        <w:rPr>
          <w:color w:val="auto"/>
          <w:spacing w:val="-1"/>
        </w:rPr>
        <w:t>法</w:t>
      </w:r>
      <w:r>
        <w:rPr>
          <w:color w:val="auto"/>
        </w:rPr>
        <w:t>定代表人或被授权委托人签字：</w:t>
      </w:r>
      <w:r>
        <w:rPr>
          <w:rFonts w:ascii="Times New Roman" w:eastAsia="Times New Roman"/>
          <w:color w:val="auto"/>
          <w:u w:val="single"/>
        </w:rPr>
        <w:t xml:space="preserve"> </w:t>
      </w:r>
      <w:r>
        <w:rPr>
          <w:rFonts w:ascii="Times New Roman" w:eastAsia="Times New Roman"/>
          <w:color w:val="auto"/>
          <w:u w:val="single"/>
        </w:rPr>
        <w:tab/>
      </w:r>
    </w:p>
    <w:p w14:paraId="06962752">
      <w:pPr>
        <w:pStyle w:val="12"/>
        <w:rPr>
          <w:rFonts w:ascii="Times New Roman"/>
          <w:color w:val="auto"/>
          <w:sz w:val="20"/>
        </w:rPr>
      </w:pPr>
    </w:p>
    <w:p w14:paraId="19E1A5F3">
      <w:pPr>
        <w:pStyle w:val="12"/>
        <w:spacing w:before="1"/>
        <w:rPr>
          <w:rFonts w:ascii="Times New Roman"/>
          <w:color w:val="auto"/>
          <w:sz w:val="21"/>
        </w:rPr>
      </w:pPr>
    </w:p>
    <w:p w14:paraId="1224A168">
      <w:pPr>
        <w:pStyle w:val="12"/>
        <w:tabs>
          <w:tab w:val="left" w:pos="6348"/>
          <w:tab w:val="left" w:pos="7308"/>
          <w:tab w:val="left" w:pos="8268"/>
        </w:tabs>
        <w:ind w:left="4788"/>
        <w:rPr>
          <w:color w:val="auto"/>
        </w:rPr>
      </w:pPr>
      <w:r>
        <w:rPr>
          <w:color w:val="auto"/>
        </w:rPr>
        <w:t>日期：</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75C6AD93">
      <w:pPr>
        <w:pStyle w:val="2"/>
        <w:rPr>
          <w:rFonts w:hint="eastAsia" w:ascii="宋体" w:hAnsi="宋体" w:eastAsia="宋体" w:cs="宋体"/>
          <w:color w:val="auto"/>
          <w:lang w:eastAsia="zh-CN"/>
        </w:rPr>
      </w:pPr>
    </w:p>
    <w:p w14:paraId="5ACD6E92">
      <w:pPr>
        <w:rPr>
          <w:rFonts w:hint="eastAsia" w:ascii="宋体" w:hAnsi="宋体" w:eastAsia="宋体" w:cs="宋体"/>
          <w:b/>
          <w:bCs/>
          <w:color w:val="auto"/>
          <w:kern w:val="20"/>
          <w:sz w:val="24"/>
          <w:szCs w:val="24"/>
        </w:rPr>
      </w:pPr>
      <w:bookmarkStart w:id="359" w:name="_Toc19543360"/>
      <w:r>
        <w:rPr>
          <w:rFonts w:hint="eastAsia" w:ascii="宋体" w:hAnsi="宋体" w:eastAsia="宋体" w:cs="宋体"/>
          <w:b/>
          <w:bCs/>
          <w:color w:val="auto"/>
          <w:sz w:val="32"/>
          <w:szCs w:val="32"/>
        </w:rPr>
        <w:br w:type="page"/>
      </w:r>
      <w:bookmarkStart w:id="360" w:name="_Toc14631"/>
      <w:bookmarkStart w:id="361" w:name="_Toc2768"/>
      <w:bookmarkStart w:id="362" w:name="_Toc403077652"/>
      <w:bookmarkStart w:id="363" w:name="_Toc396304714"/>
      <w:bookmarkStart w:id="364" w:name="_Toc4115"/>
      <w:bookmarkStart w:id="365" w:name="_Toc426457710"/>
      <w:bookmarkStart w:id="366" w:name="_Toc17592"/>
    </w:p>
    <w:p w14:paraId="226772E0">
      <w:pPr>
        <w:autoSpaceDE w:val="0"/>
        <w:autoSpaceDN w:val="0"/>
        <w:adjustRightInd w:val="0"/>
        <w:spacing w:line="360" w:lineRule="exact"/>
        <w:jc w:val="center"/>
        <w:textAlignment w:val="baseline"/>
        <w:rPr>
          <w:rFonts w:hint="eastAsia" w:ascii="宋体" w:hAnsi="宋体" w:eastAsia="宋体" w:cs="宋体"/>
          <w:b/>
          <w:bCs/>
          <w:color w:val="auto"/>
          <w:kern w:val="20"/>
          <w:sz w:val="24"/>
          <w:szCs w:val="24"/>
        </w:rPr>
      </w:pPr>
      <w:r>
        <w:rPr>
          <w:rFonts w:hint="eastAsia" w:ascii="宋体" w:hAnsi="宋体" w:eastAsia="宋体" w:cs="宋体"/>
          <w:b/>
          <w:bCs/>
          <w:color w:val="auto"/>
          <w:kern w:val="20"/>
          <w:sz w:val="24"/>
          <w:szCs w:val="24"/>
        </w:rPr>
        <w:t>本项目拟投入人员汇总表</w:t>
      </w:r>
      <w:bookmarkEnd w:id="360"/>
      <w:bookmarkEnd w:id="361"/>
      <w:bookmarkEnd w:id="362"/>
      <w:bookmarkEnd w:id="363"/>
      <w:bookmarkEnd w:id="364"/>
      <w:bookmarkEnd w:id="365"/>
      <w:bookmarkEnd w:id="366"/>
    </w:p>
    <w:p w14:paraId="5E595D40">
      <w:pPr>
        <w:autoSpaceDE w:val="0"/>
        <w:autoSpaceDN w:val="0"/>
        <w:adjustRightInd w:val="0"/>
        <w:spacing w:line="360" w:lineRule="exact"/>
        <w:textAlignment w:val="baseline"/>
        <w:rPr>
          <w:rFonts w:hint="eastAsia" w:ascii="宋体" w:hAnsi="宋体" w:eastAsia="宋体" w:cs="宋体"/>
          <w:b/>
          <w:bCs/>
          <w:color w:val="auto"/>
          <w:kern w:val="20"/>
          <w:sz w:val="24"/>
          <w:szCs w:val="24"/>
        </w:rPr>
      </w:pPr>
    </w:p>
    <w:tbl>
      <w:tblPr>
        <w:tblStyle w:val="35"/>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50DA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trPr>
        <w:tc>
          <w:tcPr>
            <w:tcW w:w="791" w:type="dxa"/>
            <w:tcMar>
              <w:top w:w="15" w:type="dxa"/>
              <w:left w:w="15" w:type="dxa"/>
              <w:bottom w:w="0" w:type="dxa"/>
              <w:right w:w="15" w:type="dxa"/>
            </w:tcMar>
            <w:vAlign w:val="center"/>
          </w:tcPr>
          <w:p w14:paraId="0F42613C">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序号</w:t>
            </w:r>
          </w:p>
        </w:tc>
        <w:tc>
          <w:tcPr>
            <w:tcW w:w="1762" w:type="dxa"/>
            <w:tcMar>
              <w:top w:w="15" w:type="dxa"/>
              <w:left w:w="15" w:type="dxa"/>
              <w:bottom w:w="0" w:type="dxa"/>
              <w:right w:w="15" w:type="dxa"/>
            </w:tcMar>
            <w:vAlign w:val="center"/>
          </w:tcPr>
          <w:p w14:paraId="5DD8E321">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姓  名</w:t>
            </w:r>
          </w:p>
        </w:tc>
        <w:tc>
          <w:tcPr>
            <w:tcW w:w="809" w:type="dxa"/>
            <w:tcMar>
              <w:top w:w="15" w:type="dxa"/>
              <w:left w:w="15" w:type="dxa"/>
              <w:bottom w:w="0" w:type="dxa"/>
              <w:right w:w="15" w:type="dxa"/>
            </w:tcMar>
            <w:vAlign w:val="center"/>
          </w:tcPr>
          <w:p w14:paraId="159076BE">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性别</w:t>
            </w:r>
          </w:p>
        </w:tc>
        <w:tc>
          <w:tcPr>
            <w:tcW w:w="809" w:type="dxa"/>
            <w:tcMar>
              <w:top w:w="15" w:type="dxa"/>
              <w:left w:w="15" w:type="dxa"/>
              <w:bottom w:w="0" w:type="dxa"/>
              <w:right w:w="15" w:type="dxa"/>
            </w:tcMar>
            <w:vAlign w:val="center"/>
          </w:tcPr>
          <w:p w14:paraId="690CA894">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年龄</w:t>
            </w:r>
          </w:p>
        </w:tc>
        <w:tc>
          <w:tcPr>
            <w:tcW w:w="809" w:type="dxa"/>
            <w:tcMar>
              <w:top w:w="15" w:type="dxa"/>
              <w:left w:w="15" w:type="dxa"/>
              <w:bottom w:w="0" w:type="dxa"/>
              <w:right w:w="15" w:type="dxa"/>
            </w:tcMar>
            <w:vAlign w:val="center"/>
          </w:tcPr>
          <w:p w14:paraId="6C2D5343">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学历</w:t>
            </w:r>
          </w:p>
        </w:tc>
        <w:tc>
          <w:tcPr>
            <w:tcW w:w="1062" w:type="dxa"/>
            <w:tcMar>
              <w:top w:w="15" w:type="dxa"/>
              <w:left w:w="15" w:type="dxa"/>
              <w:bottom w:w="0" w:type="dxa"/>
              <w:right w:w="15" w:type="dxa"/>
            </w:tcMar>
            <w:vAlign w:val="center"/>
          </w:tcPr>
          <w:p w14:paraId="4790B3E9">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工作</w:t>
            </w:r>
          </w:p>
          <w:p w14:paraId="1A575E49">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年限</w:t>
            </w:r>
          </w:p>
        </w:tc>
        <w:tc>
          <w:tcPr>
            <w:tcW w:w="2667" w:type="dxa"/>
            <w:tcMar>
              <w:top w:w="15" w:type="dxa"/>
              <w:left w:w="15" w:type="dxa"/>
              <w:bottom w:w="0" w:type="dxa"/>
              <w:right w:w="15" w:type="dxa"/>
            </w:tcMar>
            <w:vAlign w:val="center"/>
          </w:tcPr>
          <w:p w14:paraId="0BA83449">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拟担任的职务</w:t>
            </w:r>
          </w:p>
        </w:tc>
        <w:tc>
          <w:tcPr>
            <w:tcW w:w="966" w:type="dxa"/>
            <w:tcMar>
              <w:top w:w="15" w:type="dxa"/>
              <w:left w:w="15" w:type="dxa"/>
              <w:bottom w:w="0" w:type="dxa"/>
              <w:right w:w="15" w:type="dxa"/>
            </w:tcMar>
            <w:vAlign w:val="center"/>
          </w:tcPr>
          <w:p w14:paraId="0AE96A0A">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岗位</w:t>
            </w:r>
          </w:p>
          <w:p w14:paraId="1D7EAF28">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情况</w:t>
            </w:r>
          </w:p>
        </w:tc>
      </w:tr>
      <w:tr w14:paraId="2B03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67FE91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0E1152E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CE6D8C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2F9A87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C5D9AE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731685D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2FE0608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54E8E1D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r>
      <w:tr w14:paraId="6828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5A0591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7C55C79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747FF9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F0ECA5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019637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2E7737F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006B3DD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2514846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r>
      <w:tr w14:paraId="0F40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290B0EC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46A929C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01FA67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F36CAA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9B6E1C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614C67C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202AB88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037BF8D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r>
      <w:tr w14:paraId="312A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7F3A1C8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6D67A83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3DCA98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145E7C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C137AE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2D38745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2C8933F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0F347BF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r>
      <w:tr w14:paraId="1682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935B14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7603BCD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5F038F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F21E19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6CE6AE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459ACD8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68C07B1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0FF5334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r>
      <w:tr w14:paraId="018B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7746673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04127C7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689358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9C67D5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8EEE76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7573C7A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67D3F82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4A68EAD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r>
      <w:tr w14:paraId="30BB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027F71B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2603F0D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CBB5EB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B989A8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135D0E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50A4CD7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1B460C6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2FBEBA1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r>
      <w:tr w14:paraId="76B8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0F532AA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5ADAFBB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762824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8D9D54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7AAE48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4B356B4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1A1E82E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501CD45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r>
      <w:tr w14:paraId="32D1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31A1606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67CB53A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453FFA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1C20E8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6E5339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0FC8C4D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6E9E93C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7F02951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r>
      <w:tr w14:paraId="3D2F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581C729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26DB72B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F9D5EF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581EEA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BEE174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612D0EB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1A56BDD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5469A65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r>
      <w:tr w14:paraId="3ABD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A234A7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52B9897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50F6F7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2F62AA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FC0B18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1B29055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7D7953C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14D86AD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r>
      <w:tr w14:paraId="1B2C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3E36B80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2982CAF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E08A88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D60472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232A2D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6403F08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004E53A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28F3C78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r>
      <w:tr w14:paraId="6A11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4CD2F3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217362D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145FAD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DE3AA9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840569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3F9A7FB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5FDF59E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360CC88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r>
      <w:tr w14:paraId="6115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8BE729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201A4D3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7CF7BC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3571F2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C56355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407FA6A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153F22B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7BE3D04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r>
      <w:tr w14:paraId="1EDD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5570A01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137ACC7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BC6017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FDE9C3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50BF26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5FBE027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64DD651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4CF95B1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r>
      <w:tr w14:paraId="5E34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50F959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72D5966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9D423D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0251D4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95A3D6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40F835C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3BA74AF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14C95DE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r>
      <w:tr w14:paraId="30D2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791" w:type="dxa"/>
            <w:tcMar>
              <w:top w:w="15" w:type="dxa"/>
              <w:left w:w="15" w:type="dxa"/>
              <w:bottom w:w="0" w:type="dxa"/>
              <w:right w:w="15" w:type="dxa"/>
            </w:tcMar>
            <w:vAlign w:val="bottom"/>
          </w:tcPr>
          <w:p w14:paraId="4505CCF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4A2CE9A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300D98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2D4CC1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5AB292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16D56BD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664C546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36175B0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rPr>
            </w:pPr>
          </w:p>
        </w:tc>
      </w:tr>
    </w:tbl>
    <w:p w14:paraId="67A1B703">
      <w:pPr>
        <w:rPr>
          <w:rFonts w:hint="eastAsia" w:ascii="宋体" w:hAnsi="宋体" w:eastAsia="宋体" w:cs="宋体"/>
          <w:color w:val="auto"/>
          <w:szCs w:val="22"/>
        </w:rPr>
      </w:pPr>
    </w:p>
    <w:p w14:paraId="75BF9580">
      <w:pPr>
        <w:adjustRightInd w:val="0"/>
        <w:snapToGrid w:val="0"/>
        <w:spacing w:line="480" w:lineRule="auto"/>
        <w:jc w:val="left"/>
        <w:rPr>
          <w:rFonts w:hint="eastAsia" w:ascii="宋体" w:hAnsi="宋体" w:eastAsia="宋体" w:cs="宋体"/>
          <w:color w:val="auto"/>
          <w:sz w:val="24"/>
          <w:szCs w:val="24"/>
          <w:u w:val="single"/>
        </w:rPr>
      </w:pPr>
      <w:bookmarkStart w:id="367" w:name="_Hlt491572882"/>
      <w:bookmarkEnd w:id="367"/>
      <w:bookmarkStart w:id="368" w:name="_Hlt491766019"/>
      <w:bookmarkEnd w:id="368"/>
      <w:bookmarkStart w:id="369" w:name="_Hlt491765868"/>
      <w:bookmarkEnd w:id="369"/>
      <w:bookmarkStart w:id="370" w:name="_Hlt491765944"/>
      <w:bookmarkEnd w:id="370"/>
      <w:bookmarkStart w:id="371" w:name="_Hlt491573425"/>
      <w:bookmarkEnd w:id="371"/>
      <w:r>
        <w:rPr>
          <w:rFonts w:hint="eastAsia" w:ascii="宋体" w:hAnsi="宋体" w:eastAsia="宋体" w:cs="宋体"/>
          <w:color w:val="auto"/>
          <w:sz w:val="24"/>
          <w:szCs w:val="24"/>
        </w:rPr>
        <w:t>供应商（单位名称及公章）：____________________________</w:t>
      </w:r>
    </w:p>
    <w:p w14:paraId="65D06F82">
      <w:pPr>
        <w:adjustRightInd w:val="0"/>
        <w:snapToGrid w:val="0"/>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被授权人（签字）：____________________________</w:t>
      </w:r>
    </w:p>
    <w:p w14:paraId="2B68E317">
      <w:pPr>
        <w:adjustRightInd w:val="0"/>
        <w:snapToGrid w:val="0"/>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日    期：_______年_______月_______日</w:t>
      </w:r>
    </w:p>
    <w:p w14:paraId="6FA4B437">
      <w:pPr>
        <w:rPr>
          <w:rFonts w:hint="eastAsia" w:ascii="宋体" w:hAnsi="宋体" w:eastAsia="宋体" w:cs="宋体"/>
          <w:color w:val="auto"/>
          <w:sz w:val="24"/>
          <w:szCs w:val="24"/>
        </w:rPr>
      </w:pPr>
    </w:p>
    <w:p w14:paraId="7667E2D1">
      <w:pPr>
        <w:spacing w:line="360" w:lineRule="auto"/>
        <w:ind w:firstLine="420" w:firstLineChars="175"/>
        <w:rPr>
          <w:rFonts w:hint="eastAsia" w:ascii="宋体" w:hAnsi="宋体" w:eastAsia="宋体" w:cs="宋体"/>
          <w:color w:val="auto"/>
          <w:sz w:val="24"/>
          <w:szCs w:val="24"/>
        </w:rPr>
        <w:sectPr>
          <w:pgSz w:w="11905" w:h="16838"/>
          <w:pgMar w:top="1134"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97" w:charSpace="0"/>
        </w:sectPr>
      </w:pPr>
    </w:p>
    <w:bookmarkEnd w:id="335"/>
    <w:bookmarkEnd w:id="359"/>
    <w:p w14:paraId="4F3D3E1B">
      <w:pPr>
        <w:bidi w:val="0"/>
        <w:jc w:val="center"/>
        <w:rPr>
          <w:rFonts w:hint="eastAsia" w:ascii="宋体" w:hAnsi="宋体" w:eastAsia="宋体" w:cs="宋体"/>
          <w:b/>
          <w:bCs/>
          <w:color w:val="auto"/>
          <w:kern w:val="2"/>
          <w:sz w:val="32"/>
          <w:szCs w:val="32"/>
          <w:lang w:val="en-US" w:eastAsia="zh-CN" w:bidi="ar-SA"/>
        </w:rPr>
      </w:pPr>
      <w:bookmarkStart w:id="372" w:name="_Toc35335277"/>
      <w:bookmarkStart w:id="373" w:name="_Toc20234"/>
      <w:bookmarkStart w:id="374" w:name="_Toc19683"/>
      <w:bookmarkStart w:id="375" w:name="_Toc1858"/>
      <w:bookmarkStart w:id="376" w:name="_Toc23316542"/>
      <w:bookmarkStart w:id="377" w:name="_Toc23316704"/>
      <w:bookmarkStart w:id="378" w:name="_Toc23316606"/>
      <w:bookmarkStart w:id="379" w:name="_Toc18076"/>
      <w:bookmarkStart w:id="380" w:name="_Toc23315693"/>
      <w:r>
        <w:rPr>
          <w:rFonts w:hint="eastAsia" w:ascii="宋体" w:hAnsi="宋体" w:eastAsia="宋体" w:cs="宋体"/>
          <w:b/>
          <w:bCs/>
          <w:color w:val="auto"/>
          <w:kern w:val="2"/>
          <w:sz w:val="32"/>
          <w:szCs w:val="32"/>
          <w:lang w:val="en-US" w:eastAsia="zh-CN" w:bidi="ar-SA"/>
        </w:rPr>
        <w:t>六、投标单位拒绝政府采购领域商业贿赂承诺书</w:t>
      </w:r>
      <w:bookmarkEnd w:id="372"/>
      <w:bookmarkEnd w:id="373"/>
      <w:bookmarkEnd w:id="374"/>
      <w:bookmarkEnd w:id="375"/>
      <w:bookmarkEnd w:id="376"/>
      <w:bookmarkEnd w:id="377"/>
      <w:bookmarkEnd w:id="378"/>
      <w:bookmarkEnd w:id="379"/>
      <w:bookmarkEnd w:id="380"/>
    </w:p>
    <w:p w14:paraId="771C95E8">
      <w:pPr>
        <w:spacing w:line="440" w:lineRule="exact"/>
        <w:ind w:firstLine="482" w:firstLineChars="200"/>
        <w:jc w:val="center"/>
        <w:rPr>
          <w:rFonts w:hint="eastAsia" w:ascii="宋体" w:hAnsi="宋体" w:eastAsia="宋体" w:cs="仿宋"/>
          <w:b/>
          <w:bCs w:val="0"/>
          <w:color w:val="auto"/>
          <w:kern w:val="0"/>
          <w:sz w:val="24"/>
          <w:szCs w:val="28"/>
        </w:rPr>
      </w:pPr>
      <w:r>
        <w:rPr>
          <w:rFonts w:hint="eastAsia" w:ascii="宋体" w:hAnsi="宋体" w:eastAsia="宋体" w:cs="仿宋"/>
          <w:b/>
          <w:bCs w:val="0"/>
          <w:color w:val="auto"/>
          <w:kern w:val="0"/>
          <w:sz w:val="24"/>
          <w:szCs w:val="28"/>
        </w:rPr>
        <w:t>政府采购供应商拒绝政府采购领域商业贿赂承诺书</w:t>
      </w:r>
    </w:p>
    <w:p w14:paraId="2C685E08">
      <w:pPr>
        <w:spacing w:line="240" w:lineRule="exact"/>
        <w:ind w:firstLine="420" w:firstLineChars="200"/>
        <w:jc w:val="left"/>
        <w:rPr>
          <w:rFonts w:ascii="宋体" w:hAnsi="宋体" w:eastAsia="宋体" w:cs="仿宋"/>
          <w:bCs/>
          <w:color w:val="auto"/>
          <w:kern w:val="0"/>
          <w:sz w:val="21"/>
          <w:szCs w:val="21"/>
        </w:rPr>
      </w:pPr>
    </w:p>
    <w:p w14:paraId="719B4567">
      <w:pPr>
        <w:spacing w:line="440" w:lineRule="exact"/>
        <w:ind w:firstLine="480" w:firstLineChars="200"/>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为响应党中央、国务院关于治理政府采购领域商业贿赂行为的号召，我单位在此庄严承诺： </w:t>
      </w:r>
    </w:p>
    <w:p w14:paraId="24CF2B11">
      <w:pPr>
        <w:spacing w:line="440" w:lineRule="exact"/>
        <w:ind w:firstLine="480" w:firstLineChars="200"/>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1、在参与政府采购活动中遵纪守法、诚信经营、公平竞标。 </w:t>
      </w:r>
    </w:p>
    <w:p w14:paraId="71B03FAC">
      <w:pPr>
        <w:spacing w:line="440" w:lineRule="exact"/>
        <w:ind w:firstLine="480" w:firstLineChars="200"/>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2、不向采购人、招标代理机构和政府采购评审专家进行任何形式的商业贿赂以谋取交易机会。 </w:t>
      </w:r>
    </w:p>
    <w:p w14:paraId="04843547">
      <w:pPr>
        <w:spacing w:line="440" w:lineRule="exact"/>
        <w:ind w:firstLine="480" w:firstLineChars="200"/>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3、不向政府采购招标代理机构和采购人提供虚假资质文件或采用虚假应标方式参与政府采购市场竞争并谋取成交、成交。 </w:t>
      </w:r>
    </w:p>
    <w:p w14:paraId="218260B6">
      <w:pPr>
        <w:spacing w:line="440" w:lineRule="exact"/>
        <w:ind w:firstLine="480" w:firstLineChars="200"/>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4、不采取“围标、陪标”等商业欺诈手段获得政府采购定单。 </w:t>
      </w:r>
    </w:p>
    <w:p w14:paraId="198C0206">
      <w:pPr>
        <w:spacing w:line="440" w:lineRule="exact"/>
        <w:ind w:firstLine="480" w:firstLineChars="200"/>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5、不采取不正当手段低毁、排挤其他供应商。 </w:t>
      </w:r>
    </w:p>
    <w:p w14:paraId="302D5F68">
      <w:pPr>
        <w:spacing w:line="440" w:lineRule="exact"/>
        <w:ind w:firstLine="480" w:firstLineChars="200"/>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6、不在提供商品和服务时“偷梁换柱、以次充好”损害采购人的合法权益。 </w:t>
      </w:r>
    </w:p>
    <w:p w14:paraId="7226C048">
      <w:pPr>
        <w:spacing w:line="440" w:lineRule="exact"/>
        <w:ind w:firstLine="480" w:firstLineChars="200"/>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7、不与采购人、招标代理机构政府采购评审专家或其它供应商恶意串通，进行质疑和投诉，维护政府采购市场秩序。 </w:t>
      </w:r>
    </w:p>
    <w:p w14:paraId="177631ED">
      <w:pPr>
        <w:spacing w:line="440" w:lineRule="exact"/>
        <w:ind w:firstLine="480" w:firstLineChars="200"/>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8、尊重和接受政府采购监督管理部门的监督和政府招标代理机构招标要求，承担因违约行为给采购人造成的损失。 </w:t>
      </w:r>
    </w:p>
    <w:p w14:paraId="7559532E">
      <w:pPr>
        <w:spacing w:line="440" w:lineRule="exact"/>
        <w:ind w:firstLine="480" w:firstLineChars="200"/>
        <w:rPr>
          <w:rFonts w:ascii="宋体" w:hAnsi="宋体" w:eastAsia="宋体" w:cs="仿宋"/>
          <w:bCs/>
          <w:color w:val="auto"/>
          <w:kern w:val="0"/>
          <w:sz w:val="22"/>
          <w:szCs w:val="24"/>
        </w:rPr>
      </w:pPr>
      <w:r>
        <w:rPr>
          <w:rFonts w:hint="eastAsia" w:ascii="宋体" w:hAnsi="宋体" w:eastAsia="宋体" w:cs="仿宋"/>
          <w:bCs/>
          <w:color w:val="auto"/>
          <w:kern w:val="0"/>
          <w:sz w:val="24"/>
        </w:rPr>
        <w:t xml:space="preserve">9、不发生其他有悖于政府采购公开、公平、公正和诚信原则的行为。 </w:t>
      </w:r>
    </w:p>
    <w:p w14:paraId="59F3756C">
      <w:pPr>
        <w:spacing w:line="440" w:lineRule="exact"/>
        <w:ind w:firstLine="960" w:firstLineChars="400"/>
        <w:rPr>
          <w:rFonts w:ascii="宋体" w:hAnsi="宋体" w:eastAsia="宋体" w:cs="仿宋"/>
          <w:bCs/>
          <w:color w:val="auto"/>
          <w:kern w:val="0"/>
          <w:sz w:val="24"/>
        </w:rPr>
      </w:pPr>
    </w:p>
    <w:p w14:paraId="0CB571F0">
      <w:pPr>
        <w:spacing w:line="440" w:lineRule="exact"/>
        <w:ind w:firstLine="960" w:firstLineChars="400"/>
        <w:rPr>
          <w:rFonts w:ascii="宋体" w:hAnsi="宋体" w:eastAsia="宋体" w:cs="仿宋"/>
          <w:bCs/>
          <w:color w:val="auto"/>
          <w:kern w:val="0"/>
          <w:sz w:val="24"/>
        </w:rPr>
      </w:pPr>
      <w:r>
        <w:rPr>
          <w:rFonts w:hint="eastAsia" w:ascii="宋体" w:hAnsi="宋体" w:eastAsia="宋体" w:cs="仿宋"/>
          <w:bCs/>
          <w:color w:val="auto"/>
          <w:kern w:val="0"/>
          <w:sz w:val="24"/>
        </w:rPr>
        <w:t>承诺单位：</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（盖章）</w:t>
      </w:r>
    </w:p>
    <w:p w14:paraId="743224AF">
      <w:pPr>
        <w:spacing w:line="440" w:lineRule="exact"/>
        <w:ind w:firstLine="480" w:firstLineChars="200"/>
        <w:rPr>
          <w:rFonts w:ascii="宋体" w:hAnsi="宋体" w:eastAsia="宋体" w:cs="仿宋"/>
          <w:bCs/>
          <w:color w:val="auto"/>
          <w:kern w:val="0"/>
          <w:sz w:val="24"/>
        </w:rPr>
      </w:pPr>
      <w:r>
        <w:rPr>
          <w:rFonts w:hint="eastAsia" w:ascii="宋体" w:hAnsi="宋体" w:eastAsia="宋体" w:cs="仿宋"/>
          <w:bCs/>
          <w:color w:val="auto"/>
          <w:kern w:val="0"/>
          <w:sz w:val="24"/>
        </w:rPr>
        <w:t>  全权代表：</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 xml:space="preserve">（签字） </w:t>
      </w:r>
    </w:p>
    <w:p w14:paraId="0CCAC424">
      <w:pPr>
        <w:spacing w:line="520" w:lineRule="exact"/>
        <w:ind w:firstLine="480" w:firstLineChars="200"/>
        <w:rPr>
          <w:rFonts w:ascii="宋体" w:hAnsi="宋体" w:eastAsia="宋体" w:cs="仿宋"/>
          <w:bCs/>
          <w:color w:val="auto"/>
          <w:kern w:val="0"/>
          <w:sz w:val="24"/>
          <w:u w:val="single"/>
        </w:rPr>
      </w:pPr>
      <w:r>
        <w:rPr>
          <w:rFonts w:hint="eastAsia" w:ascii="宋体" w:hAnsi="宋体" w:eastAsia="宋体" w:cs="仿宋"/>
          <w:bCs/>
          <w:color w:val="auto"/>
          <w:kern w:val="0"/>
          <w:sz w:val="24"/>
        </w:rPr>
        <w:t xml:space="preserve">    地　　址：</w:t>
      </w:r>
      <w:r>
        <w:rPr>
          <w:rFonts w:hint="eastAsia" w:ascii="宋体" w:hAnsi="宋体" w:eastAsia="宋体" w:cs="仿宋"/>
          <w:bCs/>
          <w:color w:val="auto"/>
          <w:kern w:val="0"/>
          <w:sz w:val="24"/>
          <w:u w:val="single"/>
        </w:rPr>
        <w:t xml:space="preserve">                       </w:t>
      </w:r>
    </w:p>
    <w:p w14:paraId="4CD8A99D">
      <w:pPr>
        <w:spacing w:line="520" w:lineRule="exact"/>
        <w:ind w:firstLine="480" w:firstLineChars="200"/>
        <w:rPr>
          <w:rFonts w:ascii="宋体" w:hAnsi="宋体" w:eastAsia="宋体" w:cs="仿宋"/>
          <w:bCs/>
          <w:color w:val="auto"/>
          <w:kern w:val="0"/>
          <w:sz w:val="24"/>
        </w:rPr>
      </w:pPr>
      <w:r>
        <w:rPr>
          <w:rFonts w:hint="eastAsia" w:ascii="宋体" w:hAnsi="宋体" w:eastAsia="宋体" w:cs="仿宋"/>
          <w:bCs/>
          <w:color w:val="auto"/>
          <w:kern w:val="0"/>
          <w:sz w:val="24"/>
        </w:rPr>
        <w:t xml:space="preserve">    邮    编：</w:t>
      </w:r>
      <w:r>
        <w:rPr>
          <w:rFonts w:hint="eastAsia" w:ascii="宋体" w:hAnsi="宋体" w:eastAsia="宋体" w:cs="仿宋"/>
          <w:bCs/>
          <w:color w:val="auto"/>
          <w:kern w:val="0"/>
          <w:sz w:val="24"/>
          <w:u w:val="single"/>
        </w:rPr>
        <w:t xml:space="preserve">　　                   </w:t>
      </w:r>
    </w:p>
    <w:p w14:paraId="26FE9747">
      <w:pPr>
        <w:spacing w:line="520" w:lineRule="exact"/>
        <w:ind w:firstLine="720" w:firstLineChars="300"/>
        <w:rPr>
          <w:rFonts w:hint="eastAsia" w:ascii="宋体" w:hAnsi="宋体" w:eastAsia="宋体" w:cs="仿宋"/>
          <w:bCs/>
          <w:color w:val="auto"/>
          <w:kern w:val="0"/>
          <w:sz w:val="24"/>
          <w:lang w:val="en-US" w:eastAsia="zh-CN"/>
        </w:rPr>
      </w:pPr>
      <w:r>
        <w:rPr>
          <w:rFonts w:hint="eastAsia" w:ascii="宋体" w:hAnsi="宋体" w:eastAsia="宋体" w:cs="仿宋"/>
          <w:bCs/>
          <w:color w:val="auto"/>
          <w:kern w:val="0"/>
          <w:sz w:val="24"/>
        </w:rPr>
        <w:t> 电　　话：</w:t>
      </w:r>
      <w:r>
        <w:rPr>
          <w:rFonts w:hint="eastAsia" w:ascii="宋体" w:hAnsi="宋体" w:eastAsia="宋体" w:cs="仿宋"/>
          <w:bCs/>
          <w:color w:val="auto"/>
          <w:kern w:val="0"/>
          <w:sz w:val="24"/>
          <w:u w:val="single"/>
        </w:rPr>
        <w:t xml:space="preserve">　　　                </w:t>
      </w:r>
      <w:r>
        <w:rPr>
          <w:rFonts w:hint="eastAsia" w:ascii="宋体" w:hAnsi="宋体" w:eastAsia="宋体" w:cs="仿宋"/>
          <w:bCs/>
          <w:color w:val="auto"/>
          <w:kern w:val="0"/>
          <w:sz w:val="24"/>
          <w:u w:val="single"/>
          <w:lang w:val="en-US" w:eastAsia="zh-CN"/>
        </w:rPr>
        <w:t xml:space="preserve"> </w:t>
      </w:r>
    </w:p>
    <w:p w14:paraId="14A92668">
      <w:pPr>
        <w:spacing w:line="340" w:lineRule="exact"/>
        <w:rPr>
          <w:rFonts w:ascii="宋体" w:hAnsi="宋体" w:eastAsia="宋体" w:cs="仿宋"/>
          <w:bCs/>
          <w:color w:val="auto"/>
          <w:kern w:val="0"/>
          <w:sz w:val="24"/>
        </w:rPr>
      </w:pPr>
    </w:p>
    <w:p w14:paraId="2B903349">
      <w:pPr>
        <w:spacing w:line="340" w:lineRule="exact"/>
        <w:ind w:firstLine="4920" w:firstLineChars="2050"/>
        <w:rPr>
          <w:rFonts w:ascii="宋体" w:hAnsi="宋体" w:eastAsia="宋体" w:cs="仿宋"/>
          <w:bCs/>
          <w:color w:val="auto"/>
          <w:sz w:val="36"/>
          <w:szCs w:val="40"/>
        </w:rPr>
      </w:pPr>
      <w:r>
        <w:rPr>
          <w:rFonts w:hint="eastAsia" w:ascii="宋体" w:hAnsi="宋体" w:eastAsia="宋体" w:cs="仿宋"/>
          <w:bCs/>
          <w:color w:val="auto"/>
          <w:kern w:val="0"/>
          <w:sz w:val="24"/>
        </w:rPr>
        <w:t>年　　月　　日</w:t>
      </w:r>
    </w:p>
    <w:p w14:paraId="057A3F9E">
      <w:pPr>
        <w:spacing w:line="640" w:lineRule="exact"/>
        <w:jc w:val="center"/>
        <w:rPr>
          <w:rFonts w:ascii="宋体" w:hAnsi="宋体" w:eastAsia="宋体" w:cs="仿宋"/>
          <w:bCs/>
          <w:color w:val="auto"/>
          <w:sz w:val="36"/>
          <w:szCs w:val="40"/>
        </w:rPr>
      </w:pPr>
    </w:p>
    <w:p w14:paraId="7EDFE635">
      <w:pPr>
        <w:pStyle w:val="19"/>
        <w:ind w:left="560"/>
        <w:jc w:val="center"/>
        <w:rPr>
          <w:rFonts w:hint="eastAsia"/>
          <w:b/>
          <w:bCs/>
          <w:color w:val="auto"/>
          <w:sz w:val="24"/>
          <w:szCs w:val="24"/>
        </w:rPr>
        <w:sectPr>
          <w:pgSz w:w="11905" w:h="16838"/>
          <w:pgMar w:top="1134"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97" w:charSpace="0"/>
        </w:sectPr>
      </w:pPr>
      <w:bookmarkStart w:id="381" w:name="_Toc23315694"/>
      <w:bookmarkStart w:id="382" w:name="_Toc11224"/>
    </w:p>
    <w:p w14:paraId="66D2A6FA">
      <w:pPr>
        <w:pStyle w:val="19"/>
        <w:ind w:left="560"/>
        <w:jc w:val="center"/>
        <w:rPr>
          <w:b/>
          <w:bCs/>
          <w:color w:val="auto"/>
          <w:sz w:val="24"/>
          <w:szCs w:val="24"/>
        </w:rPr>
      </w:pPr>
      <w:r>
        <w:rPr>
          <w:rFonts w:hint="eastAsia"/>
          <w:b/>
          <w:bCs/>
          <w:color w:val="auto"/>
          <w:sz w:val="24"/>
          <w:szCs w:val="24"/>
        </w:rPr>
        <w:t>承诺书Ⅱ</w:t>
      </w:r>
      <w:bookmarkEnd w:id="381"/>
      <w:bookmarkEnd w:id="382"/>
    </w:p>
    <w:p w14:paraId="39229C6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致：</w:t>
      </w:r>
      <w:r>
        <w:rPr>
          <w:rFonts w:hint="eastAsia" w:ascii="宋体" w:hAnsi="宋体" w:eastAsia="宋体" w:cs="宋体"/>
          <w:color w:val="auto"/>
          <w:sz w:val="24"/>
          <w:szCs w:val="24"/>
          <w:lang w:eastAsia="zh-CN"/>
        </w:rPr>
        <w:t>陕西途恒工程管理服务有限公司</w:t>
      </w:r>
    </w:p>
    <w:p w14:paraId="0806859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为了诚实、客观、有序地参与政府采购活动，愿就以下内容作出承诺：</w:t>
      </w:r>
    </w:p>
    <w:p w14:paraId="51D7796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1、参加采购代理机构组织的政府采购活动时，严格按照谈判文件的规定和要求提供所需的相关材料，并对所提供的各类资料的真实性负责，不虚假应标，不虚列业绩。</w:t>
      </w:r>
    </w:p>
    <w:p w14:paraId="24EF742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2、尊重参与政府采购活动各相关方的合法行为，接受政府采购活动依法形成的意见、结果。</w:t>
      </w:r>
    </w:p>
    <w:p w14:paraId="0C445A6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3、依法参加政府采购活动，不围标、串标，维护市场秩序。近三年因项目质量问题的不法行为记录为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次（没有填零），如有隐瞒实情，愿承担一切责任及后果。</w:t>
      </w:r>
    </w:p>
    <w:p w14:paraId="22F436B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4、作为参加贵公司组织的采购项目的响应单位，本公司承诺：在参加本项目谈判之前不存在被依法禁止经营行为、财产被接管或冻结的情况，如有隐瞒实情，愿承担一切责任及后果。</w:t>
      </w:r>
    </w:p>
    <w:p w14:paraId="342ACDD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5、近三年受到有关行政主管部门的行政处理、不良行为记录为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次（没有填零），如有隐瞒实情，愿承担一切责任及后果。</w:t>
      </w:r>
    </w:p>
    <w:p w14:paraId="7CB9F95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6、参加本次谈判提交的所有资质证明文件及业绩证明是真实的、有效的，如有隐瞒实情，愿承担一切责任及后果。</w:t>
      </w:r>
    </w:p>
    <w:p w14:paraId="2D5F8D8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7、积极推动政府采购活动健康开展，对采购活动有疑问、异议时，按法律规定的程序实名（加盖单位章和法定代表人签名）反映情况，不恶意中伤、无事生非，以和谐、平等的心态参加政府采购活动。</w:t>
      </w:r>
    </w:p>
    <w:p w14:paraId="1687B95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8、认真履行成交单位应承担的责任和义务，全面执行采购合同规定的各项内容，保质保量地按时提供采购物品。</w:t>
      </w:r>
    </w:p>
    <w:p w14:paraId="002573F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若本企业（单位）发生有悖于上述承诺的行为，愿意接受《中华人民共和国政府采购法》和《中华人民共和国政府采购法实施条例》中对响应单位的相关处理。</w:t>
      </w:r>
    </w:p>
    <w:p w14:paraId="7879EEA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14:paraId="31B9246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p>
    <w:p w14:paraId="6982E75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p>
    <w:p w14:paraId="7FC7CA0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承诺单位：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（盖章）</w:t>
      </w:r>
    </w:p>
    <w:p w14:paraId="48FF943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14:paraId="0AB076B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bookmarkStart w:id="383" w:name="_Toc536202334"/>
      <w:bookmarkStart w:id="384" w:name="_Toc25514"/>
      <w:bookmarkStart w:id="385" w:name="_Toc536429396"/>
      <w:bookmarkStart w:id="386" w:name="_Toc536202403"/>
      <w:bookmarkStart w:id="387" w:name="_Toc536429343"/>
    </w:p>
    <w:bookmarkEnd w:id="383"/>
    <w:bookmarkEnd w:id="384"/>
    <w:bookmarkEnd w:id="385"/>
    <w:bookmarkEnd w:id="386"/>
    <w:bookmarkEnd w:id="387"/>
    <w:p w14:paraId="1BC4B4A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p>
    <w:p w14:paraId="387E710E">
      <w:pPr>
        <w:bidi w:val="0"/>
        <w:rPr>
          <w:rFonts w:hint="eastAsia"/>
          <w:color w:val="auto"/>
          <w:lang w:val="en-US" w:eastAsia="zh-CN"/>
        </w:rPr>
      </w:pPr>
    </w:p>
    <w:sectPr>
      <w:pgSz w:w="11905" w:h="16838"/>
      <w:pgMar w:top="1134"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9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DD8E">
    <w:pPr>
      <w:pStyle w:val="21"/>
      <w:tabs>
        <w:tab w:val="left" w:pos="2431"/>
        <w:tab w:val="center" w:pos="4253"/>
        <w:tab w:val="left" w:pos="5055"/>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0FDA">
    <w:pPr>
      <w:pStyle w:val="21"/>
      <w:tabs>
        <w:tab w:val="center" w:pos="4536"/>
        <w:tab w:val="right" w:pos="9192"/>
      </w:tabs>
      <w:wordWrap w:val="0"/>
      <w:jc w:val="left"/>
      <w:rPr>
        <w:rFonts w:hint="eastAsia" w:ascii="宋体" w:hAnsi="宋体" w:eastAsia="宋体" w:cs="宋体"/>
      </w:rPr>
    </w:pP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7E180">
    <w:pPr>
      <w:pStyle w:val="21"/>
      <w:tabs>
        <w:tab w:val="center" w:pos="4536"/>
        <w:tab w:val="right" w:pos="9192"/>
      </w:tabs>
      <w:wordWrap w:val="0"/>
      <w:jc w:val="left"/>
      <w:rPr>
        <w:rFonts w:hint="eastAsia"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C476B">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7C476B">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9177">
    <w:pPr>
      <w:pStyle w:val="12"/>
      <w:spacing w:line="14" w:lineRule="auto"/>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AEF8B6">
                          <w:pPr>
                            <w:pStyle w:val="21"/>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79aufSAQAAowMAAA4AAABkcnMvZTJvRG9jLnhtbK1TS27bMBDd&#10;F+gdCO5rKQaSCILloIWRokDRBkhzAJoiLQL8gUNb8gXaG3TVTfY5l8+RISU5RbrJohtqhjN8M+/N&#10;aHUzGE0OIoBytqEXi5ISYblrld019OHH7YeKEojMtkw7Kxp6FEBv1u/frXpfi6XrnG5FIAhioe59&#10;Q7sYfV0UwDthGCycFxaD0gXDIrphV7SB9YhudLEsy6uid6H1wXEBgLebMUgnxPAWQCel4mLj+N4I&#10;G0fUIDSLSAk65YGuc7dSCh6/SwkiEt1QZBrziUXQ3qazWK9YvQvMd4pPLbC3tPCKk2HKYtEz1IZF&#10;RvZB/QNlFA8OnIwL7kwxEsmKIIuL8pU29x3zInNBqcGfRYf/B8u/He4CUW1DryixzODAT79/nf48&#10;nR5/kuskT++hxqx7j3lx+OQGXJr5HvAysR5kMOmLfAjGUdzjWVwxRMLTo2pZVSWGOMZmB/GLl+c+&#10;QPwsnCHJaGjA6WVR2eErxDF1TknVrLtVWucJakt6RL2sri/zi3MI0bXFIonF2G2y4rAdJmpb1x6R&#10;WY8r0FCLG0+J/mJR4bQtsxFmYzsbex/UrsvrlFoB/3EfsZ3cZaowwk6FcXaZ57RnaTn+9nPWy7+1&#10;f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v1q59IBAACjAwAADgAAAAAAAAABACAAAAAi&#10;AQAAZHJzL2Uyb0RvYy54bWxQSwUGAAAAAAYABgBZAQAAZgUAAAAA&#10;">
              <v:fill on="f" focussize="0,0"/>
              <v:stroke on="f" weight="1.25pt"/>
              <v:imagedata o:title=""/>
              <o:lock v:ext="edit" aspectratio="f"/>
              <v:textbox inset="0mm,0mm,0mm,0mm" style="mso-fit-shape-to-text:t;">
                <w:txbxContent>
                  <w:p w14:paraId="4EAEF8B6">
                    <w:pPr>
                      <w:pStyle w:val="2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6A25B">
    <w:pPr>
      <w:pStyle w:val="21"/>
      <w:tabs>
        <w:tab w:val="left" w:pos="2431"/>
        <w:tab w:val="clear" w:pos="4153"/>
        <w:tab w:val="clear" w:pos="8306"/>
      </w:tabs>
      <w:wordWrap w:val="0"/>
      <w:ind w:right="360"/>
      <w:jc w:val="right"/>
      <w:rPr>
        <w:rFonts w:hint="eastAsia" w:ascii="宋体" w:hAnsi="宋体" w:eastAsia="宋体" w:cs="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5CDB6">
                          <w:pPr>
                            <w:pStyle w:val="21"/>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85CDB6">
                    <w:pPr>
                      <w:pStyle w:val="21"/>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22BB">
    <w:pPr>
      <w:jc w:val="distribute"/>
      <w:rPr>
        <w:rFonts w:hint="eastAsia" w:ascii="宋体" w:hAnsi="宋体" w:eastAsia="宋体" w:cs="宋体"/>
        <w:sz w:val="18"/>
        <w:szCs w:val="18"/>
        <w:lang w:val="en-US" w:eastAsia="zh-CN"/>
      </w:rPr>
    </w:pPr>
    <w:r>
      <w:rPr>
        <w:rFonts w:hint="eastAsia" w:ascii="宋体" w:hAnsi="宋体" w:eastAsia="宋体" w:cs="宋体"/>
        <w:sz w:val="18"/>
        <w:szCs w:val="18"/>
      </w:rPr>
      <w:tab/>
    </w:r>
    <w:r>
      <w:rPr>
        <w:rFonts w:hint="eastAsia" w:ascii="宋体" w:hAnsi="宋体" w:eastAsia="宋体" w:cs="宋体"/>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B114">
    <w:pPr>
      <w:pBdr>
        <w:bottom w:val="none" w:color="auto" w:sz="0" w:space="0"/>
      </w:pBdr>
      <w:jc w:val="left"/>
      <w:rPr>
        <w:rFonts w:hint="eastAsia" w:asciiTheme="minorEastAsia" w:hAnsiTheme="minorEastAsia" w:eastAsiaTheme="minorEastAsia" w:cstheme="minorEastAsia"/>
        <w:sz w:val="36"/>
        <w:szCs w:val="3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3EF01"/>
    <w:multiLevelType w:val="singleLevel"/>
    <w:tmpl w:val="F593EF01"/>
    <w:lvl w:ilvl="0" w:tentative="0">
      <w:start w:val="1"/>
      <w:numFmt w:val="decimal"/>
      <w:lvlText w:val="%1"/>
      <w:lvlJc w:val="left"/>
      <w:pPr>
        <w:tabs>
          <w:tab w:val="left" w:pos="420"/>
        </w:tabs>
        <w:ind w:left="705" w:leftChars="0" w:hanging="425" w:firstLineChars="0"/>
      </w:pPr>
      <w:rPr>
        <w:rFonts w:hint="default"/>
      </w:rPr>
    </w:lvl>
  </w:abstractNum>
  <w:abstractNum w:abstractNumId="1">
    <w:nsid w:val="5E29AB5A"/>
    <w:multiLevelType w:val="multilevel"/>
    <w:tmpl w:val="5E29AB5A"/>
    <w:lvl w:ilvl="0" w:tentative="0">
      <w:start w:val="1"/>
      <w:numFmt w:val="decimal"/>
      <w:lvlText w:val="%1."/>
      <w:lvlJc w:val="left"/>
      <w:pPr>
        <w:ind w:left="348" w:hanging="241"/>
        <w:jc w:val="left"/>
      </w:pPr>
      <w:rPr>
        <w:rFonts w:hint="default" w:ascii="宋体" w:hAnsi="宋体" w:eastAsia="宋体" w:cs="宋体"/>
        <w:spacing w:val="-1"/>
        <w:w w:val="100"/>
        <w:sz w:val="22"/>
        <w:szCs w:val="22"/>
        <w:lang w:val="zh-CN" w:eastAsia="zh-CN" w:bidi="zh-CN"/>
      </w:rPr>
    </w:lvl>
    <w:lvl w:ilvl="1" w:tentative="0">
      <w:start w:val="1"/>
      <w:numFmt w:val="decimal"/>
      <w:lvlText w:val="%2)"/>
      <w:lvlJc w:val="left"/>
      <w:pPr>
        <w:ind w:left="1988" w:hanging="320"/>
        <w:jc w:val="left"/>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829" w:hanging="320"/>
      </w:pPr>
      <w:rPr>
        <w:rFonts w:hint="default"/>
        <w:lang w:val="zh-CN" w:eastAsia="zh-CN" w:bidi="zh-CN"/>
      </w:rPr>
    </w:lvl>
    <w:lvl w:ilvl="3" w:tentative="0">
      <w:start w:val="0"/>
      <w:numFmt w:val="bullet"/>
      <w:lvlText w:val="•"/>
      <w:lvlJc w:val="left"/>
      <w:pPr>
        <w:ind w:left="3679" w:hanging="320"/>
      </w:pPr>
      <w:rPr>
        <w:rFonts w:hint="default"/>
        <w:lang w:val="zh-CN" w:eastAsia="zh-CN" w:bidi="zh-CN"/>
      </w:rPr>
    </w:lvl>
    <w:lvl w:ilvl="4" w:tentative="0">
      <w:start w:val="0"/>
      <w:numFmt w:val="bullet"/>
      <w:lvlText w:val="•"/>
      <w:lvlJc w:val="left"/>
      <w:pPr>
        <w:ind w:left="4528" w:hanging="320"/>
      </w:pPr>
      <w:rPr>
        <w:rFonts w:hint="default"/>
        <w:lang w:val="zh-CN" w:eastAsia="zh-CN" w:bidi="zh-CN"/>
      </w:rPr>
    </w:lvl>
    <w:lvl w:ilvl="5" w:tentative="0">
      <w:start w:val="0"/>
      <w:numFmt w:val="bullet"/>
      <w:lvlText w:val="•"/>
      <w:lvlJc w:val="left"/>
      <w:pPr>
        <w:ind w:left="5378" w:hanging="320"/>
      </w:pPr>
      <w:rPr>
        <w:rFonts w:hint="default"/>
        <w:lang w:val="zh-CN" w:eastAsia="zh-CN" w:bidi="zh-CN"/>
      </w:rPr>
    </w:lvl>
    <w:lvl w:ilvl="6" w:tentative="0">
      <w:start w:val="0"/>
      <w:numFmt w:val="bullet"/>
      <w:lvlText w:val="•"/>
      <w:lvlJc w:val="left"/>
      <w:pPr>
        <w:ind w:left="6227" w:hanging="320"/>
      </w:pPr>
      <w:rPr>
        <w:rFonts w:hint="default"/>
        <w:lang w:val="zh-CN" w:eastAsia="zh-CN" w:bidi="zh-CN"/>
      </w:rPr>
    </w:lvl>
    <w:lvl w:ilvl="7" w:tentative="0">
      <w:start w:val="0"/>
      <w:numFmt w:val="bullet"/>
      <w:lvlText w:val="•"/>
      <w:lvlJc w:val="left"/>
      <w:pPr>
        <w:ind w:left="7077" w:hanging="320"/>
      </w:pPr>
      <w:rPr>
        <w:rFonts w:hint="default"/>
        <w:lang w:val="zh-CN" w:eastAsia="zh-CN" w:bidi="zh-CN"/>
      </w:rPr>
    </w:lvl>
    <w:lvl w:ilvl="8" w:tentative="0">
      <w:start w:val="0"/>
      <w:numFmt w:val="bullet"/>
      <w:lvlText w:val="•"/>
      <w:lvlJc w:val="left"/>
      <w:pPr>
        <w:ind w:left="7926" w:hanging="320"/>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attachedTemplate r:id="rId1"/>
  <w:documentProtection w:enforcement="0"/>
  <w:defaultTabStop w:val="420"/>
  <w:drawingGridHorizontalSpacing w:val="280"/>
  <w:drawingGridVerticalSpacing w:val="198"/>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3NGRlMjFmNzg5MTlhOWRlYTZkNzM0YmI3NzdhMzEifQ=="/>
  </w:docVars>
  <w:rsids>
    <w:rsidRoot w:val="00276103"/>
    <w:rsid w:val="00011D14"/>
    <w:rsid w:val="000121E1"/>
    <w:rsid w:val="00024F44"/>
    <w:rsid w:val="00026194"/>
    <w:rsid w:val="0004092A"/>
    <w:rsid w:val="000409AC"/>
    <w:rsid w:val="00054856"/>
    <w:rsid w:val="00067801"/>
    <w:rsid w:val="00071ED2"/>
    <w:rsid w:val="000916FF"/>
    <w:rsid w:val="00092C81"/>
    <w:rsid w:val="00095EC0"/>
    <w:rsid w:val="000D2F9C"/>
    <w:rsid w:val="000D4451"/>
    <w:rsid w:val="000D4B24"/>
    <w:rsid w:val="000D5996"/>
    <w:rsid w:val="000E15F1"/>
    <w:rsid w:val="000E78A9"/>
    <w:rsid w:val="000F0906"/>
    <w:rsid w:val="00107F04"/>
    <w:rsid w:val="00132AB2"/>
    <w:rsid w:val="001345C5"/>
    <w:rsid w:val="00142225"/>
    <w:rsid w:val="00146383"/>
    <w:rsid w:val="00147C6C"/>
    <w:rsid w:val="001501D1"/>
    <w:rsid w:val="0015205E"/>
    <w:rsid w:val="0015716C"/>
    <w:rsid w:val="001708A1"/>
    <w:rsid w:val="001711CA"/>
    <w:rsid w:val="00182814"/>
    <w:rsid w:val="001918B0"/>
    <w:rsid w:val="0019420E"/>
    <w:rsid w:val="001B3EC3"/>
    <w:rsid w:val="001B75D7"/>
    <w:rsid w:val="001D693E"/>
    <w:rsid w:val="001F392F"/>
    <w:rsid w:val="001F4E02"/>
    <w:rsid w:val="001F4FFA"/>
    <w:rsid w:val="00207041"/>
    <w:rsid w:val="00217AE5"/>
    <w:rsid w:val="00217B13"/>
    <w:rsid w:val="00243136"/>
    <w:rsid w:val="002524D9"/>
    <w:rsid w:val="002563A8"/>
    <w:rsid w:val="00262942"/>
    <w:rsid w:val="00272450"/>
    <w:rsid w:val="00276103"/>
    <w:rsid w:val="00284337"/>
    <w:rsid w:val="00294DAB"/>
    <w:rsid w:val="002A3903"/>
    <w:rsid w:val="002A3BF9"/>
    <w:rsid w:val="002A3D81"/>
    <w:rsid w:val="002B192D"/>
    <w:rsid w:val="002B308B"/>
    <w:rsid w:val="002B691E"/>
    <w:rsid w:val="002D0507"/>
    <w:rsid w:val="002D2C90"/>
    <w:rsid w:val="002E21DB"/>
    <w:rsid w:val="002F009F"/>
    <w:rsid w:val="002F1A74"/>
    <w:rsid w:val="002F682C"/>
    <w:rsid w:val="00305EB5"/>
    <w:rsid w:val="003072E5"/>
    <w:rsid w:val="0031118E"/>
    <w:rsid w:val="0031248D"/>
    <w:rsid w:val="003134A9"/>
    <w:rsid w:val="0032276E"/>
    <w:rsid w:val="00335F17"/>
    <w:rsid w:val="00336EFA"/>
    <w:rsid w:val="00351234"/>
    <w:rsid w:val="003577A2"/>
    <w:rsid w:val="00363A95"/>
    <w:rsid w:val="0037576D"/>
    <w:rsid w:val="0038258B"/>
    <w:rsid w:val="00394B45"/>
    <w:rsid w:val="003A08B0"/>
    <w:rsid w:val="003B1610"/>
    <w:rsid w:val="003B5D98"/>
    <w:rsid w:val="003C498B"/>
    <w:rsid w:val="003C603A"/>
    <w:rsid w:val="003F108F"/>
    <w:rsid w:val="003F1E12"/>
    <w:rsid w:val="00410CA8"/>
    <w:rsid w:val="00411927"/>
    <w:rsid w:val="004136CD"/>
    <w:rsid w:val="004215EB"/>
    <w:rsid w:val="0042558D"/>
    <w:rsid w:val="00426F03"/>
    <w:rsid w:val="004305F5"/>
    <w:rsid w:val="0043141B"/>
    <w:rsid w:val="004372CF"/>
    <w:rsid w:val="00440E26"/>
    <w:rsid w:val="00457AA3"/>
    <w:rsid w:val="0048210A"/>
    <w:rsid w:val="00496201"/>
    <w:rsid w:val="00496FF3"/>
    <w:rsid w:val="004A3DAE"/>
    <w:rsid w:val="004A4865"/>
    <w:rsid w:val="004B1790"/>
    <w:rsid w:val="004C1B3A"/>
    <w:rsid w:val="004C1D4F"/>
    <w:rsid w:val="004D37C1"/>
    <w:rsid w:val="004D523A"/>
    <w:rsid w:val="004D776C"/>
    <w:rsid w:val="004D7C0E"/>
    <w:rsid w:val="004F51DC"/>
    <w:rsid w:val="00500643"/>
    <w:rsid w:val="00504DA1"/>
    <w:rsid w:val="00506C22"/>
    <w:rsid w:val="0051523B"/>
    <w:rsid w:val="00522CEE"/>
    <w:rsid w:val="005310C9"/>
    <w:rsid w:val="00551934"/>
    <w:rsid w:val="00553C02"/>
    <w:rsid w:val="005611BF"/>
    <w:rsid w:val="00562877"/>
    <w:rsid w:val="0056693B"/>
    <w:rsid w:val="005747AA"/>
    <w:rsid w:val="00580202"/>
    <w:rsid w:val="005900DC"/>
    <w:rsid w:val="005B1048"/>
    <w:rsid w:val="005B1912"/>
    <w:rsid w:val="005C71E8"/>
    <w:rsid w:val="005E1C76"/>
    <w:rsid w:val="005E798C"/>
    <w:rsid w:val="005F42BB"/>
    <w:rsid w:val="006024D7"/>
    <w:rsid w:val="0060694E"/>
    <w:rsid w:val="00607C5F"/>
    <w:rsid w:val="00631550"/>
    <w:rsid w:val="006423BA"/>
    <w:rsid w:val="00655236"/>
    <w:rsid w:val="00655823"/>
    <w:rsid w:val="00661EDA"/>
    <w:rsid w:val="00667A44"/>
    <w:rsid w:val="00677E82"/>
    <w:rsid w:val="00680269"/>
    <w:rsid w:val="006818EC"/>
    <w:rsid w:val="00681B42"/>
    <w:rsid w:val="006847DD"/>
    <w:rsid w:val="006847DE"/>
    <w:rsid w:val="006939BC"/>
    <w:rsid w:val="006A696C"/>
    <w:rsid w:val="006B341A"/>
    <w:rsid w:val="006C26A1"/>
    <w:rsid w:val="006C6C7A"/>
    <w:rsid w:val="006E67F7"/>
    <w:rsid w:val="006F14EC"/>
    <w:rsid w:val="006F6E80"/>
    <w:rsid w:val="00705186"/>
    <w:rsid w:val="007066CC"/>
    <w:rsid w:val="00721C78"/>
    <w:rsid w:val="0072200B"/>
    <w:rsid w:val="007336C4"/>
    <w:rsid w:val="00735397"/>
    <w:rsid w:val="00747FEF"/>
    <w:rsid w:val="0076563E"/>
    <w:rsid w:val="00766127"/>
    <w:rsid w:val="00766D27"/>
    <w:rsid w:val="0077095E"/>
    <w:rsid w:val="00771CFD"/>
    <w:rsid w:val="00781C94"/>
    <w:rsid w:val="00796285"/>
    <w:rsid w:val="00797072"/>
    <w:rsid w:val="007A6CEE"/>
    <w:rsid w:val="007B1F33"/>
    <w:rsid w:val="007C1AB6"/>
    <w:rsid w:val="007D455F"/>
    <w:rsid w:val="007E29E9"/>
    <w:rsid w:val="007E2A47"/>
    <w:rsid w:val="00800C8F"/>
    <w:rsid w:val="00801342"/>
    <w:rsid w:val="0080401E"/>
    <w:rsid w:val="00805ED3"/>
    <w:rsid w:val="008142E9"/>
    <w:rsid w:val="008207AB"/>
    <w:rsid w:val="00825D97"/>
    <w:rsid w:val="0083077C"/>
    <w:rsid w:val="008413BE"/>
    <w:rsid w:val="0084291C"/>
    <w:rsid w:val="00844A7A"/>
    <w:rsid w:val="00847343"/>
    <w:rsid w:val="00851842"/>
    <w:rsid w:val="008523E5"/>
    <w:rsid w:val="00852685"/>
    <w:rsid w:val="0086232F"/>
    <w:rsid w:val="0086286A"/>
    <w:rsid w:val="008677C8"/>
    <w:rsid w:val="0088251D"/>
    <w:rsid w:val="00882CA4"/>
    <w:rsid w:val="00884DF7"/>
    <w:rsid w:val="00892A74"/>
    <w:rsid w:val="0089649D"/>
    <w:rsid w:val="008977E6"/>
    <w:rsid w:val="008A0A6F"/>
    <w:rsid w:val="008A0ABB"/>
    <w:rsid w:val="008A164E"/>
    <w:rsid w:val="008A387E"/>
    <w:rsid w:val="008B3F6A"/>
    <w:rsid w:val="008C3523"/>
    <w:rsid w:val="008D04E2"/>
    <w:rsid w:val="008D0F23"/>
    <w:rsid w:val="008E7F0F"/>
    <w:rsid w:val="008F666C"/>
    <w:rsid w:val="00907DA1"/>
    <w:rsid w:val="00930935"/>
    <w:rsid w:val="009601E0"/>
    <w:rsid w:val="00963F71"/>
    <w:rsid w:val="0098787B"/>
    <w:rsid w:val="00992BD2"/>
    <w:rsid w:val="009A071D"/>
    <w:rsid w:val="009B4D82"/>
    <w:rsid w:val="009B6AA6"/>
    <w:rsid w:val="009C4E3B"/>
    <w:rsid w:val="009D0AA6"/>
    <w:rsid w:val="009F417D"/>
    <w:rsid w:val="009F7629"/>
    <w:rsid w:val="009F777C"/>
    <w:rsid w:val="00A023CC"/>
    <w:rsid w:val="00A235FA"/>
    <w:rsid w:val="00A2726C"/>
    <w:rsid w:val="00A3238E"/>
    <w:rsid w:val="00A35539"/>
    <w:rsid w:val="00A42D07"/>
    <w:rsid w:val="00A477A1"/>
    <w:rsid w:val="00A51B91"/>
    <w:rsid w:val="00A54FFB"/>
    <w:rsid w:val="00A5616F"/>
    <w:rsid w:val="00A60100"/>
    <w:rsid w:val="00A63A67"/>
    <w:rsid w:val="00A66D71"/>
    <w:rsid w:val="00A73565"/>
    <w:rsid w:val="00A77138"/>
    <w:rsid w:val="00A7771E"/>
    <w:rsid w:val="00A9079F"/>
    <w:rsid w:val="00A958FB"/>
    <w:rsid w:val="00AC3A07"/>
    <w:rsid w:val="00AF0523"/>
    <w:rsid w:val="00B064D8"/>
    <w:rsid w:val="00B24A7A"/>
    <w:rsid w:val="00B25C41"/>
    <w:rsid w:val="00B32B44"/>
    <w:rsid w:val="00B34C54"/>
    <w:rsid w:val="00B35B3D"/>
    <w:rsid w:val="00B50AA4"/>
    <w:rsid w:val="00B6554A"/>
    <w:rsid w:val="00B765C2"/>
    <w:rsid w:val="00B83BB4"/>
    <w:rsid w:val="00B94751"/>
    <w:rsid w:val="00BA270E"/>
    <w:rsid w:val="00BA3A5F"/>
    <w:rsid w:val="00BB1A34"/>
    <w:rsid w:val="00BB238C"/>
    <w:rsid w:val="00BB679E"/>
    <w:rsid w:val="00BC1FDF"/>
    <w:rsid w:val="00BC3F03"/>
    <w:rsid w:val="00BC5201"/>
    <w:rsid w:val="00BD1748"/>
    <w:rsid w:val="00BD7B0F"/>
    <w:rsid w:val="00BF1583"/>
    <w:rsid w:val="00C02F92"/>
    <w:rsid w:val="00C12EAD"/>
    <w:rsid w:val="00C1462B"/>
    <w:rsid w:val="00C2267F"/>
    <w:rsid w:val="00C30E88"/>
    <w:rsid w:val="00C55543"/>
    <w:rsid w:val="00C560DA"/>
    <w:rsid w:val="00C609BA"/>
    <w:rsid w:val="00C620AF"/>
    <w:rsid w:val="00C80D51"/>
    <w:rsid w:val="00C8309E"/>
    <w:rsid w:val="00C92E4A"/>
    <w:rsid w:val="00C96829"/>
    <w:rsid w:val="00CA0F67"/>
    <w:rsid w:val="00CA4E56"/>
    <w:rsid w:val="00CB2AEA"/>
    <w:rsid w:val="00CB3B3C"/>
    <w:rsid w:val="00CB7D83"/>
    <w:rsid w:val="00CC5D30"/>
    <w:rsid w:val="00CC67C4"/>
    <w:rsid w:val="00CD6381"/>
    <w:rsid w:val="00CE3718"/>
    <w:rsid w:val="00CF0627"/>
    <w:rsid w:val="00CF17F7"/>
    <w:rsid w:val="00CF2461"/>
    <w:rsid w:val="00D039CE"/>
    <w:rsid w:val="00D06F62"/>
    <w:rsid w:val="00D2513E"/>
    <w:rsid w:val="00D30EE6"/>
    <w:rsid w:val="00D316DE"/>
    <w:rsid w:val="00D36315"/>
    <w:rsid w:val="00D40301"/>
    <w:rsid w:val="00D4408E"/>
    <w:rsid w:val="00D610CA"/>
    <w:rsid w:val="00D67385"/>
    <w:rsid w:val="00D81543"/>
    <w:rsid w:val="00D817A0"/>
    <w:rsid w:val="00D96176"/>
    <w:rsid w:val="00DA3BD6"/>
    <w:rsid w:val="00DA4EE4"/>
    <w:rsid w:val="00DA5A45"/>
    <w:rsid w:val="00DB2D27"/>
    <w:rsid w:val="00DC1447"/>
    <w:rsid w:val="00DC1BCD"/>
    <w:rsid w:val="00DC57F7"/>
    <w:rsid w:val="00DC5E60"/>
    <w:rsid w:val="00DD3389"/>
    <w:rsid w:val="00DE4D3D"/>
    <w:rsid w:val="00DE5360"/>
    <w:rsid w:val="00DE7B6E"/>
    <w:rsid w:val="00DF22C1"/>
    <w:rsid w:val="00DF416F"/>
    <w:rsid w:val="00E03517"/>
    <w:rsid w:val="00E13977"/>
    <w:rsid w:val="00E17593"/>
    <w:rsid w:val="00E20FD2"/>
    <w:rsid w:val="00E34F2C"/>
    <w:rsid w:val="00E42B0C"/>
    <w:rsid w:val="00E46A27"/>
    <w:rsid w:val="00E74F56"/>
    <w:rsid w:val="00E816A0"/>
    <w:rsid w:val="00E8284E"/>
    <w:rsid w:val="00E92007"/>
    <w:rsid w:val="00E9609B"/>
    <w:rsid w:val="00EB48B6"/>
    <w:rsid w:val="00EC0951"/>
    <w:rsid w:val="00EC54AB"/>
    <w:rsid w:val="00ED0360"/>
    <w:rsid w:val="00ED760D"/>
    <w:rsid w:val="00EE5535"/>
    <w:rsid w:val="00EF1EE2"/>
    <w:rsid w:val="00EF24F7"/>
    <w:rsid w:val="00EF2D7A"/>
    <w:rsid w:val="00F2205A"/>
    <w:rsid w:val="00F2647F"/>
    <w:rsid w:val="00F3460A"/>
    <w:rsid w:val="00F513CD"/>
    <w:rsid w:val="00F6354A"/>
    <w:rsid w:val="00F64F3D"/>
    <w:rsid w:val="00F707BF"/>
    <w:rsid w:val="00F94172"/>
    <w:rsid w:val="00FC66A9"/>
    <w:rsid w:val="00FE7899"/>
    <w:rsid w:val="01341807"/>
    <w:rsid w:val="015A60C5"/>
    <w:rsid w:val="016F10DA"/>
    <w:rsid w:val="0186020E"/>
    <w:rsid w:val="01960454"/>
    <w:rsid w:val="019D7E34"/>
    <w:rsid w:val="01AF5332"/>
    <w:rsid w:val="01C32272"/>
    <w:rsid w:val="01F42D45"/>
    <w:rsid w:val="0261487E"/>
    <w:rsid w:val="02781260"/>
    <w:rsid w:val="02997909"/>
    <w:rsid w:val="02CB7221"/>
    <w:rsid w:val="031F3DF1"/>
    <w:rsid w:val="03287B1A"/>
    <w:rsid w:val="034F19A0"/>
    <w:rsid w:val="03672922"/>
    <w:rsid w:val="038A7E04"/>
    <w:rsid w:val="03974F7D"/>
    <w:rsid w:val="03A60AD2"/>
    <w:rsid w:val="03B51F99"/>
    <w:rsid w:val="03E83E04"/>
    <w:rsid w:val="04210E57"/>
    <w:rsid w:val="04245B63"/>
    <w:rsid w:val="042C1685"/>
    <w:rsid w:val="043C7483"/>
    <w:rsid w:val="04B85F04"/>
    <w:rsid w:val="04C609C8"/>
    <w:rsid w:val="04CA256A"/>
    <w:rsid w:val="053A4875"/>
    <w:rsid w:val="05E57574"/>
    <w:rsid w:val="06095474"/>
    <w:rsid w:val="062D7C32"/>
    <w:rsid w:val="062F259D"/>
    <w:rsid w:val="064A68B9"/>
    <w:rsid w:val="065906F6"/>
    <w:rsid w:val="068F0BD1"/>
    <w:rsid w:val="06A97A77"/>
    <w:rsid w:val="06FE2509"/>
    <w:rsid w:val="072126BE"/>
    <w:rsid w:val="07320597"/>
    <w:rsid w:val="07805F5A"/>
    <w:rsid w:val="078139DC"/>
    <w:rsid w:val="07CE0FBC"/>
    <w:rsid w:val="07DD40F6"/>
    <w:rsid w:val="084C21AB"/>
    <w:rsid w:val="087F780C"/>
    <w:rsid w:val="0892709C"/>
    <w:rsid w:val="08AB6853"/>
    <w:rsid w:val="08CE0793"/>
    <w:rsid w:val="08F66DC1"/>
    <w:rsid w:val="08F76E43"/>
    <w:rsid w:val="090C6E83"/>
    <w:rsid w:val="09612535"/>
    <w:rsid w:val="096874D3"/>
    <w:rsid w:val="09706A8B"/>
    <w:rsid w:val="09AD52FC"/>
    <w:rsid w:val="09B96D4E"/>
    <w:rsid w:val="09C13E54"/>
    <w:rsid w:val="09EA0953"/>
    <w:rsid w:val="0A885C87"/>
    <w:rsid w:val="0AEC727C"/>
    <w:rsid w:val="0AF61D8A"/>
    <w:rsid w:val="0B655C41"/>
    <w:rsid w:val="0B9A495D"/>
    <w:rsid w:val="0BB35A1E"/>
    <w:rsid w:val="0BBD589B"/>
    <w:rsid w:val="0BD45EF5"/>
    <w:rsid w:val="0C013541"/>
    <w:rsid w:val="0C200572"/>
    <w:rsid w:val="0C2A0E82"/>
    <w:rsid w:val="0C31628E"/>
    <w:rsid w:val="0C580AA0"/>
    <w:rsid w:val="0C653AE0"/>
    <w:rsid w:val="0C7B022C"/>
    <w:rsid w:val="0C9544DF"/>
    <w:rsid w:val="0C9E3391"/>
    <w:rsid w:val="0CAD7E82"/>
    <w:rsid w:val="0CF31BCF"/>
    <w:rsid w:val="0D273323"/>
    <w:rsid w:val="0D731FE0"/>
    <w:rsid w:val="0D954201"/>
    <w:rsid w:val="0D984AC2"/>
    <w:rsid w:val="0DB53CD0"/>
    <w:rsid w:val="0E403DF0"/>
    <w:rsid w:val="0EAA3109"/>
    <w:rsid w:val="0EF33893"/>
    <w:rsid w:val="0F4F4C55"/>
    <w:rsid w:val="0F6428CD"/>
    <w:rsid w:val="0F667ABC"/>
    <w:rsid w:val="0F73799F"/>
    <w:rsid w:val="0FAD1102"/>
    <w:rsid w:val="0FDE6D14"/>
    <w:rsid w:val="0FFA6644"/>
    <w:rsid w:val="101953C6"/>
    <w:rsid w:val="102B2B3E"/>
    <w:rsid w:val="10370F89"/>
    <w:rsid w:val="10710382"/>
    <w:rsid w:val="10750EDD"/>
    <w:rsid w:val="107B7E97"/>
    <w:rsid w:val="10B14AEE"/>
    <w:rsid w:val="10C33B0F"/>
    <w:rsid w:val="10F20DDB"/>
    <w:rsid w:val="110C5208"/>
    <w:rsid w:val="11494D1C"/>
    <w:rsid w:val="115208EA"/>
    <w:rsid w:val="1158509E"/>
    <w:rsid w:val="115F5735"/>
    <w:rsid w:val="116B6A54"/>
    <w:rsid w:val="11A32BC3"/>
    <w:rsid w:val="11A3317D"/>
    <w:rsid w:val="11B85B3D"/>
    <w:rsid w:val="11C336B1"/>
    <w:rsid w:val="11E76422"/>
    <w:rsid w:val="11F95F0B"/>
    <w:rsid w:val="12130FC5"/>
    <w:rsid w:val="124E070C"/>
    <w:rsid w:val="127E7668"/>
    <w:rsid w:val="12BE3627"/>
    <w:rsid w:val="12EA3E8A"/>
    <w:rsid w:val="131E5E73"/>
    <w:rsid w:val="132D4308"/>
    <w:rsid w:val="13363593"/>
    <w:rsid w:val="13826402"/>
    <w:rsid w:val="13850235"/>
    <w:rsid w:val="13855EF2"/>
    <w:rsid w:val="13955112"/>
    <w:rsid w:val="13B660AC"/>
    <w:rsid w:val="13CE1647"/>
    <w:rsid w:val="13F75BCF"/>
    <w:rsid w:val="14052967"/>
    <w:rsid w:val="14305E5E"/>
    <w:rsid w:val="145B16CE"/>
    <w:rsid w:val="14760D20"/>
    <w:rsid w:val="1479563A"/>
    <w:rsid w:val="14807878"/>
    <w:rsid w:val="152C05C1"/>
    <w:rsid w:val="155C2C83"/>
    <w:rsid w:val="15763D45"/>
    <w:rsid w:val="157C124F"/>
    <w:rsid w:val="15851891"/>
    <w:rsid w:val="15885061"/>
    <w:rsid w:val="15B75BB0"/>
    <w:rsid w:val="15B95830"/>
    <w:rsid w:val="15C25DBE"/>
    <w:rsid w:val="15E82AFC"/>
    <w:rsid w:val="16115BE7"/>
    <w:rsid w:val="16155F4A"/>
    <w:rsid w:val="1616144D"/>
    <w:rsid w:val="16192FF0"/>
    <w:rsid w:val="163C0257"/>
    <w:rsid w:val="16471AAC"/>
    <w:rsid w:val="16640041"/>
    <w:rsid w:val="16F41D35"/>
    <w:rsid w:val="172C6508"/>
    <w:rsid w:val="174540BD"/>
    <w:rsid w:val="17730085"/>
    <w:rsid w:val="178F79B5"/>
    <w:rsid w:val="17982843"/>
    <w:rsid w:val="181D631F"/>
    <w:rsid w:val="188317EF"/>
    <w:rsid w:val="188B5D59"/>
    <w:rsid w:val="19154340"/>
    <w:rsid w:val="19450347"/>
    <w:rsid w:val="19812363"/>
    <w:rsid w:val="19A85AA6"/>
    <w:rsid w:val="19D01228"/>
    <w:rsid w:val="19DC71FA"/>
    <w:rsid w:val="19E47E89"/>
    <w:rsid w:val="1A300A3D"/>
    <w:rsid w:val="1A5204BD"/>
    <w:rsid w:val="1A7B310B"/>
    <w:rsid w:val="1A8A072D"/>
    <w:rsid w:val="1ADE3924"/>
    <w:rsid w:val="1B063DBD"/>
    <w:rsid w:val="1B102545"/>
    <w:rsid w:val="1B20658C"/>
    <w:rsid w:val="1B426428"/>
    <w:rsid w:val="1BAD2CF8"/>
    <w:rsid w:val="1BB456F0"/>
    <w:rsid w:val="1BC5039F"/>
    <w:rsid w:val="1BD54DB6"/>
    <w:rsid w:val="1BE20386"/>
    <w:rsid w:val="1C06508B"/>
    <w:rsid w:val="1C6B1AC6"/>
    <w:rsid w:val="1C771FED"/>
    <w:rsid w:val="1CAD7018"/>
    <w:rsid w:val="1CB6536F"/>
    <w:rsid w:val="1CD736DF"/>
    <w:rsid w:val="1CEE6A7A"/>
    <w:rsid w:val="1D0205B4"/>
    <w:rsid w:val="1D1012BA"/>
    <w:rsid w:val="1D1A1BCA"/>
    <w:rsid w:val="1D35013C"/>
    <w:rsid w:val="1D437B1F"/>
    <w:rsid w:val="1D495F9C"/>
    <w:rsid w:val="1D9E10C3"/>
    <w:rsid w:val="1DB530CD"/>
    <w:rsid w:val="1DFB572F"/>
    <w:rsid w:val="1E0B3B2A"/>
    <w:rsid w:val="1E192DF2"/>
    <w:rsid w:val="1E4C3240"/>
    <w:rsid w:val="1E596826"/>
    <w:rsid w:val="1E707F7D"/>
    <w:rsid w:val="1EE61241"/>
    <w:rsid w:val="1F0E5E95"/>
    <w:rsid w:val="1F7237CF"/>
    <w:rsid w:val="201715B2"/>
    <w:rsid w:val="20232D1B"/>
    <w:rsid w:val="20371AE7"/>
    <w:rsid w:val="20457135"/>
    <w:rsid w:val="207C25DC"/>
    <w:rsid w:val="20817D3B"/>
    <w:rsid w:val="20B758B9"/>
    <w:rsid w:val="20B8113C"/>
    <w:rsid w:val="213D6E16"/>
    <w:rsid w:val="216C1EE4"/>
    <w:rsid w:val="21754D72"/>
    <w:rsid w:val="217C217E"/>
    <w:rsid w:val="2184758B"/>
    <w:rsid w:val="21A93F47"/>
    <w:rsid w:val="21B76AE0"/>
    <w:rsid w:val="21E7182E"/>
    <w:rsid w:val="21F665C5"/>
    <w:rsid w:val="221843E8"/>
    <w:rsid w:val="2249604F"/>
    <w:rsid w:val="227E3026"/>
    <w:rsid w:val="22982E69"/>
    <w:rsid w:val="22BB5089"/>
    <w:rsid w:val="23046782"/>
    <w:rsid w:val="23144286"/>
    <w:rsid w:val="2378337E"/>
    <w:rsid w:val="237C4C1C"/>
    <w:rsid w:val="23983773"/>
    <w:rsid w:val="23A3607E"/>
    <w:rsid w:val="23B85879"/>
    <w:rsid w:val="23D90A84"/>
    <w:rsid w:val="23ED7965"/>
    <w:rsid w:val="23F410FE"/>
    <w:rsid w:val="23F53B0C"/>
    <w:rsid w:val="240C0853"/>
    <w:rsid w:val="24575689"/>
    <w:rsid w:val="24C2196B"/>
    <w:rsid w:val="24DE36B4"/>
    <w:rsid w:val="24F37160"/>
    <w:rsid w:val="25457FB6"/>
    <w:rsid w:val="258E5E2C"/>
    <w:rsid w:val="25A53853"/>
    <w:rsid w:val="25C00FB4"/>
    <w:rsid w:val="25D71AA3"/>
    <w:rsid w:val="26135C57"/>
    <w:rsid w:val="26321F0A"/>
    <w:rsid w:val="267D0126"/>
    <w:rsid w:val="269F14EC"/>
    <w:rsid w:val="26CF423A"/>
    <w:rsid w:val="271436A9"/>
    <w:rsid w:val="2729330D"/>
    <w:rsid w:val="27364EE3"/>
    <w:rsid w:val="27436777"/>
    <w:rsid w:val="2793584B"/>
    <w:rsid w:val="27A04C51"/>
    <w:rsid w:val="27F4659B"/>
    <w:rsid w:val="27FF5E1C"/>
    <w:rsid w:val="28136E4F"/>
    <w:rsid w:val="282F6BB7"/>
    <w:rsid w:val="28312B7C"/>
    <w:rsid w:val="28390194"/>
    <w:rsid w:val="28837103"/>
    <w:rsid w:val="28B975DD"/>
    <w:rsid w:val="28CB1353"/>
    <w:rsid w:val="29747D10"/>
    <w:rsid w:val="29785E86"/>
    <w:rsid w:val="29AE5D4B"/>
    <w:rsid w:val="29B82726"/>
    <w:rsid w:val="29BD1AEA"/>
    <w:rsid w:val="29C9741A"/>
    <w:rsid w:val="2A055081"/>
    <w:rsid w:val="2A257690"/>
    <w:rsid w:val="2A2B1A3D"/>
    <w:rsid w:val="2A5F3326"/>
    <w:rsid w:val="2A662182"/>
    <w:rsid w:val="2AAF6413"/>
    <w:rsid w:val="2AD27817"/>
    <w:rsid w:val="2AF05EF0"/>
    <w:rsid w:val="2B107731"/>
    <w:rsid w:val="2B1E2A7D"/>
    <w:rsid w:val="2B3269EC"/>
    <w:rsid w:val="2B3B53BD"/>
    <w:rsid w:val="2B4F2C16"/>
    <w:rsid w:val="2B6C2049"/>
    <w:rsid w:val="2B7703DB"/>
    <w:rsid w:val="2B956A91"/>
    <w:rsid w:val="2B960C8F"/>
    <w:rsid w:val="2BAE32CF"/>
    <w:rsid w:val="2BC86DB2"/>
    <w:rsid w:val="2BDA4BD6"/>
    <w:rsid w:val="2BEE600C"/>
    <w:rsid w:val="2C051CE3"/>
    <w:rsid w:val="2C13735F"/>
    <w:rsid w:val="2C164A61"/>
    <w:rsid w:val="2C4555B0"/>
    <w:rsid w:val="2C5C1839"/>
    <w:rsid w:val="2CD5741D"/>
    <w:rsid w:val="2CDD6A28"/>
    <w:rsid w:val="2CE41C36"/>
    <w:rsid w:val="2CEE4744"/>
    <w:rsid w:val="2CF86E01"/>
    <w:rsid w:val="2D9B3372"/>
    <w:rsid w:val="2DA54273"/>
    <w:rsid w:val="2DD072B5"/>
    <w:rsid w:val="2DFE7669"/>
    <w:rsid w:val="2E00644A"/>
    <w:rsid w:val="2E05778F"/>
    <w:rsid w:val="2E866DE4"/>
    <w:rsid w:val="2EA25753"/>
    <w:rsid w:val="2EAB5D1F"/>
    <w:rsid w:val="2EBC05C2"/>
    <w:rsid w:val="2EE04EF4"/>
    <w:rsid w:val="2F2E2A75"/>
    <w:rsid w:val="2F4D332A"/>
    <w:rsid w:val="2F866FF8"/>
    <w:rsid w:val="2FB829D9"/>
    <w:rsid w:val="2FBB13DF"/>
    <w:rsid w:val="2FC33BD3"/>
    <w:rsid w:val="2FE50214"/>
    <w:rsid w:val="30723EBB"/>
    <w:rsid w:val="30742D8C"/>
    <w:rsid w:val="30C9346B"/>
    <w:rsid w:val="30C96FC7"/>
    <w:rsid w:val="30CA6F92"/>
    <w:rsid w:val="30CC4A9F"/>
    <w:rsid w:val="30F01BDC"/>
    <w:rsid w:val="31296922"/>
    <w:rsid w:val="315C6AC7"/>
    <w:rsid w:val="31740730"/>
    <w:rsid w:val="319A7284"/>
    <w:rsid w:val="31A62204"/>
    <w:rsid w:val="31BE7923"/>
    <w:rsid w:val="31C559E0"/>
    <w:rsid w:val="31E340B8"/>
    <w:rsid w:val="31F44502"/>
    <w:rsid w:val="321A061F"/>
    <w:rsid w:val="327D0BE3"/>
    <w:rsid w:val="32EA1597"/>
    <w:rsid w:val="32F13120"/>
    <w:rsid w:val="331C5269"/>
    <w:rsid w:val="332A7E02"/>
    <w:rsid w:val="33376E11"/>
    <w:rsid w:val="333C43C8"/>
    <w:rsid w:val="338419AF"/>
    <w:rsid w:val="33897E1B"/>
    <w:rsid w:val="33AE5533"/>
    <w:rsid w:val="340A6274"/>
    <w:rsid w:val="344175CA"/>
    <w:rsid w:val="344C23E9"/>
    <w:rsid w:val="349F7963"/>
    <w:rsid w:val="34B47820"/>
    <w:rsid w:val="34CC4FAF"/>
    <w:rsid w:val="350A1211"/>
    <w:rsid w:val="35131158"/>
    <w:rsid w:val="3519182B"/>
    <w:rsid w:val="353942DE"/>
    <w:rsid w:val="35413979"/>
    <w:rsid w:val="354F4D60"/>
    <w:rsid w:val="35A04F88"/>
    <w:rsid w:val="35A54C93"/>
    <w:rsid w:val="35B04BF9"/>
    <w:rsid w:val="35CD1665"/>
    <w:rsid w:val="35D30C5A"/>
    <w:rsid w:val="362A675A"/>
    <w:rsid w:val="36421777"/>
    <w:rsid w:val="366E73B1"/>
    <w:rsid w:val="36B40CF8"/>
    <w:rsid w:val="36B43E37"/>
    <w:rsid w:val="36B97ADD"/>
    <w:rsid w:val="36DB66E6"/>
    <w:rsid w:val="36EF012D"/>
    <w:rsid w:val="370A3EEB"/>
    <w:rsid w:val="371D31FA"/>
    <w:rsid w:val="372C4753"/>
    <w:rsid w:val="372E5A8B"/>
    <w:rsid w:val="37357164"/>
    <w:rsid w:val="373B04F2"/>
    <w:rsid w:val="3795413E"/>
    <w:rsid w:val="37A778DB"/>
    <w:rsid w:val="37F17DA1"/>
    <w:rsid w:val="38494EE6"/>
    <w:rsid w:val="385E740A"/>
    <w:rsid w:val="387E7977"/>
    <w:rsid w:val="38D2392F"/>
    <w:rsid w:val="38D40A1E"/>
    <w:rsid w:val="39113368"/>
    <w:rsid w:val="39227959"/>
    <w:rsid w:val="397C3FDE"/>
    <w:rsid w:val="39837157"/>
    <w:rsid w:val="39842006"/>
    <w:rsid w:val="3998512C"/>
    <w:rsid w:val="399860D0"/>
    <w:rsid w:val="39AF5AB2"/>
    <w:rsid w:val="39DA0497"/>
    <w:rsid w:val="3A085004"/>
    <w:rsid w:val="3A4B63D8"/>
    <w:rsid w:val="3A712BA9"/>
    <w:rsid w:val="3A7C6384"/>
    <w:rsid w:val="3A8D1B94"/>
    <w:rsid w:val="3ABE7E6D"/>
    <w:rsid w:val="3B28531E"/>
    <w:rsid w:val="3B410AA9"/>
    <w:rsid w:val="3B434B5D"/>
    <w:rsid w:val="3B512C45"/>
    <w:rsid w:val="3B6D478E"/>
    <w:rsid w:val="3BB064FC"/>
    <w:rsid w:val="3BC95DA1"/>
    <w:rsid w:val="3BEE1859"/>
    <w:rsid w:val="3C025A83"/>
    <w:rsid w:val="3C0B4937"/>
    <w:rsid w:val="3C1B2328"/>
    <w:rsid w:val="3C834E15"/>
    <w:rsid w:val="3C937993"/>
    <w:rsid w:val="3CC01BC6"/>
    <w:rsid w:val="3CC20ED4"/>
    <w:rsid w:val="3CCB0F64"/>
    <w:rsid w:val="3CF35954"/>
    <w:rsid w:val="3D0616A6"/>
    <w:rsid w:val="3D3440FA"/>
    <w:rsid w:val="3D7D7B5B"/>
    <w:rsid w:val="3D8A7087"/>
    <w:rsid w:val="3DD73903"/>
    <w:rsid w:val="3E0A75D5"/>
    <w:rsid w:val="3E1201FF"/>
    <w:rsid w:val="3EAB715E"/>
    <w:rsid w:val="3EF56C64"/>
    <w:rsid w:val="3EFD36E5"/>
    <w:rsid w:val="3F236827"/>
    <w:rsid w:val="3FC14728"/>
    <w:rsid w:val="40147FD7"/>
    <w:rsid w:val="403149DC"/>
    <w:rsid w:val="40402A78"/>
    <w:rsid w:val="4081166C"/>
    <w:rsid w:val="40C52CD1"/>
    <w:rsid w:val="40C66554"/>
    <w:rsid w:val="40D31FE7"/>
    <w:rsid w:val="411078CD"/>
    <w:rsid w:val="411F160C"/>
    <w:rsid w:val="41281AE7"/>
    <w:rsid w:val="413255B1"/>
    <w:rsid w:val="415A3295"/>
    <w:rsid w:val="415B0C46"/>
    <w:rsid w:val="415B6A48"/>
    <w:rsid w:val="416156AA"/>
    <w:rsid w:val="41803404"/>
    <w:rsid w:val="41E14722"/>
    <w:rsid w:val="42544AFB"/>
    <w:rsid w:val="42D00689"/>
    <w:rsid w:val="42DE6715"/>
    <w:rsid w:val="42E5074D"/>
    <w:rsid w:val="42F14560"/>
    <w:rsid w:val="434B5F61"/>
    <w:rsid w:val="435C1F1C"/>
    <w:rsid w:val="439368DF"/>
    <w:rsid w:val="43C4589B"/>
    <w:rsid w:val="43E715F4"/>
    <w:rsid w:val="43F35309"/>
    <w:rsid w:val="44066626"/>
    <w:rsid w:val="4413652A"/>
    <w:rsid w:val="44531571"/>
    <w:rsid w:val="446F6056"/>
    <w:rsid w:val="44913E48"/>
    <w:rsid w:val="44930A79"/>
    <w:rsid w:val="44BF2933"/>
    <w:rsid w:val="44C125DD"/>
    <w:rsid w:val="44C81F67"/>
    <w:rsid w:val="45117DDD"/>
    <w:rsid w:val="45154265"/>
    <w:rsid w:val="4528655A"/>
    <w:rsid w:val="45500BC7"/>
    <w:rsid w:val="45613685"/>
    <w:rsid w:val="45A87057"/>
    <w:rsid w:val="46033EED"/>
    <w:rsid w:val="46511AE0"/>
    <w:rsid w:val="46647A66"/>
    <w:rsid w:val="466B4B97"/>
    <w:rsid w:val="466C4816"/>
    <w:rsid w:val="46714521"/>
    <w:rsid w:val="46804174"/>
    <w:rsid w:val="469943E1"/>
    <w:rsid w:val="469B78E4"/>
    <w:rsid w:val="46D92C4C"/>
    <w:rsid w:val="46DD1652"/>
    <w:rsid w:val="4703600F"/>
    <w:rsid w:val="472B0583"/>
    <w:rsid w:val="472E0158"/>
    <w:rsid w:val="476E221E"/>
    <w:rsid w:val="4789176B"/>
    <w:rsid w:val="47F46C1C"/>
    <w:rsid w:val="480A0DBF"/>
    <w:rsid w:val="481D675B"/>
    <w:rsid w:val="48446415"/>
    <w:rsid w:val="484713ED"/>
    <w:rsid w:val="487D4E0F"/>
    <w:rsid w:val="48D5178D"/>
    <w:rsid w:val="49262358"/>
    <w:rsid w:val="496C5184"/>
    <w:rsid w:val="49B764FC"/>
    <w:rsid w:val="49C93C69"/>
    <w:rsid w:val="49E80350"/>
    <w:rsid w:val="49F34163"/>
    <w:rsid w:val="49F84D68"/>
    <w:rsid w:val="4A0C644A"/>
    <w:rsid w:val="4A267E35"/>
    <w:rsid w:val="4A5A3B7E"/>
    <w:rsid w:val="4A8D525B"/>
    <w:rsid w:val="4AEA33F6"/>
    <w:rsid w:val="4AF173EE"/>
    <w:rsid w:val="4B1132B6"/>
    <w:rsid w:val="4BD73978"/>
    <w:rsid w:val="4C23336B"/>
    <w:rsid w:val="4C237A7B"/>
    <w:rsid w:val="4C2D1ED9"/>
    <w:rsid w:val="4C5F7E0E"/>
    <w:rsid w:val="4C6D47B1"/>
    <w:rsid w:val="4C87411C"/>
    <w:rsid w:val="4CE71BB7"/>
    <w:rsid w:val="4CEC18C2"/>
    <w:rsid w:val="4CF5694E"/>
    <w:rsid w:val="4CFF45D5"/>
    <w:rsid w:val="4D1843F2"/>
    <w:rsid w:val="4D1C1E10"/>
    <w:rsid w:val="4D6E0B97"/>
    <w:rsid w:val="4D933355"/>
    <w:rsid w:val="4DB72290"/>
    <w:rsid w:val="4DF777F6"/>
    <w:rsid w:val="4E994E01"/>
    <w:rsid w:val="4ED667D8"/>
    <w:rsid w:val="4F2E52F4"/>
    <w:rsid w:val="4F4A4B47"/>
    <w:rsid w:val="4F552FB6"/>
    <w:rsid w:val="4F6B5159"/>
    <w:rsid w:val="4F840281"/>
    <w:rsid w:val="4F9111A0"/>
    <w:rsid w:val="4F963A1F"/>
    <w:rsid w:val="4FE65048"/>
    <w:rsid w:val="500001F2"/>
    <w:rsid w:val="50914350"/>
    <w:rsid w:val="50A433C7"/>
    <w:rsid w:val="50A82C45"/>
    <w:rsid w:val="50EA304C"/>
    <w:rsid w:val="51134562"/>
    <w:rsid w:val="511D6410"/>
    <w:rsid w:val="51524FFA"/>
    <w:rsid w:val="51583D23"/>
    <w:rsid w:val="51F530A5"/>
    <w:rsid w:val="51FF2B94"/>
    <w:rsid w:val="524C7CB5"/>
    <w:rsid w:val="528172AA"/>
    <w:rsid w:val="52C535BF"/>
    <w:rsid w:val="52E75090"/>
    <w:rsid w:val="531138D4"/>
    <w:rsid w:val="53183661"/>
    <w:rsid w:val="538C1421"/>
    <w:rsid w:val="53B13BBE"/>
    <w:rsid w:val="53B21163"/>
    <w:rsid w:val="53C57104"/>
    <w:rsid w:val="5409239C"/>
    <w:rsid w:val="54E0475B"/>
    <w:rsid w:val="54F76864"/>
    <w:rsid w:val="55145A25"/>
    <w:rsid w:val="553E2FE6"/>
    <w:rsid w:val="55442971"/>
    <w:rsid w:val="554747DA"/>
    <w:rsid w:val="559519EA"/>
    <w:rsid w:val="55B02285"/>
    <w:rsid w:val="55E31575"/>
    <w:rsid w:val="561072C2"/>
    <w:rsid w:val="56313160"/>
    <w:rsid w:val="564927D4"/>
    <w:rsid w:val="565518B4"/>
    <w:rsid w:val="56777341"/>
    <w:rsid w:val="56A35C41"/>
    <w:rsid w:val="56C4796A"/>
    <w:rsid w:val="56C97D88"/>
    <w:rsid w:val="56F16805"/>
    <w:rsid w:val="57684BF4"/>
    <w:rsid w:val="577473DD"/>
    <w:rsid w:val="579E3D67"/>
    <w:rsid w:val="57AF3D7C"/>
    <w:rsid w:val="57B07556"/>
    <w:rsid w:val="57D4087C"/>
    <w:rsid w:val="57E45843"/>
    <w:rsid w:val="57EE6F82"/>
    <w:rsid w:val="580419E0"/>
    <w:rsid w:val="58930993"/>
    <w:rsid w:val="58A85581"/>
    <w:rsid w:val="58BF6C57"/>
    <w:rsid w:val="59017396"/>
    <w:rsid w:val="59227449"/>
    <w:rsid w:val="593F76D1"/>
    <w:rsid w:val="59635CB4"/>
    <w:rsid w:val="598C1076"/>
    <w:rsid w:val="59A05CA7"/>
    <w:rsid w:val="59C43254"/>
    <w:rsid w:val="59CC1E60"/>
    <w:rsid w:val="5A5B044A"/>
    <w:rsid w:val="5A754877"/>
    <w:rsid w:val="5A964DAC"/>
    <w:rsid w:val="5AF041C1"/>
    <w:rsid w:val="5B0E18F6"/>
    <w:rsid w:val="5B2E6224"/>
    <w:rsid w:val="5B4B48F9"/>
    <w:rsid w:val="5B5154DF"/>
    <w:rsid w:val="5B590DC3"/>
    <w:rsid w:val="5B5A5DEF"/>
    <w:rsid w:val="5B723F21"/>
    <w:rsid w:val="5B75441A"/>
    <w:rsid w:val="5BA7046C"/>
    <w:rsid w:val="5BC81ACB"/>
    <w:rsid w:val="5C3E620B"/>
    <w:rsid w:val="5C4F5402"/>
    <w:rsid w:val="5CAD799A"/>
    <w:rsid w:val="5CAE541B"/>
    <w:rsid w:val="5CD652DB"/>
    <w:rsid w:val="5CE42072"/>
    <w:rsid w:val="5D327BF3"/>
    <w:rsid w:val="5D3459DA"/>
    <w:rsid w:val="5D796694"/>
    <w:rsid w:val="5D7D25F1"/>
    <w:rsid w:val="5D850596"/>
    <w:rsid w:val="5D971696"/>
    <w:rsid w:val="5DA80EB7"/>
    <w:rsid w:val="5DAD53F7"/>
    <w:rsid w:val="5DC5373F"/>
    <w:rsid w:val="5DDE1391"/>
    <w:rsid w:val="5DE508DD"/>
    <w:rsid w:val="5E055233"/>
    <w:rsid w:val="5E4D7446"/>
    <w:rsid w:val="5E8C5954"/>
    <w:rsid w:val="5E8F1553"/>
    <w:rsid w:val="5E9F131C"/>
    <w:rsid w:val="5EAC7460"/>
    <w:rsid w:val="5EB3266E"/>
    <w:rsid w:val="5ECB7D14"/>
    <w:rsid w:val="5EDD34B2"/>
    <w:rsid w:val="5F0135F2"/>
    <w:rsid w:val="5F0E3C81"/>
    <w:rsid w:val="5F3758C0"/>
    <w:rsid w:val="5F487ACD"/>
    <w:rsid w:val="5F7771DF"/>
    <w:rsid w:val="5F7F5239"/>
    <w:rsid w:val="5FB52C88"/>
    <w:rsid w:val="5FB567E4"/>
    <w:rsid w:val="5FCC5339"/>
    <w:rsid w:val="60021F8F"/>
    <w:rsid w:val="600F12A5"/>
    <w:rsid w:val="601644B3"/>
    <w:rsid w:val="603040BD"/>
    <w:rsid w:val="60522285"/>
    <w:rsid w:val="608E53F7"/>
    <w:rsid w:val="60B430B8"/>
    <w:rsid w:val="60DB1BA6"/>
    <w:rsid w:val="60E94998"/>
    <w:rsid w:val="61316E0F"/>
    <w:rsid w:val="613513DF"/>
    <w:rsid w:val="61B451D9"/>
    <w:rsid w:val="61C144EF"/>
    <w:rsid w:val="623835D2"/>
    <w:rsid w:val="623C3E38"/>
    <w:rsid w:val="624A314E"/>
    <w:rsid w:val="62682941"/>
    <w:rsid w:val="62716891"/>
    <w:rsid w:val="62774225"/>
    <w:rsid w:val="629224CF"/>
    <w:rsid w:val="62A42563"/>
    <w:rsid w:val="62A80F69"/>
    <w:rsid w:val="62AD53F1"/>
    <w:rsid w:val="62DB0C58"/>
    <w:rsid w:val="63163A33"/>
    <w:rsid w:val="632C30AB"/>
    <w:rsid w:val="633A04D8"/>
    <w:rsid w:val="634D3C76"/>
    <w:rsid w:val="636F1287"/>
    <w:rsid w:val="636F54AF"/>
    <w:rsid w:val="63811F28"/>
    <w:rsid w:val="63860BC4"/>
    <w:rsid w:val="63B514A9"/>
    <w:rsid w:val="63D506D7"/>
    <w:rsid w:val="645B1C35"/>
    <w:rsid w:val="64BD2457"/>
    <w:rsid w:val="64D77000"/>
    <w:rsid w:val="64E57E73"/>
    <w:rsid w:val="64EA021F"/>
    <w:rsid w:val="65024FE6"/>
    <w:rsid w:val="65084598"/>
    <w:rsid w:val="65130235"/>
    <w:rsid w:val="653B6D24"/>
    <w:rsid w:val="653C0F22"/>
    <w:rsid w:val="65744900"/>
    <w:rsid w:val="65B221E6"/>
    <w:rsid w:val="65B74107"/>
    <w:rsid w:val="66094DF3"/>
    <w:rsid w:val="66293129"/>
    <w:rsid w:val="66326DE1"/>
    <w:rsid w:val="66595E77"/>
    <w:rsid w:val="665C3044"/>
    <w:rsid w:val="66B76211"/>
    <w:rsid w:val="66D85CF0"/>
    <w:rsid w:val="67007749"/>
    <w:rsid w:val="67590BF3"/>
    <w:rsid w:val="67682089"/>
    <w:rsid w:val="685A43CD"/>
    <w:rsid w:val="687436E1"/>
    <w:rsid w:val="68A2033A"/>
    <w:rsid w:val="68DA5483"/>
    <w:rsid w:val="69407A67"/>
    <w:rsid w:val="6942333C"/>
    <w:rsid w:val="694330B3"/>
    <w:rsid w:val="697C221C"/>
    <w:rsid w:val="69A2602B"/>
    <w:rsid w:val="6A06480C"/>
    <w:rsid w:val="6A1A7F8A"/>
    <w:rsid w:val="6A337CCF"/>
    <w:rsid w:val="6A47646D"/>
    <w:rsid w:val="6A5175BC"/>
    <w:rsid w:val="6A6C53A8"/>
    <w:rsid w:val="6A7514CE"/>
    <w:rsid w:val="6A837C0B"/>
    <w:rsid w:val="6AD172CA"/>
    <w:rsid w:val="6ADF6E0B"/>
    <w:rsid w:val="6B0A61AB"/>
    <w:rsid w:val="6B5A17AD"/>
    <w:rsid w:val="6B726E54"/>
    <w:rsid w:val="6BAB02B2"/>
    <w:rsid w:val="6BBB571F"/>
    <w:rsid w:val="6BDB0F05"/>
    <w:rsid w:val="6CA67251"/>
    <w:rsid w:val="6CAF118B"/>
    <w:rsid w:val="6CC54282"/>
    <w:rsid w:val="6CDC6D8E"/>
    <w:rsid w:val="6CF9123E"/>
    <w:rsid w:val="6D031699"/>
    <w:rsid w:val="6D151A83"/>
    <w:rsid w:val="6D3F614A"/>
    <w:rsid w:val="6D67188D"/>
    <w:rsid w:val="6D9764FF"/>
    <w:rsid w:val="6DA74875"/>
    <w:rsid w:val="6DCA02AD"/>
    <w:rsid w:val="6DCA3DA3"/>
    <w:rsid w:val="6DE03D66"/>
    <w:rsid w:val="6DF95579"/>
    <w:rsid w:val="6DFB0400"/>
    <w:rsid w:val="6E185E2D"/>
    <w:rsid w:val="6E1D2124"/>
    <w:rsid w:val="6E2E6EEA"/>
    <w:rsid w:val="6ECF7B5A"/>
    <w:rsid w:val="6EDD4233"/>
    <w:rsid w:val="6F0931B7"/>
    <w:rsid w:val="6F096A3B"/>
    <w:rsid w:val="6F1F20F8"/>
    <w:rsid w:val="6F80157A"/>
    <w:rsid w:val="6FAC2771"/>
    <w:rsid w:val="6FB645D5"/>
    <w:rsid w:val="6FC82564"/>
    <w:rsid w:val="6FF536C2"/>
    <w:rsid w:val="70082960"/>
    <w:rsid w:val="70310A83"/>
    <w:rsid w:val="70B7547C"/>
    <w:rsid w:val="70BA6401"/>
    <w:rsid w:val="70D30A99"/>
    <w:rsid w:val="71186BD3"/>
    <w:rsid w:val="71974AEA"/>
    <w:rsid w:val="71A5490B"/>
    <w:rsid w:val="71CD2FDE"/>
    <w:rsid w:val="71D51B6D"/>
    <w:rsid w:val="72086C48"/>
    <w:rsid w:val="723301EC"/>
    <w:rsid w:val="728D3D7E"/>
    <w:rsid w:val="729D55E2"/>
    <w:rsid w:val="72A02D9E"/>
    <w:rsid w:val="72CC236B"/>
    <w:rsid w:val="72D60AF4"/>
    <w:rsid w:val="72DF0305"/>
    <w:rsid w:val="72E05D86"/>
    <w:rsid w:val="72E70F53"/>
    <w:rsid w:val="730B6BCA"/>
    <w:rsid w:val="731971E5"/>
    <w:rsid w:val="73250AF8"/>
    <w:rsid w:val="733817AF"/>
    <w:rsid w:val="73487C44"/>
    <w:rsid w:val="73D75019"/>
    <w:rsid w:val="73E865B9"/>
    <w:rsid w:val="74195A99"/>
    <w:rsid w:val="74221C16"/>
    <w:rsid w:val="744246C9"/>
    <w:rsid w:val="744F7262"/>
    <w:rsid w:val="7468238A"/>
    <w:rsid w:val="74694588"/>
    <w:rsid w:val="748B5C62"/>
    <w:rsid w:val="74E12C34"/>
    <w:rsid w:val="753417CF"/>
    <w:rsid w:val="75DB226C"/>
    <w:rsid w:val="75E44CC4"/>
    <w:rsid w:val="761323C6"/>
    <w:rsid w:val="761413B6"/>
    <w:rsid w:val="76357511"/>
    <w:rsid w:val="76380DE0"/>
    <w:rsid w:val="765267D9"/>
    <w:rsid w:val="76617F46"/>
    <w:rsid w:val="76754F3C"/>
    <w:rsid w:val="767E1BCE"/>
    <w:rsid w:val="768A3309"/>
    <w:rsid w:val="76903014"/>
    <w:rsid w:val="769E63CC"/>
    <w:rsid w:val="76AC4B43"/>
    <w:rsid w:val="76CC46E8"/>
    <w:rsid w:val="76F374B5"/>
    <w:rsid w:val="772B760F"/>
    <w:rsid w:val="773E082E"/>
    <w:rsid w:val="77610DB1"/>
    <w:rsid w:val="77715A51"/>
    <w:rsid w:val="77EE068E"/>
    <w:rsid w:val="77F54AD9"/>
    <w:rsid w:val="782D04B7"/>
    <w:rsid w:val="788334CC"/>
    <w:rsid w:val="78952465"/>
    <w:rsid w:val="78A13CF9"/>
    <w:rsid w:val="78D369EC"/>
    <w:rsid w:val="79321F63"/>
    <w:rsid w:val="79697EBE"/>
    <w:rsid w:val="79870D9A"/>
    <w:rsid w:val="79AA6729"/>
    <w:rsid w:val="79B017FC"/>
    <w:rsid w:val="7A1F66E8"/>
    <w:rsid w:val="7A3C4EF3"/>
    <w:rsid w:val="7A5336BF"/>
    <w:rsid w:val="7A600BD2"/>
    <w:rsid w:val="7A6A66F1"/>
    <w:rsid w:val="7A886B78"/>
    <w:rsid w:val="7AC5601E"/>
    <w:rsid w:val="7B240194"/>
    <w:rsid w:val="7B3311D9"/>
    <w:rsid w:val="7B46305F"/>
    <w:rsid w:val="7B4B5E55"/>
    <w:rsid w:val="7B4E03E0"/>
    <w:rsid w:val="7BE527D1"/>
    <w:rsid w:val="7BE75CD4"/>
    <w:rsid w:val="7C2826E5"/>
    <w:rsid w:val="7C3554D1"/>
    <w:rsid w:val="7C3E66E2"/>
    <w:rsid w:val="7C526C04"/>
    <w:rsid w:val="7C7A771D"/>
    <w:rsid w:val="7C885555"/>
    <w:rsid w:val="7CC51E3F"/>
    <w:rsid w:val="7CF6426C"/>
    <w:rsid w:val="7CF77196"/>
    <w:rsid w:val="7D205B85"/>
    <w:rsid w:val="7D260BDE"/>
    <w:rsid w:val="7D2E5FEB"/>
    <w:rsid w:val="7D2F63A0"/>
    <w:rsid w:val="7D304D71"/>
    <w:rsid w:val="7D341239"/>
    <w:rsid w:val="7D4C003E"/>
    <w:rsid w:val="7DB7244E"/>
    <w:rsid w:val="7DDF1692"/>
    <w:rsid w:val="7E10135E"/>
    <w:rsid w:val="7E1A042F"/>
    <w:rsid w:val="7E1D280B"/>
    <w:rsid w:val="7E3620A1"/>
    <w:rsid w:val="7E6924EF"/>
    <w:rsid w:val="7EC8769E"/>
    <w:rsid w:val="7EFF756B"/>
    <w:rsid w:val="7F653A26"/>
    <w:rsid w:val="7F8C5C7D"/>
    <w:rsid w:val="7FEA29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Times New Roman"/>
      <w:kern w:val="2"/>
      <w:sz w:val="28"/>
      <w:szCs w:val="28"/>
      <w:lang w:val="en-US" w:eastAsia="zh-CN" w:bidi="ar-SA"/>
    </w:rPr>
  </w:style>
  <w:style w:type="paragraph" w:styleId="3">
    <w:name w:val="heading 1"/>
    <w:basedOn w:val="1"/>
    <w:next w:val="1"/>
    <w:link w:val="49"/>
    <w:qFormat/>
    <w:uiPriority w:val="99"/>
    <w:pPr>
      <w:keepNext/>
      <w:keepLines/>
      <w:spacing w:line="240" w:lineRule="auto"/>
      <w:jc w:val="center"/>
      <w:outlineLvl w:val="0"/>
    </w:pPr>
    <w:rPr>
      <w:b/>
      <w:bCs/>
      <w:kern w:val="44"/>
      <w:sz w:val="36"/>
      <w:szCs w:val="44"/>
    </w:rPr>
  </w:style>
  <w:style w:type="paragraph" w:styleId="4">
    <w:name w:val="heading 2"/>
    <w:basedOn w:val="1"/>
    <w:next w:val="5"/>
    <w:link w:val="50"/>
    <w:qFormat/>
    <w:uiPriority w:val="99"/>
    <w:pPr>
      <w:keepNext/>
      <w:keepLines/>
      <w:spacing w:line="240" w:lineRule="auto"/>
      <w:outlineLvl w:val="1"/>
    </w:pPr>
    <w:rPr>
      <w:rFonts w:ascii="Calibri" w:hAnsi="Calibri"/>
      <w:b/>
      <w:bCs/>
      <w:sz w:val="32"/>
      <w:szCs w:val="32"/>
    </w:rPr>
  </w:style>
  <w:style w:type="paragraph" w:styleId="6">
    <w:name w:val="heading 3"/>
    <w:basedOn w:val="1"/>
    <w:next w:val="1"/>
    <w:link w:val="51"/>
    <w:qFormat/>
    <w:uiPriority w:val="99"/>
    <w:pPr>
      <w:keepNext/>
      <w:keepLines/>
      <w:spacing w:line="400" w:lineRule="atLeast"/>
      <w:jc w:val="center"/>
      <w:outlineLvl w:val="2"/>
    </w:pPr>
    <w:rPr>
      <w:b/>
      <w:bCs/>
      <w:sz w:val="32"/>
      <w:szCs w:val="32"/>
      <w:u w:val="double"/>
    </w:rPr>
  </w:style>
  <w:style w:type="paragraph" w:styleId="7">
    <w:name w:val="heading 4"/>
    <w:basedOn w:val="1"/>
    <w:next w:val="1"/>
    <w:link w:val="87"/>
    <w:qFormat/>
    <w:uiPriority w:val="99"/>
    <w:pPr>
      <w:ind w:left="724"/>
      <w:outlineLvl w:val="3"/>
    </w:pPr>
    <w:rPr>
      <w:rFonts w:ascii="仿宋" w:hAnsi="仿宋" w:eastAsia="仿宋" w:cs="仿宋"/>
      <w:b/>
      <w:bCs/>
      <w:lang w:val="ja-JP" w:eastAsia="ja-JP" w:bidi="ja-JP"/>
    </w:rPr>
  </w:style>
  <w:style w:type="character" w:default="1" w:styleId="37">
    <w:name w:val="Default Paragraph Font"/>
    <w:semiHidden/>
    <w:unhideWhenUsed/>
    <w:qFormat/>
    <w:uiPriority w:val="1"/>
  </w:style>
  <w:style w:type="table" w:default="1" w:styleId="3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note text"/>
    <w:basedOn w:val="1"/>
    <w:link w:val="93"/>
    <w:semiHidden/>
    <w:unhideWhenUsed/>
    <w:qFormat/>
    <w:uiPriority w:val="99"/>
    <w:pPr>
      <w:widowControl w:val="0"/>
      <w:snapToGrid w:val="0"/>
      <w:spacing w:line="240" w:lineRule="auto"/>
      <w:jc w:val="left"/>
    </w:pPr>
    <w:rPr>
      <w:rFonts w:ascii="Calibri" w:hAnsi="Calibri" w:eastAsia="宋体" w:cs="Calibri"/>
      <w:sz w:val="18"/>
      <w:szCs w:val="21"/>
    </w:rPr>
  </w:style>
  <w:style w:type="paragraph" w:styleId="5">
    <w:name w:val="Normal Indent"/>
    <w:basedOn w:val="1"/>
    <w:qFormat/>
    <w:uiPriority w:val="99"/>
    <w:pPr>
      <w:widowControl w:val="0"/>
      <w:spacing w:line="240" w:lineRule="auto"/>
      <w:ind w:firstLine="420"/>
    </w:pPr>
    <w:rPr>
      <w:rFonts w:ascii="Calibri" w:hAnsi="Calibri" w:eastAsia="宋体" w:cs="Calibri"/>
      <w:sz w:val="21"/>
      <w:szCs w:val="21"/>
    </w:rPr>
  </w:style>
  <w:style w:type="paragraph" w:styleId="8">
    <w:name w:val="toc 7"/>
    <w:basedOn w:val="1"/>
    <w:next w:val="1"/>
    <w:unhideWhenUsed/>
    <w:qFormat/>
    <w:uiPriority w:val="39"/>
    <w:pPr>
      <w:ind w:left="1680"/>
      <w:jc w:val="left"/>
    </w:pPr>
    <w:rPr>
      <w:rFonts w:asciiTheme="minorHAnsi" w:hAnsiTheme="minorHAnsi"/>
      <w:sz w:val="18"/>
      <w:szCs w:val="18"/>
    </w:rPr>
  </w:style>
  <w:style w:type="paragraph" w:styleId="9">
    <w:name w:val="Document Map"/>
    <w:basedOn w:val="1"/>
    <w:link w:val="52"/>
    <w:qFormat/>
    <w:uiPriority w:val="99"/>
    <w:rPr>
      <w:rFonts w:ascii="宋体" w:eastAsia="宋体"/>
      <w:sz w:val="18"/>
      <w:szCs w:val="18"/>
    </w:rPr>
  </w:style>
  <w:style w:type="paragraph" w:styleId="10">
    <w:name w:val="toa heading"/>
    <w:basedOn w:val="1"/>
    <w:next w:val="1"/>
    <w:unhideWhenUsed/>
    <w:qFormat/>
    <w:uiPriority w:val="0"/>
    <w:pPr>
      <w:spacing w:before="120"/>
    </w:pPr>
    <w:rPr>
      <w:rFonts w:asciiTheme="majorHAnsi" w:hAnsiTheme="majorHAnsi" w:cstheme="majorBidi"/>
      <w:sz w:val="24"/>
    </w:rPr>
  </w:style>
  <w:style w:type="paragraph" w:styleId="11">
    <w:name w:val="annotation text"/>
    <w:basedOn w:val="1"/>
    <w:link w:val="90"/>
    <w:semiHidden/>
    <w:qFormat/>
    <w:uiPriority w:val="99"/>
    <w:pPr>
      <w:widowControl w:val="0"/>
      <w:spacing w:line="240" w:lineRule="auto"/>
      <w:jc w:val="left"/>
    </w:pPr>
    <w:rPr>
      <w:rFonts w:ascii="宋体" w:hAnsi="Calibri" w:eastAsia="宋体" w:cs="宋体"/>
      <w:kern w:val="0"/>
      <w:sz w:val="34"/>
      <w:szCs w:val="34"/>
    </w:rPr>
  </w:style>
  <w:style w:type="paragraph" w:styleId="12">
    <w:name w:val="Body Text"/>
    <w:basedOn w:val="1"/>
    <w:next w:val="1"/>
    <w:link w:val="88"/>
    <w:qFormat/>
    <w:uiPriority w:val="99"/>
    <w:rPr>
      <w:rFonts w:ascii="仿宋" w:hAnsi="仿宋" w:eastAsia="仿宋" w:cs="仿宋"/>
      <w:lang w:val="ja-JP" w:eastAsia="ja-JP" w:bidi="ja-JP"/>
    </w:rPr>
  </w:style>
  <w:style w:type="paragraph" w:styleId="13">
    <w:name w:val="Body Text Indent"/>
    <w:basedOn w:val="1"/>
    <w:link w:val="91"/>
    <w:qFormat/>
    <w:uiPriority w:val="99"/>
    <w:pPr>
      <w:widowControl w:val="0"/>
      <w:spacing w:after="120" w:line="240" w:lineRule="auto"/>
      <w:ind w:left="420" w:leftChars="200"/>
    </w:pPr>
    <w:rPr>
      <w:rFonts w:ascii="Calibri" w:hAnsi="Calibri" w:eastAsia="宋体" w:cs="Calibri"/>
      <w:sz w:val="21"/>
      <w:szCs w:val="21"/>
    </w:rPr>
  </w:style>
  <w:style w:type="paragraph" w:styleId="14">
    <w:name w:val="toc 5"/>
    <w:basedOn w:val="1"/>
    <w:next w:val="1"/>
    <w:unhideWhenUsed/>
    <w:qFormat/>
    <w:uiPriority w:val="39"/>
    <w:pPr>
      <w:ind w:left="1120"/>
      <w:jc w:val="left"/>
    </w:pPr>
    <w:rPr>
      <w:rFonts w:asciiTheme="minorHAnsi" w:hAnsiTheme="minorHAnsi"/>
      <w:sz w:val="18"/>
      <w:szCs w:val="18"/>
    </w:rPr>
  </w:style>
  <w:style w:type="paragraph" w:styleId="15">
    <w:name w:val="toc 3"/>
    <w:basedOn w:val="1"/>
    <w:next w:val="1"/>
    <w:unhideWhenUsed/>
    <w:qFormat/>
    <w:uiPriority w:val="39"/>
    <w:pPr>
      <w:ind w:left="560"/>
      <w:jc w:val="left"/>
    </w:pPr>
    <w:rPr>
      <w:rFonts w:asciiTheme="minorHAnsi" w:hAnsiTheme="minorHAnsi"/>
      <w:i/>
      <w:iCs/>
      <w:sz w:val="20"/>
      <w:szCs w:val="20"/>
    </w:rPr>
  </w:style>
  <w:style w:type="paragraph" w:styleId="16">
    <w:name w:val="Plain Text"/>
    <w:basedOn w:val="1"/>
    <w:link w:val="53"/>
    <w:qFormat/>
    <w:uiPriority w:val="0"/>
    <w:rPr>
      <w:rFonts w:ascii="宋体" w:hAnsi="Courier New" w:eastAsia="宋体" w:cs="Courier New"/>
      <w:sz w:val="21"/>
      <w:szCs w:val="21"/>
    </w:rPr>
  </w:style>
  <w:style w:type="paragraph" w:styleId="17">
    <w:name w:val="toc 8"/>
    <w:basedOn w:val="1"/>
    <w:next w:val="1"/>
    <w:unhideWhenUsed/>
    <w:qFormat/>
    <w:uiPriority w:val="39"/>
    <w:pPr>
      <w:ind w:left="1960"/>
      <w:jc w:val="left"/>
    </w:pPr>
    <w:rPr>
      <w:rFonts w:asciiTheme="minorHAnsi" w:hAnsiTheme="minorHAnsi"/>
      <w:sz w:val="18"/>
      <w:szCs w:val="18"/>
    </w:rPr>
  </w:style>
  <w:style w:type="paragraph" w:styleId="18">
    <w:name w:val="Date"/>
    <w:basedOn w:val="1"/>
    <w:next w:val="1"/>
    <w:link w:val="54"/>
    <w:qFormat/>
    <w:uiPriority w:val="0"/>
    <w:pPr>
      <w:ind w:left="100" w:leftChars="2500"/>
    </w:pPr>
  </w:style>
  <w:style w:type="paragraph" w:styleId="19">
    <w:name w:val="Body Text Indent 2"/>
    <w:basedOn w:val="1"/>
    <w:link w:val="92"/>
    <w:qFormat/>
    <w:uiPriority w:val="99"/>
    <w:pPr>
      <w:widowControl w:val="0"/>
      <w:spacing w:after="120" w:line="480" w:lineRule="auto"/>
      <w:ind w:left="420" w:leftChars="200"/>
    </w:pPr>
    <w:rPr>
      <w:rFonts w:ascii="Calibri" w:hAnsi="Calibri" w:eastAsia="宋体" w:cs="Calibri"/>
      <w:sz w:val="21"/>
      <w:szCs w:val="21"/>
    </w:rPr>
  </w:style>
  <w:style w:type="paragraph" w:styleId="20">
    <w:name w:val="Balloon Text"/>
    <w:basedOn w:val="1"/>
    <w:link w:val="55"/>
    <w:qFormat/>
    <w:uiPriority w:val="99"/>
    <w:pPr>
      <w:spacing w:line="240" w:lineRule="auto"/>
    </w:pPr>
    <w:rPr>
      <w:sz w:val="18"/>
      <w:szCs w:val="18"/>
    </w:rPr>
  </w:style>
  <w:style w:type="paragraph" w:styleId="21">
    <w:name w:val="footer"/>
    <w:basedOn w:val="1"/>
    <w:link w:val="56"/>
    <w:qFormat/>
    <w:uiPriority w:val="99"/>
    <w:pPr>
      <w:widowControl w:val="0"/>
      <w:tabs>
        <w:tab w:val="center" w:pos="4153"/>
        <w:tab w:val="right" w:pos="8306"/>
      </w:tabs>
      <w:snapToGrid w:val="0"/>
      <w:spacing w:line="240" w:lineRule="auto"/>
      <w:jc w:val="left"/>
    </w:pPr>
    <w:rPr>
      <w:kern w:val="0"/>
      <w:sz w:val="18"/>
      <w:szCs w:val="20"/>
    </w:rPr>
  </w:style>
  <w:style w:type="paragraph" w:styleId="22">
    <w:name w:val="header"/>
    <w:basedOn w:val="1"/>
    <w:link w:val="57"/>
    <w:qFormat/>
    <w:uiPriority w:val="99"/>
    <w:pPr>
      <w:widowControl w:val="0"/>
      <w:pBdr>
        <w:bottom w:val="single" w:color="auto" w:sz="6" w:space="1"/>
      </w:pBdr>
      <w:tabs>
        <w:tab w:val="center" w:pos="4153"/>
        <w:tab w:val="right" w:pos="8306"/>
      </w:tabs>
      <w:snapToGrid w:val="0"/>
      <w:spacing w:line="240" w:lineRule="auto"/>
      <w:jc w:val="center"/>
    </w:pPr>
    <w:rPr>
      <w:kern w:val="0"/>
      <w:sz w:val="18"/>
      <w:szCs w:val="20"/>
    </w:rPr>
  </w:style>
  <w:style w:type="paragraph" w:styleId="23">
    <w:name w:val="toc 1"/>
    <w:basedOn w:val="1"/>
    <w:next w:val="1"/>
    <w:qFormat/>
    <w:uiPriority w:val="39"/>
    <w:pPr>
      <w:spacing w:before="120" w:after="120"/>
      <w:jc w:val="left"/>
    </w:pPr>
    <w:rPr>
      <w:rFonts w:asciiTheme="minorHAnsi" w:hAnsiTheme="minorHAnsi"/>
      <w:b/>
      <w:bCs/>
      <w:caps/>
      <w:sz w:val="20"/>
      <w:szCs w:val="20"/>
    </w:rPr>
  </w:style>
  <w:style w:type="paragraph" w:styleId="24">
    <w:name w:val="toc 4"/>
    <w:basedOn w:val="1"/>
    <w:next w:val="1"/>
    <w:unhideWhenUsed/>
    <w:qFormat/>
    <w:uiPriority w:val="39"/>
    <w:pPr>
      <w:ind w:left="840"/>
      <w:jc w:val="left"/>
    </w:pPr>
    <w:rPr>
      <w:rFonts w:asciiTheme="minorHAnsi" w:hAnsiTheme="minorHAnsi"/>
      <w:sz w:val="18"/>
      <w:szCs w:val="18"/>
    </w:rPr>
  </w:style>
  <w:style w:type="paragraph" w:styleId="25">
    <w:name w:val="toc 6"/>
    <w:basedOn w:val="1"/>
    <w:next w:val="1"/>
    <w:unhideWhenUsed/>
    <w:qFormat/>
    <w:uiPriority w:val="39"/>
    <w:pPr>
      <w:ind w:left="1400"/>
      <w:jc w:val="left"/>
    </w:pPr>
    <w:rPr>
      <w:rFonts w:asciiTheme="minorHAnsi" w:hAnsiTheme="minorHAnsi"/>
      <w:sz w:val="18"/>
      <w:szCs w:val="18"/>
    </w:rPr>
  </w:style>
  <w:style w:type="paragraph" w:styleId="26">
    <w:name w:val="Body Text Indent 3"/>
    <w:basedOn w:val="1"/>
    <w:qFormat/>
    <w:uiPriority w:val="99"/>
    <w:pPr>
      <w:spacing w:after="120"/>
      <w:ind w:left="420" w:leftChars="200"/>
    </w:pPr>
    <w:rPr>
      <w:sz w:val="16"/>
      <w:szCs w:val="16"/>
    </w:rPr>
  </w:style>
  <w:style w:type="paragraph" w:styleId="27">
    <w:name w:val="toc 2"/>
    <w:basedOn w:val="1"/>
    <w:next w:val="1"/>
    <w:unhideWhenUsed/>
    <w:qFormat/>
    <w:uiPriority w:val="39"/>
    <w:pPr>
      <w:ind w:left="280"/>
      <w:jc w:val="left"/>
    </w:pPr>
    <w:rPr>
      <w:rFonts w:asciiTheme="minorHAnsi" w:hAnsiTheme="minorHAnsi"/>
      <w:smallCaps/>
      <w:sz w:val="20"/>
      <w:szCs w:val="20"/>
    </w:rPr>
  </w:style>
  <w:style w:type="paragraph" w:styleId="28">
    <w:name w:val="toc 9"/>
    <w:basedOn w:val="1"/>
    <w:next w:val="1"/>
    <w:unhideWhenUsed/>
    <w:qFormat/>
    <w:uiPriority w:val="39"/>
    <w:pPr>
      <w:ind w:left="2240"/>
      <w:jc w:val="left"/>
    </w:pPr>
    <w:rPr>
      <w:rFonts w:asciiTheme="minorHAnsi" w:hAnsiTheme="minorHAnsi"/>
      <w:sz w:val="18"/>
      <w:szCs w:val="18"/>
    </w:rPr>
  </w:style>
  <w:style w:type="paragraph" w:styleId="29">
    <w:name w:val="Body Text 2"/>
    <w:basedOn w:val="1"/>
    <w:link w:val="95"/>
    <w:qFormat/>
    <w:uiPriority w:val="99"/>
    <w:pPr>
      <w:adjustRightInd w:val="0"/>
      <w:snapToGrid w:val="0"/>
      <w:spacing w:line="480" w:lineRule="atLeast"/>
    </w:pPr>
    <w:rPr>
      <w:rFonts w:ascii="宋体" w:hAnsi="宋体"/>
    </w:rPr>
  </w:style>
  <w:style w:type="paragraph" w:styleId="30">
    <w:name w:val="Normal (Web)"/>
    <w:basedOn w:val="1"/>
    <w:qFormat/>
    <w:uiPriority w:val="99"/>
    <w:pPr>
      <w:spacing w:beforeAutospacing="1" w:afterAutospacing="1"/>
      <w:jc w:val="left"/>
    </w:pPr>
    <w:rPr>
      <w:kern w:val="0"/>
      <w:sz w:val="24"/>
    </w:rPr>
  </w:style>
  <w:style w:type="paragraph" w:styleId="31">
    <w:name w:val="Title"/>
    <w:basedOn w:val="1"/>
    <w:next w:val="1"/>
    <w:qFormat/>
    <w:uiPriority w:val="0"/>
    <w:pPr>
      <w:spacing w:before="240" w:after="60"/>
      <w:jc w:val="center"/>
      <w:outlineLvl w:val="0"/>
    </w:pPr>
    <w:rPr>
      <w:rFonts w:ascii="Cambria" w:hAnsi="Cambria" w:cs="Times New Roman"/>
      <w:b/>
      <w:bCs/>
      <w:sz w:val="32"/>
      <w:szCs w:val="32"/>
    </w:rPr>
  </w:style>
  <w:style w:type="paragraph" w:styleId="32">
    <w:name w:val="annotation subject"/>
    <w:basedOn w:val="11"/>
    <w:next w:val="11"/>
    <w:link w:val="94"/>
    <w:semiHidden/>
    <w:unhideWhenUsed/>
    <w:qFormat/>
    <w:uiPriority w:val="99"/>
    <w:rPr>
      <w:rFonts w:ascii="Calibri" w:cs="Calibri"/>
      <w:b/>
      <w:bCs/>
      <w:kern w:val="2"/>
      <w:sz w:val="21"/>
      <w:szCs w:val="21"/>
    </w:rPr>
  </w:style>
  <w:style w:type="paragraph" w:styleId="33">
    <w:name w:val="Body Text First Indent"/>
    <w:basedOn w:val="12"/>
    <w:qFormat/>
    <w:uiPriority w:val="0"/>
    <w:pPr>
      <w:ind w:firstLine="420" w:firstLineChars="100"/>
    </w:pPr>
  </w:style>
  <w:style w:type="paragraph" w:styleId="34">
    <w:name w:val="Body Text First Indent 2"/>
    <w:basedOn w:val="13"/>
    <w:qFormat/>
    <w:uiPriority w:val="99"/>
    <w:pPr>
      <w:tabs>
        <w:tab w:val="left" w:pos="4900"/>
      </w:tabs>
      <w:ind w:firstLine="420" w:firstLineChars="200"/>
    </w:pPr>
  </w:style>
  <w:style w:type="table" w:styleId="36">
    <w:name w:val="Table Grid"/>
    <w:basedOn w:val="3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99"/>
    <w:rPr>
      <w:b/>
      <w:bCs/>
      <w:sz w:val="24"/>
      <w:szCs w:val="24"/>
    </w:rPr>
  </w:style>
  <w:style w:type="character" w:styleId="39">
    <w:name w:val="page number"/>
    <w:basedOn w:val="37"/>
    <w:qFormat/>
    <w:uiPriority w:val="99"/>
    <w:rPr>
      <w:rFonts w:ascii="Times New Roman" w:hAnsi="Times New Roman" w:eastAsia="宋体" w:cs="Times New Roman"/>
    </w:rPr>
  </w:style>
  <w:style w:type="character" w:styleId="40">
    <w:name w:val="FollowedHyperlink"/>
    <w:qFormat/>
    <w:uiPriority w:val="99"/>
    <w:rPr>
      <w:rFonts w:hint="eastAsia" w:ascii="宋体" w:hAnsi="宋体" w:eastAsia="宋体" w:cs="宋体"/>
      <w:color w:val="000000"/>
      <w:sz w:val="18"/>
      <w:szCs w:val="18"/>
      <w:u w:val="none"/>
    </w:rPr>
  </w:style>
  <w:style w:type="character" w:styleId="41">
    <w:name w:val="Emphasis"/>
    <w:basedOn w:val="37"/>
    <w:qFormat/>
    <w:uiPriority w:val="99"/>
  </w:style>
  <w:style w:type="character" w:styleId="42">
    <w:name w:val="Hyperlink"/>
    <w:qFormat/>
    <w:uiPriority w:val="99"/>
    <w:rPr>
      <w:rFonts w:cs="Times New Roman"/>
      <w:color w:val="000000"/>
      <w:sz w:val="18"/>
      <w:u w:val="none"/>
    </w:rPr>
  </w:style>
  <w:style w:type="character" w:styleId="43">
    <w:name w:val="annotation reference"/>
    <w:semiHidden/>
    <w:qFormat/>
    <w:uiPriority w:val="99"/>
    <w:rPr>
      <w:sz w:val="21"/>
      <w:szCs w:val="21"/>
    </w:rPr>
  </w:style>
  <w:style w:type="character" w:styleId="44">
    <w:name w:val="HTML Cite"/>
    <w:basedOn w:val="37"/>
    <w:qFormat/>
    <w:uiPriority w:val="99"/>
  </w:style>
  <w:style w:type="character" w:styleId="45">
    <w:name w:val="footnote reference"/>
    <w:basedOn w:val="37"/>
    <w:semiHidden/>
    <w:unhideWhenUsed/>
    <w:qFormat/>
    <w:uiPriority w:val="99"/>
    <w:rPr>
      <w:vertAlign w:val="superscript"/>
    </w:rPr>
  </w:style>
  <w:style w:type="paragraph" w:customStyle="1" w:styleId="46">
    <w:name w:val="TOC 标题1"/>
    <w:basedOn w:val="3"/>
    <w:next w:val="1"/>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47">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8">
    <w:name w:val="列出段落1"/>
    <w:basedOn w:val="1"/>
    <w:qFormat/>
    <w:uiPriority w:val="99"/>
    <w:pPr>
      <w:spacing w:line="240" w:lineRule="auto"/>
      <w:ind w:firstLine="420" w:firstLineChars="200"/>
      <w:jc w:val="left"/>
    </w:pPr>
    <w:rPr>
      <w:rFonts w:ascii="Times New Roman" w:hAnsi="Times New Roman" w:eastAsia="宋体"/>
      <w:kern w:val="0"/>
      <w:sz w:val="24"/>
      <w:szCs w:val="24"/>
      <w:lang w:val="en-AU" w:eastAsia="en-US"/>
    </w:rPr>
  </w:style>
  <w:style w:type="character" w:customStyle="1" w:styleId="49">
    <w:name w:val="标题 1 Char"/>
    <w:link w:val="3"/>
    <w:qFormat/>
    <w:uiPriority w:val="99"/>
    <w:rPr>
      <w:rFonts w:cs="Times New Roman"/>
      <w:b/>
      <w:bCs/>
      <w:kern w:val="44"/>
      <w:sz w:val="44"/>
      <w:szCs w:val="44"/>
    </w:rPr>
  </w:style>
  <w:style w:type="character" w:customStyle="1" w:styleId="50">
    <w:name w:val="标题 2 Char"/>
    <w:link w:val="4"/>
    <w:qFormat/>
    <w:uiPriority w:val="99"/>
    <w:rPr>
      <w:rFonts w:ascii="Calibri" w:hAnsi="Calibri" w:eastAsia="华文仿宋" w:cs="Times New Roman"/>
      <w:b/>
      <w:bCs/>
      <w:sz w:val="32"/>
      <w:szCs w:val="32"/>
    </w:rPr>
  </w:style>
  <w:style w:type="character" w:customStyle="1" w:styleId="51">
    <w:name w:val="标题 3 Char"/>
    <w:link w:val="6"/>
    <w:qFormat/>
    <w:uiPriority w:val="99"/>
    <w:rPr>
      <w:rFonts w:cs="Times New Roman"/>
      <w:b/>
      <w:bCs/>
      <w:sz w:val="32"/>
      <w:szCs w:val="32"/>
      <w:u w:val="double"/>
    </w:rPr>
  </w:style>
  <w:style w:type="character" w:customStyle="1" w:styleId="52">
    <w:name w:val="文档结构图 Char"/>
    <w:link w:val="9"/>
    <w:qFormat/>
    <w:uiPriority w:val="99"/>
    <w:rPr>
      <w:rFonts w:ascii="宋体" w:eastAsia="宋体" w:cs="Times New Roman"/>
      <w:sz w:val="18"/>
      <w:szCs w:val="18"/>
    </w:rPr>
  </w:style>
  <w:style w:type="character" w:customStyle="1" w:styleId="53">
    <w:name w:val="纯文本 Char"/>
    <w:link w:val="16"/>
    <w:qFormat/>
    <w:uiPriority w:val="0"/>
    <w:rPr>
      <w:rFonts w:ascii="宋体" w:hAnsi="Courier New" w:eastAsia="宋体" w:cs="Courier New"/>
      <w:sz w:val="21"/>
      <w:szCs w:val="21"/>
    </w:rPr>
  </w:style>
  <w:style w:type="character" w:customStyle="1" w:styleId="54">
    <w:name w:val="日期 Char"/>
    <w:link w:val="18"/>
    <w:qFormat/>
    <w:uiPriority w:val="0"/>
    <w:rPr>
      <w:rFonts w:ascii="Calibri Light" w:hAnsi="Calibri Light" w:eastAsia="华文仿宋" w:cs="Times New Roman"/>
      <w:sz w:val="28"/>
    </w:rPr>
  </w:style>
  <w:style w:type="character" w:customStyle="1" w:styleId="55">
    <w:name w:val="批注框文本 Char"/>
    <w:link w:val="20"/>
    <w:qFormat/>
    <w:uiPriority w:val="99"/>
    <w:rPr>
      <w:rFonts w:cs="Times New Roman"/>
      <w:sz w:val="18"/>
      <w:szCs w:val="18"/>
    </w:rPr>
  </w:style>
  <w:style w:type="character" w:customStyle="1" w:styleId="56">
    <w:name w:val="页脚 Char"/>
    <w:link w:val="21"/>
    <w:qFormat/>
    <w:uiPriority w:val="99"/>
    <w:rPr>
      <w:rFonts w:cs="Times New Roman"/>
      <w:sz w:val="18"/>
    </w:rPr>
  </w:style>
  <w:style w:type="character" w:customStyle="1" w:styleId="57">
    <w:name w:val="页眉 Char"/>
    <w:link w:val="22"/>
    <w:qFormat/>
    <w:uiPriority w:val="99"/>
    <w:rPr>
      <w:rFonts w:cs="Times New Roman"/>
      <w:sz w:val="18"/>
    </w:rPr>
  </w:style>
  <w:style w:type="paragraph" w:customStyle="1" w:styleId="58">
    <w:name w:val="正文（缩进 2 字符）"/>
    <w:basedOn w:val="1"/>
    <w:qFormat/>
    <w:uiPriority w:val="99"/>
    <w:pPr>
      <w:ind w:firstLine="200" w:firstLineChars="200"/>
    </w:pPr>
  </w:style>
  <w:style w:type="paragraph" w:customStyle="1" w:styleId="59">
    <w:name w:val="正文（缩进 4 字符）"/>
    <w:basedOn w:val="1"/>
    <w:qFormat/>
    <w:uiPriority w:val="99"/>
    <w:pPr>
      <w:ind w:firstLine="1134" w:firstLineChars="400"/>
    </w:pPr>
  </w:style>
  <w:style w:type="paragraph" w:customStyle="1" w:styleId="60">
    <w:name w:val="标题 2（投标文件）"/>
    <w:basedOn w:val="4"/>
    <w:qFormat/>
    <w:uiPriority w:val="99"/>
    <w:pPr>
      <w:jc w:val="center"/>
    </w:pPr>
  </w:style>
  <w:style w:type="character" w:customStyle="1" w:styleId="61">
    <w:name w:val="页眉 Char1"/>
    <w:qFormat/>
    <w:uiPriority w:val="99"/>
    <w:rPr>
      <w:rFonts w:cs="Times New Roman"/>
      <w:sz w:val="18"/>
      <w:szCs w:val="18"/>
    </w:rPr>
  </w:style>
  <w:style w:type="character" w:customStyle="1" w:styleId="62">
    <w:name w:val="页脚 Char1"/>
    <w:qFormat/>
    <w:uiPriority w:val="99"/>
    <w:rPr>
      <w:rFonts w:cs="Times New Roman"/>
      <w:sz w:val="18"/>
      <w:szCs w:val="18"/>
    </w:rPr>
  </w:style>
  <w:style w:type="paragraph" w:customStyle="1" w:styleId="63">
    <w:name w:val="标题 3（投标文件）"/>
    <w:basedOn w:val="6"/>
    <w:qFormat/>
    <w:uiPriority w:val="99"/>
    <w:pPr>
      <w:jc w:val="left"/>
    </w:pPr>
    <w:rPr>
      <w:u w:val="none"/>
    </w:rPr>
  </w:style>
  <w:style w:type="table" w:customStyle="1" w:styleId="64">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网格型2"/>
    <w:basedOn w:val="3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7">
    <w:name w:val="grace"/>
    <w:basedOn w:val="37"/>
    <w:qFormat/>
    <w:uiPriority w:val="0"/>
  </w:style>
  <w:style w:type="character" w:customStyle="1" w:styleId="68">
    <w:name w:val="mark"/>
    <w:qFormat/>
    <w:uiPriority w:val="0"/>
    <w:rPr>
      <w:color w:val="CC2200"/>
    </w:rPr>
  </w:style>
  <w:style w:type="character" w:customStyle="1" w:styleId="69">
    <w:name w:val="subtext"/>
    <w:qFormat/>
    <w:uiPriority w:val="0"/>
    <w:rPr>
      <w:color w:val="888888"/>
    </w:rPr>
  </w:style>
  <w:style w:type="character" w:customStyle="1" w:styleId="70">
    <w:name w:val="span-text"/>
    <w:basedOn w:val="37"/>
    <w:qFormat/>
    <w:uiPriority w:val="0"/>
  </w:style>
  <w:style w:type="character" w:customStyle="1" w:styleId="71">
    <w:name w:val="view-vip1"/>
    <w:basedOn w:val="37"/>
    <w:qFormat/>
    <w:uiPriority w:val="0"/>
  </w:style>
  <w:style w:type="character" w:customStyle="1" w:styleId="72">
    <w:name w:val="view-vip"/>
    <w:basedOn w:val="37"/>
    <w:qFormat/>
    <w:uiPriority w:val="0"/>
  </w:style>
  <w:style w:type="character" w:customStyle="1" w:styleId="73">
    <w:name w:val="grace6"/>
    <w:basedOn w:val="37"/>
    <w:qFormat/>
    <w:uiPriority w:val="0"/>
  </w:style>
  <w:style w:type="character" w:customStyle="1" w:styleId="74">
    <w:name w:val="r-time"/>
    <w:qFormat/>
    <w:uiPriority w:val="0"/>
    <w:rPr>
      <w:color w:val="B30000"/>
    </w:rPr>
  </w:style>
  <w:style w:type="character" w:customStyle="1" w:styleId="75">
    <w:name w:val="r-text"/>
    <w:qFormat/>
    <w:uiPriority w:val="0"/>
    <w:rPr>
      <w:color w:val="00349B"/>
    </w:rPr>
  </w:style>
  <w:style w:type="character" w:customStyle="1" w:styleId="76">
    <w:name w:val="grace5"/>
    <w:basedOn w:val="37"/>
    <w:qFormat/>
    <w:uiPriority w:val="0"/>
  </w:style>
  <w:style w:type="character" w:customStyle="1" w:styleId="77">
    <w:name w:val="redfilenumber"/>
    <w:qFormat/>
    <w:uiPriority w:val="0"/>
    <w:rPr>
      <w:color w:val="BA2636"/>
      <w:sz w:val="18"/>
      <w:szCs w:val="18"/>
    </w:rPr>
  </w:style>
  <w:style w:type="character" w:customStyle="1" w:styleId="78">
    <w:name w:val="cfdate"/>
    <w:qFormat/>
    <w:uiPriority w:val="0"/>
    <w:rPr>
      <w:color w:val="333333"/>
      <w:sz w:val="18"/>
      <w:szCs w:val="18"/>
    </w:rPr>
  </w:style>
  <w:style w:type="character" w:customStyle="1" w:styleId="79">
    <w:name w:val="qxdate"/>
    <w:qFormat/>
    <w:uiPriority w:val="0"/>
    <w:rPr>
      <w:color w:val="333333"/>
      <w:sz w:val="18"/>
      <w:szCs w:val="18"/>
    </w:rPr>
  </w:style>
  <w:style w:type="character" w:customStyle="1" w:styleId="80">
    <w:name w:val="gjfg"/>
    <w:basedOn w:val="37"/>
    <w:qFormat/>
    <w:uiPriority w:val="0"/>
  </w:style>
  <w:style w:type="character" w:customStyle="1" w:styleId="81">
    <w:name w:val="redfilefwwh"/>
    <w:qFormat/>
    <w:uiPriority w:val="0"/>
    <w:rPr>
      <w:color w:val="BA2636"/>
      <w:sz w:val="18"/>
      <w:szCs w:val="18"/>
    </w:rPr>
  </w:style>
  <w:style w:type="character" w:customStyle="1" w:styleId="82">
    <w:name w:val="displayarti"/>
    <w:qFormat/>
    <w:uiPriority w:val="0"/>
    <w:rPr>
      <w:color w:val="FFFFFF"/>
      <w:shd w:val="clear" w:color="auto" w:fill="A00000"/>
    </w:rPr>
  </w:style>
  <w:style w:type="paragraph" w:customStyle="1" w:styleId="83">
    <w:name w:val="样式 标题 3 + (中文) 黑体 小四 非加粗 段前: 7.8 磅 段后: 0 磅 行距: 固定值 20 磅"/>
    <w:basedOn w:val="6"/>
    <w:link w:val="84"/>
    <w:qFormat/>
    <w:uiPriority w:val="0"/>
    <w:pPr>
      <w:widowControl w:val="0"/>
      <w:spacing w:line="400" w:lineRule="exact"/>
      <w:jc w:val="both"/>
    </w:pPr>
    <w:rPr>
      <w:rFonts w:ascii="Times New Roman" w:hAnsi="Times New Roman" w:eastAsia="黑体" w:cs="宋体"/>
      <w:b w:val="0"/>
      <w:bCs w:val="0"/>
      <w:sz w:val="24"/>
      <w:szCs w:val="20"/>
      <w:u w:val="none"/>
    </w:rPr>
  </w:style>
  <w:style w:type="character" w:customStyle="1" w:styleId="84">
    <w:name w:val="样式 标题 3 + (中文) 黑体 小四 非加粗 段前: 7.8 磅 段后: 0 磅 行距: 固定值 20 磅 Char Char"/>
    <w:link w:val="83"/>
    <w:qFormat/>
    <w:uiPriority w:val="0"/>
    <w:rPr>
      <w:rFonts w:eastAsia="黑体" w:cs="宋体"/>
      <w:kern w:val="2"/>
      <w:sz w:val="24"/>
    </w:rPr>
  </w:style>
  <w:style w:type="paragraph" w:styleId="85">
    <w:name w:val="List Paragraph"/>
    <w:basedOn w:val="1"/>
    <w:qFormat/>
    <w:uiPriority w:val="99"/>
    <w:pPr>
      <w:ind w:firstLine="420" w:firstLineChars="200"/>
    </w:pPr>
  </w:style>
  <w:style w:type="table" w:customStyle="1" w:styleId="86">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87">
    <w:name w:val="标题 4 Char"/>
    <w:basedOn w:val="37"/>
    <w:link w:val="7"/>
    <w:qFormat/>
    <w:uiPriority w:val="9"/>
    <w:rPr>
      <w:rFonts w:ascii="仿宋" w:hAnsi="仿宋" w:eastAsia="仿宋" w:cs="仿宋"/>
      <w:b/>
      <w:bCs/>
      <w:kern w:val="2"/>
      <w:sz w:val="28"/>
      <w:szCs w:val="28"/>
      <w:lang w:val="ja-JP" w:eastAsia="ja-JP" w:bidi="ja-JP"/>
    </w:rPr>
  </w:style>
  <w:style w:type="character" w:customStyle="1" w:styleId="88">
    <w:name w:val="正文文本 Char"/>
    <w:basedOn w:val="37"/>
    <w:link w:val="12"/>
    <w:qFormat/>
    <w:uiPriority w:val="99"/>
    <w:rPr>
      <w:rFonts w:ascii="仿宋" w:hAnsi="仿宋" w:eastAsia="仿宋" w:cs="仿宋"/>
      <w:kern w:val="2"/>
      <w:sz w:val="28"/>
      <w:szCs w:val="28"/>
      <w:lang w:val="ja-JP" w:eastAsia="ja-JP" w:bidi="ja-JP"/>
    </w:rPr>
  </w:style>
  <w:style w:type="character" w:customStyle="1" w:styleId="89">
    <w:name w:val="font01"/>
    <w:basedOn w:val="37"/>
    <w:qFormat/>
    <w:uiPriority w:val="0"/>
    <w:rPr>
      <w:rFonts w:hint="eastAsia" w:ascii="宋体" w:hAnsi="宋体" w:eastAsia="宋体" w:cs="宋体"/>
      <w:color w:val="000000"/>
      <w:sz w:val="20"/>
      <w:szCs w:val="20"/>
      <w:u w:val="none"/>
    </w:rPr>
  </w:style>
  <w:style w:type="character" w:customStyle="1" w:styleId="90">
    <w:name w:val="批注文字 Char"/>
    <w:basedOn w:val="37"/>
    <w:link w:val="11"/>
    <w:semiHidden/>
    <w:qFormat/>
    <w:uiPriority w:val="99"/>
    <w:rPr>
      <w:rFonts w:ascii="宋体" w:hAnsi="Calibri" w:cs="宋体"/>
      <w:sz w:val="34"/>
      <w:szCs w:val="34"/>
    </w:rPr>
  </w:style>
  <w:style w:type="character" w:customStyle="1" w:styleId="91">
    <w:name w:val="正文文本缩进 Char"/>
    <w:basedOn w:val="37"/>
    <w:link w:val="13"/>
    <w:qFormat/>
    <w:uiPriority w:val="99"/>
    <w:rPr>
      <w:rFonts w:ascii="Calibri" w:hAnsi="Calibri" w:cs="Calibri"/>
      <w:kern w:val="2"/>
      <w:sz w:val="21"/>
      <w:szCs w:val="21"/>
    </w:rPr>
  </w:style>
  <w:style w:type="character" w:customStyle="1" w:styleId="92">
    <w:name w:val="正文文本缩进 2 Char"/>
    <w:basedOn w:val="37"/>
    <w:link w:val="19"/>
    <w:qFormat/>
    <w:uiPriority w:val="99"/>
    <w:rPr>
      <w:rFonts w:ascii="Calibri" w:hAnsi="Calibri" w:cs="Calibri"/>
      <w:kern w:val="2"/>
      <w:sz w:val="21"/>
      <w:szCs w:val="21"/>
    </w:rPr>
  </w:style>
  <w:style w:type="character" w:customStyle="1" w:styleId="93">
    <w:name w:val="脚注文本 Char"/>
    <w:basedOn w:val="37"/>
    <w:link w:val="2"/>
    <w:semiHidden/>
    <w:qFormat/>
    <w:uiPriority w:val="99"/>
    <w:rPr>
      <w:rFonts w:ascii="Calibri" w:hAnsi="Calibri" w:cs="Calibri"/>
      <w:kern w:val="2"/>
      <w:sz w:val="18"/>
      <w:szCs w:val="21"/>
    </w:rPr>
  </w:style>
  <w:style w:type="character" w:customStyle="1" w:styleId="94">
    <w:name w:val="批注主题 Char"/>
    <w:basedOn w:val="90"/>
    <w:link w:val="32"/>
    <w:semiHidden/>
    <w:qFormat/>
    <w:uiPriority w:val="99"/>
    <w:rPr>
      <w:rFonts w:ascii="Calibri" w:hAnsi="Calibri" w:cs="Calibri"/>
      <w:b/>
      <w:bCs/>
      <w:kern w:val="2"/>
      <w:sz w:val="21"/>
      <w:szCs w:val="21"/>
    </w:rPr>
  </w:style>
  <w:style w:type="character" w:customStyle="1" w:styleId="95">
    <w:name w:val="正文文本 2 Char"/>
    <w:link w:val="29"/>
    <w:qFormat/>
    <w:locked/>
    <w:uiPriority w:val="99"/>
    <w:rPr>
      <w:rFonts w:ascii="宋体" w:hAnsi="宋体" w:eastAsia="华文仿宋"/>
      <w:kern w:val="2"/>
      <w:sz w:val="28"/>
      <w:szCs w:val="28"/>
    </w:rPr>
  </w:style>
  <w:style w:type="paragraph" w:customStyle="1" w:styleId="96">
    <w:name w:val="Char2 Char Char Char"/>
    <w:basedOn w:val="1"/>
    <w:qFormat/>
    <w:uiPriority w:val="99"/>
    <w:pPr>
      <w:widowControl w:val="0"/>
      <w:spacing w:line="240" w:lineRule="auto"/>
    </w:pPr>
    <w:rPr>
      <w:rFonts w:ascii="Tahoma" w:hAnsi="Tahoma" w:eastAsia="宋体" w:cs="Tahoma"/>
      <w:sz w:val="24"/>
      <w:szCs w:val="24"/>
    </w:rPr>
  </w:style>
  <w:style w:type="character" w:customStyle="1" w:styleId="97">
    <w:name w:val="10"/>
    <w:qFormat/>
    <w:uiPriority w:val="99"/>
    <w:rPr>
      <w:rFonts w:ascii="Calibri" w:hAnsi="Calibri" w:cs="Calibri"/>
    </w:rPr>
  </w:style>
  <w:style w:type="character" w:customStyle="1" w:styleId="98">
    <w:name w:val="15"/>
    <w:qFormat/>
    <w:uiPriority w:val="99"/>
    <w:rPr>
      <w:rFonts w:ascii="Calibri" w:hAnsi="Calibri" w:cs="Calibri"/>
      <w:i/>
      <w:iCs/>
    </w:rPr>
  </w:style>
  <w:style w:type="paragraph" w:customStyle="1" w:styleId="99">
    <w:name w:val="_Style 2"/>
    <w:basedOn w:val="1"/>
    <w:qFormat/>
    <w:uiPriority w:val="99"/>
    <w:pPr>
      <w:widowControl w:val="0"/>
      <w:spacing w:line="240" w:lineRule="auto"/>
      <w:ind w:firstLine="420" w:firstLineChars="200"/>
    </w:pPr>
    <w:rPr>
      <w:rFonts w:ascii="Calibri" w:hAnsi="Calibri" w:eastAsia="宋体" w:cs="Calibri"/>
      <w:sz w:val="21"/>
      <w:szCs w:val="21"/>
    </w:rPr>
  </w:style>
  <w:style w:type="character" w:customStyle="1" w:styleId="100">
    <w:name w:val="apple-style-span"/>
    <w:qFormat/>
    <w:uiPriority w:val="99"/>
  </w:style>
  <w:style w:type="character" w:customStyle="1" w:styleId="101">
    <w:name w:val="del"/>
    <w:basedOn w:val="37"/>
    <w:qFormat/>
    <w:uiPriority w:val="99"/>
  </w:style>
  <w:style w:type="character" w:customStyle="1" w:styleId="102">
    <w:name w:val="del1"/>
    <w:qFormat/>
    <w:uiPriority w:val="99"/>
    <w:rPr>
      <w:vanish/>
      <w:color w:val="auto"/>
      <w:sz w:val="18"/>
      <w:szCs w:val="18"/>
      <w:u w:val="single"/>
    </w:rPr>
  </w:style>
  <w:style w:type="character" w:customStyle="1" w:styleId="103">
    <w:name w:val="del2"/>
    <w:qFormat/>
    <w:uiPriority w:val="99"/>
    <w:rPr>
      <w:vanish/>
    </w:rPr>
  </w:style>
  <w:style w:type="character" w:customStyle="1" w:styleId="104">
    <w:name w:val="del3"/>
    <w:qFormat/>
    <w:uiPriority w:val="99"/>
    <w:rPr>
      <w:vanish/>
    </w:rPr>
  </w:style>
  <w:style w:type="paragraph" w:customStyle="1" w:styleId="105">
    <w:name w:val="_Style 4"/>
    <w:basedOn w:val="1"/>
    <w:qFormat/>
    <w:uiPriority w:val="99"/>
    <w:pPr>
      <w:widowControl w:val="0"/>
      <w:spacing w:line="240" w:lineRule="auto"/>
      <w:ind w:firstLine="420" w:firstLineChars="200"/>
    </w:pPr>
    <w:rPr>
      <w:rFonts w:ascii="Calibri" w:hAnsi="Calibri" w:eastAsia="宋体" w:cs="Calibri"/>
      <w:sz w:val="21"/>
      <w:szCs w:val="21"/>
    </w:rPr>
  </w:style>
  <w:style w:type="paragraph" w:customStyle="1" w:styleId="106">
    <w:name w:val="pa-19"/>
    <w:basedOn w:val="1"/>
    <w:qFormat/>
    <w:uiPriority w:val="99"/>
    <w:pPr>
      <w:spacing w:before="100" w:beforeAutospacing="1" w:after="100" w:afterAutospacing="1" w:line="240" w:lineRule="auto"/>
      <w:jc w:val="left"/>
    </w:pPr>
    <w:rPr>
      <w:rFonts w:ascii="宋体" w:hAnsi="宋体" w:eastAsia="宋体" w:cs="宋体"/>
      <w:kern w:val="0"/>
      <w:sz w:val="24"/>
      <w:szCs w:val="24"/>
    </w:rPr>
  </w:style>
  <w:style w:type="paragraph" w:customStyle="1" w:styleId="107">
    <w:name w:val="首行缩进"/>
    <w:basedOn w:val="1"/>
    <w:qFormat/>
    <w:uiPriority w:val="99"/>
    <w:pPr>
      <w:tabs>
        <w:tab w:val="left" w:pos="735"/>
      </w:tabs>
      <w:spacing w:line="460" w:lineRule="exact"/>
      <w:ind w:firstLine="200" w:firstLineChars="200"/>
      <w:jc w:val="left"/>
    </w:pPr>
    <w:rPr>
      <w:rFonts w:ascii="Times New Roman" w:hAnsi="Times New Roman" w:eastAsia="宋体"/>
      <w:kern w:val="0"/>
      <w:sz w:val="24"/>
      <w:szCs w:val="24"/>
    </w:rPr>
  </w:style>
  <w:style w:type="character" w:customStyle="1" w:styleId="108">
    <w:name w:val="font101"/>
    <w:basedOn w:val="37"/>
    <w:qFormat/>
    <w:uiPriority w:val="0"/>
    <w:rPr>
      <w:rFonts w:hint="eastAsia" w:ascii="宋体" w:hAnsi="宋体" w:eastAsia="宋体" w:cs="宋体"/>
      <w:color w:val="000000"/>
      <w:sz w:val="24"/>
      <w:szCs w:val="24"/>
      <w:u w:val="none"/>
    </w:rPr>
  </w:style>
  <w:style w:type="character" w:customStyle="1" w:styleId="109">
    <w:name w:val="font91"/>
    <w:basedOn w:val="37"/>
    <w:qFormat/>
    <w:uiPriority w:val="0"/>
    <w:rPr>
      <w:rFonts w:hint="eastAsia" w:ascii="宋体" w:hAnsi="宋体" w:eastAsia="宋体" w:cs="宋体"/>
      <w:color w:val="000000"/>
      <w:sz w:val="24"/>
      <w:szCs w:val="24"/>
      <w:u w:val="none"/>
    </w:rPr>
  </w:style>
  <w:style w:type="character" w:customStyle="1" w:styleId="110">
    <w:name w:val="font41"/>
    <w:basedOn w:val="37"/>
    <w:qFormat/>
    <w:uiPriority w:val="0"/>
    <w:rPr>
      <w:rFonts w:hint="eastAsia" w:ascii="宋体" w:hAnsi="宋体" w:eastAsia="宋体" w:cs="宋体"/>
      <w:color w:val="000000"/>
      <w:sz w:val="24"/>
      <w:szCs w:val="24"/>
      <w:u w:val="none"/>
    </w:rPr>
  </w:style>
  <w:style w:type="character" w:customStyle="1" w:styleId="111">
    <w:name w:val="font21"/>
    <w:basedOn w:val="37"/>
    <w:qFormat/>
    <w:uiPriority w:val="0"/>
    <w:rPr>
      <w:rFonts w:hint="eastAsia" w:ascii="宋体" w:hAnsi="宋体" w:eastAsia="宋体" w:cs="宋体"/>
      <w:color w:val="000000"/>
      <w:sz w:val="24"/>
      <w:szCs w:val="24"/>
      <w:u w:val="none"/>
    </w:rPr>
  </w:style>
  <w:style w:type="character" w:customStyle="1" w:styleId="112">
    <w:name w:val="List Paragraph Char1"/>
    <w:link w:val="113"/>
    <w:qFormat/>
    <w:locked/>
    <w:uiPriority w:val="0"/>
    <w:rPr>
      <w:sz w:val="24"/>
    </w:rPr>
  </w:style>
  <w:style w:type="paragraph" w:customStyle="1" w:styleId="113">
    <w:name w:val="列出段落2"/>
    <w:basedOn w:val="1"/>
    <w:link w:val="112"/>
    <w:qFormat/>
    <w:uiPriority w:val="0"/>
    <w:pPr>
      <w:widowControl w:val="0"/>
      <w:spacing w:line="240" w:lineRule="auto"/>
      <w:ind w:firstLine="420" w:firstLineChars="200"/>
    </w:pPr>
    <w:rPr>
      <w:rFonts w:ascii="Times New Roman" w:hAnsi="Times New Roman" w:eastAsia="宋体"/>
      <w:kern w:val="0"/>
      <w:sz w:val="24"/>
      <w:szCs w:val="20"/>
    </w:rPr>
  </w:style>
  <w:style w:type="table" w:customStyle="1" w:styleId="114">
    <w:name w:val="TableGrid1"/>
    <w:qFormat/>
    <w:uiPriority w:val="0"/>
    <w:rPr>
      <w:kern w:val="2"/>
      <w:sz w:val="21"/>
      <w:szCs w:val="22"/>
    </w:rPr>
    <w:tblPr>
      <w:tblCellMar>
        <w:top w:w="0" w:type="dxa"/>
        <w:left w:w="0" w:type="dxa"/>
        <w:bottom w:w="0" w:type="dxa"/>
        <w:right w:w="0" w:type="dxa"/>
      </w:tblCellMar>
    </w:tblPr>
  </w:style>
  <w:style w:type="table" w:customStyle="1" w:styleId="115">
    <w:name w:val="TableGrid2"/>
    <w:qFormat/>
    <w:uiPriority w:val="0"/>
    <w:rPr>
      <w:kern w:val="2"/>
      <w:sz w:val="21"/>
      <w:szCs w:val="22"/>
    </w:rPr>
    <w:tblPr>
      <w:tblCellMar>
        <w:top w:w="0" w:type="dxa"/>
        <w:left w:w="0" w:type="dxa"/>
        <w:bottom w:w="0" w:type="dxa"/>
        <w:right w:w="0" w:type="dxa"/>
      </w:tblCellMar>
    </w:tblPr>
  </w:style>
  <w:style w:type="table" w:customStyle="1" w:styleId="116">
    <w:name w:val="TableGrid3"/>
    <w:qFormat/>
    <w:uiPriority w:val="0"/>
    <w:rPr>
      <w:kern w:val="2"/>
      <w:sz w:val="21"/>
      <w:szCs w:val="22"/>
    </w:rPr>
    <w:tblPr>
      <w:tblCellMar>
        <w:top w:w="0" w:type="dxa"/>
        <w:left w:w="0" w:type="dxa"/>
        <w:bottom w:w="0" w:type="dxa"/>
        <w:right w:w="0" w:type="dxa"/>
      </w:tblCellMar>
    </w:tblPr>
  </w:style>
  <w:style w:type="table" w:customStyle="1" w:styleId="117">
    <w:name w:val="TableGrid4"/>
    <w:qFormat/>
    <w:uiPriority w:val="0"/>
    <w:rPr>
      <w:kern w:val="2"/>
      <w:sz w:val="21"/>
      <w:szCs w:val="22"/>
    </w:rPr>
    <w:tblPr>
      <w:tblCellMar>
        <w:top w:w="0" w:type="dxa"/>
        <w:left w:w="0" w:type="dxa"/>
        <w:bottom w:w="0" w:type="dxa"/>
        <w:right w:w="0" w:type="dxa"/>
      </w:tblCellMar>
    </w:tblPr>
  </w:style>
  <w:style w:type="table" w:customStyle="1" w:styleId="118">
    <w:name w:val="TableGrid5"/>
    <w:qFormat/>
    <w:uiPriority w:val="0"/>
    <w:rPr>
      <w:kern w:val="2"/>
      <w:sz w:val="21"/>
      <w:szCs w:val="22"/>
    </w:rPr>
    <w:tblPr>
      <w:tblCellMar>
        <w:top w:w="0" w:type="dxa"/>
        <w:left w:w="0" w:type="dxa"/>
        <w:bottom w:w="0" w:type="dxa"/>
        <w:right w:w="0" w:type="dxa"/>
      </w:tblCellMar>
    </w:tblPr>
  </w:style>
  <w:style w:type="table" w:customStyle="1" w:styleId="119">
    <w:name w:val="TableGrid6"/>
    <w:qFormat/>
    <w:uiPriority w:val="0"/>
    <w:rPr>
      <w:kern w:val="2"/>
      <w:sz w:val="21"/>
      <w:szCs w:val="22"/>
    </w:rPr>
    <w:tblPr>
      <w:tblCellMar>
        <w:top w:w="0" w:type="dxa"/>
        <w:left w:w="0" w:type="dxa"/>
        <w:bottom w:w="0" w:type="dxa"/>
        <w:right w:w="0" w:type="dxa"/>
      </w:tblCellMar>
    </w:tblPr>
  </w:style>
  <w:style w:type="table" w:customStyle="1" w:styleId="120">
    <w:name w:val="TableGrid7"/>
    <w:qFormat/>
    <w:uiPriority w:val="0"/>
    <w:rPr>
      <w:kern w:val="2"/>
      <w:sz w:val="21"/>
      <w:szCs w:val="22"/>
    </w:rPr>
    <w:tblPr>
      <w:tblCellMar>
        <w:top w:w="0" w:type="dxa"/>
        <w:left w:w="0" w:type="dxa"/>
        <w:bottom w:w="0" w:type="dxa"/>
        <w:right w:w="0" w:type="dxa"/>
      </w:tblCellMar>
    </w:tblPr>
  </w:style>
  <w:style w:type="paragraph" w:customStyle="1" w:styleId="121">
    <w:name w:val="列出段落3"/>
    <w:basedOn w:val="1"/>
    <w:qFormat/>
    <w:uiPriority w:val="0"/>
    <w:pPr>
      <w:widowControl w:val="0"/>
      <w:spacing w:line="240" w:lineRule="auto"/>
      <w:ind w:firstLine="420" w:firstLineChars="200"/>
    </w:pPr>
    <w:rPr>
      <w:rFonts w:ascii="Times New Roman" w:hAnsi="Times New Roman" w:eastAsia="宋体"/>
      <w:kern w:val="0"/>
      <w:sz w:val="24"/>
      <w:szCs w:val="20"/>
    </w:rPr>
  </w:style>
  <w:style w:type="table" w:customStyle="1" w:styleId="122">
    <w:name w:val="TableGrid8"/>
    <w:qFormat/>
    <w:uiPriority w:val="0"/>
    <w:rPr>
      <w:kern w:val="2"/>
      <w:sz w:val="21"/>
      <w:szCs w:val="22"/>
    </w:rPr>
    <w:tblPr>
      <w:tblCellMar>
        <w:top w:w="0" w:type="dxa"/>
        <w:left w:w="0" w:type="dxa"/>
        <w:bottom w:w="0" w:type="dxa"/>
        <w:right w:w="0" w:type="dxa"/>
      </w:tblCellMar>
    </w:tblPr>
  </w:style>
  <w:style w:type="table" w:customStyle="1" w:styleId="123">
    <w:name w:val="TableGrid9"/>
    <w:qFormat/>
    <w:uiPriority w:val="0"/>
    <w:rPr>
      <w:kern w:val="2"/>
      <w:sz w:val="21"/>
      <w:szCs w:val="22"/>
    </w:rPr>
    <w:tblPr>
      <w:tblCellMar>
        <w:top w:w="0" w:type="dxa"/>
        <w:left w:w="0" w:type="dxa"/>
        <w:bottom w:w="0" w:type="dxa"/>
        <w:right w:w="0" w:type="dxa"/>
      </w:tblCellMar>
    </w:tblPr>
  </w:style>
  <w:style w:type="table" w:customStyle="1" w:styleId="124">
    <w:name w:val="TableGrid10"/>
    <w:qFormat/>
    <w:uiPriority w:val="0"/>
    <w:rPr>
      <w:kern w:val="2"/>
      <w:sz w:val="21"/>
      <w:szCs w:val="22"/>
    </w:rPr>
    <w:tblPr>
      <w:tblCellMar>
        <w:top w:w="0" w:type="dxa"/>
        <w:left w:w="0" w:type="dxa"/>
        <w:bottom w:w="0" w:type="dxa"/>
        <w:right w:w="0" w:type="dxa"/>
      </w:tblCellMar>
    </w:tblPr>
  </w:style>
  <w:style w:type="table" w:customStyle="1" w:styleId="125">
    <w:name w:val="TableGrid11"/>
    <w:qFormat/>
    <w:uiPriority w:val="0"/>
    <w:rPr>
      <w:kern w:val="2"/>
      <w:sz w:val="21"/>
      <w:szCs w:val="22"/>
    </w:rPr>
    <w:tblPr>
      <w:tblCellMar>
        <w:top w:w="0" w:type="dxa"/>
        <w:left w:w="0" w:type="dxa"/>
        <w:bottom w:w="0" w:type="dxa"/>
        <w:right w:w="0" w:type="dxa"/>
      </w:tblCellMar>
    </w:tblPr>
  </w:style>
  <w:style w:type="table" w:customStyle="1" w:styleId="126">
    <w:name w:val="TableGrid12"/>
    <w:qFormat/>
    <w:uiPriority w:val="0"/>
    <w:rPr>
      <w:kern w:val="2"/>
      <w:sz w:val="21"/>
      <w:szCs w:val="22"/>
    </w:rPr>
    <w:tblPr>
      <w:tblCellMar>
        <w:top w:w="0" w:type="dxa"/>
        <w:left w:w="0" w:type="dxa"/>
        <w:bottom w:w="0" w:type="dxa"/>
        <w:right w:w="0" w:type="dxa"/>
      </w:tblCellMar>
    </w:tblPr>
  </w:style>
  <w:style w:type="table" w:customStyle="1" w:styleId="127">
    <w:name w:val="TableGrid13"/>
    <w:qFormat/>
    <w:uiPriority w:val="0"/>
    <w:rPr>
      <w:kern w:val="2"/>
      <w:sz w:val="21"/>
      <w:szCs w:val="22"/>
    </w:rPr>
    <w:tblPr>
      <w:tblCellMar>
        <w:top w:w="0" w:type="dxa"/>
        <w:left w:w="0" w:type="dxa"/>
        <w:bottom w:w="0" w:type="dxa"/>
        <w:right w:w="0" w:type="dxa"/>
      </w:tblCellMar>
    </w:tblPr>
  </w:style>
  <w:style w:type="table" w:customStyle="1" w:styleId="128">
    <w:name w:val="TableGrid14"/>
    <w:qFormat/>
    <w:uiPriority w:val="0"/>
    <w:rPr>
      <w:kern w:val="2"/>
      <w:sz w:val="21"/>
      <w:szCs w:val="22"/>
    </w:rPr>
    <w:tblPr>
      <w:tblCellMar>
        <w:top w:w="0" w:type="dxa"/>
        <w:left w:w="0" w:type="dxa"/>
        <w:bottom w:w="0" w:type="dxa"/>
        <w:right w:w="0" w:type="dxa"/>
      </w:tblCellMar>
    </w:tblPr>
  </w:style>
  <w:style w:type="table" w:customStyle="1" w:styleId="129">
    <w:name w:val="TableGrid15"/>
    <w:qFormat/>
    <w:uiPriority w:val="0"/>
    <w:rPr>
      <w:kern w:val="2"/>
      <w:sz w:val="21"/>
      <w:szCs w:val="22"/>
    </w:rPr>
    <w:tblPr>
      <w:tblCellMar>
        <w:top w:w="0" w:type="dxa"/>
        <w:left w:w="0" w:type="dxa"/>
        <w:bottom w:w="0" w:type="dxa"/>
        <w:right w:w="0" w:type="dxa"/>
      </w:tblCellMar>
    </w:tblPr>
  </w:style>
  <w:style w:type="paragraph" w:customStyle="1" w:styleId="130">
    <w:name w:val="+正文"/>
    <w:basedOn w:val="1"/>
    <w:qFormat/>
    <w:uiPriority w:val="99"/>
    <w:pPr>
      <w:spacing w:line="360" w:lineRule="auto"/>
      <w:ind w:firstLine="200" w:firstLineChars="200"/>
    </w:pPr>
  </w:style>
  <w:style w:type="paragraph" w:customStyle="1" w:styleId="131">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格式"/>
    <w:basedOn w:val="1"/>
    <w:qFormat/>
    <w:uiPriority w:val="0"/>
    <w:pPr>
      <w:adjustRightInd w:val="0"/>
      <w:snapToGrid w:val="0"/>
      <w:spacing w:line="400" w:lineRule="atLeast"/>
      <w:ind w:firstLine="482"/>
      <w:textAlignment w:val="baseline"/>
    </w:pPr>
  </w:style>
  <w:style w:type="paragraph" w:customStyle="1" w:styleId="13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16\&#26032;&#29256;&#30923;&#21830;&#25991;&#20214;&#65288;2016.3.24&#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985AB-2C7C-444C-9B84-2A65A7701D3E}">
  <ds:schemaRefs/>
</ds:datastoreItem>
</file>

<file path=docProps/app.xml><?xml version="1.0" encoding="utf-8"?>
<Properties xmlns="http://schemas.openxmlformats.org/officeDocument/2006/extended-properties" xmlns:vt="http://schemas.openxmlformats.org/officeDocument/2006/docPropsVTypes">
  <Template>新版磋商文件（2016.3.24）.dotx</Template>
  <Company>xczx</Company>
  <Pages>41</Pages>
  <Words>22984</Words>
  <Characters>24258</Characters>
  <Lines>695</Lines>
  <Paragraphs>770</Paragraphs>
  <TotalTime>78</TotalTime>
  <ScaleCrop>false</ScaleCrop>
  <LinksUpToDate>false</LinksUpToDate>
  <CharactersWithSpaces>25462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2020-03-18T02:31:00Z</dcterms:created>
  <dc:creator>刘建春</dc:creator>
  <cp:keywords>安康市政府采购管理中心</cp:keywords>
  <cp:lastModifiedBy>WPS_1661228693</cp:lastModifiedBy>
  <cp:lastPrinted>2024-11-26T02:29:00Z</cp:lastPrinted>
  <dcterms:modified xsi:type="dcterms:W3CDTF">2025-06-25T01:54:47Z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83F6CC087B664188978CA7092A469C58_13</vt:lpwstr>
  </property>
  <property fmtid="{D5CDD505-2E9C-101B-9397-08002B2CF9AE}" pid="4" name="KSOTemplateDocerSaveRecord">
    <vt:lpwstr>eyJoZGlkIjoiYjY3NGRlMjFmNzg5MTlhOWRlYTZkNzM0YmI3NzdhMzEiLCJ1c2VySWQiOiIxMzk3NTcwMjkyIn0=</vt:lpwstr>
  </property>
</Properties>
</file>