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版本号：DX2025-17220250610001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部室功能改造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DX2025-172</w:t>
      </w:r>
      <w:r>
        <w:br/>
      </w:r>
      <w:r>
        <w:br/>
      </w:r>
      <w:r>
        <w:br/>
      </w:r>
    </w:p>
    <w:p>
      <w:pPr>
        <w:pStyle w:val="null3"/>
        <w:jc w:val="center"/>
        <w:outlineLvl w:val="2"/>
      </w:pPr>
      <w:r>
        <w:rPr>
          <w:rFonts w:ascii="仿宋_GB2312" w:hAnsi="仿宋_GB2312" w:cs="仿宋_GB2312" w:eastAsia="仿宋_GB2312"/>
          <w:sz w:val="28"/>
          <w:b/>
        </w:rPr>
        <w:t>西安航天城第三小学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西安航天城第三小学</w:t>
      </w:r>
      <w:r>
        <w:rPr>
          <w:rFonts w:ascii="仿宋_GB2312" w:hAnsi="仿宋_GB2312" w:cs="仿宋_GB2312" w:eastAsia="仿宋_GB2312"/>
        </w:rPr>
        <w:t>委托，拟对</w:t>
      </w:r>
      <w:r>
        <w:rPr>
          <w:rFonts w:ascii="仿宋_GB2312" w:hAnsi="仿宋_GB2312" w:cs="仿宋_GB2312" w:eastAsia="仿宋_GB2312"/>
        </w:rPr>
        <w:t>部室功能改造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DX2025-172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部室功能改造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西安航天城第三小学部室功能改造。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采购包1（DX2025-172）：属于专门面向中小企业采购。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：供应商须提供符合《中华人民共和国政府采购法》第二十二条的规定的资格承诺函。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 ：经查，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4、特殊资格 ：1.供应商须具备建筑工程施工总承包三级及以上或建筑装修装饰工程专业承包二级及以上资质，具有合格有效的安全生产许可证； 2.拟派本工程项目经理具有建筑工程专业二级及以上注册建造师资格，具有合格有效的安全生产考核合格证（B证）,本单位注册且无在建工程（提供承诺书）。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西安市航天基地神州二路369号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折敏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029-85839818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聂肖、张亚娜、李纪旋、刘艳娇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代理服务费收费标准：参照国家计委关于《国家发展改革委办公厅关于招标代理服务收费有关问题的通知》（发改价格[2003]857号）、《国家发展改革委关于进一步放开建设项目专业服务价格的通知》收取。 注：代理服务费不足6000元的，按6000元收取。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西安航天城第三小学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西安航天城第三小学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西安航天城第三小学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联系人：张亚娜、李纪旋、聂肖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地址：西安市经济技术开发区凤城十一路与文景路十字文景商务广场B座8层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120000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一、概况及实施范围</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实施</w:t>
            </w:r>
            <w:r>
              <w:rPr>
                <w:rFonts w:ascii="仿宋_GB2312" w:hAnsi="仿宋_GB2312" w:cs="仿宋_GB2312" w:eastAsia="仿宋_GB2312"/>
                <w:sz w:val="21"/>
              </w:rPr>
              <w:t>地点：甲方指定地点；</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、工期：</w:t>
            </w:r>
            <w:r>
              <w:rPr>
                <w:rFonts w:ascii="仿宋_GB2312" w:hAnsi="仿宋_GB2312" w:cs="仿宋_GB2312" w:eastAsia="仿宋_GB2312"/>
                <w:sz w:val="21"/>
              </w:rPr>
              <w:t>45天</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质保期：</w:t>
            </w:r>
            <w:r>
              <w:rPr>
                <w:rFonts w:ascii="仿宋_GB2312" w:hAnsi="仿宋_GB2312" w:cs="仿宋_GB2312" w:eastAsia="仿宋_GB2312"/>
                <w:sz w:val="21"/>
              </w:rPr>
              <w:t>2年</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工程量清单另附</w:t>
            </w:r>
            <w:r>
              <w:rPr>
                <w:rFonts w:ascii="仿宋_GB2312" w:hAnsi="仿宋_GB2312" w:cs="仿宋_GB2312" w:eastAsia="仿宋_GB2312"/>
                <w:sz w:val="21"/>
                <w:b/>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1.各供应商所有分项报价（与最后磋商报价比例一致）同比例下浮。 2.本项目通过电子化交易系统协商，供应商需在电子化交易系统上传响应的文件。中标供应商领取中标（成交）通知书时，向采购代理机构提供一正两副纸质投标文件及电子版1份（签字盖章扫描PDF和word文档格式，U盘存储）。 3.供应商应自协商文件递交截止时间起至开标结束，保持在线状态。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供应商企业关系关联承诺书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人参加只需提供法定代表人身份证明并与营业执照上信息一致）；法定代表人授权他人参加投标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1.供应商须具备建筑工程施工总承包三级及以上或建筑装修装饰工程专业承包二级及以上资质，具有合格有效的安全生产许可证； 2.拟派本工程项目经理具有建筑工程专业二级及以上注册建造师资格，具有合格有效的安全生产考核合格证（B证）,本单位注册且无在建工程（提供承诺书）。</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第一次磋商报价表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已标价工程量清单 第一次磋商报价表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完全理解并接受《供应商廉洁自律承诺书》、《供应商企业关系关联承诺书》、《承诺书》内容。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响应文件对付款、工期、合同条款等商务要求进行响应，根据响应程度计0-3分。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（合同）商务主要条款响应偏差表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提供具体可行的施工方案，包括但不限于：①提供详细的施工方案；②拟投入的施工设施、设备及配置情况；③施工进度计划安排：④施工工作质量、安全、进度控制保障措施：⑤数据及资料管理方案；⑥组织协调内容及措施；⑦工作重点与难点分析及对应措施。 二、评审标准 1、完善性：方案必须全面，对评审内容中的各项要求有详细阐述； 2、可实施性：切合本项目实际情况，提出步骤清晰、合理的方案； 3、针对性：方案能够紧扣项目实际情况，内容科学合理。 上述7项评审内容全部满足评审标准得35分，每有一个评审内容缺项扣5分，每有一项评审内容存在缺陷，扣（0-5）分，扣完为止。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具体可行的人员配置方案，包括但不限于①团队机构设置、组成人员名单（包括但不限于项目经理、技术负责人、施工员、安全员、质量员、资料员），人员岗位职责；②项目经理及团队人员中具有与本项目相关的专业人员证书（包括但不限于学历证、职称证、岗位证书等），提供复印件。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 说明：缺陷是指内容没有结合项目实际需求、虽有内容但不完善、内容表述前后不一致、方案针对性较弱或与项目需求不匹配及其他不利于项目实施的等任意一种情形。 注:项目负责人及团队人员提供有效的相关证书复印件并加盖公章。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针对本项目提供具体可行的应急预案，包括但不限于： ①详细应急保障及应急处理团队； ②针对突发事件及紧急情况（包括防火、防盗、防骗、防事故，发生冰雹、暴雪、暴雨等灾害性天气，地震、火灾及停水、停电等其他突发事件）的应急预案； ③应急处理程序及设施设备。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上述3项评审内容全部满足评审标准得6分，每有一个评审内容缺项扣2分，每有一项评审内容存在缺陷，扣（0-2）分。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具体可行的服务承诺及合理化建议，包括但不限于①服务质量承诺；②服务响应时限、人员到位、安全保障、不能完全履行承诺时愿意接受相关处罚等以及其他服务的承诺；③有利于本项目实施的合理化建议。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上述3项评审内容全部满足评审标准得6分，每有一个评审内容缺项扣2分，每有一项评审内容存在缺陷，扣（0-2）分，扣完为止。 说明：缺陷是指内容没有结合项目实际需求、虽有内容但不完善、内容表述前后不一致、方案针对性较弱或与项目需求不匹配及其他不利于项目实施的等任意一种情形。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供应商具有2022年1月1日至今的类似项目业绩证明文件（以合同签订时间为准），提供合同复印件加盖公章，每提供一份得2分，满分10分。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报价得分=（评审基准价／最终磋商总报价）×权值×100。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第一次磋商报价表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详见附件：（合同）商务主要条款响应偏差表</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详见附件：应急预案</w:t>
      </w:r>
    </w:p>
    <w:p>
      <w:pPr>
        <w:pStyle w:val="null3"/>
        <w:ind w:firstLine="960"/>
      </w:pPr>
      <w:r>
        <w:rPr>
          <w:rFonts w:ascii="仿宋_GB2312" w:hAnsi="仿宋_GB2312" w:cs="仿宋_GB2312" w:eastAsia="仿宋_GB2312"/>
        </w:rPr>
        <w:t>详见附件：服务承诺</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