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bookmarkStart w:id="32" w:name="_GoBack"/>
      <w:bookmarkEnd w:id="32"/>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hint="eastAsia" w:cs="Tahoma" w:asciiTheme="minorHAnsi" w:hAnsiTheme="minorHAnsi"/>
          <w:color w:val="C00000"/>
        </w:rPr>
        <w:t>陕西省西安市消防</w:t>
      </w:r>
      <w:r>
        <w:rPr>
          <w:rFonts w:cs="Tahoma" w:asciiTheme="minorHAnsi" w:hAnsiTheme="minorHAnsi"/>
          <w:color w:val="C00000"/>
        </w:rPr>
        <w:t>救援支队全市指战员团体意外伤害保险采购项目</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XCZX2025-0147</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ins w:id="0" w:author="常巧利" w:date="2025-11-10T11:07:49Z">
        <w:r>
          <w:rPr>
            <w:rFonts w:eastAsia="宋体" w:cs="Tahoma" w:asciiTheme="minorHAnsi" w:hAnsiTheme="minorHAnsi"/>
          </w:rPr>
          <w:t>2025年11月</w:t>
        </w:r>
      </w:ins>
      <w:ins w:id="1" w:author="admin" w:date="2025-11-04T11:12:10Z">
        <w:del w:id="2" w:author="常巧利" w:date="2025-11-10T11:07:49Z">
          <w:r>
            <w:rPr>
              <w:rFonts w:eastAsia="宋体" w:cs="Tahoma" w:asciiTheme="minorHAnsi" w:hAnsiTheme="minorHAnsi"/>
            </w:rPr>
            <w:delText>2025年11月</w:delText>
          </w:r>
        </w:del>
      </w:ins>
      <w:del w:id="3" w:author="常巧利" w:date="2025-11-10T11:07:49Z">
        <w:r>
          <w:rPr>
            <w:rFonts w:hint="eastAsia" w:eastAsia="宋体" w:cs="Tahoma" w:asciiTheme="minorHAnsi" w:hAnsiTheme="minorHAnsi"/>
          </w:rPr>
          <w:delText>2025年10月</w:delText>
        </w:r>
      </w:del>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53C7948C">
      <w:pPr>
        <w:widowControl w:val="0"/>
        <w:topLinePunct/>
        <w:jc w:val="center"/>
        <w:rPr>
          <w:rFonts w:ascii="宋体" w:hAnsi="宋体" w:eastAsia="宋体" w:cs="@华文中宋"/>
          <w:sz w:val="44"/>
          <w:szCs w:val="44"/>
        </w:rPr>
      </w:pPr>
    </w:p>
    <w:p w14:paraId="2A9AB0E7">
      <w:pPr>
        <w:tabs>
          <w:tab w:val="right" w:leader="hyphen" w:pos="8504"/>
        </w:tabs>
        <w:spacing w:before="381" w:after="381"/>
        <w:ind w:left="1760" w:leftChars="200" w:right="480" w:rightChars="200" w:hanging="1280" w:hangingChars="400"/>
        <w:rPr>
          <w:rStyle w:val="31"/>
          <w:rFonts w:asciiTheme="majorEastAsia" w:hAnsiTheme="majorEastAsia" w:eastAsiaTheme="majorEastAsia"/>
          <w:color w:val="auto"/>
          <w:sz w:val="32"/>
          <w:szCs w:val="32"/>
          <w:u w:val="none"/>
        </w:rPr>
      </w:pPr>
      <w:r>
        <w:rPr>
          <w:rStyle w:val="31"/>
          <w:rFonts w:hint="eastAsia" w:asciiTheme="majorEastAsia" w:hAnsiTheme="majorEastAsia" w:eastAsiaTheme="majorEastAsia"/>
          <w:color w:val="auto"/>
          <w:sz w:val="32"/>
          <w:szCs w:val="32"/>
          <w:u w:val="none"/>
        </w:rPr>
        <w:fldChar w:fldCharType="begin"/>
      </w:r>
      <w:r>
        <w:rPr>
          <w:rStyle w:val="31"/>
          <w:rFonts w:hint="eastAsia" w:asciiTheme="majorEastAsia" w:hAnsiTheme="majorEastAsia" w:eastAsiaTheme="majorEastAsia"/>
          <w:color w:val="auto"/>
          <w:sz w:val="32"/>
          <w:szCs w:val="32"/>
          <w:u w:val="none"/>
        </w:rPr>
        <w:instrText xml:space="preserve"> TOC \o "1-1" \f - \t "-1" </w:instrText>
      </w:r>
      <w:r>
        <w:rPr>
          <w:rStyle w:val="31"/>
          <w:rFonts w:hint="eastAsia" w:asciiTheme="majorEastAsia" w:hAnsiTheme="majorEastAsia" w:eastAsiaTheme="majorEastAsia"/>
          <w:color w:val="auto"/>
          <w:sz w:val="32"/>
          <w:szCs w:val="32"/>
          <w:u w:val="none"/>
        </w:rPr>
        <w:fldChar w:fldCharType="separate"/>
      </w:r>
      <w:r>
        <w:rPr>
          <w:rStyle w:val="31"/>
          <w:rFonts w:hint="eastAsia" w:asciiTheme="majorEastAsia" w:hAnsiTheme="majorEastAsia" w:eastAsiaTheme="majorEastAsia"/>
          <w:color w:val="auto"/>
          <w:sz w:val="32"/>
          <w:szCs w:val="32"/>
          <w:u w:val="none"/>
        </w:rPr>
        <w:t>第一章  投</w:t>
      </w:r>
      <w:r>
        <w:rPr>
          <w:rStyle w:val="31"/>
          <w:rFonts w:hint="eastAsia" w:cs="微软雅黑" w:asciiTheme="majorEastAsia" w:hAnsiTheme="majorEastAsia" w:eastAsiaTheme="majorEastAsia"/>
          <w:color w:val="auto"/>
          <w:sz w:val="32"/>
          <w:szCs w:val="32"/>
          <w:u w:val="none"/>
        </w:rPr>
        <w:t>标</w:t>
      </w:r>
      <w:r>
        <w:rPr>
          <w:rStyle w:val="31"/>
          <w:rFonts w:hint="eastAsia" w:cs="MS Mincho" w:asciiTheme="majorEastAsia" w:hAnsiTheme="majorEastAsia" w:eastAsiaTheme="majorEastAsia"/>
          <w:color w:val="auto"/>
          <w:sz w:val="32"/>
          <w:szCs w:val="32"/>
          <w:u w:val="none"/>
        </w:rPr>
        <w:t>邀</w:t>
      </w:r>
      <w:r>
        <w:rPr>
          <w:rStyle w:val="31"/>
          <w:rFonts w:hint="eastAsia" w:cs="微软雅黑" w:asciiTheme="majorEastAsia" w:hAnsiTheme="majorEastAsia" w:eastAsiaTheme="majorEastAsia"/>
          <w:color w:val="auto"/>
          <w:sz w:val="32"/>
          <w:szCs w:val="32"/>
          <w:u w:val="none"/>
        </w:rPr>
        <w:t>请</w:t>
      </w:r>
      <w:r>
        <w:rPr>
          <w:rStyle w:val="31"/>
          <w:rFonts w:hint="eastAsia" w:cs="MS Mincho" w:asciiTheme="majorEastAsia" w:hAnsiTheme="majorEastAsia" w:eastAsiaTheme="majorEastAsia"/>
          <w:color w:val="auto"/>
          <w:sz w:val="32"/>
          <w:szCs w:val="32"/>
          <w:u w:val="none"/>
        </w:rPr>
        <w:t>函</w:t>
      </w:r>
      <w:r>
        <w:rPr>
          <w:rStyle w:val="31"/>
          <w:rFonts w:hint="eastAsia" w:asciiTheme="majorEastAsia" w:hAnsiTheme="majorEastAsia" w:eastAsiaTheme="majorEastAsia"/>
          <w:color w:val="auto"/>
          <w:sz w:val="32"/>
          <w:szCs w:val="32"/>
          <w:u w:val="none"/>
        </w:rPr>
        <w:tab/>
      </w:r>
      <w:r>
        <w:rPr>
          <w:rStyle w:val="31"/>
          <w:rFonts w:hint="eastAsia" w:asciiTheme="majorEastAsia" w:hAnsiTheme="majorEastAsia" w:eastAsiaTheme="majorEastAsia"/>
          <w:color w:val="auto"/>
          <w:sz w:val="32"/>
          <w:szCs w:val="32"/>
          <w:u w:val="none"/>
        </w:rPr>
        <w:t>1</w:t>
      </w:r>
    </w:p>
    <w:p w14:paraId="0B8152EE">
      <w:pPr>
        <w:tabs>
          <w:tab w:val="right" w:leader="hyphen" w:pos="8504"/>
        </w:tabs>
        <w:spacing w:before="381" w:after="381"/>
        <w:ind w:left="1760" w:leftChars="200" w:right="480" w:rightChars="200" w:hanging="1280" w:hangingChars="400"/>
        <w:rPr>
          <w:rStyle w:val="31"/>
          <w:rFonts w:asciiTheme="majorEastAsia" w:hAnsiTheme="majorEastAsia" w:eastAsiaTheme="majorEastAsia"/>
          <w:color w:val="auto"/>
          <w:sz w:val="32"/>
          <w:szCs w:val="32"/>
          <w:u w:val="none"/>
        </w:rPr>
      </w:pPr>
      <w:r>
        <w:rPr>
          <w:rStyle w:val="31"/>
          <w:rFonts w:hint="eastAsia" w:asciiTheme="majorEastAsia" w:hAnsiTheme="majorEastAsia" w:eastAsiaTheme="majorEastAsia"/>
          <w:color w:val="auto"/>
          <w:sz w:val="32"/>
          <w:szCs w:val="32"/>
          <w:u w:val="none"/>
        </w:rPr>
        <w:t>第二章  供</w:t>
      </w:r>
      <w:r>
        <w:rPr>
          <w:rStyle w:val="31"/>
          <w:rFonts w:hint="eastAsia" w:cs="微软雅黑" w:asciiTheme="majorEastAsia" w:hAnsiTheme="majorEastAsia" w:eastAsiaTheme="majorEastAsia"/>
          <w:color w:val="auto"/>
          <w:sz w:val="32"/>
          <w:szCs w:val="32"/>
          <w:u w:val="none"/>
        </w:rPr>
        <w:t>应</w:t>
      </w:r>
      <w:r>
        <w:rPr>
          <w:rStyle w:val="31"/>
          <w:rFonts w:hint="eastAsia" w:cs="MS Mincho" w:asciiTheme="majorEastAsia" w:hAnsiTheme="majorEastAsia" w:eastAsiaTheme="majorEastAsia"/>
          <w:color w:val="auto"/>
          <w:sz w:val="32"/>
          <w:szCs w:val="32"/>
          <w:u w:val="none"/>
        </w:rPr>
        <w:t>商</w:t>
      </w:r>
      <w:r>
        <w:rPr>
          <w:rStyle w:val="31"/>
          <w:rFonts w:hint="eastAsia" w:cs="微软雅黑" w:asciiTheme="majorEastAsia" w:hAnsiTheme="majorEastAsia" w:eastAsiaTheme="majorEastAsia"/>
          <w:color w:val="auto"/>
          <w:sz w:val="32"/>
          <w:szCs w:val="32"/>
          <w:u w:val="none"/>
        </w:rPr>
        <w:t>须</w:t>
      </w:r>
      <w:r>
        <w:rPr>
          <w:rStyle w:val="31"/>
          <w:rFonts w:hint="eastAsia" w:cs="MS Mincho" w:asciiTheme="majorEastAsia" w:hAnsiTheme="majorEastAsia" w:eastAsiaTheme="majorEastAsia"/>
          <w:color w:val="auto"/>
          <w:sz w:val="32"/>
          <w:szCs w:val="32"/>
          <w:u w:val="none"/>
        </w:rPr>
        <w:t>知</w:t>
      </w:r>
      <w:r>
        <w:rPr>
          <w:rStyle w:val="31"/>
          <w:rFonts w:hint="eastAsia" w:asciiTheme="majorEastAsia" w:hAnsiTheme="majorEastAsia" w:eastAsiaTheme="majorEastAsia"/>
          <w:color w:val="auto"/>
          <w:sz w:val="32"/>
          <w:szCs w:val="32"/>
          <w:u w:val="none"/>
        </w:rPr>
        <w:tab/>
      </w:r>
      <w:r>
        <w:rPr>
          <w:rStyle w:val="31"/>
          <w:rFonts w:hint="eastAsia" w:asciiTheme="majorEastAsia" w:hAnsiTheme="majorEastAsia" w:eastAsiaTheme="majorEastAsia"/>
          <w:color w:val="auto"/>
          <w:sz w:val="32"/>
          <w:szCs w:val="32"/>
          <w:u w:val="none"/>
        </w:rPr>
        <w:t>4</w:t>
      </w:r>
    </w:p>
    <w:p w14:paraId="7B573319">
      <w:pPr>
        <w:tabs>
          <w:tab w:val="right" w:leader="hyphen" w:pos="8504"/>
        </w:tabs>
        <w:spacing w:before="381" w:after="381"/>
        <w:ind w:left="1760" w:leftChars="200" w:right="480" w:rightChars="200" w:hanging="1280" w:hangingChars="400"/>
        <w:rPr>
          <w:rStyle w:val="31"/>
          <w:rFonts w:asciiTheme="majorEastAsia" w:hAnsiTheme="majorEastAsia" w:eastAsiaTheme="majorEastAsia"/>
          <w:color w:val="auto"/>
          <w:sz w:val="32"/>
          <w:szCs w:val="32"/>
          <w:u w:val="none"/>
        </w:rPr>
      </w:pPr>
      <w:r>
        <w:rPr>
          <w:rStyle w:val="31"/>
          <w:rFonts w:hint="eastAsia" w:asciiTheme="majorEastAsia" w:hAnsiTheme="majorEastAsia" w:eastAsiaTheme="majorEastAsia"/>
          <w:color w:val="auto"/>
          <w:sz w:val="32"/>
          <w:szCs w:val="32"/>
          <w:u w:val="none"/>
        </w:rPr>
        <w:t>第三章  招</w:t>
      </w:r>
      <w:r>
        <w:rPr>
          <w:rStyle w:val="31"/>
          <w:rFonts w:hint="eastAsia" w:cs="微软雅黑" w:asciiTheme="majorEastAsia" w:hAnsiTheme="majorEastAsia" w:eastAsiaTheme="majorEastAsia"/>
          <w:color w:val="auto"/>
          <w:sz w:val="32"/>
          <w:szCs w:val="32"/>
          <w:u w:val="none"/>
        </w:rPr>
        <w:t>标</w:t>
      </w:r>
      <w:r>
        <w:rPr>
          <w:rStyle w:val="31"/>
          <w:rFonts w:hint="eastAsia" w:cs="MS Mincho" w:asciiTheme="majorEastAsia" w:hAnsiTheme="majorEastAsia" w:eastAsiaTheme="majorEastAsia"/>
          <w:color w:val="auto"/>
          <w:sz w:val="32"/>
          <w:szCs w:val="32"/>
          <w:u w:val="none"/>
        </w:rPr>
        <w:t>内容及要求</w:t>
      </w:r>
      <w:r>
        <w:rPr>
          <w:rStyle w:val="31"/>
          <w:rFonts w:hint="eastAsia" w:asciiTheme="majorEastAsia" w:hAnsiTheme="majorEastAsia" w:eastAsiaTheme="majorEastAsia"/>
          <w:color w:val="auto"/>
          <w:sz w:val="32"/>
          <w:szCs w:val="32"/>
          <w:u w:val="none"/>
        </w:rPr>
        <w:tab/>
      </w:r>
      <w:r>
        <w:rPr>
          <w:rStyle w:val="31"/>
          <w:rFonts w:asciiTheme="majorEastAsia" w:hAnsiTheme="majorEastAsia" w:eastAsiaTheme="majorEastAsia"/>
          <w:color w:val="auto"/>
          <w:sz w:val="32"/>
          <w:szCs w:val="32"/>
          <w:u w:val="none"/>
        </w:rPr>
        <w:t>34</w:t>
      </w:r>
    </w:p>
    <w:p w14:paraId="5B504097">
      <w:pPr>
        <w:tabs>
          <w:tab w:val="right" w:leader="hyphen" w:pos="8504"/>
        </w:tabs>
        <w:spacing w:before="381" w:after="381"/>
        <w:ind w:left="1760" w:leftChars="200" w:right="480" w:rightChars="200" w:hanging="1280" w:hangingChars="400"/>
        <w:rPr>
          <w:rStyle w:val="31"/>
          <w:rFonts w:asciiTheme="majorEastAsia" w:hAnsiTheme="majorEastAsia" w:eastAsiaTheme="majorEastAsia"/>
          <w:color w:val="auto"/>
          <w:sz w:val="32"/>
          <w:szCs w:val="32"/>
          <w:u w:val="none"/>
        </w:rPr>
      </w:pPr>
      <w:r>
        <w:rPr>
          <w:rStyle w:val="31"/>
          <w:rFonts w:hint="eastAsia" w:asciiTheme="majorEastAsia" w:hAnsiTheme="majorEastAsia" w:eastAsiaTheme="majorEastAsia"/>
          <w:color w:val="auto"/>
          <w:sz w:val="32"/>
          <w:szCs w:val="32"/>
          <w:u w:val="none"/>
        </w:rPr>
        <w:t>第四章  合同文本</w:t>
      </w:r>
      <w:r>
        <w:rPr>
          <w:rStyle w:val="31"/>
          <w:rFonts w:hint="eastAsia" w:asciiTheme="majorEastAsia" w:hAnsiTheme="majorEastAsia" w:eastAsiaTheme="majorEastAsia"/>
          <w:color w:val="auto"/>
          <w:sz w:val="32"/>
          <w:szCs w:val="32"/>
          <w:u w:val="none"/>
        </w:rPr>
        <w:tab/>
      </w:r>
      <w:r>
        <w:rPr>
          <w:rStyle w:val="31"/>
          <w:rFonts w:asciiTheme="majorEastAsia" w:hAnsiTheme="majorEastAsia" w:eastAsiaTheme="majorEastAsia"/>
          <w:color w:val="auto"/>
          <w:sz w:val="32"/>
          <w:szCs w:val="32"/>
          <w:u w:val="none"/>
        </w:rPr>
        <w:t>38</w:t>
      </w:r>
    </w:p>
    <w:p w14:paraId="30CABA19">
      <w:pPr>
        <w:tabs>
          <w:tab w:val="right" w:leader="hyphen" w:pos="8504"/>
        </w:tabs>
        <w:spacing w:before="381" w:after="381"/>
        <w:ind w:left="1760" w:leftChars="200" w:right="480" w:rightChars="200" w:hanging="1280" w:hangingChars="400"/>
        <w:rPr>
          <w:rStyle w:val="31"/>
          <w:rFonts w:asciiTheme="majorEastAsia" w:hAnsiTheme="majorEastAsia" w:eastAsiaTheme="majorEastAsia"/>
          <w:color w:val="auto"/>
          <w:sz w:val="32"/>
          <w:szCs w:val="32"/>
          <w:u w:val="none"/>
        </w:rPr>
      </w:pPr>
      <w:r>
        <w:rPr>
          <w:rStyle w:val="31"/>
          <w:rFonts w:hint="eastAsia" w:asciiTheme="majorEastAsia" w:hAnsiTheme="majorEastAsia" w:eastAsiaTheme="majorEastAsia"/>
          <w:color w:val="auto"/>
          <w:sz w:val="32"/>
          <w:szCs w:val="32"/>
          <w:u w:val="none"/>
        </w:rPr>
        <w:t>第五章  投</w:t>
      </w:r>
      <w:r>
        <w:rPr>
          <w:rStyle w:val="31"/>
          <w:rFonts w:hint="eastAsia" w:cs="微软雅黑" w:asciiTheme="majorEastAsia" w:hAnsiTheme="majorEastAsia" w:eastAsiaTheme="majorEastAsia"/>
          <w:color w:val="auto"/>
          <w:sz w:val="32"/>
          <w:szCs w:val="32"/>
          <w:u w:val="none"/>
        </w:rPr>
        <w:t>标</w:t>
      </w:r>
      <w:r>
        <w:rPr>
          <w:rStyle w:val="31"/>
          <w:rFonts w:hint="eastAsia" w:cs="MS Mincho" w:asciiTheme="majorEastAsia" w:hAnsiTheme="majorEastAsia" w:eastAsiaTheme="majorEastAsia"/>
          <w:color w:val="auto"/>
          <w:sz w:val="32"/>
          <w:szCs w:val="32"/>
          <w:u w:val="none"/>
        </w:rPr>
        <w:t>文件构成及格</w:t>
      </w:r>
      <w:r>
        <w:rPr>
          <w:rStyle w:val="31"/>
          <w:rFonts w:hint="eastAsia" w:asciiTheme="majorEastAsia" w:hAnsiTheme="majorEastAsia" w:eastAsiaTheme="majorEastAsia"/>
          <w:color w:val="auto"/>
          <w:sz w:val="32"/>
          <w:szCs w:val="32"/>
          <w:u w:val="none"/>
        </w:rPr>
        <w:t>式</w:t>
      </w:r>
      <w:r>
        <w:rPr>
          <w:rStyle w:val="31"/>
          <w:rFonts w:hint="eastAsia" w:asciiTheme="majorEastAsia" w:hAnsiTheme="majorEastAsia" w:eastAsiaTheme="majorEastAsia"/>
          <w:color w:val="auto"/>
          <w:sz w:val="32"/>
          <w:szCs w:val="32"/>
          <w:u w:val="none"/>
        </w:rPr>
        <w:tab/>
      </w:r>
      <w:r>
        <w:rPr>
          <w:rStyle w:val="31"/>
          <w:rFonts w:asciiTheme="majorEastAsia" w:hAnsiTheme="majorEastAsia" w:eastAsiaTheme="majorEastAsia"/>
          <w:color w:val="auto"/>
          <w:sz w:val="32"/>
          <w:szCs w:val="32"/>
          <w:u w:val="none"/>
        </w:rPr>
        <w:t>42</w:t>
      </w:r>
    </w:p>
    <w:p w14:paraId="41D1F5B5">
      <w:pPr>
        <w:pStyle w:val="19"/>
        <w:tabs>
          <w:tab w:val="right" w:leader="dot" w:pos="8890"/>
        </w:tabs>
        <w:spacing w:before="460" w:after="460"/>
        <w:rPr>
          <w:rFonts w:cstheme="minorHAnsi"/>
          <w:sz w:val="36"/>
          <w:szCs w:val="36"/>
        </w:rPr>
      </w:pPr>
      <w:r>
        <w:rPr>
          <w:rStyle w:val="31"/>
          <w:rFonts w:hint="eastAsia" w:asciiTheme="majorEastAsia" w:hAnsiTheme="majorEastAsia" w:eastAsiaTheme="majorEastAsia"/>
          <w:color w:val="auto"/>
          <w:szCs w:val="32"/>
          <w:u w:val="none"/>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100219612"/>
      <w:r>
        <w:rPr>
          <w:rFonts w:hint="eastAsia"/>
        </w:rPr>
        <w:t>第一章　投标邀请函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西安市消防</w:t>
      </w:r>
      <w:r>
        <w:rPr>
          <w:color w:val="C00000"/>
        </w:rPr>
        <w:t>救援支队</w:t>
      </w:r>
      <w:r>
        <w:rPr>
          <w:rFonts w:hint="eastAsia"/>
        </w:rPr>
        <w:t>的委托，经政府采购监管部门批准，按照政府采购程序，对</w:t>
      </w:r>
      <w:bookmarkStart w:id="1" w:name="OLE_LINK1"/>
      <w:bookmarkStart w:id="2" w:name="OLE_LINK2"/>
      <w:r>
        <w:rPr>
          <w:rFonts w:hint="eastAsia" w:cs="Tahoma"/>
          <w:color w:val="C00000"/>
        </w:rPr>
        <w:t>陕西省西安市消防</w:t>
      </w:r>
      <w:r>
        <w:rPr>
          <w:rFonts w:cs="Tahoma"/>
          <w:color w:val="C00000"/>
        </w:rPr>
        <w:t>救援支队全市指战员团体意外伤害保险采购项目</w:t>
      </w:r>
      <w:bookmarkEnd w:id="1"/>
      <w:bookmarkEnd w:id="2"/>
      <w:r>
        <w:rPr>
          <w:rFonts w:hint="eastAsia"/>
        </w:rPr>
        <w:t>进行公开招标，欢迎符合资格条件的、有能力提供本项目所需货物和服务的供应商参加投标。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s="Tahoma"/>
          <w:color w:val="C00000"/>
        </w:rPr>
        <w:t>陕西省西安市消防</w:t>
      </w:r>
      <w:r>
        <w:rPr>
          <w:rFonts w:cs="Tahoma"/>
          <w:color w:val="C00000"/>
        </w:rPr>
        <w:t>救援支队全市指战员团体意外伤害保险采购项目</w:t>
      </w:r>
    </w:p>
    <w:p w14:paraId="6C237C05">
      <w:pPr>
        <w:widowControl w:val="0"/>
        <w:topLinePunct/>
        <w:ind w:firstLine="480" w:firstLineChars="200"/>
        <w:jc w:val="both"/>
      </w:pPr>
      <w:r>
        <w:rPr>
          <w:rFonts w:hint="eastAsia"/>
        </w:rPr>
        <w:t>项目编号：</w:t>
      </w:r>
      <w:r>
        <w:rPr>
          <w:rFonts w:hint="eastAsia"/>
          <w:color w:val="C00000"/>
        </w:rPr>
        <w:t>XCZX202</w:t>
      </w:r>
      <w:r>
        <w:rPr>
          <w:color w:val="C00000"/>
        </w:rPr>
        <w:t>5</w:t>
      </w:r>
      <w:r>
        <w:rPr>
          <w:rFonts w:hint="eastAsia"/>
          <w:color w:val="C00000"/>
        </w:rPr>
        <w:t>-</w:t>
      </w:r>
      <w:r>
        <w:rPr>
          <w:color w:val="C00000"/>
        </w:rPr>
        <w:t>0147</w:t>
      </w:r>
    </w:p>
    <w:p w14:paraId="2859C042">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w:t>
      </w:r>
      <w:r>
        <w:rPr>
          <w:color w:val="C00000"/>
        </w:rPr>
        <w:t>025-04709</w:t>
      </w:r>
    </w:p>
    <w:p w14:paraId="11EC738C">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14:paraId="143219DA">
      <w:pPr>
        <w:widowControl w:val="0"/>
        <w:topLinePunct/>
        <w:ind w:firstLine="480" w:firstLineChars="200"/>
        <w:jc w:val="both"/>
        <w:rPr>
          <w:color w:val="C00000"/>
        </w:rPr>
      </w:pPr>
      <w:r>
        <w:rPr>
          <w:rFonts w:hint="eastAsia"/>
          <w:b/>
        </w:rPr>
        <w:t>三、采购预算：</w:t>
      </w:r>
      <w:r>
        <w:rPr>
          <w:rFonts w:hint="eastAsia"/>
          <w:color w:val="C00000"/>
        </w:rPr>
        <w:t>〈</w:t>
      </w:r>
      <w:bookmarkStart w:id="3" w:name="OLE_LINK3"/>
      <w:bookmarkStart w:id="4" w:name="OLE_LINK4"/>
      <w:r>
        <w:rPr>
          <w:color w:val="C00000"/>
        </w:rPr>
        <w:t>6654790</w:t>
      </w:r>
      <w:bookmarkEnd w:id="3"/>
      <w:bookmarkEnd w:id="4"/>
      <w:r>
        <w:rPr>
          <w:rFonts w:hint="eastAsia"/>
          <w:color w:val="C00000"/>
        </w:rPr>
        <w:t>元〉（最高限价</w:t>
      </w:r>
      <w:r>
        <w:rPr>
          <w:color w:val="C00000"/>
        </w:rPr>
        <w:t>6654790</w:t>
      </w:r>
      <w:r>
        <w:rPr>
          <w:rFonts w:hint="eastAsia"/>
          <w:color w:val="C00000"/>
        </w:rPr>
        <w:t>元）</w:t>
      </w:r>
    </w:p>
    <w:p w14:paraId="371969CC">
      <w:pPr>
        <w:widowControl w:val="0"/>
        <w:topLinePunct/>
        <w:ind w:firstLine="480" w:firstLineChars="200"/>
        <w:jc w:val="both"/>
      </w:pPr>
      <w:r>
        <w:rPr>
          <w:b/>
        </w:rPr>
        <w:t>四、采购</w:t>
      </w:r>
      <w:r>
        <w:rPr>
          <w:rFonts w:hint="eastAsia"/>
          <w:b/>
        </w:rPr>
        <w:t>内容和要求：</w:t>
      </w:r>
    </w:p>
    <w:p w14:paraId="1302B463">
      <w:pPr>
        <w:widowControl w:val="0"/>
        <w:topLinePunct/>
        <w:ind w:firstLine="480" w:firstLineChars="200"/>
        <w:jc w:val="both"/>
        <w:rPr>
          <w:rFonts w:cs="Tahoma"/>
          <w:color w:val="C00000"/>
        </w:rPr>
      </w:pPr>
      <w:r>
        <w:rPr>
          <w:rFonts w:hint="eastAsia" w:cs="Tahoma"/>
          <w:color w:val="C00000"/>
        </w:rPr>
        <w:t>陕西省西安市消防</w:t>
      </w:r>
      <w:r>
        <w:rPr>
          <w:rFonts w:cs="Tahoma"/>
          <w:color w:val="C00000"/>
        </w:rPr>
        <w:t>救援支队全市指战员团体意外伤害保险采购项目</w:t>
      </w:r>
    </w:p>
    <w:p w14:paraId="64FC89D4">
      <w:pPr>
        <w:widowControl w:val="0"/>
        <w:topLinePunct/>
        <w:ind w:firstLine="480" w:firstLineChars="200"/>
        <w:jc w:val="both"/>
      </w:pPr>
      <w:r>
        <w:rPr>
          <w:rFonts w:hint="eastAsia"/>
        </w:rPr>
        <w:t>详见第三章「招标内容及要求」。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w:t>
      </w:r>
      <w:r>
        <w:rPr>
          <w:u w:val="single"/>
        </w:rPr>
        <w:t>025</w:t>
      </w:r>
      <w:r>
        <w:rPr>
          <w:rFonts w:hint="eastAsia"/>
        </w:rPr>
        <w:t>年</w:t>
      </w:r>
      <w:r>
        <w:rPr>
          <w:rFonts w:hint="eastAsia"/>
          <w:u w:val="single"/>
        </w:rPr>
        <w:t>_</w:t>
      </w:r>
      <w:r>
        <w:rPr>
          <w:u w:val="single"/>
        </w:rPr>
        <w:t>11_</w:t>
      </w:r>
      <w:r>
        <w:rPr>
          <w:rFonts w:hint="eastAsia"/>
        </w:rPr>
        <w:t>月_</w:t>
      </w:r>
      <w:r>
        <w:rPr>
          <w:u w:val="single"/>
        </w:rPr>
        <w:t>04_</w:t>
      </w:r>
      <w:r>
        <w:rPr>
          <w:rFonts w:hint="eastAsia"/>
        </w:rPr>
        <w:t>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w:t>
      </w:r>
      <w:r>
        <w:rPr>
          <w:u w:val="single"/>
        </w:rPr>
        <w:t>025</w:t>
      </w:r>
      <w:r>
        <w:rPr>
          <w:rFonts w:hint="eastAsia"/>
        </w:rPr>
        <w:t>年</w:t>
      </w:r>
      <w:r>
        <w:rPr>
          <w:rFonts w:hint="eastAsia"/>
          <w:u w:val="single"/>
        </w:rPr>
        <w:t>_</w:t>
      </w:r>
      <w:r>
        <w:rPr>
          <w:u w:val="single"/>
        </w:rPr>
        <w:t>11_</w:t>
      </w:r>
      <w:r>
        <w:rPr>
          <w:rFonts w:hint="eastAsia"/>
        </w:rPr>
        <w:t>月_</w:t>
      </w:r>
      <w:r>
        <w:rPr>
          <w:u w:val="single"/>
        </w:rPr>
        <w:t>04_</w:t>
      </w:r>
      <w:r>
        <w:rPr>
          <w:rFonts w:hint="eastAsia"/>
        </w:rPr>
        <w:t>日10:30</w:t>
      </w:r>
    </w:p>
    <w:p w14:paraId="75602388">
      <w:pPr>
        <w:widowControl w:val="0"/>
        <w:topLinePunct/>
        <w:ind w:firstLine="480" w:firstLineChars="200"/>
        <w:jc w:val="both"/>
      </w:pPr>
      <w:r>
        <w:rPr>
          <w:rFonts w:hint="eastAsia"/>
        </w:rPr>
        <w:t>2．</w:t>
      </w:r>
      <w:r>
        <w:t>开标</w:t>
      </w:r>
      <w:r>
        <w:rPr>
          <w:rFonts w:hint="eastAsia"/>
        </w:rPr>
        <w:t>地点：本集采机构虚拟开标室</w:t>
      </w:r>
      <w:r>
        <w:rPr>
          <w:rFonts w:hint="eastAsia"/>
          <w:u w:val="single"/>
        </w:rPr>
        <w:t>_</w:t>
      </w:r>
      <w:r>
        <w:rPr>
          <w:u w:val="single"/>
        </w:rPr>
        <w:t>5</w:t>
      </w:r>
      <w:r>
        <w:rPr>
          <w:rFonts w:hint="eastAsia"/>
          <w:u w:val="single"/>
        </w:rPr>
        <w:t>_</w:t>
      </w:r>
      <w:r>
        <w:rPr>
          <w:rFonts w:hint="eastAsia"/>
        </w:rPr>
        <w:t>。</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DBEE019">
      <w:pPr>
        <w:widowControl w:val="0"/>
        <w:topLinePunct/>
        <w:ind w:firstLine="480" w:firstLineChars="200"/>
        <w:jc w:val="both"/>
      </w:pPr>
      <w:r>
        <w:rPr>
          <w:rFonts w:hint="eastAsia"/>
        </w:rPr>
        <w:t>1．采购人：</w:t>
      </w:r>
      <w:r>
        <w:rPr>
          <w:rFonts w:cs="Calibri Light" w:asciiTheme="minorEastAsia" w:hAnsiTheme="minorEastAsia"/>
        </w:rPr>
        <w:t>西安市消防救援支队</w:t>
      </w:r>
    </w:p>
    <w:p w14:paraId="6EA7D88D">
      <w:pPr>
        <w:widowControl w:val="0"/>
        <w:topLinePunct/>
        <w:ind w:firstLine="480" w:firstLineChars="200"/>
        <w:jc w:val="both"/>
      </w:pPr>
      <w:r>
        <w:rPr>
          <w:rFonts w:hint="eastAsia"/>
        </w:rPr>
        <w:t>地址：</w:t>
      </w:r>
      <w:bookmarkStart w:id="5" w:name="OLE_LINK14"/>
      <w:bookmarkStart w:id="6" w:name="OLE_LINK17"/>
      <w:bookmarkStart w:id="7" w:name="OLE_LINK7"/>
      <w:bookmarkStart w:id="8" w:name="OLE_LINK8"/>
      <w:r>
        <w:rPr>
          <w:rFonts w:hint="eastAsia" w:cs="Calibri Light" w:asciiTheme="minorEastAsia" w:hAnsiTheme="minorEastAsia"/>
        </w:rPr>
        <w:t>陕西省西安市雁塔区科技七路10号西安市消防救援支队</w:t>
      </w:r>
      <w:bookmarkEnd w:id="5"/>
      <w:bookmarkEnd w:id="6"/>
    </w:p>
    <w:bookmarkEnd w:id="7"/>
    <w:bookmarkEnd w:id="8"/>
    <w:p w14:paraId="382B7F47">
      <w:pPr>
        <w:widowControl w:val="0"/>
        <w:topLinePunct/>
        <w:ind w:firstLine="480" w:firstLineChars="200"/>
        <w:jc w:val="both"/>
      </w:pPr>
      <w:r>
        <w:rPr>
          <w:rFonts w:hint="eastAsia"/>
        </w:rPr>
        <w:t>联系人：</w:t>
      </w:r>
      <w:r>
        <w:rPr>
          <w:rFonts w:hint="eastAsia" w:cs="Calibri Light" w:asciiTheme="minorEastAsia" w:hAnsiTheme="minorEastAsia"/>
        </w:rPr>
        <w:t>贺老师</w:t>
      </w:r>
    </w:p>
    <w:p w14:paraId="3C1FF4EC">
      <w:pPr>
        <w:widowControl w:val="0"/>
        <w:topLinePunct/>
        <w:ind w:firstLine="480" w:firstLineChars="200"/>
        <w:jc w:val="both"/>
      </w:pPr>
      <w:r>
        <w:rPr>
          <w:rFonts w:hint="eastAsia"/>
        </w:rPr>
        <w:t>联系电话：</w:t>
      </w:r>
      <w:r>
        <w:t>18191580897</w:t>
      </w:r>
      <w:r>
        <w:rPr>
          <w:rFonts w:hint="eastAsia"/>
        </w:rPr>
        <w:t xml:space="preserve"> </w:t>
      </w:r>
    </w:p>
    <w:p w14:paraId="63AFE05B">
      <w:pPr>
        <w:widowControl w:val="0"/>
        <w:topLinePunct/>
        <w:ind w:firstLine="480" w:firstLineChars="200"/>
        <w:jc w:val="both"/>
      </w:pPr>
      <w:r>
        <w:rPr>
          <w:rFonts w:hint="eastAsia"/>
        </w:rPr>
        <w:t>2．采购代理机构：西安市市级单位政府采购中心</w:t>
      </w:r>
    </w:p>
    <w:p w14:paraId="6D3EDFE4">
      <w:pPr>
        <w:widowControl w:val="0"/>
        <w:topLinePunct/>
        <w:ind w:firstLine="480" w:firstLineChars="200"/>
        <w:jc w:val="both"/>
      </w:pPr>
      <w:r>
        <w:rPr>
          <w:rFonts w:hint="eastAsia"/>
        </w:rPr>
        <w:t>地址：西安市未央区文景北路16号白桦林国际B座</w:t>
      </w:r>
    </w:p>
    <w:p w14:paraId="2020300E">
      <w:pPr>
        <w:widowControl w:val="0"/>
        <w:topLinePunct/>
        <w:ind w:firstLine="480" w:firstLineChars="200"/>
        <w:jc w:val="both"/>
      </w:pPr>
      <w:r>
        <w:rPr>
          <w:rFonts w:hint="eastAsia"/>
        </w:rPr>
        <w:t>总机：029-86510091/86510092/86510093</w:t>
      </w:r>
    </w:p>
    <w:p w14:paraId="0DE0573D">
      <w:pPr>
        <w:widowControl w:val="0"/>
        <w:topLinePunct/>
        <w:ind w:firstLine="480" w:firstLineChars="200"/>
        <w:jc w:val="both"/>
      </w:pPr>
      <w:r>
        <w:rPr>
          <w:rFonts w:hint="eastAsia"/>
        </w:rPr>
        <w:t>标书联系人及分机号：</w:t>
      </w:r>
      <w:r>
        <w:rPr>
          <w:rFonts w:hint="eastAsia" w:cs="Calibri Light" w:asciiTheme="minorEastAsia" w:hAnsiTheme="minorEastAsia"/>
        </w:rPr>
        <w:t>徐老师（</w:t>
      </w:r>
      <w:r>
        <w:rPr>
          <w:rFonts w:cs="Calibri Light" w:asciiTheme="minorEastAsia" w:hAnsiTheme="minorEastAsia"/>
        </w:rPr>
        <w:t>80813</w:t>
      </w:r>
      <w:r>
        <w:rPr>
          <w:rFonts w:hint="eastAsia" w:cs="Calibri Light" w:asciiTheme="minorEastAsia" w:hAnsiTheme="minorEastAsia"/>
        </w:rPr>
        <w:t>）</w:t>
      </w:r>
    </w:p>
    <w:p w14:paraId="6F1334A2">
      <w:pPr>
        <w:widowControl w:val="0"/>
        <w:topLinePunct/>
        <w:ind w:firstLine="480" w:firstLineChars="200"/>
        <w:jc w:val="both"/>
      </w:pPr>
      <w:r>
        <w:rPr>
          <w:rFonts w:hint="eastAsia"/>
        </w:rPr>
        <w:t>开标联系人及分机号：张老师（</w:t>
      </w:r>
      <w:r>
        <w:t>80835</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9" w:name="_Toc100219613"/>
      <w:bookmarkStart w:id="10" w:name="_Toc533363235"/>
      <w:bookmarkStart w:id="11" w:name="_Toc534656409"/>
      <w:bookmarkStart w:id="12" w:name="_Toc534656414"/>
      <w:bookmarkStart w:id="13" w:name="_Toc445407251"/>
      <w:bookmarkStart w:id="14" w:name="_Toc533363262"/>
      <w:bookmarkStart w:id="15" w:name="_Toc498349068"/>
      <w:bookmarkStart w:id="16" w:name="_Toc97563329"/>
      <w:r>
        <w:t>第二章</w:t>
      </w:r>
      <w:r>
        <w:rPr>
          <w:rFonts w:hint="eastAsia"/>
        </w:rPr>
        <w:t>　</w:t>
      </w:r>
      <w:r>
        <w:t>供应商须知</w:t>
      </w:r>
      <w:bookmarkEnd w:id="9"/>
      <w:bookmarkEnd w:id="10"/>
      <w:bookmarkEnd w:id="11"/>
      <w:bookmarkEnd w:id="12"/>
      <w:bookmarkEnd w:id="13"/>
      <w:bookmarkEnd w:id="14"/>
      <w:bookmarkEnd w:id="15"/>
      <w:bookmarkEnd w:id="16"/>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陕西省西安市消防</w:t>
            </w:r>
            <w:r>
              <w:rPr>
                <w:rFonts w:ascii="Calibri" w:hAnsi="宋体" w:eastAsia="宋体" w:cstheme="minorHAnsi"/>
                <w:sz w:val="21"/>
              </w:rPr>
              <w:t>救援支队全市指战员团体意外伤害保险采购项目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XCZX2025-0147</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w:t>
            </w:r>
            <w:r>
              <w:rPr>
                <w:color w:val="C00000"/>
              </w:rPr>
              <w:t>6654790</w:t>
            </w:r>
            <w:r>
              <w:rPr>
                <w:rFonts w:hint="eastAsia" w:ascii="Calibri" w:hAnsi="宋体" w:eastAsia="宋体" w:cstheme="minorHAnsi"/>
                <w:sz w:val="21"/>
              </w:rPr>
              <w:t>元〉（最高限价</w:t>
            </w:r>
            <w:r>
              <w:rPr>
                <w:color w:val="C00000"/>
              </w:rPr>
              <w:t>6654790</w:t>
            </w:r>
            <w:r>
              <w:rPr>
                <w:rFonts w:hint="eastAsia" w:ascii="Calibri" w:hAnsi="宋体" w:eastAsia="宋体" w:cstheme="minorHAnsi"/>
                <w:sz w:val="21"/>
              </w:rPr>
              <w:t>元）</w:t>
            </w:r>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0679276">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06A8285">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411E175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2AC880A7">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5EF59E0">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4C0A9936">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5713A06C">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50373818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w:t>
            </w:r>
            <w:r>
              <w:rPr>
                <w:rFonts w:hint="eastAsia" w:ascii="Calibri" w:hAnsi="宋体" w:eastAsia="宋体" w:cstheme="minorHAnsi"/>
                <w:sz w:val="21"/>
                <w:u w:val="single"/>
              </w:rPr>
              <w:t>_</w:t>
            </w:r>
            <w:r>
              <w:rPr>
                <w:rFonts w:ascii="Calibri" w:hAnsi="宋体" w:eastAsia="宋体" w:cstheme="minorHAnsi"/>
                <w:sz w:val="21"/>
                <w:u w:val="single"/>
              </w:rPr>
              <w:t xml:space="preserve"> </w:t>
            </w:r>
            <w:r>
              <w:rPr>
                <w:rFonts w:hint="eastAsia" w:ascii="Calibri" w:hAnsi="宋体" w:eastAsia="宋体" w:cstheme="minorHAnsi"/>
                <w:sz w:val="21"/>
                <w:u w:val="single"/>
              </w:rPr>
              <w:t>_</w:t>
            </w:r>
            <w:r>
              <w:rPr>
                <w:rFonts w:hint="eastAsia" w:ascii="Calibri" w:hAnsi="宋体" w:eastAsia="宋体" w:cstheme="minorHAnsi"/>
                <w:sz w:val="21"/>
              </w:rPr>
              <w:t>%</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14:paraId="3A61785F">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42B74847">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14:paraId="0C5CAAF5">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w:t>
            </w:r>
            <w:r>
              <w:rPr>
                <w:rFonts w:hint="eastAsia" w:cstheme="minorHAnsi"/>
                <w:color w:val="595959" w:themeColor="text1" w:themeTint="A6"/>
                <w:sz w:val="21"/>
                <w:szCs w:val="21"/>
                <w14:textFill>
                  <w14:solidFill>
                    <w14:schemeClr w14:val="tx1">
                      <w14:lumMod w14:val="65000"/>
                      <w14:lumOff w14:val="35000"/>
                    </w14:schemeClr>
                  </w14:solidFill>
                </w14:textFill>
              </w:rPr>
              <w:t>投标</w:t>
            </w:r>
            <w:r>
              <w:rPr>
                <w:rFonts w:cstheme="minorHAnsi"/>
                <w:color w:val="595959" w:themeColor="text1" w:themeTint="A6"/>
                <w:sz w:val="21"/>
                <w:szCs w:val="21"/>
                <w14:textFill>
                  <w14:solidFill>
                    <w14:schemeClr w14:val="tx1">
                      <w14:lumMod w14:val="65000"/>
                      <w14:lumOff w14:val="35000"/>
                    </w14:schemeClr>
                  </w14:solidFill>
                </w14:textFill>
              </w:rPr>
              <w:t>文件截止时间前抵达开标现场，并签到确认。</w:t>
            </w:r>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8C61A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B8B5ED9">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14:paraId="4CC26520">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14:paraId="58AE629A">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租赁和商务服务业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14:paraId="516F5056">
      <w:r>
        <w:br w:type="page"/>
      </w:r>
    </w:p>
    <w:p w14:paraId="3669E3A3">
      <w:pPr>
        <w:pStyle w:val="3"/>
        <w:jc w:val="both"/>
      </w:pPr>
      <w:r>
        <w:t>一、有关定义</w:t>
      </w:r>
    </w:p>
    <w:p w14:paraId="4917CFF5">
      <w:pPr>
        <w:ind w:firstLine="480" w:firstLineChars="200"/>
        <w:jc w:val="both"/>
        <w:rPr>
          <w:rFonts w:cstheme="minorHAnsi"/>
        </w:rPr>
      </w:pPr>
      <w:r>
        <w:rPr>
          <w:rFonts w:hint="eastAsia" w:cstheme="minorHAnsi"/>
        </w:rPr>
        <w:t>1．采购人：依法进行政府采购的西安市市级机关、事业单位或团体组织。</w:t>
      </w:r>
    </w:p>
    <w:p w14:paraId="3191BE8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46F053">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F7E6B3C">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4FE4906C">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rPr>
          <w:rStyle w:val="31"/>
          <w:rFonts w:cstheme="minorHAnsi"/>
        </w:rPr>
        <w:fldChar w:fldCharType="begin"/>
      </w:r>
      <w:r>
        <w:rPr>
          <w:rStyle w:val="31"/>
          <w:rFonts w:cstheme="minorHAnsi"/>
        </w:rPr>
        <w:instrText xml:space="preserve"> HYPERLINK "http://sxggzyjy.xa.gov.cn/" </w:instrText>
      </w:r>
      <w:r>
        <w:rPr>
          <w:rStyle w:val="31"/>
          <w:rFonts w:cstheme="minorHAnsi"/>
        </w:rP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71A429EB">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1E904F9">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14:paraId="23708DD0">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14:paraId="2FFD37BC">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14:paraId="204FF29A">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14:paraId="361AC67A">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14:paraId="3C3D0991">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14:paraId="0757EB72">
      <w:pPr>
        <w:pStyle w:val="4"/>
        <w:ind w:firstLine="482"/>
      </w:pPr>
      <w:r>
        <w:t>（五）</w:t>
      </w:r>
      <w:r>
        <w:rPr>
          <w:rFonts w:hint="eastAsia"/>
        </w:rPr>
        <w:t>关于政府采购</w:t>
      </w:r>
      <w:r>
        <w:t>政策</w:t>
      </w:r>
    </w:p>
    <w:p w14:paraId="6399B53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1ACA875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66B674C2">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0AA2F1E">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1BDE2FF2">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35E22A89">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14:paraId="4086A40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84F38A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B7B3BB4">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1AE6DB0">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5BB2D82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14:paraId="771BE4A6">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14:paraId="041FBE40">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51AF7651">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14:paraId="535AE4B4">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14:paraId="6104C114">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14:paraId="0E70077E">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14:paraId="14ED80E4">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AAE7C30">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22819453">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14:paraId="6023EE72">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D7F7164">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pPr>
        <w:pStyle w:val="4"/>
      </w:pPr>
      <w:r>
        <w:t>（十）关于联合体</w:t>
      </w:r>
    </w:p>
    <w:p w14:paraId="0EEC1CC6">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13188C4F">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FCB64E7">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8EAC038">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50DCF710">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14:paraId="47FF0F08">
      <w:pPr>
        <w:ind w:firstLine="480" w:firstLineChars="200"/>
        <w:jc w:val="both"/>
      </w:pPr>
      <w:r>
        <w:rPr>
          <w:rFonts w:hint="eastAsia"/>
        </w:rPr>
        <w:t>6．联合体可享受的中小企业优惠政策：</w:t>
      </w:r>
    </w:p>
    <w:p w14:paraId="1EF0872A">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0C7E2742">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EB4D003">
      <w:pPr>
        <w:ind w:firstLine="480" w:firstLineChars="200"/>
        <w:jc w:val="both"/>
      </w:pPr>
      <w:r>
        <w:rPr>
          <w:rFonts w:hint="eastAsia"/>
        </w:rPr>
        <w:t>7．联合体出现下列情形之一的，投标无效：</w:t>
      </w:r>
    </w:p>
    <w:p w14:paraId="599CF667">
      <w:pPr>
        <w:ind w:firstLine="480" w:firstLineChars="200"/>
        <w:jc w:val="both"/>
      </w:pPr>
      <w:r>
        <w:rPr>
          <w:rFonts w:hint="eastAsia"/>
        </w:rPr>
        <w:t>（1）联合体没有提交有效的联合协议的；</w:t>
      </w:r>
    </w:p>
    <w:p w14:paraId="75A5BC29">
      <w:pPr>
        <w:ind w:firstLine="480" w:firstLineChars="200"/>
        <w:jc w:val="both"/>
      </w:pPr>
      <w:r>
        <w:rPr>
          <w:rFonts w:hint="eastAsia"/>
        </w:rPr>
        <w:t>（2）进行资格预审的项目，资格预审后联合体增减、更换成员的；</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三、招标文件</w:t>
      </w:r>
    </w:p>
    <w:p w14:paraId="57027355">
      <w:pPr>
        <w:pStyle w:val="4"/>
        <w:ind w:firstLine="482"/>
      </w:pPr>
      <w:r>
        <w:t>（一）招标</w:t>
      </w:r>
      <w:r>
        <w:rPr>
          <w:rFonts w:hint="eastAsia"/>
        </w:rPr>
        <w:t>文件的解释权</w:t>
      </w:r>
    </w:p>
    <w:p w14:paraId="140F6F8E">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14:paraId="2F374EBD">
      <w:pPr>
        <w:pStyle w:val="4"/>
        <w:ind w:firstLine="482"/>
      </w:pPr>
      <w:r>
        <w:t>（二）招标文件主要内容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14:paraId="604A09AD">
      <w:pPr>
        <w:pStyle w:val="4"/>
        <w:ind w:firstLine="482"/>
      </w:pPr>
      <w:r>
        <w:t>（三）招标文件的检查及阅读</w:t>
      </w:r>
    </w:p>
    <w:p w14:paraId="136227A3">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3797605F">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4558F347">
      <w:pPr>
        <w:pStyle w:val="4"/>
        <w:ind w:firstLine="482"/>
      </w:pPr>
      <w:r>
        <w:t>（四）招标文件的修改、澄清</w:t>
      </w:r>
    </w:p>
    <w:p w14:paraId="0079D1AC">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14:paraId="5C6D7605">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14:paraId="6E55830B">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四、投标文件</w:t>
      </w:r>
    </w:p>
    <w:p w14:paraId="1AE8B2D8">
      <w:pPr>
        <w:pStyle w:val="4"/>
        <w:ind w:firstLine="482"/>
      </w:pPr>
      <w:r>
        <w:rPr>
          <w:rFonts w:hint="eastAsia"/>
        </w:rPr>
        <w:t>（四）电子投标文件</w:t>
      </w:r>
      <w:r>
        <w:t>的</w:t>
      </w:r>
      <w:r>
        <w:rPr>
          <w:rFonts w:hint="eastAsia"/>
        </w:rPr>
        <w:t>制作、</w:t>
      </w:r>
      <w:r>
        <w:t>签章及加密</w:t>
      </w:r>
    </w:p>
    <w:p w14:paraId="6C21BBCB">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652E44D8">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3B13F41A">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078856ED">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47B6E88">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5E4C263B">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2A638292">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38AFDCFA">
      <w:pPr>
        <w:pStyle w:val="4"/>
        <w:ind w:firstLine="482"/>
      </w:pPr>
      <w:r>
        <w:rPr>
          <w:rFonts w:hint="eastAsia"/>
        </w:rPr>
        <w:t>（一）投标文件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招标活动的所有文件、资料、函电文字均使用简体中文，确需提交用其他语言形成的资料，必须翻译成简体中文，如有差异，以简体中文为准。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投标文件的计量单位应使用中华人民共和国法定计量单位，但招标文件另有规定的除外。</w:t>
      </w:r>
    </w:p>
    <w:p w14:paraId="40216070">
      <w:pPr>
        <w:pStyle w:val="4"/>
        <w:ind w:firstLine="482"/>
      </w:pPr>
      <w:r>
        <w:rPr>
          <w:rFonts w:hint="eastAsia"/>
        </w:rPr>
        <w:t>（二）投标文件</w:t>
      </w:r>
      <w:r>
        <w:t>的有效期</w:t>
      </w:r>
    </w:p>
    <w:p w14:paraId="5B7D7BC8">
      <w:pPr>
        <w:pStyle w:val="81"/>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14:paraId="7802925A">
      <w:pPr>
        <w:pStyle w:val="4"/>
        <w:ind w:firstLine="482"/>
      </w:pPr>
      <w:r>
        <w:rPr>
          <w:rFonts w:hint="eastAsia"/>
        </w:rPr>
        <w:t>（三）投标</w:t>
      </w:r>
      <w:r>
        <w:t>报价</w:t>
      </w:r>
    </w:p>
    <w:p w14:paraId="15B579B7">
      <w:pPr>
        <w:pStyle w:val="81"/>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57DD472">
      <w:pPr>
        <w:pStyle w:val="81"/>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374BF979">
      <w:pPr>
        <w:pStyle w:val="81"/>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6B854EE6">
      <w:pPr>
        <w:pStyle w:val="4"/>
        <w:ind w:firstLine="482"/>
      </w:pPr>
      <w:r>
        <w:rPr>
          <w:rFonts w:hint="eastAsia"/>
        </w:rPr>
        <w:t>（四）电子投标文件</w:t>
      </w:r>
      <w:r>
        <w:t>的</w:t>
      </w:r>
      <w:r>
        <w:rPr>
          <w:rFonts w:hint="eastAsia"/>
        </w:rPr>
        <w:t>制作、</w:t>
      </w:r>
      <w:r>
        <w:t>签章及加密</w:t>
      </w:r>
    </w:p>
    <w:p w14:paraId="7430BFF8">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D417506">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23331843">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3674D7">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62D4648">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61EDFA77">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3879E32A">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20C51986">
      <w:pPr>
        <w:pStyle w:val="4"/>
        <w:ind w:firstLine="482"/>
      </w:pPr>
      <w:r>
        <w:rPr>
          <w:rFonts w:hint="eastAsia"/>
        </w:rPr>
        <w:t>（五）电子投标文件</w:t>
      </w:r>
      <w:r>
        <w:t>的提交</w:t>
      </w:r>
    </w:p>
    <w:p w14:paraId="0656DC15">
      <w:pPr>
        <w:pStyle w:val="81"/>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14:paraId="35B7D99B">
      <w:pPr>
        <w:pStyle w:val="81"/>
        <w:ind w:firstLine="480"/>
      </w:pPr>
      <w:r>
        <w:t>出现下述情形的，电子投标文件将被系统拒收：</w:t>
      </w:r>
    </w:p>
    <w:p w14:paraId="6923E938">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1B70859">
      <w:pPr>
        <w:ind w:firstLine="480" w:firstLineChars="200"/>
        <w:jc w:val="both"/>
        <w:rPr>
          <w:rFonts w:cstheme="minorHAnsi"/>
        </w:rPr>
      </w:pPr>
      <w:r>
        <w:rPr>
          <w:rFonts w:hint="eastAsia" w:cstheme="minorHAnsi"/>
        </w:rPr>
        <w:t>2．</w:t>
      </w:r>
      <w:r>
        <w:rPr>
          <w:rFonts w:cstheme="minorHAnsi"/>
        </w:rPr>
        <w:t>逾期提交电子投标文件的；</w:t>
      </w:r>
    </w:p>
    <w:p w14:paraId="0209945B">
      <w:pPr>
        <w:pStyle w:val="81"/>
        <w:ind w:firstLine="480"/>
      </w:pPr>
      <w:r>
        <w:t>3</w:t>
      </w:r>
      <w:r>
        <w:rPr>
          <w:rFonts w:hint="eastAsia"/>
        </w:rPr>
        <w:t>．使用旧版电子招标文件制作电子投标文件的。</w:t>
      </w:r>
    </w:p>
    <w:p w14:paraId="092E8868">
      <w:pPr>
        <w:pStyle w:val="4"/>
        <w:ind w:firstLine="482"/>
      </w:pPr>
      <w:r>
        <w:t>（</w:t>
      </w:r>
      <w:r>
        <w:rPr>
          <w:rFonts w:hint="eastAsia"/>
        </w:rPr>
        <w:t>六</w:t>
      </w:r>
      <w:r>
        <w:t>）电子</w:t>
      </w:r>
      <w:r>
        <w:rPr>
          <w:rFonts w:hint="eastAsia"/>
        </w:rPr>
        <w:t>投标</w:t>
      </w:r>
      <w:r>
        <w:t>文件的撤回、补充及修改</w:t>
      </w:r>
    </w:p>
    <w:p w14:paraId="2729E8A5">
      <w:pPr>
        <w:pStyle w:val="81"/>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8FFA116">
      <w:pPr>
        <w:pStyle w:val="81"/>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1D38B9B">
      <w:pPr>
        <w:pStyle w:val="4"/>
        <w:ind w:firstLine="482"/>
      </w:pPr>
      <w:r>
        <w:rPr>
          <w:rFonts w:hint="eastAsia"/>
        </w:rPr>
        <w:t>（七）关于电子投标文件的雷同性分析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14:paraId="60DD6D01">
      <w:pPr>
        <w:pStyle w:val="81"/>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9ABB2FB">
      <w:pPr>
        <w:pStyle w:val="81"/>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14:paraId="3AFE0513">
      <w:pPr>
        <w:pStyle w:val="81"/>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0E7CD9CC">
      <w:pPr>
        <w:pStyle w:val="4"/>
        <w:ind w:firstLine="482"/>
      </w:pPr>
      <w:r>
        <w:rPr>
          <w:rFonts w:hint="eastAsia"/>
        </w:rPr>
        <w:t>（八）投标文件出现下列情形时，视同供应商串通投标，其投标无效：</w:t>
      </w:r>
    </w:p>
    <w:p w14:paraId="66BC20E1">
      <w:pPr>
        <w:pStyle w:val="81"/>
        <w:ind w:firstLine="480"/>
      </w:pPr>
      <w:r>
        <w:rPr>
          <w:rFonts w:hint="eastAsia"/>
        </w:rPr>
        <w:t>1．不同供应商的投标文件由同一单位或者个人编制的；</w:t>
      </w:r>
    </w:p>
    <w:p w14:paraId="5A46334D">
      <w:pPr>
        <w:pStyle w:val="81"/>
        <w:ind w:firstLine="480"/>
      </w:pPr>
      <w:r>
        <w:rPr>
          <w:rFonts w:hint="eastAsia"/>
        </w:rPr>
        <w:t>2．不同供应商委托同一单位或者个人办理投标事宜的；</w:t>
      </w:r>
    </w:p>
    <w:p w14:paraId="522AE976">
      <w:pPr>
        <w:pStyle w:val="81"/>
        <w:ind w:firstLine="480"/>
      </w:pPr>
      <w:r>
        <w:rPr>
          <w:rFonts w:hint="eastAsia"/>
        </w:rPr>
        <w:t>3．不同供应商的投标文件载明的项目管理成员或者联系人员为同一人的；</w:t>
      </w:r>
    </w:p>
    <w:p w14:paraId="226BBCA8">
      <w:pPr>
        <w:pStyle w:val="81"/>
        <w:ind w:firstLine="480"/>
      </w:pPr>
      <w:r>
        <w:rPr>
          <w:rFonts w:hint="eastAsia"/>
        </w:rPr>
        <w:t>4．不同供应商的投标文件异常一致或者投标报价呈规律性差异的。</w:t>
      </w:r>
    </w:p>
    <w:p w14:paraId="38B1B516">
      <w:pPr>
        <w:pStyle w:val="81"/>
        <w:ind w:firstLine="480"/>
      </w:pPr>
      <w:r>
        <w:rPr>
          <w:rFonts w:hint="eastAsia"/>
        </w:rPr>
        <w:t>5．不同供应商的投标文件相互混编或混装的。</w:t>
      </w:r>
    </w:p>
    <w:p w14:paraId="147CE1F7">
      <w:pPr>
        <w:pStyle w:val="3"/>
      </w:pPr>
      <w:r>
        <w:rPr>
          <w:rFonts w:hint="eastAsia"/>
        </w:rPr>
        <w:t>五</w:t>
      </w:r>
      <w:r>
        <w:t>、开标</w:t>
      </w:r>
      <w:r>
        <w:rPr>
          <w:rFonts w:hint="eastAsia"/>
        </w:rPr>
        <w:t>程序</w:t>
      </w:r>
    </w:p>
    <w:p w14:paraId="15F57376">
      <w:pPr>
        <w:pStyle w:val="81"/>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67B84E63">
      <w:pPr>
        <w:pStyle w:val="81"/>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6DB9D5E">
      <w:pPr>
        <w:pStyle w:val="81"/>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045B2839">
      <w:pPr>
        <w:pStyle w:val="4"/>
        <w:ind w:firstLine="482"/>
      </w:pPr>
      <w:r>
        <w:rPr>
          <w:rFonts w:hint="eastAsia"/>
        </w:rPr>
        <w:t>（一）基本流程</w:t>
      </w:r>
    </w:p>
    <w:p w14:paraId="2975C69C">
      <w:pPr>
        <w:pStyle w:val="81"/>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14:paraId="26511747">
      <w:pPr>
        <w:pStyle w:val="81"/>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FF6D903">
      <w:pPr>
        <w:pStyle w:val="81"/>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pPr>
        <w:pStyle w:val="81"/>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30688DCD">
      <w:pPr>
        <w:pStyle w:val="81"/>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3614C984">
      <w:pPr>
        <w:pStyle w:val="4"/>
        <w:ind w:firstLine="480" w:firstLineChars="200"/>
      </w:pPr>
      <w:r>
        <w:rPr>
          <w:rFonts w:hint="eastAsia"/>
        </w:rPr>
        <w:t>（二）开标环节出现以下情形之一的，投标文件将被视为无效：</w:t>
      </w:r>
    </w:p>
    <w:p w14:paraId="568390D6">
      <w:pPr>
        <w:pStyle w:val="81"/>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14:paraId="10585150">
      <w:pPr>
        <w:pStyle w:val="81"/>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14:paraId="27342F4C">
      <w:pPr>
        <w:pStyle w:val="81"/>
        <w:ind w:firstLine="480"/>
        <w:rPr>
          <w:color w:val="auto"/>
        </w:rPr>
      </w:pPr>
      <w:r>
        <w:rPr>
          <w:rFonts w:hint="eastAsia"/>
          <w:color w:val="auto"/>
        </w:rPr>
        <w:t>3．上传</w:t>
      </w:r>
      <w:r>
        <w:rPr>
          <w:color w:val="auto"/>
        </w:rPr>
        <w:t>的电子投标文件无法正常打开的；</w:t>
      </w:r>
    </w:p>
    <w:p w14:paraId="18074A28">
      <w:pPr>
        <w:pStyle w:val="81"/>
        <w:ind w:firstLine="480"/>
        <w:rPr>
          <w:color w:val="auto"/>
        </w:rPr>
      </w:pPr>
      <w:r>
        <w:rPr>
          <w:rFonts w:hint="eastAsia"/>
          <w:color w:val="auto"/>
        </w:rPr>
        <w:t>4．</w:t>
      </w:r>
      <w:r>
        <w:rPr>
          <w:color w:val="auto"/>
        </w:rPr>
        <w:t>政府采购法律法规规定的其他无效情形。</w:t>
      </w:r>
    </w:p>
    <w:p w14:paraId="6AB4A84F">
      <w:pPr>
        <w:pStyle w:val="4"/>
        <w:ind w:firstLine="482"/>
      </w:pPr>
      <w:r>
        <w:rPr>
          <w:rFonts w:hint="eastAsia"/>
        </w:rPr>
        <w:t>（</w:t>
      </w:r>
      <w:r>
        <w:t>三</w:t>
      </w:r>
      <w:r>
        <w:rPr>
          <w:rFonts w:hint="eastAsia"/>
        </w:rPr>
        <w:t>）突发状况的应急处置</w:t>
      </w:r>
    </w:p>
    <w:p w14:paraId="2FA9DF5A">
      <w:pPr>
        <w:pStyle w:val="81"/>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22EA54D1">
      <w:pPr>
        <w:pStyle w:val="3"/>
      </w:pPr>
      <w:r>
        <w:t>六、资格审查</w:t>
      </w:r>
    </w:p>
    <w:p w14:paraId="12C49698">
      <w:pPr>
        <w:pStyle w:val="81"/>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14:paraId="071C2BB1">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5EC4C811">
      <w:pPr>
        <w:pStyle w:val="81"/>
        <w:ind w:firstLine="480"/>
      </w:pPr>
      <w:r>
        <w:rPr>
          <w:rFonts w:hint="eastAsia"/>
        </w:rPr>
        <w:t>（1）不具备招标文件中规定的资格要求的；</w:t>
      </w:r>
    </w:p>
    <w:p w14:paraId="3E3C18CE">
      <w:pPr>
        <w:pStyle w:val="81"/>
        <w:ind w:firstLine="480"/>
      </w:pPr>
      <w:r>
        <w:rPr>
          <w:rFonts w:hint="eastAsia"/>
        </w:rPr>
        <w:t>（2）未按招标文件要求提供资格证明文件，或资格证明文件未按招标文件要求签字、盖章的；</w:t>
      </w:r>
    </w:p>
    <w:p w14:paraId="22906E81">
      <w:pPr>
        <w:pStyle w:val="81"/>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1AD1EF55">
      <w:pPr>
        <w:pStyle w:val="81"/>
        <w:ind w:firstLine="480"/>
      </w:pPr>
      <w:r>
        <w:rPr>
          <w:rFonts w:hint="eastAsia"/>
        </w:rPr>
        <w:t>（4）法律法规规定的其他无效情形。</w:t>
      </w:r>
    </w:p>
    <w:p w14:paraId="02D74681">
      <w:pPr>
        <w:pStyle w:val="81"/>
        <w:ind w:firstLine="480"/>
      </w:pPr>
      <w:r>
        <w:t>资格审查结束后，资格审查小组成员应当对审查结果进行签字确认；</w:t>
      </w:r>
      <w:r>
        <w:rPr>
          <w:rFonts w:hint="eastAsia"/>
        </w:rPr>
        <w:t>对未通过资格审查的供应商，资格审查小组应</w:t>
      </w:r>
      <w:r>
        <w:t>当场告知其未通过的原因。</w:t>
      </w:r>
    </w:p>
    <w:p w14:paraId="17B8864D">
      <w:pPr>
        <w:pStyle w:val="81"/>
        <w:ind w:firstLine="480"/>
      </w:pPr>
      <w:r>
        <w:t>合格供应商不足3家的，</w:t>
      </w:r>
      <w:r>
        <w:rPr>
          <w:rFonts w:hint="eastAsia"/>
        </w:rPr>
        <w:t>应予以废标。</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1087B0DB">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2．提供供应商基本存款账户信息及开标日期前6个月内其基本存款账户开户银行出具的资信证明。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bookmarkStart w:id="17" w:name="OLE_LINK21"/>
            <w:bookmarkStart w:id="18" w:name="OLE_LINK20"/>
            <w:bookmarkStart w:id="19" w:name="OLE_LINK19"/>
            <w:bookmarkStart w:id="20" w:name="OLE_LINK18"/>
            <w:r>
              <w:rPr>
                <w:rFonts w:hint="eastAsia" w:ascii="Calibri" w:hAnsi="宋体" w:eastAsia="宋体" w:cstheme="minorHAnsi"/>
                <w:bCs/>
                <w:sz w:val="21"/>
              </w:rPr>
              <w:t>自2025年1月1日以来</w:t>
            </w:r>
            <w:bookmarkEnd w:id="17"/>
            <w:bookmarkEnd w:id="18"/>
            <w:r>
              <w:rPr>
                <w:rFonts w:hint="eastAsia" w:ascii="Calibri" w:hAnsi="宋体" w:eastAsia="宋体" w:cstheme="minorHAnsi"/>
                <w:bCs/>
                <w:sz w:val="21"/>
              </w:rPr>
              <w:t>已缴存的至少6个月</w:t>
            </w:r>
            <w:bookmarkEnd w:id="19"/>
            <w:bookmarkEnd w:id="20"/>
            <w:r>
              <w:rPr>
                <w:rFonts w:hint="eastAsia" w:ascii="Calibri" w:hAnsi="宋体" w:eastAsia="宋体" w:cstheme="minorHAnsi"/>
                <w:bCs/>
                <w:sz w:val="21"/>
              </w:rPr>
              <w:t>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cstheme="minorHAnsi"/>
                <w:bCs/>
                <w:sz w:val="21"/>
              </w:rPr>
              <w:t>自2025年1月1日以来</w:t>
            </w:r>
            <w:r>
              <w:rPr>
                <w:rFonts w:hint="eastAsia" w:ascii="Calibri" w:hAnsi="宋体" w:eastAsia="宋体"/>
                <w:sz w:val="21"/>
              </w:rPr>
              <w:t>已缴存的至少6个月的纳税证明或完税证明，税种为增值税或企业所得税。纳税证明或完税证明上应有代收机构或税务机关的公章或业务专用章。依法免税的供应商应提供相关文件证明。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hint="eastAsia" w:ascii="Calibri" w:hAnsi="宋体" w:eastAsia="宋体" w:cstheme="minorHAnsi"/>
                <w:bCs/>
                <w:color w:val="C00000"/>
                <w:sz w:val="21"/>
              </w:rPr>
              <w:t>无</w:t>
            </w:r>
          </w:p>
        </w:tc>
        <w:tc>
          <w:tcPr>
            <w:tcW w:w="5846" w:type="dxa"/>
            <w:vAlign w:val="center"/>
          </w:tcPr>
          <w:p w14:paraId="123631DD">
            <w:pPr>
              <w:spacing w:line="400" w:lineRule="exact"/>
              <w:jc w:val="both"/>
              <w:rPr>
                <w:rFonts w:ascii="Calibri" w:hAnsi="宋体" w:eastAsia="宋体" w:cstheme="minorHAnsi"/>
                <w:bCs/>
                <w:color w:val="FF0000"/>
                <w:sz w:val="21"/>
              </w:rPr>
            </w:pPr>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E2DC6E3">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3D33F9B6">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24109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203915BB">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49036DE4">
            <w:pPr>
              <w:spacing w:line="400" w:lineRule="exact"/>
              <w:jc w:val="both"/>
              <w:rPr>
                <w:rFonts w:ascii="Calibri" w:hAnsi="宋体" w:eastAsia="宋体" w:cstheme="minorHAnsi"/>
                <w:bCs/>
                <w:sz w:val="21"/>
              </w:rPr>
            </w:pPr>
            <w:r>
              <w:rPr>
                <w:rFonts w:hint="eastAsia" w:ascii="Calibri" w:hAnsi="宋体" w:eastAsia="宋体" w:cstheme="minorHAnsi"/>
                <w:bCs/>
                <w:sz w:val="21"/>
              </w:rPr>
              <w:t>《保险许可证》</w:t>
            </w:r>
          </w:p>
        </w:tc>
        <w:tc>
          <w:tcPr>
            <w:tcW w:w="5846" w:type="dxa"/>
            <w:vAlign w:val="center"/>
          </w:tcPr>
          <w:p w14:paraId="16353F50">
            <w:pPr>
              <w:spacing w:line="400" w:lineRule="exact"/>
              <w:jc w:val="both"/>
              <w:rPr>
                <w:rFonts w:ascii="Calibri" w:hAnsi="宋体" w:eastAsia="宋体"/>
                <w:sz w:val="21"/>
              </w:rPr>
            </w:pPr>
            <w:r>
              <w:rPr>
                <w:rFonts w:hint="eastAsia" w:ascii="Calibri" w:hAnsi="宋体" w:eastAsia="宋体"/>
                <w:sz w:val="21"/>
              </w:rPr>
              <w:t>以下具备其一</w:t>
            </w:r>
            <w:r>
              <w:rPr>
                <w:rFonts w:ascii="Calibri" w:hAnsi="宋体" w:eastAsia="宋体"/>
                <w:sz w:val="21"/>
              </w:rPr>
              <w:t>：</w:t>
            </w:r>
          </w:p>
          <w:p w14:paraId="334692D0">
            <w:pPr>
              <w:spacing w:line="400" w:lineRule="exact"/>
              <w:jc w:val="both"/>
              <w:rPr>
                <w:rFonts w:ascii="Calibri" w:hAnsi="宋体" w:eastAsia="宋体"/>
                <w:sz w:val="21"/>
              </w:rPr>
            </w:pPr>
            <w:r>
              <w:rPr>
                <w:rFonts w:hint="eastAsia" w:ascii="Calibri" w:hAnsi="宋体" w:eastAsia="宋体"/>
                <w:sz w:val="21"/>
              </w:rPr>
              <w:t>（1）中国银保监会及其授权的派出机构颁发的《</w:t>
            </w:r>
            <w:bookmarkStart w:id="21" w:name="OLE_LINK11"/>
            <w:r>
              <w:rPr>
                <w:rFonts w:hint="eastAsia" w:ascii="Calibri" w:hAnsi="宋体" w:eastAsia="宋体"/>
                <w:sz w:val="21"/>
              </w:rPr>
              <w:t>保险许可证</w:t>
            </w:r>
            <w:bookmarkEnd w:id="21"/>
            <w:r>
              <w:rPr>
                <w:rFonts w:hint="eastAsia" w:ascii="Calibri" w:hAnsi="宋体" w:eastAsia="宋体"/>
                <w:sz w:val="21"/>
              </w:rPr>
              <w:t>》（新证），许可证业务范围至少包含人身保险业务。</w:t>
            </w:r>
          </w:p>
          <w:p w14:paraId="239B9E32">
            <w:pPr>
              <w:spacing w:line="400" w:lineRule="exact"/>
              <w:jc w:val="both"/>
              <w:rPr>
                <w:rFonts w:ascii="Calibri" w:hAnsi="宋体" w:eastAsia="宋体" w:cstheme="minorHAnsi"/>
                <w:bCs/>
                <w:sz w:val="21"/>
              </w:rPr>
            </w:pPr>
            <w:r>
              <w:rPr>
                <w:rFonts w:hint="eastAsia" w:ascii="Calibri" w:hAnsi="宋体" w:eastAsia="宋体"/>
                <w:sz w:val="21"/>
              </w:rPr>
              <w:t>（2）中国保监会颁发的《经营保险业务许可证》（旧证），并且供应商</w:t>
            </w:r>
            <w:r>
              <w:rPr>
                <w:rFonts w:ascii="Calibri" w:hAnsi="宋体" w:eastAsia="宋体"/>
                <w:sz w:val="21"/>
              </w:rPr>
              <w:t>承诺</w:t>
            </w:r>
            <w:r>
              <w:rPr>
                <w:rFonts w:hint="eastAsia" w:ascii="Calibri" w:hAnsi="宋体" w:eastAsia="宋体"/>
                <w:sz w:val="21"/>
              </w:rPr>
              <w:t>保险公司可承担</w:t>
            </w:r>
            <w:r>
              <w:rPr>
                <w:rFonts w:ascii="Calibri" w:hAnsi="宋体" w:eastAsia="宋体"/>
                <w:sz w:val="21"/>
              </w:rPr>
              <w:t>团体意外伤害保险</w:t>
            </w:r>
            <w:r>
              <w:rPr>
                <w:rFonts w:hint="eastAsia" w:ascii="Calibri" w:hAnsi="宋体" w:eastAsia="宋体"/>
                <w:sz w:val="21"/>
              </w:rPr>
              <w:t>业务，</w:t>
            </w:r>
            <w:r>
              <w:rPr>
                <w:rFonts w:ascii="Calibri" w:hAnsi="宋体" w:eastAsia="宋体"/>
                <w:sz w:val="21"/>
              </w:rPr>
              <w:t>提供承诺函</w:t>
            </w:r>
            <w:r>
              <w:rPr>
                <w:rFonts w:hint="eastAsia" w:ascii="Calibri" w:hAnsi="宋体" w:eastAsia="宋体"/>
                <w:sz w:val="21"/>
              </w:rPr>
              <w:t>。</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6CB6BE5D">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39B1DB3D">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7348AE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35C18E4B">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5D7CAD15">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14:paraId="0D4FE9EB">
      <w:pPr>
        <w:pStyle w:val="3"/>
      </w:pPr>
      <w:r>
        <w:t>七、评审方法和程序</w:t>
      </w:r>
    </w:p>
    <w:p w14:paraId="4DCD95B1">
      <w:pPr>
        <w:pStyle w:val="4"/>
        <w:ind w:firstLine="482"/>
      </w:pPr>
      <w:r>
        <w:t>（一）评标方法</w:t>
      </w:r>
    </w:p>
    <w:p w14:paraId="50B5260D">
      <w:pPr>
        <w:pStyle w:val="81"/>
        <w:ind w:firstLine="480"/>
      </w:pPr>
      <w:r>
        <w:t>本项目采用</w:t>
      </w:r>
      <w:r>
        <w:rPr>
          <w:color w:val="C00000"/>
        </w:rPr>
        <w:t>综合评分法</w:t>
      </w:r>
      <w:r>
        <w:rPr>
          <w:rFonts w:hint="eastAsia"/>
          <w:color w:val="C00000"/>
        </w:rPr>
        <w:t>。</w:t>
      </w:r>
    </w:p>
    <w:p w14:paraId="04856298">
      <w:pPr>
        <w:pStyle w:val="81"/>
        <w:ind w:firstLine="480"/>
      </w:pPr>
      <w:r>
        <w:rPr>
          <w:rFonts w:hint="eastAsia"/>
        </w:rPr>
        <w:t>评标方法分为最低评标价法和综合评分法。</w:t>
      </w:r>
    </w:p>
    <w:p w14:paraId="0C241752">
      <w:pPr>
        <w:pStyle w:val="81"/>
        <w:ind w:firstLine="480"/>
      </w:pPr>
      <w:r>
        <w:rPr>
          <w:rFonts w:hint="eastAsia"/>
        </w:rPr>
        <w:t>1、最低评标价法，是指投标文件满足招标文件全部实质性要求，且投标报价最低的供应商为中标候选人的评标方法。</w:t>
      </w:r>
    </w:p>
    <w:p w14:paraId="62F47F6A">
      <w:pPr>
        <w:pStyle w:val="81"/>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14:paraId="428FCA09">
      <w:pPr>
        <w:pStyle w:val="4"/>
        <w:ind w:firstLine="482"/>
      </w:pPr>
      <w:r>
        <w:t>（二）评标形式</w:t>
      </w:r>
    </w:p>
    <w:p w14:paraId="253CAA0B">
      <w:pPr>
        <w:pStyle w:val="81"/>
        <w:ind w:firstLine="480"/>
      </w:pPr>
      <w:r>
        <w:rPr>
          <w:rFonts w:hint="eastAsia"/>
        </w:rPr>
        <w:t>1．关于技术标“暗标盲评”</w:t>
      </w:r>
    </w:p>
    <w:p w14:paraId="23542BF5">
      <w:pPr>
        <w:pStyle w:val="81"/>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14:paraId="05E83320">
      <w:pPr>
        <w:pStyle w:val="81"/>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9839A5">
      <w:pPr>
        <w:pStyle w:val="81"/>
        <w:ind w:firstLine="480"/>
      </w:pPr>
      <w:r>
        <w:rPr>
          <w:rFonts w:hint="eastAsia"/>
        </w:rPr>
        <w:t>2．“暗标盲评部分”编制要求</w:t>
      </w:r>
    </w:p>
    <w:p w14:paraId="04E86089">
      <w:pPr>
        <w:pStyle w:val="81"/>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14:paraId="6FEB706A">
      <w:pPr>
        <w:pStyle w:val="81"/>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14:paraId="36448A3F">
      <w:pPr>
        <w:pStyle w:val="81"/>
        <w:ind w:firstLine="480"/>
        <w:rPr>
          <w:color w:val="C00000"/>
        </w:rPr>
      </w:pPr>
      <w:r>
        <w:rPr>
          <w:rFonts w:hint="eastAsia"/>
          <w:color w:val="C00000"/>
        </w:rPr>
        <w:t>（2）签章要求：暗标部分不得进行签章。</w:t>
      </w:r>
    </w:p>
    <w:p w14:paraId="63C0B9B7">
      <w:pPr>
        <w:pStyle w:val="81"/>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pPr>
        <w:pStyle w:val="4"/>
        <w:ind w:firstLine="482"/>
      </w:pPr>
      <w:r>
        <w:t>（三）评标程序</w:t>
      </w:r>
    </w:p>
    <w:p w14:paraId="30AE02A8">
      <w:pPr>
        <w:pStyle w:val="81"/>
        <w:ind w:firstLine="482"/>
        <w:rPr>
          <w:b/>
        </w:rPr>
      </w:pPr>
      <w:r>
        <w:rPr>
          <w:rFonts w:hint="eastAsia"/>
          <w:b/>
        </w:rPr>
        <w:t>1</w:t>
      </w:r>
      <w:r>
        <w:rPr>
          <w:rFonts w:hint="eastAsia"/>
          <w:b/>
          <w:color w:val="auto"/>
        </w:rPr>
        <w:t>．</w:t>
      </w:r>
      <w:r>
        <w:rPr>
          <w:rFonts w:hint="eastAsia"/>
          <w:b/>
        </w:rPr>
        <w:t>组建评标委员会</w:t>
      </w:r>
    </w:p>
    <w:p w14:paraId="1EA8ACA4">
      <w:pPr>
        <w:pStyle w:val="81"/>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14:paraId="47F3DF9A">
      <w:pPr>
        <w:pStyle w:val="81"/>
        <w:ind w:firstLine="480"/>
      </w:pPr>
      <w:r>
        <w:rPr>
          <w:rFonts w:hint="eastAsia"/>
        </w:rPr>
        <w:t>由采购代理机构组织评标委员会推选评标组长，采购人代表不得担任组长。</w:t>
      </w:r>
    </w:p>
    <w:p w14:paraId="71D5F07B">
      <w:pPr>
        <w:pStyle w:val="81"/>
        <w:ind w:firstLine="482"/>
        <w:rPr>
          <w:b/>
        </w:rPr>
      </w:pPr>
      <w:r>
        <w:rPr>
          <w:rFonts w:hint="eastAsia"/>
          <w:b/>
        </w:rPr>
        <w:t>2</w:t>
      </w:r>
      <w:r>
        <w:rPr>
          <w:rFonts w:hint="eastAsia"/>
          <w:b/>
          <w:color w:val="auto"/>
        </w:rPr>
        <w:t>．</w:t>
      </w:r>
      <w:r>
        <w:rPr>
          <w:b/>
        </w:rPr>
        <w:t>投标文件的符合性审查</w:t>
      </w:r>
    </w:p>
    <w:p w14:paraId="5663C8F3">
      <w:pPr>
        <w:pStyle w:val="81"/>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1CC3C3B3">
      <w:pPr>
        <w:pStyle w:val="81"/>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3B88381A">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6FE5E7A8">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14:paraId="61F50859">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14:paraId="104E22F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14:paraId="20A00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14:paraId="376D93A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14:paraId="01C731A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51C8E3C1">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19F51CA">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14:paraId="28117A3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14:paraId="418B576B">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14:paraId="19A574DF">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14:paraId="7B81500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14:paraId="2AE8CFAD">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4073E84E">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39A3C49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14:paraId="5ABA916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5C9C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14:paraId="7D0ABAA5">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14:paraId="1FA746C0">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14:paraId="6F52027F">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3D7BC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14:paraId="7CC1D94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14:paraId="33B97925">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E9983B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14:paraId="625FDAE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14:paraId="125CAEE6">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890364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14:paraId="3F7E358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14:paraId="67D854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713592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14:paraId="2F4F3712">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0D0075D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65B5C42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25590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14:paraId="19D5FF8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56E87AAC">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41B95DB3">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1EE275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14:paraId="1868B3E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03C9DF8A">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DA85389">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14:paraId="4D998683">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14:paraId="15CA1DF8">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92200F8">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14:paraId="088C0BBB">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14:paraId="7FAAAC0B">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F5673B4">
      <w:pPr>
        <w:pStyle w:val="81"/>
        <w:ind w:firstLine="482"/>
        <w:rPr>
          <w:b/>
        </w:rPr>
      </w:pPr>
      <w:r>
        <w:rPr>
          <w:b/>
        </w:rPr>
        <w:t>3</w:t>
      </w:r>
      <w:r>
        <w:rPr>
          <w:rFonts w:hint="eastAsia"/>
          <w:b/>
          <w:color w:val="auto"/>
        </w:rPr>
        <w:t>．投标</w:t>
      </w:r>
      <w:r>
        <w:rPr>
          <w:rFonts w:hint="eastAsia"/>
          <w:b/>
        </w:rPr>
        <w:t>文件的澄清</w:t>
      </w:r>
    </w:p>
    <w:p w14:paraId="32A1BE32">
      <w:pPr>
        <w:pStyle w:val="81"/>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6CEEB1D6">
      <w:pPr>
        <w:pStyle w:val="81"/>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2CF99C6F">
      <w:pPr>
        <w:pStyle w:val="81"/>
        <w:ind w:firstLine="482"/>
        <w:rPr>
          <w:b/>
        </w:rPr>
      </w:pPr>
      <w:r>
        <w:rPr>
          <w:rFonts w:hint="eastAsia"/>
          <w:b/>
        </w:rPr>
        <w:t>4．</w:t>
      </w:r>
      <w:r>
        <w:rPr>
          <w:b/>
        </w:rPr>
        <w:t>综合比较与评价</w:t>
      </w:r>
    </w:p>
    <w:p w14:paraId="1A590DF6">
      <w:pPr>
        <w:pStyle w:val="81"/>
        <w:ind w:firstLine="480"/>
      </w:pPr>
      <w:r>
        <w:rPr>
          <w:rFonts w:hint="eastAsia"/>
        </w:rPr>
        <w:t>采用最低评标价法的，评标委员会对通过符合性审查的投标文件的投标报价由低到高顺序排列。</w:t>
      </w:r>
    </w:p>
    <w:p w14:paraId="7EF30C10">
      <w:pPr>
        <w:pStyle w:val="81"/>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4D22B56D">
      <w:pPr>
        <w:pStyle w:val="81"/>
        <w:ind w:firstLine="480"/>
        <w:rPr>
          <w:color w:val="C00000"/>
        </w:rPr>
      </w:pPr>
      <w:r>
        <w:rPr>
          <w:color w:val="C00000"/>
        </w:rPr>
        <w:t>出现下列情形的，供应商投标无效：</w:t>
      </w:r>
    </w:p>
    <w:p w14:paraId="0AFC4DC6">
      <w:pPr>
        <w:pStyle w:val="81"/>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14:paraId="62034A2C">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48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809"/>
        <w:gridCol w:w="1418"/>
      </w:tblGrid>
      <w:tr w14:paraId="67349E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tcBorders>
              <w:top w:val="single" w:color="auto" w:sz="12" w:space="0"/>
              <w:bottom w:val="single" w:color="auto" w:sz="2" w:space="0"/>
            </w:tcBorders>
            <w:shd w:val="clear" w:color="auto" w:fill="F1F1F1" w:themeFill="background1" w:themeFillShade="F2"/>
            <w:vAlign w:val="center"/>
          </w:tcPr>
          <w:p w14:paraId="5A85F0F5">
            <w:pPr>
              <w:spacing w:line="320" w:lineRule="exact"/>
              <w:jc w:val="both"/>
              <w:rPr>
                <w:rFonts w:cstheme="minorHAnsi"/>
                <w:b/>
                <w:bCs/>
                <w:sz w:val="21"/>
                <w:szCs w:val="21"/>
              </w:rPr>
            </w:pPr>
            <w:r>
              <w:rPr>
                <w:rFonts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5F79DDFD">
            <w:pPr>
              <w:spacing w:line="320" w:lineRule="exact"/>
              <w:jc w:val="both"/>
              <w:rPr>
                <w:rFonts w:cstheme="minorHAnsi"/>
                <w:b/>
                <w:bCs/>
                <w:sz w:val="21"/>
                <w:szCs w:val="21"/>
              </w:rPr>
            </w:pPr>
            <w:r>
              <w:rPr>
                <w:rFonts w:cstheme="minorHAnsi"/>
                <w:b/>
                <w:bCs/>
                <w:sz w:val="21"/>
                <w:szCs w:val="21"/>
              </w:rPr>
              <w:t>总分值</w:t>
            </w:r>
          </w:p>
        </w:tc>
        <w:tc>
          <w:tcPr>
            <w:tcW w:w="5809" w:type="dxa"/>
            <w:vMerge w:val="restart"/>
            <w:tcBorders>
              <w:top w:val="single" w:color="auto" w:sz="12" w:space="0"/>
              <w:bottom w:val="single" w:color="auto" w:sz="2" w:space="0"/>
            </w:tcBorders>
            <w:shd w:val="clear" w:color="auto" w:fill="F1F1F1" w:themeFill="background1" w:themeFillShade="F2"/>
            <w:vAlign w:val="center"/>
          </w:tcPr>
          <w:p w14:paraId="61461DD5">
            <w:pPr>
              <w:spacing w:line="320" w:lineRule="exact"/>
              <w:jc w:val="center"/>
              <w:rPr>
                <w:rFonts w:cstheme="minorHAnsi"/>
                <w:b/>
                <w:bCs/>
                <w:sz w:val="21"/>
                <w:szCs w:val="21"/>
              </w:rPr>
            </w:pPr>
            <w:r>
              <w:rPr>
                <w:rFonts w:cstheme="minorHAnsi"/>
                <w:b/>
                <w:bCs/>
                <w:sz w:val="21"/>
                <w:szCs w:val="21"/>
              </w:rPr>
              <w:t>评审要素</w:t>
            </w:r>
          </w:p>
        </w:tc>
        <w:tc>
          <w:tcPr>
            <w:tcW w:w="1418" w:type="dxa"/>
            <w:vMerge w:val="restart"/>
            <w:tcBorders>
              <w:top w:val="single" w:color="auto" w:sz="12" w:space="0"/>
              <w:bottom w:val="single" w:color="auto" w:sz="2" w:space="0"/>
            </w:tcBorders>
            <w:shd w:val="clear" w:color="auto" w:fill="F1F1F1" w:themeFill="background1" w:themeFillShade="F2"/>
            <w:vAlign w:val="center"/>
          </w:tcPr>
          <w:p w14:paraId="59F355EF">
            <w:pPr>
              <w:spacing w:line="320" w:lineRule="exact"/>
              <w:jc w:val="both"/>
              <w:rPr>
                <w:rFonts w:cstheme="minorHAnsi"/>
                <w:b/>
                <w:bCs/>
                <w:sz w:val="21"/>
                <w:szCs w:val="21"/>
              </w:rPr>
            </w:pPr>
            <w:r>
              <w:rPr>
                <w:rFonts w:cstheme="minorHAnsi"/>
                <w:b/>
                <w:bCs/>
                <w:sz w:val="21"/>
                <w:szCs w:val="21"/>
              </w:rPr>
              <w:t>备注</w:t>
            </w:r>
          </w:p>
        </w:tc>
      </w:tr>
      <w:tr w14:paraId="175773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tcBorders>
              <w:top w:val="single" w:color="auto" w:sz="2" w:space="0"/>
              <w:bottom w:val="single" w:color="auto" w:sz="2" w:space="0"/>
            </w:tcBorders>
            <w:shd w:val="clear" w:color="auto" w:fill="F1F1F1" w:themeFill="background1" w:themeFillShade="F2"/>
            <w:vAlign w:val="center"/>
          </w:tcPr>
          <w:p w14:paraId="68B8E994">
            <w:pPr>
              <w:spacing w:line="320" w:lineRule="exact"/>
              <w:jc w:val="both"/>
              <w:rPr>
                <w:rFonts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18E5C795">
            <w:pPr>
              <w:spacing w:line="320" w:lineRule="exact"/>
              <w:jc w:val="both"/>
              <w:rPr>
                <w:rFonts w:cstheme="minorHAnsi"/>
                <w:b/>
                <w:bCs/>
                <w:sz w:val="21"/>
                <w:szCs w:val="21"/>
              </w:rPr>
            </w:pPr>
            <w:r>
              <w:rPr>
                <w:rFonts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4226596C">
            <w:pPr>
              <w:spacing w:line="320" w:lineRule="exact"/>
              <w:jc w:val="both"/>
              <w:rPr>
                <w:rFonts w:cstheme="minorHAnsi"/>
                <w:b/>
                <w:bCs/>
                <w:sz w:val="21"/>
                <w:szCs w:val="21"/>
              </w:rPr>
            </w:pPr>
            <w:r>
              <w:rPr>
                <w:rFonts w:cstheme="minorHAnsi"/>
                <w:b/>
                <w:bCs/>
                <w:sz w:val="21"/>
                <w:szCs w:val="21"/>
              </w:rPr>
              <w:t>分项最高分值</w:t>
            </w:r>
          </w:p>
        </w:tc>
        <w:tc>
          <w:tcPr>
            <w:tcW w:w="5809" w:type="dxa"/>
            <w:vMerge w:val="continue"/>
            <w:tcBorders>
              <w:top w:val="single" w:color="auto" w:sz="2" w:space="0"/>
              <w:bottom w:val="single" w:color="auto" w:sz="2" w:space="0"/>
            </w:tcBorders>
            <w:shd w:val="clear" w:color="auto" w:fill="F1F1F1" w:themeFill="background1" w:themeFillShade="F2"/>
            <w:vAlign w:val="center"/>
          </w:tcPr>
          <w:p w14:paraId="54416A36">
            <w:pPr>
              <w:spacing w:line="320" w:lineRule="exact"/>
              <w:jc w:val="both"/>
              <w:rPr>
                <w:rFonts w:cstheme="minorHAnsi"/>
                <w:bCs/>
                <w:sz w:val="21"/>
                <w:szCs w:val="21"/>
              </w:rPr>
            </w:pPr>
          </w:p>
        </w:tc>
        <w:tc>
          <w:tcPr>
            <w:tcW w:w="1418" w:type="dxa"/>
            <w:vMerge w:val="continue"/>
            <w:tcBorders>
              <w:top w:val="single" w:color="auto" w:sz="2" w:space="0"/>
              <w:bottom w:val="single" w:color="auto" w:sz="2" w:space="0"/>
            </w:tcBorders>
            <w:shd w:val="clear" w:color="auto" w:fill="F1F1F1" w:themeFill="background1" w:themeFillShade="F2"/>
            <w:vAlign w:val="center"/>
          </w:tcPr>
          <w:p w14:paraId="6C947B9F">
            <w:pPr>
              <w:spacing w:line="320" w:lineRule="exact"/>
              <w:jc w:val="both"/>
              <w:rPr>
                <w:rFonts w:cstheme="minorHAnsi"/>
                <w:bCs/>
                <w:sz w:val="21"/>
                <w:szCs w:val="21"/>
              </w:rPr>
            </w:pPr>
          </w:p>
        </w:tc>
      </w:tr>
      <w:tr w14:paraId="35980E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tcBorders>
              <w:top w:val="single" w:color="auto" w:sz="2" w:space="0"/>
            </w:tcBorders>
            <w:shd w:val="clear" w:color="auto" w:fill="auto"/>
            <w:vAlign w:val="center"/>
          </w:tcPr>
          <w:p w14:paraId="10E6AAE6">
            <w:pPr>
              <w:spacing w:line="320" w:lineRule="exact"/>
              <w:jc w:val="both"/>
              <w:rPr>
                <w:rFonts w:cs="宋体"/>
                <w:bCs/>
                <w:sz w:val="21"/>
                <w:szCs w:val="21"/>
              </w:rPr>
            </w:pPr>
            <w:r>
              <w:rPr>
                <w:rFonts w:cs="宋体"/>
                <w:b/>
                <w:sz w:val="21"/>
                <w:szCs w:val="21"/>
              </w:rPr>
              <w:t>价格</w:t>
            </w:r>
          </w:p>
        </w:tc>
        <w:tc>
          <w:tcPr>
            <w:tcW w:w="640" w:type="dxa"/>
            <w:tcBorders>
              <w:top w:val="single" w:color="auto" w:sz="2" w:space="0"/>
            </w:tcBorders>
            <w:shd w:val="clear" w:color="auto" w:fill="auto"/>
            <w:vAlign w:val="center"/>
          </w:tcPr>
          <w:p w14:paraId="7C36EADB">
            <w:pPr>
              <w:spacing w:line="320" w:lineRule="exact"/>
              <w:jc w:val="both"/>
              <w:rPr>
                <w:rFonts w:cs="宋体"/>
                <w:bCs/>
                <w:sz w:val="21"/>
                <w:szCs w:val="21"/>
              </w:rPr>
            </w:pPr>
            <w:r>
              <w:rPr>
                <w:rFonts w:cs="宋体"/>
                <w:bCs/>
                <w:sz w:val="21"/>
                <w:szCs w:val="21"/>
              </w:rPr>
              <w:t>10</w:t>
            </w:r>
          </w:p>
        </w:tc>
        <w:tc>
          <w:tcPr>
            <w:tcW w:w="860" w:type="dxa"/>
            <w:shd w:val="clear" w:color="auto" w:fill="auto"/>
            <w:vAlign w:val="center"/>
          </w:tcPr>
          <w:p w14:paraId="61DCC154">
            <w:pPr>
              <w:spacing w:line="320" w:lineRule="exact"/>
              <w:jc w:val="center"/>
              <w:rPr>
                <w:rFonts w:cs="宋体"/>
                <w:bCs/>
                <w:sz w:val="21"/>
                <w:szCs w:val="21"/>
              </w:rPr>
            </w:pPr>
            <w:r>
              <w:rPr>
                <w:rFonts w:cs="宋体"/>
                <w:bCs/>
                <w:sz w:val="21"/>
                <w:szCs w:val="21"/>
              </w:rPr>
              <w:t>10</w:t>
            </w:r>
          </w:p>
        </w:tc>
        <w:tc>
          <w:tcPr>
            <w:tcW w:w="5809" w:type="dxa"/>
            <w:tcBorders>
              <w:top w:val="single" w:color="auto" w:sz="2" w:space="0"/>
            </w:tcBorders>
            <w:shd w:val="clear" w:color="auto" w:fill="auto"/>
            <w:vAlign w:val="center"/>
          </w:tcPr>
          <w:p w14:paraId="6CF19166">
            <w:pPr>
              <w:tabs>
                <w:tab w:val="left" w:pos="547"/>
              </w:tabs>
              <w:spacing w:line="320" w:lineRule="exact"/>
              <w:jc w:val="both"/>
              <w:rPr>
                <w:rFonts w:cs="宋体"/>
                <w:sz w:val="21"/>
                <w:szCs w:val="21"/>
              </w:rPr>
            </w:pPr>
            <w:r>
              <w:rPr>
                <w:rFonts w:cs="宋体"/>
                <w:sz w:val="21"/>
                <w:szCs w:val="21"/>
              </w:rPr>
              <w:t>有效供应商最低报价为基准价得1</w:t>
            </w:r>
            <w:r>
              <w:rPr>
                <w:rFonts w:hint="eastAsia" w:cs="宋体"/>
                <w:sz w:val="21"/>
                <w:szCs w:val="21"/>
              </w:rPr>
              <w:t>0</w:t>
            </w:r>
            <w:r>
              <w:rPr>
                <w:rFonts w:cs="宋体"/>
                <w:sz w:val="21"/>
                <w:szCs w:val="21"/>
              </w:rPr>
              <w:t>分，各供应商的报价得分按下列公式计算：（基准价/投标报价）×10%×100分</w:t>
            </w:r>
          </w:p>
        </w:tc>
        <w:tc>
          <w:tcPr>
            <w:tcW w:w="1418" w:type="dxa"/>
            <w:tcBorders>
              <w:top w:val="single" w:color="auto" w:sz="2" w:space="0"/>
            </w:tcBorders>
            <w:shd w:val="clear" w:color="auto" w:fill="auto"/>
            <w:vAlign w:val="center"/>
          </w:tcPr>
          <w:p w14:paraId="0A63E6C0">
            <w:pPr>
              <w:spacing w:line="320" w:lineRule="exact"/>
              <w:jc w:val="both"/>
              <w:rPr>
                <w:rFonts w:cs="宋体"/>
                <w:bCs/>
                <w:color w:val="FF0000"/>
                <w:sz w:val="21"/>
                <w:szCs w:val="21"/>
              </w:rPr>
            </w:pPr>
          </w:p>
        </w:tc>
      </w:tr>
      <w:tr w14:paraId="7F21DF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shd w:val="clear" w:color="auto" w:fill="auto"/>
            <w:vAlign w:val="center"/>
          </w:tcPr>
          <w:p w14:paraId="256E0154">
            <w:pPr>
              <w:spacing w:line="320" w:lineRule="exact"/>
              <w:jc w:val="both"/>
              <w:rPr>
                <w:rFonts w:cs="宋体"/>
                <w:bCs/>
                <w:sz w:val="21"/>
                <w:szCs w:val="21"/>
              </w:rPr>
            </w:pPr>
            <w:r>
              <w:rPr>
                <w:rFonts w:cs="宋体"/>
                <w:bCs/>
                <w:sz w:val="21"/>
                <w:szCs w:val="21"/>
              </w:rPr>
              <w:t>技术</w:t>
            </w:r>
          </w:p>
          <w:p w14:paraId="0835C0EC">
            <w:pPr>
              <w:spacing w:line="320" w:lineRule="exact"/>
              <w:jc w:val="both"/>
              <w:rPr>
                <w:rFonts w:cs="宋体"/>
                <w:b/>
                <w:sz w:val="21"/>
                <w:szCs w:val="21"/>
              </w:rPr>
            </w:pPr>
            <w:r>
              <w:rPr>
                <w:rFonts w:cs="宋体"/>
                <w:bCs/>
                <w:sz w:val="21"/>
                <w:szCs w:val="21"/>
              </w:rPr>
              <w:t>部分（暗标盲评）</w:t>
            </w:r>
          </w:p>
        </w:tc>
        <w:tc>
          <w:tcPr>
            <w:tcW w:w="640" w:type="dxa"/>
            <w:vMerge w:val="restart"/>
            <w:shd w:val="clear" w:color="auto" w:fill="auto"/>
            <w:vAlign w:val="center"/>
          </w:tcPr>
          <w:p w14:paraId="1136C334">
            <w:pPr>
              <w:spacing w:line="320" w:lineRule="exact"/>
              <w:jc w:val="both"/>
              <w:rPr>
                <w:rFonts w:cs="宋体"/>
                <w:bCs/>
                <w:sz w:val="21"/>
                <w:szCs w:val="21"/>
              </w:rPr>
            </w:pPr>
            <w:r>
              <w:rPr>
                <w:rFonts w:cs="宋体"/>
                <w:bCs/>
                <w:sz w:val="21"/>
                <w:szCs w:val="21"/>
              </w:rPr>
              <w:t>33</w:t>
            </w:r>
          </w:p>
        </w:tc>
        <w:tc>
          <w:tcPr>
            <w:tcW w:w="860" w:type="dxa"/>
            <w:shd w:val="clear" w:color="auto" w:fill="auto"/>
            <w:vAlign w:val="center"/>
          </w:tcPr>
          <w:p w14:paraId="7CEB4E78">
            <w:pPr>
              <w:spacing w:line="320" w:lineRule="exact"/>
              <w:jc w:val="center"/>
              <w:rPr>
                <w:rFonts w:cs="宋体"/>
                <w:bCs/>
                <w:sz w:val="21"/>
                <w:szCs w:val="21"/>
              </w:rPr>
            </w:pPr>
            <w:r>
              <w:rPr>
                <w:rFonts w:cs="宋体"/>
                <w:bCs/>
                <w:sz w:val="21"/>
                <w:szCs w:val="21"/>
              </w:rPr>
              <w:t>6</w:t>
            </w:r>
          </w:p>
        </w:tc>
        <w:tc>
          <w:tcPr>
            <w:tcW w:w="5809" w:type="dxa"/>
            <w:shd w:val="clear" w:color="auto" w:fill="auto"/>
            <w:vAlign w:val="center"/>
          </w:tcPr>
          <w:p w14:paraId="6A2E54B7">
            <w:pPr>
              <w:tabs>
                <w:tab w:val="left" w:pos="547"/>
              </w:tabs>
              <w:spacing w:line="320" w:lineRule="exact"/>
              <w:jc w:val="both"/>
              <w:rPr>
                <w:rFonts w:cs="仿宋" w:asciiTheme="minorEastAsia" w:hAnsiTheme="minorEastAsia"/>
                <w:b/>
                <w:color w:val="FF0000"/>
                <w:sz w:val="21"/>
                <w:szCs w:val="21"/>
              </w:rPr>
            </w:pPr>
            <w:r>
              <w:rPr>
                <w:rFonts w:hint="eastAsia" w:cs="仿宋" w:asciiTheme="minorEastAsia" w:hAnsiTheme="minorEastAsia"/>
                <w:b/>
                <w:color w:val="FF0000"/>
                <w:sz w:val="21"/>
                <w:szCs w:val="21"/>
              </w:rPr>
              <w:t>总体</w:t>
            </w:r>
            <w:r>
              <w:rPr>
                <w:rFonts w:cs="仿宋" w:asciiTheme="minorEastAsia" w:hAnsiTheme="minorEastAsia"/>
                <w:b/>
                <w:color w:val="FF0000"/>
                <w:sz w:val="21"/>
                <w:szCs w:val="21"/>
              </w:rPr>
              <w:t>实施方案：</w:t>
            </w:r>
          </w:p>
          <w:p w14:paraId="0E74EBE4">
            <w:pPr>
              <w:tabs>
                <w:tab w:val="left" w:pos="547"/>
              </w:tabs>
              <w:spacing w:line="320" w:lineRule="exact"/>
              <w:jc w:val="both"/>
              <w:rPr>
                <w:rFonts w:cs="宋体"/>
                <w:sz w:val="21"/>
                <w:szCs w:val="21"/>
              </w:rPr>
            </w:pPr>
            <w:r>
              <w:rPr>
                <w:rFonts w:hint="eastAsia" w:cs="宋体"/>
                <w:sz w:val="21"/>
                <w:szCs w:val="21"/>
              </w:rPr>
              <w:t>一、评审内容</w:t>
            </w:r>
          </w:p>
          <w:p w14:paraId="04CB66F0">
            <w:pPr>
              <w:tabs>
                <w:tab w:val="left" w:pos="547"/>
              </w:tabs>
              <w:spacing w:line="320" w:lineRule="exact"/>
              <w:jc w:val="both"/>
              <w:rPr>
                <w:rFonts w:cs="宋体"/>
                <w:sz w:val="21"/>
                <w:szCs w:val="21"/>
              </w:rPr>
            </w:pPr>
            <w:r>
              <w:rPr>
                <w:rFonts w:hint="eastAsia" w:cs="宋体"/>
                <w:sz w:val="21"/>
                <w:szCs w:val="21"/>
              </w:rPr>
              <w:t>提出针对于本项目的服务总体方案及</w:t>
            </w:r>
            <w:r>
              <w:rPr>
                <w:rFonts w:cs="宋体"/>
                <w:sz w:val="21"/>
                <w:szCs w:val="21"/>
              </w:rPr>
              <w:t>措施</w:t>
            </w:r>
            <w:r>
              <w:rPr>
                <w:rFonts w:hint="eastAsia" w:cs="宋体"/>
                <w:sz w:val="21"/>
                <w:szCs w:val="21"/>
              </w:rPr>
              <w:t>，方案内容包含：</w:t>
            </w:r>
          </w:p>
          <w:p w14:paraId="49650553">
            <w:pPr>
              <w:tabs>
                <w:tab w:val="left" w:pos="547"/>
              </w:tabs>
              <w:spacing w:line="320" w:lineRule="exact"/>
              <w:jc w:val="both"/>
              <w:rPr>
                <w:rFonts w:cs="宋体"/>
                <w:sz w:val="21"/>
                <w:szCs w:val="21"/>
              </w:rPr>
            </w:pPr>
            <w:r>
              <w:rPr>
                <w:rFonts w:hint="eastAsia" w:cs="宋体"/>
                <w:sz w:val="21"/>
                <w:szCs w:val="21"/>
              </w:rPr>
              <w:t>①服务目标及计划安排；</w:t>
            </w:r>
          </w:p>
          <w:p w14:paraId="368A4386">
            <w:pPr>
              <w:tabs>
                <w:tab w:val="left" w:pos="547"/>
              </w:tabs>
              <w:spacing w:line="320" w:lineRule="exact"/>
              <w:jc w:val="both"/>
              <w:rPr>
                <w:rFonts w:cs="宋体"/>
                <w:sz w:val="21"/>
                <w:szCs w:val="21"/>
              </w:rPr>
            </w:pPr>
            <w:r>
              <w:rPr>
                <w:rFonts w:hint="eastAsia" w:cs="宋体"/>
                <w:sz w:val="21"/>
                <w:szCs w:val="21"/>
              </w:rPr>
              <w:t>②服务重点分析及解决措施。</w:t>
            </w:r>
          </w:p>
          <w:p w14:paraId="714D4045">
            <w:pPr>
              <w:tabs>
                <w:tab w:val="left" w:pos="547"/>
              </w:tabs>
              <w:spacing w:line="320" w:lineRule="exact"/>
              <w:jc w:val="both"/>
              <w:rPr>
                <w:rFonts w:cs="宋体"/>
                <w:sz w:val="21"/>
                <w:szCs w:val="21"/>
              </w:rPr>
            </w:pPr>
            <w:r>
              <w:rPr>
                <w:rFonts w:hint="eastAsia" w:cs="宋体"/>
                <w:sz w:val="21"/>
                <w:szCs w:val="21"/>
              </w:rPr>
              <w:t>二、评审标准</w:t>
            </w:r>
          </w:p>
          <w:p w14:paraId="3BA79A0B">
            <w:pPr>
              <w:tabs>
                <w:tab w:val="left" w:pos="547"/>
              </w:tabs>
              <w:spacing w:line="320" w:lineRule="exact"/>
              <w:jc w:val="both"/>
              <w:rPr>
                <w:rFonts w:cs="宋体"/>
                <w:sz w:val="21"/>
                <w:szCs w:val="21"/>
              </w:rPr>
            </w:pPr>
            <w:r>
              <w:rPr>
                <w:rFonts w:hint="eastAsia" w:cs="宋体"/>
                <w:sz w:val="21"/>
                <w:szCs w:val="21"/>
              </w:rPr>
              <w:t>1、完整性：方案须全面，对评审内容中的各项要求有详细描述及说明；</w:t>
            </w:r>
          </w:p>
          <w:p w14:paraId="27CD5EF4">
            <w:pPr>
              <w:tabs>
                <w:tab w:val="left" w:pos="547"/>
              </w:tabs>
              <w:spacing w:line="320" w:lineRule="exact"/>
              <w:jc w:val="both"/>
              <w:rPr>
                <w:rFonts w:cs="宋体"/>
                <w:sz w:val="21"/>
                <w:szCs w:val="21"/>
              </w:rPr>
            </w:pPr>
            <w:r>
              <w:rPr>
                <w:rFonts w:hint="eastAsia" w:cs="宋体"/>
                <w:sz w:val="21"/>
                <w:szCs w:val="21"/>
              </w:rPr>
              <w:t>2、可实施性：切合本项目实际情况，实施步骤清晰、合理；</w:t>
            </w:r>
          </w:p>
          <w:p w14:paraId="0CC09102">
            <w:pPr>
              <w:tabs>
                <w:tab w:val="left" w:pos="547"/>
              </w:tabs>
              <w:spacing w:line="320" w:lineRule="exact"/>
              <w:jc w:val="both"/>
              <w:rPr>
                <w:rFonts w:cs="宋体"/>
                <w:sz w:val="21"/>
                <w:szCs w:val="21"/>
              </w:rPr>
            </w:pPr>
            <w:r>
              <w:rPr>
                <w:rFonts w:hint="eastAsia" w:cs="宋体"/>
                <w:sz w:val="21"/>
                <w:szCs w:val="21"/>
              </w:rPr>
              <w:t>3、针对性：方案能够紧扣项目实际情况，内容科学合理。</w:t>
            </w:r>
          </w:p>
          <w:p w14:paraId="5287AF73">
            <w:pPr>
              <w:tabs>
                <w:tab w:val="left" w:pos="547"/>
              </w:tabs>
              <w:spacing w:line="320" w:lineRule="exact"/>
              <w:jc w:val="both"/>
              <w:rPr>
                <w:rFonts w:cs="宋体"/>
                <w:sz w:val="21"/>
                <w:szCs w:val="21"/>
              </w:rPr>
            </w:pPr>
            <w:r>
              <w:rPr>
                <w:rFonts w:hint="eastAsia" w:cs="宋体"/>
                <w:sz w:val="21"/>
                <w:szCs w:val="21"/>
              </w:rPr>
              <w:t>三、赋分标准</w:t>
            </w:r>
          </w:p>
          <w:p w14:paraId="3A62B1AF">
            <w:pPr>
              <w:tabs>
                <w:tab w:val="left" w:pos="547"/>
              </w:tabs>
              <w:spacing w:line="320" w:lineRule="exact"/>
              <w:jc w:val="both"/>
              <w:rPr>
                <w:rFonts w:cs="宋体"/>
                <w:sz w:val="21"/>
                <w:szCs w:val="21"/>
              </w:rPr>
            </w:pPr>
            <w:r>
              <w:rPr>
                <w:rFonts w:hint="eastAsia" w:cs="宋体"/>
                <w:sz w:val="21"/>
                <w:szCs w:val="21"/>
              </w:rPr>
              <w:t>①服务目标及计划安排：</w:t>
            </w:r>
            <w:bookmarkStart w:id="22" w:name="OLE_LINK27"/>
            <w:bookmarkStart w:id="23" w:name="OLE_LINK26"/>
            <w:r>
              <w:rPr>
                <w:rFonts w:hint="eastAsia" w:cs="宋体"/>
                <w:sz w:val="21"/>
                <w:szCs w:val="21"/>
              </w:rPr>
              <w:t>每完全满足一项评审标准得1分，满分3分</w:t>
            </w:r>
            <w:bookmarkEnd w:id="22"/>
            <w:bookmarkEnd w:id="23"/>
            <w:r>
              <w:rPr>
                <w:rFonts w:hint="eastAsia" w:cs="宋体"/>
                <w:sz w:val="21"/>
                <w:szCs w:val="21"/>
              </w:rPr>
              <w:t>；</w:t>
            </w:r>
          </w:p>
          <w:p w14:paraId="7747576B">
            <w:pPr>
              <w:spacing w:line="320" w:lineRule="exact"/>
              <w:jc w:val="both"/>
              <w:rPr>
                <w:rFonts w:cs="宋体"/>
                <w:sz w:val="21"/>
                <w:szCs w:val="21"/>
              </w:rPr>
            </w:pPr>
            <w:r>
              <w:rPr>
                <w:rFonts w:hint="eastAsia" w:cs="宋体"/>
                <w:sz w:val="21"/>
                <w:szCs w:val="21"/>
              </w:rPr>
              <w:t>②服务重点分析及解决措施:每完全满足一项评审标准得1分，满分3分。</w:t>
            </w:r>
          </w:p>
        </w:tc>
        <w:tc>
          <w:tcPr>
            <w:tcW w:w="1418" w:type="dxa"/>
            <w:vMerge w:val="restart"/>
            <w:shd w:val="clear" w:color="auto" w:fill="auto"/>
            <w:vAlign w:val="center"/>
          </w:tcPr>
          <w:p w14:paraId="06F1A3B4">
            <w:pPr>
              <w:spacing w:line="320" w:lineRule="exact"/>
              <w:jc w:val="both"/>
              <w:rPr>
                <w:rFonts w:cs="宋体"/>
                <w:bCs/>
                <w:color w:val="FF0000"/>
                <w:sz w:val="21"/>
                <w:szCs w:val="21"/>
              </w:rPr>
            </w:pPr>
            <w:r>
              <w:rPr>
                <w:rFonts w:cs="宋体"/>
                <w:bCs/>
                <w:color w:val="C00000"/>
                <w:sz w:val="21"/>
                <w:szCs w:val="21"/>
              </w:rPr>
              <w:t>按照本章“七、评审方法和程序”的“（二）评标形式”中的暗标盲评部分的响应要求进行编制，否则，其投标视为无效。</w:t>
            </w:r>
          </w:p>
        </w:tc>
      </w:tr>
      <w:tr w14:paraId="19A390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3F0E6D9B">
            <w:pPr>
              <w:spacing w:line="320" w:lineRule="exact"/>
              <w:jc w:val="both"/>
              <w:rPr>
                <w:rFonts w:cs="宋体"/>
                <w:b/>
                <w:sz w:val="21"/>
                <w:szCs w:val="21"/>
              </w:rPr>
            </w:pPr>
          </w:p>
        </w:tc>
        <w:tc>
          <w:tcPr>
            <w:tcW w:w="640" w:type="dxa"/>
            <w:vMerge w:val="continue"/>
            <w:shd w:val="clear" w:color="auto" w:fill="auto"/>
            <w:vAlign w:val="center"/>
          </w:tcPr>
          <w:p w14:paraId="278FB2EB">
            <w:pPr>
              <w:spacing w:line="320" w:lineRule="exact"/>
              <w:jc w:val="both"/>
              <w:rPr>
                <w:rFonts w:cs="宋体"/>
                <w:bCs/>
                <w:sz w:val="21"/>
                <w:szCs w:val="21"/>
              </w:rPr>
            </w:pPr>
          </w:p>
        </w:tc>
        <w:tc>
          <w:tcPr>
            <w:tcW w:w="860" w:type="dxa"/>
            <w:shd w:val="clear" w:color="auto" w:fill="auto"/>
            <w:vAlign w:val="center"/>
          </w:tcPr>
          <w:p w14:paraId="4ECFB285">
            <w:pPr>
              <w:spacing w:line="320" w:lineRule="exact"/>
              <w:jc w:val="center"/>
              <w:rPr>
                <w:rFonts w:cs="宋体"/>
                <w:bCs/>
                <w:sz w:val="21"/>
                <w:szCs w:val="21"/>
              </w:rPr>
            </w:pPr>
            <w:r>
              <w:rPr>
                <w:rFonts w:cs="宋体"/>
                <w:bCs/>
                <w:sz w:val="21"/>
                <w:szCs w:val="21"/>
              </w:rPr>
              <w:t>9</w:t>
            </w:r>
          </w:p>
        </w:tc>
        <w:tc>
          <w:tcPr>
            <w:tcW w:w="5809" w:type="dxa"/>
            <w:shd w:val="clear" w:color="auto" w:fill="auto"/>
            <w:vAlign w:val="center"/>
          </w:tcPr>
          <w:p w14:paraId="62F32DF3">
            <w:pPr>
              <w:spacing w:line="320" w:lineRule="exact"/>
              <w:rPr>
                <w:rFonts w:cs="仿宋" w:asciiTheme="minorEastAsia" w:hAnsiTheme="minorEastAsia"/>
                <w:b/>
                <w:color w:val="FF0000"/>
                <w:sz w:val="21"/>
                <w:szCs w:val="21"/>
              </w:rPr>
            </w:pPr>
            <w:r>
              <w:rPr>
                <w:rFonts w:hint="eastAsia" w:cs="仿宋" w:asciiTheme="minorEastAsia" w:hAnsiTheme="minorEastAsia"/>
                <w:b/>
                <w:color w:val="FF0000"/>
                <w:sz w:val="21"/>
                <w:szCs w:val="21"/>
              </w:rPr>
              <w:t>人员信息保密方案：</w:t>
            </w:r>
          </w:p>
          <w:p w14:paraId="2636B28C">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一、评审内容</w:t>
            </w:r>
          </w:p>
          <w:p w14:paraId="1586C759">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提出针对于本项目的人员信息保密方案，方案内容包含：</w:t>
            </w:r>
          </w:p>
          <w:p w14:paraId="695A4A5B">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①信息收集与保密原则；</w:t>
            </w:r>
          </w:p>
          <w:p w14:paraId="47AAE327">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②信息安全与监控；</w:t>
            </w:r>
          </w:p>
          <w:p w14:paraId="1B6C7496">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③违规处理措施。</w:t>
            </w:r>
          </w:p>
          <w:p w14:paraId="2AC15C29">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二、评审标准</w:t>
            </w:r>
          </w:p>
          <w:p w14:paraId="56F9572D">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1、完整性：方案须全面，对评审内容中的各项要求有详细描述及说明；</w:t>
            </w:r>
          </w:p>
          <w:p w14:paraId="369241B9">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2、可实施性：方案切合本项目实际情况，实施步骤清晰、合理；</w:t>
            </w:r>
          </w:p>
          <w:p w14:paraId="23F03106">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3、针对性：方案能够紧扣项目实际情况，内容科学合理。</w:t>
            </w:r>
          </w:p>
          <w:p w14:paraId="50956C59">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三、赋分标准</w:t>
            </w:r>
          </w:p>
          <w:p w14:paraId="0F6A82E1">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①信息收集与保密原则：</w:t>
            </w:r>
            <w:r>
              <w:rPr>
                <w:rFonts w:hint="eastAsia" w:cs="宋体"/>
                <w:sz w:val="21"/>
                <w:szCs w:val="21"/>
              </w:rPr>
              <w:t>每完全满足一项评审标准得1分，满分3分；</w:t>
            </w:r>
          </w:p>
          <w:p w14:paraId="042B9E79">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②信息安全与监控:</w:t>
            </w:r>
            <w:r>
              <w:rPr>
                <w:rFonts w:hint="eastAsia" w:cs="宋体"/>
                <w:sz w:val="21"/>
                <w:szCs w:val="21"/>
              </w:rPr>
              <w:t>每完全满足一项评审标准得1分，满分3分；</w:t>
            </w:r>
          </w:p>
          <w:p w14:paraId="572B3980">
            <w:pPr>
              <w:spacing w:line="320" w:lineRule="exact"/>
              <w:jc w:val="both"/>
              <w:rPr>
                <w:rFonts w:cs="Calibri"/>
                <w:b/>
                <w:color w:val="C00000"/>
                <w:kern w:val="2"/>
                <w:sz w:val="21"/>
                <w:szCs w:val="21"/>
              </w:rPr>
            </w:pPr>
            <w:r>
              <w:rPr>
                <w:rFonts w:hint="eastAsia" w:cs="仿宋" w:asciiTheme="minorEastAsia" w:hAnsiTheme="minorEastAsia"/>
                <w:sz w:val="21"/>
                <w:szCs w:val="21"/>
              </w:rPr>
              <w:t>③违规处理措施：</w:t>
            </w:r>
            <w:r>
              <w:rPr>
                <w:rFonts w:hint="eastAsia" w:cs="宋体"/>
                <w:sz w:val="21"/>
                <w:szCs w:val="21"/>
              </w:rPr>
              <w:t>每完全满足一项评审标准得1分，满分3分。</w:t>
            </w:r>
          </w:p>
        </w:tc>
        <w:tc>
          <w:tcPr>
            <w:tcW w:w="1418" w:type="dxa"/>
            <w:vMerge w:val="continue"/>
            <w:shd w:val="clear" w:color="auto" w:fill="auto"/>
            <w:vAlign w:val="center"/>
          </w:tcPr>
          <w:p w14:paraId="3049C8A8">
            <w:pPr>
              <w:spacing w:line="320" w:lineRule="exact"/>
              <w:jc w:val="both"/>
              <w:rPr>
                <w:rFonts w:cs="宋体"/>
                <w:bCs/>
                <w:color w:val="FF0000"/>
                <w:sz w:val="21"/>
                <w:szCs w:val="21"/>
              </w:rPr>
            </w:pPr>
          </w:p>
        </w:tc>
      </w:tr>
      <w:tr w14:paraId="1A4377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32F4E6AC">
            <w:pPr>
              <w:spacing w:line="320" w:lineRule="exact"/>
              <w:jc w:val="both"/>
              <w:rPr>
                <w:rFonts w:cs="宋体"/>
                <w:b/>
                <w:sz w:val="21"/>
                <w:szCs w:val="21"/>
              </w:rPr>
            </w:pPr>
          </w:p>
        </w:tc>
        <w:tc>
          <w:tcPr>
            <w:tcW w:w="640" w:type="dxa"/>
            <w:vMerge w:val="continue"/>
            <w:shd w:val="clear" w:color="auto" w:fill="auto"/>
            <w:vAlign w:val="center"/>
          </w:tcPr>
          <w:p w14:paraId="784234EA">
            <w:pPr>
              <w:spacing w:line="320" w:lineRule="exact"/>
              <w:jc w:val="both"/>
              <w:rPr>
                <w:rFonts w:cs="宋体"/>
                <w:bCs/>
                <w:sz w:val="21"/>
                <w:szCs w:val="21"/>
              </w:rPr>
            </w:pPr>
          </w:p>
        </w:tc>
        <w:tc>
          <w:tcPr>
            <w:tcW w:w="860" w:type="dxa"/>
            <w:shd w:val="clear" w:color="auto" w:fill="auto"/>
            <w:vAlign w:val="center"/>
          </w:tcPr>
          <w:p w14:paraId="1EF4EC72">
            <w:pPr>
              <w:spacing w:line="320" w:lineRule="exact"/>
              <w:jc w:val="center"/>
              <w:rPr>
                <w:rFonts w:cs="宋体"/>
                <w:bCs/>
                <w:sz w:val="21"/>
                <w:szCs w:val="21"/>
              </w:rPr>
            </w:pPr>
            <w:r>
              <w:rPr>
                <w:rFonts w:cs="宋体"/>
                <w:bCs/>
                <w:sz w:val="21"/>
                <w:szCs w:val="21"/>
              </w:rPr>
              <w:t>9</w:t>
            </w:r>
          </w:p>
        </w:tc>
        <w:tc>
          <w:tcPr>
            <w:tcW w:w="5809" w:type="dxa"/>
            <w:shd w:val="clear" w:color="auto" w:fill="auto"/>
            <w:vAlign w:val="center"/>
          </w:tcPr>
          <w:p w14:paraId="351F9992">
            <w:pPr>
              <w:spacing w:line="320" w:lineRule="exact"/>
              <w:jc w:val="both"/>
              <w:rPr>
                <w:rFonts w:cs="仿宋" w:asciiTheme="minorEastAsia" w:hAnsiTheme="minorEastAsia"/>
                <w:b/>
                <w:color w:val="FF0000"/>
                <w:sz w:val="21"/>
                <w:szCs w:val="21"/>
              </w:rPr>
            </w:pPr>
            <w:r>
              <w:rPr>
                <w:rFonts w:hint="eastAsia" w:cs="仿宋" w:asciiTheme="minorEastAsia" w:hAnsiTheme="minorEastAsia"/>
                <w:b/>
                <w:color w:val="FF0000"/>
                <w:sz w:val="21"/>
                <w:szCs w:val="21"/>
              </w:rPr>
              <w:t>定损理赔方案</w:t>
            </w:r>
            <w:r>
              <w:rPr>
                <w:rFonts w:cs="仿宋" w:asciiTheme="minorEastAsia" w:hAnsiTheme="minorEastAsia"/>
                <w:b/>
                <w:color w:val="FF0000"/>
                <w:sz w:val="21"/>
                <w:szCs w:val="21"/>
              </w:rPr>
              <w:t>：</w:t>
            </w:r>
          </w:p>
          <w:p w14:paraId="18534CCF">
            <w:pPr>
              <w:tabs>
                <w:tab w:val="left" w:pos="547"/>
              </w:tabs>
              <w:spacing w:line="320" w:lineRule="exact"/>
              <w:jc w:val="both"/>
              <w:rPr>
                <w:rFonts w:cs="宋体"/>
                <w:sz w:val="21"/>
                <w:szCs w:val="21"/>
              </w:rPr>
            </w:pPr>
            <w:r>
              <w:rPr>
                <w:rFonts w:hint="eastAsia" w:cs="宋体"/>
                <w:sz w:val="21"/>
                <w:szCs w:val="21"/>
              </w:rPr>
              <w:t>一、评审内容</w:t>
            </w:r>
          </w:p>
          <w:p w14:paraId="08035C28">
            <w:pPr>
              <w:tabs>
                <w:tab w:val="left" w:pos="547"/>
              </w:tabs>
              <w:spacing w:line="320" w:lineRule="exact"/>
              <w:jc w:val="both"/>
              <w:rPr>
                <w:rFonts w:cs="宋体"/>
                <w:sz w:val="21"/>
                <w:szCs w:val="21"/>
              </w:rPr>
            </w:pPr>
            <w:r>
              <w:rPr>
                <w:rFonts w:hint="eastAsia" w:cs="宋体"/>
                <w:sz w:val="21"/>
                <w:szCs w:val="21"/>
              </w:rPr>
              <w:t>提出针对于本项目的定损理赔方案，方案内容包含：</w:t>
            </w:r>
          </w:p>
          <w:p w14:paraId="348611BC">
            <w:pPr>
              <w:tabs>
                <w:tab w:val="left" w:pos="547"/>
              </w:tabs>
              <w:spacing w:line="320" w:lineRule="exact"/>
              <w:jc w:val="both"/>
              <w:rPr>
                <w:rFonts w:cs="宋体"/>
                <w:sz w:val="21"/>
                <w:szCs w:val="21"/>
              </w:rPr>
            </w:pPr>
            <w:r>
              <w:rPr>
                <w:rFonts w:hint="eastAsia" w:cs="宋体"/>
                <w:sz w:val="21"/>
                <w:szCs w:val="21"/>
              </w:rPr>
              <w:t>①理赔资料</w:t>
            </w:r>
            <w:r>
              <w:rPr>
                <w:rFonts w:cs="宋体"/>
                <w:sz w:val="21"/>
                <w:szCs w:val="21"/>
              </w:rPr>
              <w:t>提交</w:t>
            </w:r>
            <w:r>
              <w:rPr>
                <w:rFonts w:hint="eastAsia" w:cs="宋体"/>
                <w:sz w:val="21"/>
                <w:szCs w:val="21"/>
              </w:rPr>
              <w:t>流程；</w:t>
            </w:r>
          </w:p>
          <w:p w14:paraId="611B45B6">
            <w:pPr>
              <w:tabs>
                <w:tab w:val="left" w:pos="547"/>
              </w:tabs>
              <w:spacing w:line="320" w:lineRule="exact"/>
              <w:jc w:val="both"/>
              <w:rPr>
                <w:rFonts w:cs="宋体"/>
                <w:sz w:val="21"/>
                <w:szCs w:val="21"/>
              </w:rPr>
            </w:pPr>
            <w:r>
              <w:rPr>
                <w:rFonts w:hint="eastAsia" w:cs="宋体"/>
                <w:sz w:val="21"/>
                <w:szCs w:val="21"/>
              </w:rPr>
              <w:t>②理赔事故</w:t>
            </w:r>
            <w:r>
              <w:rPr>
                <w:rFonts w:cs="宋体"/>
                <w:sz w:val="21"/>
                <w:szCs w:val="21"/>
              </w:rPr>
              <w:t>调查流程</w:t>
            </w:r>
            <w:r>
              <w:rPr>
                <w:rFonts w:hint="eastAsia" w:cs="宋体"/>
                <w:sz w:val="21"/>
                <w:szCs w:val="21"/>
              </w:rPr>
              <w:t>；</w:t>
            </w:r>
          </w:p>
          <w:p w14:paraId="4EB661B6">
            <w:pPr>
              <w:tabs>
                <w:tab w:val="left" w:pos="547"/>
              </w:tabs>
              <w:spacing w:line="320" w:lineRule="exact"/>
              <w:jc w:val="both"/>
              <w:rPr>
                <w:rFonts w:cs="宋体"/>
                <w:sz w:val="21"/>
                <w:szCs w:val="21"/>
              </w:rPr>
            </w:pPr>
            <w:r>
              <w:rPr>
                <w:rFonts w:hint="eastAsia" w:cs="仿宋" w:asciiTheme="minorEastAsia" w:hAnsiTheme="minorEastAsia"/>
                <w:sz w:val="21"/>
                <w:szCs w:val="21"/>
              </w:rPr>
              <w:t>③</w:t>
            </w:r>
            <w:r>
              <w:rPr>
                <w:rFonts w:hint="eastAsia" w:cs="宋体"/>
                <w:sz w:val="21"/>
                <w:szCs w:val="21"/>
              </w:rPr>
              <w:t>赔款</w:t>
            </w:r>
            <w:r>
              <w:rPr>
                <w:rFonts w:cs="宋体"/>
                <w:sz w:val="21"/>
                <w:szCs w:val="21"/>
              </w:rPr>
              <w:t>计算</w:t>
            </w:r>
            <w:r>
              <w:rPr>
                <w:rFonts w:hint="eastAsia" w:cs="宋体"/>
                <w:sz w:val="21"/>
                <w:szCs w:val="21"/>
              </w:rPr>
              <w:t>审核及</w:t>
            </w:r>
            <w:r>
              <w:rPr>
                <w:rFonts w:cs="宋体"/>
                <w:sz w:val="21"/>
                <w:szCs w:val="21"/>
              </w:rPr>
              <w:t>保险金</w:t>
            </w:r>
            <w:r>
              <w:rPr>
                <w:rFonts w:hint="eastAsia" w:cs="宋体"/>
                <w:sz w:val="21"/>
                <w:szCs w:val="21"/>
              </w:rPr>
              <w:t>给付</w:t>
            </w:r>
            <w:r>
              <w:rPr>
                <w:rFonts w:cs="宋体"/>
                <w:sz w:val="21"/>
                <w:szCs w:val="21"/>
              </w:rPr>
              <w:t>。</w:t>
            </w:r>
          </w:p>
          <w:p w14:paraId="45CF6C04">
            <w:pPr>
              <w:tabs>
                <w:tab w:val="left" w:pos="547"/>
              </w:tabs>
              <w:spacing w:line="320" w:lineRule="exact"/>
              <w:jc w:val="both"/>
              <w:rPr>
                <w:rFonts w:cs="宋体"/>
                <w:sz w:val="21"/>
                <w:szCs w:val="21"/>
              </w:rPr>
            </w:pPr>
            <w:r>
              <w:rPr>
                <w:rFonts w:hint="eastAsia" w:cs="宋体"/>
                <w:sz w:val="21"/>
                <w:szCs w:val="21"/>
              </w:rPr>
              <w:t>二、评审标准</w:t>
            </w:r>
          </w:p>
          <w:p w14:paraId="416FBAAE">
            <w:pPr>
              <w:tabs>
                <w:tab w:val="left" w:pos="547"/>
              </w:tabs>
              <w:spacing w:line="320" w:lineRule="exact"/>
              <w:jc w:val="both"/>
              <w:rPr>
                <w:rFonts w:cs="宋体"/>
                <w:sz w:val="21"/>
                <w:szCs w:val="21"/>
              </w:rPr>
            </w:pPr>
            <w:r>
              <w:rPr>
                <w:rFonts w:hint="eastAsia" w:cs="宋体"/>
                <w:sz w:val="21"/>
                <w:szCs w:val="21"/>
              </w:rPr>
              <w:t>1、完整性：方案须全面，对评审内容中的各项要求有详细描述及说明；</w:t>
            </w:r>
          </w:p>
          <w:p w14:paraId="76598E42">
            <w:pPr>
              <w:tabs>
                <w:tab w:val="left" w:pos="547"/>
              </w:tabs>
              <w:spacing w:line="320" w:lineRule="exact"/>
              <w:jc w:val="both"/>
              <w:rPr>
                <w:rFonts w:cs="宋体"/>
                <w:sz w:val="21"/>
                <w:szCs w:val="21"/>
              </w:rPr>
            </w:pPr>
            <w:r>
              <w:rPr>
                <w:rFonts w:hint="eastAsia" w:cs="宋体"/>
                <w:sz w:val="21"/>
                <w:szCs w:val="21"/>
              </w:rPr>
              <w:t>2、可实施性：方案切合本项目实际情况，实施步骤清晰、合理；</w:t>
            </w:r>
          </w:p>
          <w:p w14:paraId="64B36D24">
            <w:pPr>
              <w:tabs>
                <w:tab w:val="left" w:pos="547"/>
              </w:tabs>
              <w:spacing w:line="320" w:lineRule="exact"/>
              <w:jc w:val="both"/>
              <w:rPr>
                <w:rFonts w:cs="宋体"/>
                <w:sz w:val="21"/>
                <w:szCs w:val="21"/>
              </w:rPr>
            </w:pPr>
            <w:r>
              <w:rPr>
                <w:rFonts w:hint="eastAsia" w:cs="宋体"/>
                <w:sz w:val="21"/>
                <w:szCs w:val="21"/>
              </w:rPr>
              <w:t>3、针对性：方案能够紧扣项目实际情况，内容科学合理。</w:t>
            </w:r>
          </w:p>
          <w:p w14:paraId="526EDEF6">
            <w:pPr>
              <w:tabs>
                <w:tab w:val="left" w:pos="547"/>
              </w:tabs>
              <w:spacing w:line="320" w:lineRule="exact"/>
              <w:jc w:val="both"/>
              <w:rPr>
                <w:rFonts w:cs="宋体"/>
                <w:sz w:val="21"/>
                <w:szCs w:val="21"/>
              </w:rPr>
            </w:pPr>
            <w:r>
              <w:rPr>
                <w:rFonts w:hint="eastAsia" w:cs="宋体"/>
                <w:sz w:val="21"/>
                <w:szCs w:val="21"/>
              </w:rPr>
              <w:t>三、赋分标准</w:t>
            </w:r>
          </w:p>
          <w:p w14:paraId="026C57E4">
            <w:pPr>
              <w:tabs>
                <w:tab w:val="left" w:pos="547"/>
              </w:tabs>
              <w:spacing w:line="320" w:lineRule="exact"/>
              <w:jc w:val="both"/>
              <w:rPr>
                <w:rFonts w:cs="宋体"/>
                <w:sz w:val="21"/>
                <w:szCs w:val="21"/>
              </w:rPr>
            </w:pPr>
            <w:r>
              <w:rPr>
                <w:rFonts w:hint="eastAsia" w:cs="宋体"/>
                <w:sz w:val="21"/>
                <w:szCs w:val="21"/>
              </w:rPr>
              <w:t>①理赔资料</w:t>
            </w:r>
            <w:r>
              <w:rPr>
                <w:rFonts w:cs="宋体"/>
                <w:sz w:val="21"/>
                <w:szCs w:val="21"/>
              </w:rPr>
              <w:t>提交</w:t>
            </w:r>
            <w:r>
              <w:rPr>
                <w:rFonts w:hint="eastAsia" w:cs="宋体"/>
                <w:sz w:val="21"/>
                <w:szCs w:val="21"/>
              </w:rPr>
              <w:t>流程：每完全满足一项评审标准得1分，满分3分；</w:t>
            </w:r>
          </w:p>
          <w:p w14:paraId="24F2FB00">
            <w:pPr>
              <w:spacing w:line="320" w:lineRule="exact"/>
              <w:jc w:val="both"/>
              <w:rPr>
                <w:rFonts w:cs="宋体"/>
                <w:sz w:val="21"/>
                <w:szCs w:val="21"/>
              </w:rPr>
            </w:pPr>
            <w:r>
              <w:rPr>
                <w:rFonts w:hint="eastAsia" w:cs="宋体"/>
                <w:sz w:val="21"/>
                <w:szCs w:val="21"/>
              </w:rPr>
              <w:t>②理赔事故</w:t>
            </w:r>
            <w:r>
              <w:rPr>
                <w:rFonts w:cs="宋体"/>
                <w:sz w:val="21"/>
                <w:szCs w:val="21"/>
              </w:rPr>
              <w:t>调查流程</w:t>
            </w:r>
            <w:r>
              <w:rPr>
                <w:rFonts w:hint="eastAsia" w:cs="宋体"/>
                <w:sz w:val="21"/>
                <w:szCs w:val="21"/>
              </w:rPr>
              <w:t>: 每完全满足一项评审标准得1分，满分3分；</w:t>
            </w:r>
          </w:p>
          <w:p w14:paraId="3BBD7E41">
            <w:pPr>
              <w:spacing w:line="320" w:lineRule="exact"/>
              <w:jc w:val="both"/>
              <w:rPr>
                <w:rFonts w:cs="Calibri"/>
                <w:b/>
                <w:color w:val="C00000"/>
                <w:kern w:val="2"/>
                <w:sz w:val="21"/>
                <w:szCs w:val="21"/>
              </w:rPr>
            </w:pPr>
            <w:r>
              <w:rPr>
                <w:rFonts w:hint="eastAsia" w:cs="仿宋" w:asciiTheme="minorEastAsia" w:hAnsiTheme="minorEastAsia"/>
                <w:sz w:val="21"/>
                <w:szCs w:val="21"/>
              </w:rPr>
              <w:t>③</w:t>
            </w:r>
            <w:r>
              <w:rPr>
                <w:rFonts w:hint="eastAsia" w:cs="宋体"/>
                <w:sz w:val="21"/>
                <w:szCs w:val="21"/>
              </w:rPr>
              <w:t>赔款</w:t>
            </w:r>
            <w:r>
              <w:rPr>
                <w:rFonts w:cs="宋体"/>
                <w:sz w:val="21"/>
                <w:szCs w:val="21"/>
              </w:rPr>
              <w:t>计算</w:t>
            </w:r>
            <w:r>
              <w:rPr>
                <w:rFonts w:hint="eastAsia" w:cs="宋体"/>
                <w:sz w:val="21"/>
                <w:szCs w:val="21"/>
              </w:rPr>
              <w:t>审核及</w:t>
            </w:r>
            <w:r>
              <w:rPr>
                <w:rFonts w:cs="宋体"/>
                <w:sz w:val="21"/>
                <w:szCs w:val="21"/>
              </w:rPr>
              <w:t>保险金</w:t>
            </w:r>
            <w:r>
              <w:rPr>
                <w:rFonts w:hint="eastAsia" w:cs="宋体"/>
                <w:sz w:val="21"/>
                <w:szCs w:val="21"/>
              </w:rPr>
              <w:t>给付：每完全满足一项评审标准得1分，满分3分。</w:t>
            </w:r>
          </w:p>
        </w:tc>
        <w:tc>
          <w:tcPr>
            <w:tcW w:w="1418" w:type="dxa"/>
            <w:vMerge w:val="continue"/>
            <w:shd w:val="clear" w:color="auto" w:fill="auto"/>
            <w:vAlign w:val="center"/>
          </w:tcPr>
          <w:p w14:paraId="6FA14E3D">
            <w:pPr>
              <w:spacing w:line="320" w:lineRule="exact"/>
              <w:jc w:val="both"/>
              <w:rPr>
                <w:rFonts w:cs="宋体"/>
                <w:bCs/>
                <w:color w:val="FF0000"/>
                <w:sz w:val="21"/>
                <w:szCs w:val="21"/>
              </w:rPr>
            </w:pPr>
          </w:p>
        </w:tc>
      </w:tr>
      <w:tr w14:paraId="44799D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4A77269C">
            <w:pPr>
              <w:spacing w:line="320" w:lineRule="exact"/>
              <w:jc w:val="both"/>
              <w:rPr>
                <w:rFonts w:cs="宋体"/>
                <w:b/>
                <w:sz w:val="21"/>
                <w:szCs w:val="21"/>
              </w:rPr>
            </w:pPr>
          </w:p>
        </w:tc>
        <w:tc>
          <w:tcPr>
            <w:tcW w:w="640" w:type="dxa"/>
            <w:vMerge w:val="continue"/>
            <w:shd w:val="clear" w:color="auto" w:fill="auto"/>
            <w:vAlign w:val="center"/>
          </w:tcPr>
          <w:p w14:paraId="4FE95049">
            <w:pPr>
              <w:spacing w:line="320" w:lineRule="exact"/>
              <w:jc w:val="both"/>
              <w:rPr>
                <w:rFonts w:cs="宋体"/>
                <w:bCs/>
                <w:sz w:val="21"/>
                <w:szCs w:val="21"/>
              </w:rPr>
            </w:pPr>
          </w:p>
        </w:tc>
        <w:tc>
          <w:tcPr>
            <w:tcW w:w="860" w:type="dxa"/>
            <w:shd w:val="clear" w:color="auto" w:fill="auto"/>
            <w:vAlign w:val="center"/>
          </w:tcPr>
          <w:p w14:paraId="7E82CB1E">
            <w:pPr>
              <w:spacing w:line="320" w:lineRule="exact"/>
              <w:jc w:val="center"/>
              <w:rPr>
                <w:rFonts w:cs="宋体"/>
                <w:bCs/>
                <w:sz w:val="21"/>
                <w:szCs w:val="21"/>
              </w:rPr>
            </w:pPr>
            <w:r>
              <w:rPr>
                <w:rFonts w:hint="eastAsia" w:cs="宋体"/>
                <w:bCs/>
                <w:sz w:val="21"/>
                <w:szCs w:val="21"/>
              </w:rPr>
              <w:t>9</w:t>
            </w:r>
          </w:p>
        </w:tc>
        <w:tc>
          <w:tcPr>
            <w:tcW w:w="5809" w:type="dxa"/>
            <w:shd w:val="clear" w:color="auto" w:fill="auto"/>
            <w:vAlign w:val="center"/>
          </w:tcPr>
          <w:p w14:paraId="755A3778">
            <w:pPr>
              <w:spacing w:line="320" w:lineRule="exact"/>
              <w:rPr>
                <w:rFonts w:cs="仿宋" w:asciiTheme="minorEastAsia" w:hAnsiTheme="minorEastAsia"/>
                <w:b/>
                <w:color w:val="FF0000"/>
                <w:sz w:val="21"/>
                <w:szCs w:val="21"/>
              </w:rPr>
            </w:pPr>
            <w:r>
              <w:rPr>
                <w:rFonts w:hint="eastAsia" w:cs="仿宋" w:asciiTheme="minorEastAsia" w:hAnsiTheme="minorEastAsia"/>
                <w:b/>
                <w:color w:val="FF0000"/>
                <w:sz w:val="21"/>
                <w:szCs w:val="21"/>
              </w:rPr>
              <w:t>服务培训方案：</w:t>
            </w:r>
          </w:p>
          <w:p w14:paraId="6A9FEE14">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一、评审内容</w:t>
            </w:r>
          </w:p>
          <w:p w14:paraId="2042FD26">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提出针对于本项目的优质保险服务培训方案，方案内容包含：</w:t>
            </w:r>
          </w:p>
          <w:p w14:paraId="2052704D">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①保险责任与权益培训；</w:t>
            </w:r>
          </w:p>
          <w:p w14:paraId="335CBE23">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②理赔流程培训；</w:t>
            </w:r>
          </w:p>
          <w:p w14:paraId="43F14927">
            <w:pPr>
              <w:tabs>
                <w:tab w:val="left" w:pos="547"/>
              </w:tabs>
              <w:spacing w:line="320" w:lineRule="exact"/>
              <w:rPr>
                <w:rFonts w:cs="仿宋" w:asciiTheme="minorEastAsia" w:hAnsiTheme="minorEastAsia"/>
                <w:sz w:val="21"/>
                <w:szCs w:val="21"/>
              </w:rPr>
            </w:pPr>
            <w:bookmarkStart w:id="24" w:name="OLE_LINK9"/>
            <w:bookmarkStart w:id="25" w:name="OLE_LINK10"/>
            <w:r>
              <w:rPr>
                <w:rFonts w:hint="eastAsia" w:cs="仿宋" w:asciiTheme="minorEastAsia" w:hAnsiTheme="minorEastAsia"/>
                <w:sz w:val="21"/>
                <w:szCs w:val="21"/>
              </w:rPr>
              <w:t>③</w:t>
            </w:r>
            <w:bookmarkEnd w:id="24"/>
            <w:bookmarkEnd w:id="25"/>
            <w:r>
              <w:rPr>
                <w:rFonts w:hint="eastAsia" w:cs="仿宋" w:asciiTheme="minorEastAsia" w:hAnsiTheme="minorEastAsia"/>
                <w:sz w:val="21"/>
                <w:szCs w:val="21"/>
              </w:rPr>
              <w:t>风险意识培养与法律法规培训。</w:t>
            </w:r>
          </w:p>
          <w:p w14:paraId="50BFB2D5">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二、评审标准</w:t>
            </w:r>
          </w:p>
          <w:p w14:paraId="58BEACDD">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1、完整性：方案须全面，对评审内容中的各项要求有详细描述及说明；</w:t>
            </w:r>
          </w:p>
          <w:p w14:paraId="6748AAFF">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2、可实施性：方案切合本项目实际情况，实施步骤清晰、合理；</w:t>
            </w:r>
          </w:p>
          <w:p w14:paraId="04064582">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3、针对性：方案能够紧扣项目实际情况，内容科学合理。</w:t>
            </w:r>
          </w:p>
          <w:p w14:paraId="046CA13A">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三、赋分标准</w:t>
            </w:r>
          </w:p>
          <w:p w14:paraId="05B85489">
            <w:pPr>
              <w:tabs>
                <w:tab w:val="left" w:pos="547"/>
              </w:tabs>
              <w:spacing w:line="320" w:lineRule="exact"/>
              <w:jc w:val="both"/>
              <w:rPr>
                <w:rFonts w:cs="宋体"/>
                <w:sz w:val="21"/>
                <w:szCs w:val="21"/>
              </w:rPr>
            </w:pPr>
            <w:r>
              <w:rPr>
                <w:rFonts w:hint="eastAsia" w:cs="仿宋" w:asciiTheme="minorEastAsia" w:hAnsiTheme="minorEastAsia"/>
                <w:sz w:val="21"/>
                <w:szCs w:val="21"/>
              </w:rPr>
              <w:t>①保险责任与权益培训：</w:t>
            </w:r>
            <w:r>
              <w:rPr>
                <w:rFonts w:hint="eastAsia" w:cs="宋体"/>
                <w:sz w:val="21"/>
                <w:szCs w:val="21"/>
              </w:rPr>
              <w:t>每完全满足一项评审标准得1分，满分3分；</w:t>
            </w:r>
          </w:p>
          <w:p w14:paraId="4B039C76">
            <w:pPr>
              <w:tabs>
                <w:tab w:val="left" w:pos="547"/>
              </w:tabs>
              <w:spacing w:line="320" w:lineRule="exact"/>
              <w:jc w:val="both"/>
              <w:rPr>
                <w:rFonts w:cs="宋体"/>
                <w:sz w:val="21"/>
                <w:szCs w:val="21"/>
              </w:rPr>
            </w:pPr>
            <w:r>
              <w:rPr>
                <w:rFonts w:hint="eastAsia" w:cs="仿宋" w:asciiTheme="minorEastAsia" w:hAnsiTheme="minorEastAsia"/>
                <w:sz w:val="21"/>
                <w:szCs w:val="21"/>
              </w:rPr>
              <w:t>②理赔流程培训：</w:t>
            </w:r>
            <w:r>
              <w:rPr>
                <w:rFonts w:hint="eastAsia" w:cs="宋体"/>
                <w:sz w:val="21"/>
                <w:szCs w:val="21"/>
              </w:rPr>
              <w:t>每完全满足一项评审标准得1分，满分3分；</w:t>
            </w:r>
          </w:p>
          <w:p w14:paraId="6CE3B3F0">
            <w:pPr>
              <w:tabs>
                <w:tab w:val="left" w:pos="547"/>
              </w:tabs>
              <w:spacing w:line="320" w:lineRule="exact"/>
              <w:jc w:val="both"/>
              <w:rPr>
                <w:rFonts w:cs="宋体"/>
                <w:sz w:val="21"/>
                <w:szCs w:val="21"/>
              </w:rPr>
            </w:pPr>
            <w:r>
              <w:rPr>
                <w:rFonts w:hint="eastAsia" w:cs="仿宋" w:asciiTheme="minorEastAsia" w:hAnsiTheme="minorEastAsia"/>
                <w:sz w:val="21"/>
                <w:szCs w:val="21"/>
              </w:rPr>
              <w:t>③风险意识培养与法律法规培训：</w:t>
            </w:r>
            <w:r>
              <w:rPr>
                <w:rFonts w:hint="eastAsia" w:cs="宋体"/>
                <w:sz w:val="21"/>
                <w:szCs w:val="21"/>
              </w:rPr>
              <w:t>每完全满足一项评审标准得1分，满分3分。</w:t>
            </w:r>
          </w:p>
        </w:tc>
        <w:tc>
          <w:tcPr>
            <w:tcW w:w="1418" w:type="dxa"/>
            <w:shd w:val="clear" w:color="auto" w:fill="auto"/>
            <w:vAlign w:val="center"/>
          </w:tcPr>
          <w:p w14:paraId="043AC393">
            <w:pPr>
              <w:spacing w:line="320" w:lineRule="exact"/>
              <w:jc w:val="both"/>
              <w:rPr>
                <w:rFonts w:cs="宋体"/>
                <w:bCs/>
                <w:color w:val="FF0000"/>
                <w:sz w:val="21"/>
                <w:szCs w:val="21"/>
              </w:rPr>
            </w:pPr>
          </w:p>
        </w:tc>
      </w:tr>
      <w:tr w14:paraId="55E8A4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16" w:hRule="atLeast"/>
          <w:jc w:val="center"/>
        </w:trPr>
        <w:tc>
          <w:tcPr>
            <w:tcW w:w="756" w:type="dxa"/>
            <w:vMerge w:val="restart"/>
            <w:shd w:val="clear" w:color="auto" w:fill="auto"/>
            <w:vAlign w:val="center"/>
          </w:tcPr>
          <w:p w14:paraId="7E61D8E1">
            <w:pPr>
              <w:spacing w:line="320" w:lineRule="exact"/>
              <w:jc w:val="both"/>
              <w:rPr>
                <w:rFonts w:cs="宋体"/>
                <w:bCs/>
                <w:sz w:val="21"/>
                <w:szCs w:val="21"/>
              </w:rPr>
            </w:pPr>
            <w:r>
              <w:rPr>
                <w:rFonts w:cs="宋体"/>
                <w:bCs/>
                <w:sz w:val="21"/>
                <w:szCs w:val="21"/>
              </w:rPr>
              <w:t>商务</w:t>
            </w:r>
          </w:p>
          <w:p w14:paraId="0ACA1F16">
            <w:pPr>
              <w:spacing w:line="320" w:lineRule="exact"/>
              <w:jc w:val="both"/>
              <w:rPr>
                <w:rFonts w:cs="宋体"/>
                <w:b/>
                <w:sz w:val="21"/>
                <w:szCs w:val="21"/>
              </w:rPr>
            </w:pPr>
            <w:r>
              <w:rPr>
                <w:rFonts w:cs="宋体"/>
                <w:bCs/>
                <w:sz w:val="21"/>
                <w:szCs w:val="21"/>
              </w:rPr>
              <w:t>部分</w:t>
            </w:r>
          </w:p>
        </w:tc>
        <w:tc>
          <w:tcPr>
            <w:tcW w:w="640" w:type="dxa"/>
            <w:vMerge w:val="restart"/>
            <w:shd w:val="clear" w:color="auto" w:fill="auto"/>
            <w:vAlign w:val="center"/>
          </w:tcPr>
          <w:p w14:paraId="07173F79">
            <w:pPr>
              <w:spacing w:line="320" w:lineRule="exact"/>
              <w:jc w:val="both"/>
              <w:rPr>
                <w:rFonts w:cs="宋体"/>
                <w:bCs/>
                <w:sz w:val="21"/>
                <w:szCs w:val="21"/>
              </w:rPr>
            </w:pPr>
            <w:r>
              <w:rPr>
                <w:rFonts w:cs="宋体"/>
                <w:bCs/>
                <w:sz w:val="21"/>
                <w:szCs w:val="21"/>
              </w:rPr>
              <w:t xml:space="preserve">57                                                                                                                                                                                                                                                                                                </w:t>
            </w:r>
          </w:p>
        </w:tc>
        <w:tc>
          <w:tcPr>
            <w:tcW w:w="860" w:type="dxa"/>
            <w:shd w:val="clear" w:color="auto" w:fill="auto"/>
            <w:vAlign w:val="center"/>
          </w:tcPr>
          <w:p w14:paraId="21EACC71">
            <w:pPr>
              <w:spacing w:line="320" w:lineRule="exact"/>
              <w:jc w:val="center"/>
              <w:rPr>
                <w:rFonts w:cs="宋体"/>
                <w:bCs/>
                <w:sz w:val="21"/>
                <w:szCs w:val="21"/>
              </w:rPr>
            </w:pPr>
            <w:r>
              <w:rPr>
                <w:rFonts w:cs="宋体"/>
                <w:bCs/>
                <w:sz w:val="21"/>
                <w:szCs w:val="21"/>
              </w:rPr>
              <w:t>5</w:t>
            </w:r>
          </w:p>
        </w:tc>
        <w:tc>
          <w:tcPr>
            <w:tcW w:w="5809" w:type="dxa"/>
            <w:shd w:val="clear" w:color="auto" w:fill="auto"/>
            <w:vAlign w:val="center"/>
          </w:tcPr>
          <w:p w14:paraId="772FC0BE">
            <w:pPr>
              <w:spacing w:line="320" w:lineRule="exact"/>
              <w:rPr>
                <w:rFonts w:cs="仿宋" w:asciiTheme="minorEastAsia" w:hAnsiTheme="minorEastAsia"/>
                <w:b/>
                <w:color w:val="FF0000"/>
                <w:sz w:val="21"/>
                <w:szCs w:val="21"/>
              </w:rPr>
            </w:pPr>
            <w:r>
              <w:rPr>
                <w:rFonts w:hint="eastAsia" w:cs="仿宋" w:asciiTheme="minorEastAsia" w:hAnsiTheme="minorEastAsia"/>
                <w:b/>
                <w:color w:val="FF0000"/>
                <w:sz w:val="21"/>
                <w:szCs w:val="21"/>
              </w:rPr>
              <w:t>定损理赔时效：</w:t>
            </w:r>
          </w:p>
          <w:p w14:paraId="584A29D7">
            <w:pPr>
              <w:spacing w:line="320" w:lineRule="exact"/>
              <w:jc w:val="both"/>
              <w:rPr>
                <w:rFonts w:cs="宋体"/>
                <w:sz w:val="21"/>
                <w:szCs w:val="21"/>
              </w:rPr>
            </w:pPr>
            <w:r>
              <w:rPr>
                <w:rFonts w:hint="eastAsia" w:cs="仿宋" w:asciiTheme="minorEastAsia" w:hAnsiTheme="minorEastAsia"/>
                <w:sz w:val="21"/>
                <w:szCs w:val="21"/>
              </w:rPr>
              <w:t>供应商承诺于90日内完成事故定损理赔，并提供服务承诺得5分；供应商承诺于120日内完成事故定损理赔，并提供服务承诺得3分；供应商承诺于150日内完成事故定损理赔，并提供服务承诺得2分；供应商承诺于180日内完成事故定损理赔，并提供服务承诺得1分；超过180日得不得分。</w:t>
            </w:r>
          </w:p>
        </w:tc>
        <w:tc>
          <w:tcPr>
            <w:tcW w:w="1418" w:type="dxa"/>
            <w:vMerge w:val="restart"/>
            <w:shd w:val="clear" w:color="auto" w:fill="auto"/>
            <w:vAlign w:val="center"/>
          </w:tcPr>
          <w:p w14:paraId="3033FFCA">
            <w:pPr>
              <w:spacing w:line="320" w:lineRule="exact"/>
              <w:jc w:val="both"/>
              <w:rPr>
                <w:rFonts w:cs="宋体"/>
                <w:bCs/>
                <w:color w:val="FF0000"/>
                <w:sz w:val="21"/>
                <w:szCs w:val="21"/>
              </w:rPr>
            </w:pPr>
          </w:p>
        </w:tc>
      </w:tr>
      <w:tr w14:paraId="55FA5B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756" w:type="dxa"/>
            <w:vMerge w:val="continue"/>
            <w:shd w:val="clear" w:color="auto" w:fill="auto"/>
            <w:vAlign w:val="center"/>
          </w:tcPr>
          <w:p w14:paraId="66BC9EBA">
            <w:pPr>
              <w:spacing w:line="320" w:lineRule="exact"/>
              <w:jc w:val="both"/>
              <w:rPr>
                <w:rFonts w:cs="宋体"/>
                <w:bCs/>
                <w:sz w:val="21"/>
                <w:szCs w:val="21"/>
              </w:rPr>
            </w:pPr>
          </w:p>
        </w:tc>
        <w:tc>
          <w:tcPr>
            <w:tcW w:w="640" w:type="dxa"/>
            <w:vMerge w:val="continue"/>
            <w:shd w:val="clear" w:color="auto" w:fill="auto"/>
            <w:vAlign w:val="center"/>
          </w:tcPr>
          <w:p w14:paraId="6D222806">
            <w:pPr>
              <w:spacing w:line="320" w:lineRule="exact"/>
              <w:jc w:val="both"/>
              <w:rPr>
                <w:rFonts w:cs="宋体"/>
                <w:bCs/>
                <w:sz w:val="21"/>
                <w:szCs w:val="21"/>
              </w:rPr>
            </w:pPr>
          </w:p>
        </w:tc>
        <w:tc>
          <w:tcPr>
            <w:tcW w:w="860" w:type="dxa"/>
            <w:shd w:val="clear" w:color="auto" w:fill="auto"/>
            <w:vAlign w:val="center"/>
          </w:tcPr>
          <w:p w14:paraId="526661F1">
            <w:pPr>
              <w:spacing w:line="320" w:lineRule="exact"/>
              <w:jc w:val="center"/>
              <w:rPr>
                <w:rFonts w:cs="宋体"/>
                <w:bCs/>
                <w:sz w:val="21"/>
                <w:szCs w:val="21"/>
              </w:rPr>
            </w:pPr>
            <w:r>
              <w:rPr>
                <w:rFonts w:cs="宋体"/>
                <w:bCs/>
                <w:sz w:val="21"/>
                <w:szCs w:val="21"/>
              </w:rPr>
              <w:t>4</w:t>
            </w:r>
          </w:p>
        </w:tc>
        <w:tc>
          <w:tcPr>
            <w:tcW w:w="5809" w:type="dxa"/>
            <w:shd w:val="clear" w:color="auto" w:fill="auto"/>
            <w:vAlign w:val="center"/>
          </w:tcPr>
          <w:p w14:paraId="131CF97C">
            <w:pPr>
              <w:spacing w:line="320" w:lineRule="exact"/>
              <w:rPr>
                <w:rFonts w:cs="仿宋" w:asciiTheme="minorEastAsia" w:hAnsiTheme="minorEastAsia"/>
                <w:b/>
                <w:sz w:val="21"/>
                <w:szCs w:val="21"/>
              </w:rPr>
            </w:pPr>
            <w:bookmarkStart w:id="26" w:name="OLE_LINK5"/>
            <w:bookmarkStart w:id="27" w:name="OLE_LINK6"/>
            <w:r>
              <w:rPr>
                <w:rFonts w:hint="eastAsia" w:cs="仿宋" w:asciiTheme="minorEastAsia" w:hAnsiTheme="minorEastAsia"/>
                <w:b/>
                <w:color w:val="FF0000"/>
                <w:sz w:val="21"/>
                <w:szCs w:val="21"/>
              </w:rPr>
              <w:t>承保及理赔部门人员配备</w:t>
            </w:r>
            <w:bookmarkEnd w:id="26"/>
            <w:bookmarkEnd w:id="27"/>
            <w:r>
              <w:rPr>
                <w:rFonts w:hint="eastAsia" w:cs="仿宋" w:asciiTheme="minorEastAsia" w:hAnsiTheme="minorEastAsia"/>
                <w:b/>
                <w:color w:val="FF0000"/>
                <w:sz w:val="21"/>
                <w:szCs w:val="21"/>
              </w:rPr>
              <w:t>：</w:t>
            </w:r>
          </w:p>
          <w:p w14:paraId="599BB43B">
            <w:pPr>
              <w:tabs>
                <w:tab w:val="left" w:pos="547"/>
              </w:tabs>
              <w:spacing w:line="320" w:lineRule="exact"/>
              <w:rPr>
                <w:rFonts w:cs="仿宋" w:asciiTheme="minorEastAsia" w:hAnsiTheme="minorEastAsia"/>
                <w:sz w:val="21"/>
                <w:szCs w:val="21"/>
              </w:rPr>
            </w:pPr>
            <w:r>
              <w:rPr>
                <w:rFonts w:hint="eastAsia" w:cs="仿宋" w:asciiTheme="minorEastAsia" w:hAnsiTheme="minorEastAsia"/>
                <w:sz w:val="21"/>
                <w:szCs w:val="21"/>
              </w:rPr>
              <w:t>供应商针对本项目特点提供人员配备表。</w:t>
            </w:r>
          </w:p>
          <w:p w14:paraId="3CC84CD1">
            <w:pPr>
              <w:spacing w:line="320" w:lineRule="exact"/>
              <w:rPr>
                <w:rFonts w:cs="仿宋" w:asciiTheme="minorEastAsia" w:hAnsiTheme="minorEastAsia"/>
                <w:b/>
                <w:color w:val="FF0000"/>
                <w:sz w:val="21"/>
                <w:szCs w:val="21"/>
              </w:rPr>
            </w:pPr>
            <w:r>
              <w:rPr>
                <w:rFonts w:hint="eastAsia" w:cs="仿宋" w:asciiTheme="minorEastAsia" w:hAnsiTheme="minorEastAsia"/>
                <w:sz w:val="21"/>
                <w:szCs w:val="21"/>
              </w:rPr>
              <w:t>四类人员（项目经理、日常服务人员、报案联系人、理赔联系人）每配备1类得1分，人员配备最高可得4分。</w:t>
            </w:r>
          </w:p>
        </w:tc>
        <w:tc>
          <w:tcPr>
            <w:tcW w:w="1418" w:type="dxa"/>
            <w:vMerge w:val="continue"/>
            <w:shd w:val="clear" w:color="auto" w:fill="auto"/>
            <w:vAlign w:val="center"/>
          </w:tcPr>
          <w:p w14:paraId="6B37C7D6">
            <w:pPr>
              <w:spacing w:line="320" w:lineRule="exact"/>
              <w:jc w:val="both"/>
              <w:rPr>
                <w:rFonts w:cs="宋体"/>
                <w:bCs/>
                <w:color w:val="FF0000"/>
                <w:sz w:val="21"/>
                <w:szCs w:val="21"/>
              </w:rPr>
            </w:pPr>
          </w:p>
        </w:tc>
      </w:tr>
      <w:tr w14:paraId="6BC81F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77" w:hRule="atLeast"/>
          <w:jc w:val="center"/>
        </w:trPr>
        <w:tc>
          <w:tcPr>
            <w:tcW w:w="756" w:type="dxa"/>
            <w:vMerge w:val="continue"/>
            <w:shd w:val="clear" w:color="auto" w:fill="auto"/>
            <w:vAlign w:val="center"/>
          </w:tcPr>
          <w:p w14:paraId="2C8DE12A">
            <w:pPr>
              <w:spacing w:line="320" w:lineRule="exact"/>
              <w:jc w:val="both"/>
              <w:rPr>
                <w:rFonts w:cs="宋体"/>
                <w:bCs/>
                <w:sz w:val="21"/>
                <w:szCs w:val="21"/>
              </w:rPr>
            </w:pPr>
          </w:p>
        </w:tc>
        <w:tc>
          <w:tcPr>
            <w:tcW w:w="640" w:type="dxa"/>
            <w:vMerge w:val="continue"/>
            <w:shd w:val="clear" w:color="auto" w:fill="auto"/>
            <w:vAlign w:val="center"/>
          </w:tcPr>
          <w:p w14:paraId="5A03D270">
            <w:pPr>
              <w:spacing w:line="320" w:lineRule="exact"/>
              <w:jc w:val="both"/>
              <w:rPr>
                <w:rFonts w:cs="宋体"/>
                <w:bCs/>
                <w:sz w:val="21"/>
                <w:szCs w:val="21"/>
              </w:rPr>
            </w:pPr>
          </w:p>
        </w:tc>
        <w:tc>
          <w:tcPr>
            <w:tcW w:w="860" w:type="dxa"/>
            <w:shd w:val="clear" w:color="auto" w:fill="auto"/>
            <w:vAlign w:val="center"/>
          </w:tcPr>
          <w:p w14:paraId="5FACE5C8">
            <w:pPr>
              <w:spacing w:line="320" w:lineRule="exact"/>
              <w:jc w:val="center"/>
              <w:rPr>
                <w:rFonts w:cs="宋体"/>
                <w:bCs/>
                <w:sz w:val="21"/>
                <w:szCs w:val="21"/>
              </w:rPr>
            </w:pPr>
            <w:r>
              <w:rPr>
                <w:rFonts w:hint="eastAsia" w:cs="宋体"/>
                <w:bCs/>
                <w:sz w:val="21"/>
                <w:szCs w:val="21"/>
              </w:rPr>
              <w:t>6</w:t>
            </w:r>
          </w:p>
        </w:tc>
        <w:tc>
          <w:tcPr>
            <w:tcW w:w="5809" w:type="dxa"/>
            <w:shd w:val="clear" w:color="auto" w:fill="auto"/>
            <w:vAlign w:val="center"/>
          </w:tcPr>
          <w:p w14:paraId="54BF604E">
            <w:pPr>
              <w:spacing w:line="320" w:lineRule="exact"/>
              <w:jc w:val="both"/>
              <w:rPr>
                <w:rFonts w:cs="仿宋" w:asciiTheme="minorEastAsia" w:hAnsiTheme="minorEastAsia"/>
                <w:b/>
                <w:bCs/>
                <w:color w:val="FF0000"/>
                <w:sz w:val="21"/>
                <w:szCs w:val="21"/>
                <w:lang w:bidi="ar"/>
              </w:rPr>
            </w:pPr>
            <w:r>
              <w:rPr>
                <w:rFonts w:hint="eastAsia" w:cs="仿宋" w:asciiTheme="minorEastAsia" w:hAnsiTheme="minorEastAsia"/>
                <w:b/>
                <w:bCs/>
                <w:color w:val="FF0000"/>
                <w:sz w:val="21"/>
                <w:szCs w:val="21"/>
                <w:lang w:bidi="ar"/>
              </w:rPr>
              <w:t>服务承诺：</w:t>
            </w:r>
          </w:p>
          <w:p w14:paraId="0E2E5468">
            <w:pPr>
              <w:spacing w:line="320" w:lineRule="exact"/>
              <w:rPr>
                <w:rFonts w:cs="仿宋" w:asciiTheme="minorEastAsia" w:hAnsiTheme="minorEastAsia"/>
                <w:bCs/>
                <w:sz w:val="21"/>
                <w:szCs w:val="21"/>
              </w:rPr>
            </w:pPr>
            <w:r>
              <w:rPr>
                <w:rFonts w:hint="eastAsia" w:cs="仿宋" w:asciiTheme="minorEastAsia" w:hAnsiTheme="minorEastAsia"/>
                <w:bCs/>
                <w:sz w:val="21"/>
                <w:szCs w:val="21"/>
              </w:rPr>
              <w:t>1、承诺当天出单、送单、批单、加保、退保；</w:t>
            </w:r>
          </w:p>
          <w:p w14:paraId="2268DC2B">
            <w:pPr>
              <w:spacing w:line="320" w:lineRule="exact"/>
              <w:rPr>
                <w:rFonts w:cs="仿宋" w:asciiTheme="minorEastAsia" w:hAnsiTheme="minorEastAsia"/>
                <w:bCs/>
                <w:sz w:val="21"/>
                <w:szCs w:val="21"/>
              </w:rPr>
            </w:pPr>
            <w:r>
              <w:rPr>
                <w:rFonts w:hint="eastAsia" w:cs="仿宋" w:asciiTheme="minorEastAsia" w:hAnsiTheme="minorEastAsia"/>
                <w:bCs/>
                <w:sz w:val="21"/>
                <w:szCs w:val="21"/>
              </w:rPr>
              <w:t>2、承诺投保人无需承担任何额外费用；</w:t>
            </w:r>
          </w:p>
          <w:p w14:paraId="2BD334EA">
            <w:pPr>
              <w:spacing w:line="320" w:lineRule="exact"/>
              <w:rPr>
                <w:rFonts w:cs="仿宋" w:asciiTheme="minorEastAsia" w:hAnsiTheme="minorEastAsia"/>
                <w:bCs/>
                <w:sz w:val="21"/>
                <w:szCs w:val="21"/>
              </w:rPr>
            </w:pPr>
            <w:r>
              <w:rPr>
                <w:rFonts w:hint="eastAsia" w:cs="仿宋" w:asciiTheme="minorEastAsia" w:hAnsiTheme="minorEastAsia"/>
                <w:bCs/>
                <w:sz w:val="21"/>
                <w:szCs w:val="21"/>
              </w:rPr>
              <w:t>3、承诺支持快速处理手段；</w:t>
            </w:r>
          </w:p>
          <w:p w14:paraId="60A1BFEF">
            <w:pPr>
              <w:spacing w:line="320" w:lineRule="exact"/>
              <w:rPr>
                <w:rFonts w:cs="仿宋" w:asciiTheme="minorEastAsia" w:hAnsiTheme="minorEastAsia"/>
                <w:bCs/>
                <w:sz w:val="21"/>
                <w:szCs w:val="21"/>
              </w:rPr>
            </w:pPr>
            <w:r>
              <w:rPr>
                <w:rFonts w:hint="eastAsia" w:cs="仿宋" w:asciiTheme="minorEastAsia" w:hAnsiTheme="minorEastAsia"/>
                <w:bCs/>
                <w:sz w:val="21"/>
                <w:szCs w:val="21"/>
              </w:rPr>
              <w:t>4、承诺先行垫付赔款，无需投保人垫付任何费用；</w:t>
            </w:r>
          </w:p>
          <w:p w14:paraId="5CF1E3D5">
            <w:pPr>
              <w:spacing w:line="320" w:lineRule="exact"/>
              <w:rPr>
                <w:rFonts w:cs="仿宋" w:asciiTheme="minorEastAsia" w:hAnsiTheme="minorEastAsia"/>
                <w:bCs/>
                <w:sz w:val="21"/>
                <w:szCs w:val="21"/>
              </w:rPr>
            </w:pPr>
            <w:r>
              <w:rPr>
                <w:rFonts w:hint="eastAsia" w:cs="仿宋" w:asciiTheme="minorEastAsia" w:hAnsiTheme="minorEastAsia"/>
                <w:bCs/>
                <w:sz w:val="21"/>
                <w:szCs w:val="21"/>
              </w:rPr>
              <w:t>5、承诺提供人伤亡等重大案件的法律援助；</w:t>
            </w:r>
          </w:p>
          <w:p w14:paraId="384D263E">
            <w:pPr>
              <w:spacing w:line="320" w:lineRule="exact"/>
              <w:rPr>
                <w:rFonts w:cs="仿宋" w:asciiTheme="minorEastAsia" w:hAnsiTheme="minorEastAsia"/>
                <w:bCs/>
                <w:sz w:val="21"/>
                <w:szCs w:val="21"/>
              </w:rPr>
            </w:pPr>
            <w:r>
              <w:rPr>
                <w:rFonts w:hint="eastAsia" w:cs="仿宋" w:asciiTheme="minorEastAsia" w:hAnsiTheme="minorEastAsia"/>
                <w:bCs/>
                <w:sz w:val="21"/>
                <w:szCs w:val="21"/>
              </w:rPr>
              <w:t>6.承诺提供个别特殊（重大）理赔服务。</w:t>
            </w:r>
          </w:p>
          <w:p w14:paraId="06F8145C">
            <w:pPr>
              <w:spacing w:line="320" w:lineRule="exact"/>
              <w:jc w:val="both"/>
              <w:rPr>
                <w:rFonts w:cs="宋体"/>
                <w:b/>
                <w:color w:val="C00000"/>
                <w:sz w:val="21"/>
                <w:szCs w:val="21"/>
              </w:rPr>
            </w:pPr>
            <w:r>
              <w:rPr>
                <w:rFonts w:hint="eastAsia" w:cs="仿宋" w:asciiTheme="minorEastAsia" w:hAnsiTheme="minorEastAsia"/>
                <w:bCs/>
                <w:sz w:val="21"/>
                <w:szCs w:val="21"/>
              </w:rPr>
              <w:t>供应商出具书面承诺书，格式自拟，每项根据承诺的完整性、合理性得1分，满分6分。</w:t>
            </w:r>
          </w:p>
        </w:tc>
        <w:tc>
          <w:tcPr>
            <w:tcW w:w="1418" w:type="dxa"/>
            <w:vMerge w:val="continue"/>
            <w:shd w:val="clear" w:color="auto" w:fill="auto"/>
            <w:vAlign w:val="center"/>
          </w:tcPr>
          <w:p w14:paraId="7631B3B5">
            <w:pPr>
              <w:spacing w:line="320" w:lineRule="exact"/>
              <w:jc w:val="both"/>
              <w:rPr>
                <w:rFonts w:cs="宋体"/>
                <w:bCs/>
                <w:color w:val="FF0000"/>
                <w:sz w:val="21"/>
                <w:szCs w:val="21"/>
              </w:rPr>
            </w:pPr>
          </w:p>
        </w:tc>
      </w:tr>
      <w:tr w14:paraId="7A092E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58F4E9FB">
            <w:pPr>
              <w:spacing w:line="320" w:lineRule="exact"/>
              <w:jc w:val="both"/>
              <w:rPr>
                <w:rFonts w:cs="宋体"/>
                <w:bCs/>
                <w:sz w:val="21"/>
                <w:szCs w:val="21"/>
              </w:rPr>
            </w:pPr>
          </w:p>
        </w:tc>
        <w:tc>
          <w:tcPr>
            <w:tcW w:w="640" w:type="dxa"/>
            <w:vMerge w:val="continue"/>
            <w:shd w:val="clear" w:color="auto" w:fill="auto"/>
            <w:vAlign w:val="center"/>
          </w:tcPr>
          <w:p w14:paraId="46C11641">
            <w:pPr>
              <w:spacing w:line="320" w:lineRule="exact"/>
              <w:jc w:val="both"/>
              <w:rPr>
                <w:rFonts w:cs="宋体"/>
                <w:bCs/>
                <w:sz w:val="21"/>
                <w:szCs w:val="21"/>
              </w:rPr>
            </w:pPr>
          </w:p>
        </w:tc>
        <w:tc>
          <w:tcPr>
            <w:tcW w:w="860" w:type="dxa"/>
            <w:shd w:val="clear" w:color="auto" w:fill="auto"/>
            <w:vAlign w:val="center"/>
          </w:tcPr>
          <w:p w14:paraId="787F8DCE">
            <w:pPr>
              <w:spacing w:line="320" w:lineRule="exact"/>
              <w:jc w:val="center"/>
              <w:rPr>
                <w:rFonts w:cs="宋体"/>
                <w:bCs/>
                <w:sz w:val="21"/>
                <w:szCs w:val="21"/>
              </w:rPr>
            </w:pPr>
            <w:r>
              <w:rPr>
                <w:rFonts w:hint="eastAsia" w:cs="宋体"/>
                <w:bCs/>
                <w:sz w:val="21"/>
                <w:szCs w:val="21"/>
              </w:rPr>
              <w:t>9</w:t>
            </w:r>
          </w:p>
        </w:tc>
        <w:tc>
          <w:tcPr>
            <w:tcW w:w="5809" w:type="dxa"/>
            <w:shd w:val="clear" w:color="auto" w:fill="auto"/>
            <w:vAlign w:val="center"/>
          </w:tcPr>
          <w:p w14:paraId="3F894251">
            <w:pPr>
              <w:spacing w:line="320" w:lineRule="exact"/>
              <w:jc w:val="both"/>
              <w:rPr>
                <w:rFonts w:cs="仿宋" w:asciiTheme="minorEastAsia" w:hAnsiTheme="minorEastAsia"/>
                <w:b/>
                <w:bCs/>
                <w:color w:val="FF0000"/>
                <w:sz w:val="21"/>
                <w:szCs w:val="21"/>
                <w:lang w:bidi="ar"/>
              </w:rPr>
            </w:pPr>
            <w:r>
              <w:rPr>
                <w:rFonts w:hint="eastAsia" w:cs="仿宋" w:asciiTheme="minorEastAsia" w:hAnsiTheme="minorEastAsia"/>
                <w:b/>
                <w:bCs/>
                <w:color w:val="FF0000"/>
                <w:sz w:val="21"/>
                <w:szCs w:val="21"/>
                <w:lang w:bidi="ar"/>
              </w:rPr>
              <w:t>偿付能力：</w:t>
            </w:r>
          </w:p>
          <w:p w14:paraId="0FC1E0B7">
            <w:pPr>
              <w:spacing w:line="320" w:lineRule="exact"/>
              <w:jc w:val="both"/>
              <w:rPr>
                <w:rFonts w:cs="宋体"/>
                <w:sz w:val="21"/>
                <w:szCs w:val="21"/>
              </w:rPr>
            </w:pPr>
            <w:r>
              <w:rPr>
                <w:rFonts w:hint="eastAsia" w:cs="宋体"/>
                <w:sz w:val="21"/>
                <w:szCs w:val="21"/>
              </w:rPr>
              <w:t>以2025年度第二季度偿付能力充足率为依据，综合偿付能力充足率200%及以上得9分、160%及以上至200%（不含）得6分、100%及以上至160%（不含）得3分，低于100%以下不得分。</w:t>
            </w:r>
          </w:p>
          <w:p w14:paraId="78D5581A">
            <w:pPr>
              <w:spacing w:line="320" w:lineRule="exact"/>
              <w:jc w:val="both"/>
              <w:rPr>
                <w:rFonts w:cs="宋体"/>
                <w:sz w:val="21"/>
                <w:szCs w:val="21"/>
              </w:rPr>
            </w:pPr>
            <w:r>
              <w:rPr>
                <w:rFonts w:hint="eastAsia" w:cs="宋体"/>
                <w:sz w:val="21"/>
                <w:szCs w:val="21"/>
              </w:rPr>
              <w:t>注：需提供供应商对应季度偿付能力报告并加盖公章，作为评分依据。</w:t>
            </w:r>
          </w:p>
        </w:tc>
        <w:tc>
          <w:tcPr>
            <w:tcW w:w="1418" w:type="dxa"/>
            <w:vMerge w:val="continue"/>
            <w:shd w:val="clear" w:color="auto" w:fill="auto"/>
            <w:vAlign w:val="center"/>
          </w:tcPr>
          <w:p w14:paraId="2BA1D22F">
            <w:pPr>
              <w:spacing w:line="320" w:lineRule="exact"/>
              <w:jc w:val="both"/>
              <w:rPr>
                <w:rFonts w:cs="宋体"/>
                <w:bCs/>
                <w:color w:val="FF0000"/>
                <w:sz w:val="21"/>
                <w:szCs w:val="21"/>
              </w:rPr>
            </w:pPr>
          </w:p>
        </w:tc>
      </w:tr>
      <w:tr w14:paraId="426E1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4D5998AE">
            <w:pPr>
              <w:spacing w:line="320" w:lineRule="exact"/>
              <w:jc w:val="both"/>
              <w:rPr>
                <w:rFonts w:cs="宋体"/>
                <w:bCs/>
                <w:sz w:val="21"/>
                <w:szCs w:val="21"/>
              </w:rPr>
            </w:pPr>
          </w:p>
        </w:tc>
        <w:tc>
          <w:tcPr>
            <w:tcW w:w="640" w:type="dxa"/>
            <w:vMerge w:val="continue"/>
            <w:shd w:val="clear" w:color="auto" w:fill="auto"/>
            <w:vAlign w:val="center"/>
          </w:tcPr>
          <w:p w14:paraId="014324C1">
            <w:pPr>
              <w:spacing w:line="320" w:lineRule="exact"/>
              <w:jc w:val="both"/>
              <w:rPr>
                <w:rFonts w:cs="宋体"/>
                <w:bCs/>
                <w:sz w:val="21"/>
                <w:szCs w:val="21"/>
              </w:rPr>
            </w:pPr>
          </w:p>
        </w:tc>
        <w:tc>
          <w:tcPr>
            <w:tcW w:w="860" w:type="dxa"/>
            <w:shd w:val="clear" w:color="auto" w:fill="auto"/>
            <w:vAlign w:val="center"/>
          </w:tcPr>
          <w:p w14:paraId="07E5B5EA">
            <w:pPr>
              <w:spacing w:line="320" w:lineRule="exact"/>
              <w:jc w:val="center"/>
              <w:rPr>
                <w:rFonts w:cs="宋体"/>
                <w:bCs/>
                <w:sz w:val="21"/>
                <w:szCs w:val="21"/>
              </w:rPr>
            </w:pPr>
            <w:r>
              <w:rPr>
                <w:rFonts w:cs="宋体"/>
                <w:bCs/>
                <w:sz w:val="21"/>
                <w:szCs w:val="21"/>
              </w:rPr>
              <w:t>7</w:t>
            </w:r>
          </w:p>
        </w:tc>
        <w:tc>
          <w:tcPr>
            <w:tcW w:w="5809" w:type="dxa"/>
            <w:shd w:val="clear" w:color="auto" w:fill="auto"/>
            <w:vAlign w:val="center"/>
          </w:tcPr>
          <w:p w14:paraId="44B92021">
            <w:pPr>
              <w:spacing w:line="320" w:lineRule="exact"/>
              <w:jc w:val="both"/>
              <w:rPr>
                <w:rFonts w:cs="仿宋" w:asciiTheme="minorEastAsia" w:hAnsiTheme="minorEastAsia"/>
                <w:b/>
                <w:bCs/>
                <w:color w:val="FF0000"/>
                <w:sz w:val="21"/>
                <w:szCs w:val="21"/>
                <w:lang w:bidi="ar"/>
              </w:rPr>
            </w:pPr>
            <w:r>
              <w:rPr>
                <w:rFonts w:hint="eastAsia" w:cs="仿宋" w:asciiTheme="minorEastAsia" w:hAnsiTheme="minorEastAsia"/>
                <w:b/>
                <w:bCs/>
                <w:color w:val="FF0000"/>
                <w:sz w:val="21"/>
                <w:szCs w:val="21"/>
                <w:lang w:bidi="ar"/>
              </w:rPr>
              <w:t>风险综合评级：</w:t>
            </w:r>
          </w:p>
          <w:p w14:paraId="0D12750C">
            <w:pPr>
              <w:spacing w:line="320" w:lineRule="exact"/>
              <w:jc w:val="both"/>
              <w:rPr>
                <w:rFonts w:cs="宋体"/>
                <w:sz w:val="21"/>
                <w:szCs w:val="21"/>
              </w:rPr>
            </w:pPr>
            <w:r>
              <w:rPr>
                <w:rFonts w:hint="eastAsia" w:cs="宋体"/>
                <w:sz w:val="21"/>
                <w:szCs w:val="21"/>
              </w:rPr>
              <w:t>以2024年二季度至2025年一季度连续四个季度，在国家金融监督管理总局偿付能力监管信息系统按季度评定的风险综合评级中，每获得1次AAA、AA、A类得1.5分；每获得1次BBB、BB、B类的，得0.5分；其他不得分。连续四个季度均为AAA、AA、A类的加1分，本项最高得7分。</w:t>
            </w:r>
          </w:p>
          <w:p w14:paraId="315CC14B">
            <w:pPr>
              <w:spacing w:line="320" w:lineRule="exact"/>
              <w:jc w:val="both"/>
              <w:rPr>
                <w:rFonts w:cs="宋体"/>
                <w:b/>
                <w:color w:val="C00000"/>
                <w:sz w:val="21"/>
                <w:szCs w:val="21"/>
              </w:rPr>
            </w:pPr>
            <w:r>
              <w:rPr>
                <w:rFonts w:hint="eastAsia" w:cs="宋体"/>
                <w:sz w:val="21"/>
                <w:szCs w:val="21"/>
              </w:rPr>
              <w:t>注：需提供国家金融监督管理总局偿付能力监管信息系统2024年二季度至2025年一季度风险综合评级截图并加盖公章，作为评分依据。</w:t>
            </w:r>
          </w:p>
        </w:tc>
        <w:tc>
          <w:tcPr>
            <w:tcW w:w="1418" w:type="dxa"/>
            <w:vMerge w:val="continue"/>
            <w:shd w:val="clear" w:color="auto" w:fill="auto"/>
            <w:vAlign w:val="center"/>
          </w:tcPr>
          <w:p w14:paraId="4E703A01">
            <w:pPr>
              <w:spacing w:line="320" w:lineRule="exact"/>
              <w:jc w:val="both"/>
              <w:rPr>
                <w:rFonts w:cs="宋体"/>
                <w:bCs/>
                <w:color w:val="FF0000"/>
                <w:sz w:val="21"/>
                <w:szCs w:val="21"/>
              </w:rPr>
            </w:pPr>
          </w:p>
        </w:tc>
      </w:tr>
      <w:tr w14:paraId="774FFC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58" w:hRule="atLeast"/>
          <w:jc w:val="center"/>
        </w:trPr>
        <w:tc>
          <w:tcPr>
            <w:tcW w:w="756" w:type="dxa"/>
            <w:vMerge w:val="continue"/>
            <w:shd w:val="clear" w:color="auto" w:fill="auto"/>
            <w:vAlign w:val="center"/>
          </w:tcPr>
          <w:p w14:paraId="14865D83">
            <w:pPr>
              <w:spacing w:line="320" w:lineRule="exact"/>
              <w:jc w:val="both"/>
              <w:rPr>
                <w:rFonts w:cs="宋体"/>
                <w:bCs/>
                <w:sz w:val="21"/>
                <w:szCs w:val="21"/>
              </w:rPr>
            </w:pPr>
          </w:p>
        </w:tc>
        <w:tc>
          <w:tcPr>
            <w:tcW w:w="640" w:type="dxa"/>
            <w:vMerge w:val="continue"/>
            <w:shd w:val="clear" w:color="auto" w:fill="auto"/>
            <w:vAlign w:val="center"/>
          </w:tcPr>
          <w:p w14:paraId="01BE300D">
            <w:pPr>
              <w:spacing w:line="320" w:lineRule="exact"/>
              <w:jc w:val="both"/>
              <w:rPr>
                <w:rFonts w:cs="宋体"/>
                <w:bCs/>
                <w:sz w:val="21"/>
                <w:szCs w:val="21"/>
              </w:rPr>
            </w:pPr>
          </w:p>
        </w:tc>
        <w:tc>
          <w:tcPr>
            <w:tcW w:w="860" w:type="dxa"/>
            <w:shd w:val="clear" w:color="auto" w:fill="auto"/>
            <w:vAlign w:val="center"/>
          </w:tcPr>
          <w:p w14:paraId="784624CE">
            <w:pPr>
              <w:spacing w:line="320" w:lineRule="exact"/>
              <w:jc w:val="center"/>
              <w:rPr>
                <w:rFonts w:cs="宋体"/>
                <w:bCs/>
                <w:sz w:val="21"/>
                <w:szCs w:val="21"/>
              </w:rPr>
            </w:pPr>
            <w:r>
              <w:rPr>
                <w:rFonts w:hint="eastAsia" w:cs="宋体"/>
                <w:bCs/>
                <w:sz w:val="21"/>
                <w:szCs w:val="21"/>
              </w:rPr>
              <w:t>7</w:t>
            </w:r>
          </w:p>
        </w:tc>
        <w:tc>
          <w:tcPr>
            <w:tcW w:w="5809" w:type="dxa"/>
            <w:shd w:val="clear" w:color="auto" w:fill="auto"/>
            <w:vAlign w:val="center"/>
          </w:tcPr>
          <w:p w14:paraId="7B40948C">
            <w:pPr>
              <w:spacing w:line="320" w:lineRule="exact"/>
              <w:jc w:val="both"/>
              <w:rPr>
                <w:rFonts w:cs="仿宋" w:asciiTheme="minorEastAsia" w:hAnsiTheme="minorEastAsia"/>
                <w:b/>
                <w:bCs/>
                <w:color w:val="FF0000"/>
                <w:sz w:val="21"/>
                <w:szCs w:val="21"/>
                <w:lang w:bidi="ar"/>
              </w:rPr>
            </w:pPr>
            <w:r>
              <w:rPr>
                <w:rFonts w:hint="eastAsia" w:cs="仿宋" w:asciiTheme="minorEastAsia" w:hAnsiTheme="minorEastAsia"/>
                <w:b/>
                <w:bCs/>
                <w:color w:val="FF0000"/>
                <w:sz w:val="21"/>
                <w:szCs w:val="21"/>
                <w:lang w:bidi="ar"/>
              </w:rPr>
              <w:t>消保评价：</w:t>
            </w:r>
          </w:p>
          <w:p w14:paraId="778FC62D">
            <w:pPr>
              <w:spacing w:line="320" w:lineRule="exact"/>
              <w:jc w:val="both"/>
              <w:rPr>
                <w:rFonts w:cs="宋体"/>
                <w:sz w:val="21"/>
                <w:szCs w:val="21"/>
              </w:rPr>
            </w:pPr>
            <w:r>
              <w:rPr>
                <w:rFonts w:hint="eastAsia" w:cs="宋体"/>
                <w:sz w:val="21"/>
                <w:szCs w:val="21"/>
              </w:rPr>
              <w:t>以国家金融监督管理总局金融消保局下发的供应商2024年度消费者权益保护监管评价情况通报为依据，总体得分排名第1名的得7分，总体得分排名第2-3名的得5分，总体得分排名第4-10名的得3分，总体得分排名第10名以后的得1分。</w:t>
            </w:r>
          </w:p>
          <w:p w14:paraId="11EF619A">
            <w:pPr>
              <w:spacing w:line="320" w:lineRule="exact"/>
              <w:jc w:val="both"/>
              <w:rPr>
                <w:rFonts w:cs="宋体"/>
                <w:b/>
                <w:bCs/>
                <w:color w:val="C00000"/>
                <w:sz w:val="21"/>
                <w:szCs w:val="21"/>
                <w:lang w:bidi="ar"/>
              </w:rPr>
            </w:pPr>
            <w:r>
              <w:rPr>
                <w:rFonts w:hint="eastAsia" w:cs="宋体"/>
                <w:sz w:val="21"/>
                <w:szCs w:val="21"/>
              </w:rPr>
              <w:t>注：需提供国家金融监督管理总局金融消保局下发的评价结果文件并加盖公章，作为评分依据。</w:t>
            </w:r>
          </w:p>
        </w:tc>
        <w:tc>
          <w:tcPr>
            <w:tcW w:w="1418" w:type="dxa"/>
            <w:vMerge w:val="continue"/>
            <w:shd w:val="clear" w:color="auto" w:fill="auto"/>
            <w:vAlign w:val="center"/>
          </w:tcPr>
          <w:p w14:paraId="2780126F">
            <w:pPr>
              <w:spacing w:line="320" w:lineRule="exact"/>
              <w:jc w:val="both"/>
              <w:rPr>
                <w:rFonts w:cs="宋体"/>
                <w:bCs/>
                <w:color w:val="FF0000"/>
                <w:sz w:val="21"/>
                <w:szCs w:val="21"/>
              </w:rPr>
            </w:pPr>
          </w:p>
        </w:tc>
      </w:tr>
      <w:tr w14:paraId="180467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9" w:hRule="atLeast"/>
          <w:jc w:val="center"/>
        </w:trPr>
        <w:tc>
          <w:tcPr>
            <w:tcW w:w="756" w:type="dxa"/>
            <w:vMerge w:val="continue"/>
            <w:shd w:val="clear" w:color="auto" w:fill="auto"/>
            <w:vAlign w:val="center"/>
          </w:tcPr>
          <w:p w14:paraId="60F05F2A">
            <w:pPr>
              <w:spacing w:line="320" w:lineRule="exact"/>
              <w:jc w:val="both"/>
              <w:rPr>
                <w:rFonts w:cs="宋体"/>
                <w:bCs/>
                <w:sz w:val="21"/>
                <w:szCs w:val="21"/>
              </w:rPr>
            </w:pPr>
          </w:p>
        </w:tc>
        <w:tc>
          <w:tcPr>
            <w:tcW w:w="640" w:type="dxa"/>
            <w:vMerge w:val="continue"/>
            <w:shd w:val="clear" w:color="auto" w:fill="auto"/>
            <w:vAlign w:val="center"/>
          </w:tcPr>
          <w:p w14:paraId="007FC46D">
            <w:pPr>
              <w:spacing w:line="320" w:lineRule="exact"/>
              <w:jc w:val="both"/>
              <w:rPr>
                <w:rFonts w:cs="宋体"/>
                <w:bCs/>
                <w:sz w:val="21"/>
                <w:szCs w:val="21"/>
              </w:rPr>
            </w:pPr>
          </w:p>
        </w:tc>
        <w:tc>
          <w:tcPr>
            <w:tcW w:w="860" w:type="dxa"/>
            <w:shd w:val="clear" w:color="auto" w:fill="auto"/>
            <w:vAlign w:val="center"/>
          </w:tcPr>
          <w:p w14:paraId="409F27DE">
            <w:pPr>
              <w:spacing w:line="320" w:lineRule="exact"/>
              <w:jc w:val="center"/>
              <w:rPr>
                <w:rFonts w:cs="宋体"/>
                <w:bCs/>
                <w:sz w:val="21"/>
                <w:szCs w:val="21"/>
              </w:rPr>
            </w:pPr>
            <w:r>
              <w:rPr>
                <w:rFonts w:hint="eastAsia" w:cs="宋体"/>
                <w:bCs/>
                <w:sz w:val="21"/>
                <w:szCs w:val="21"/>
              </w:rPr>
              <w:t>3</w:t>
            </w:r>
          </w:p>
        </w:tc>
        <w:tc>
          <w:tcPr>
            <w:tcW w:w="5809" w:type="dxa"/>
            <w:shd w:val="clear" w:color="auto" w:fill="auto"/>
            <w:vAlign w:val="center"/>
          </w:tcPr>
          <w:p w14:paraId="666D389B">
            <w:pPr>
              <w:spacing w:line="320" w:lineRule="exact"/>
              <w:jc w:val="both"/>
              <w:rPr>
                <w:rFonts w:cs="仿宋" w:asciiTheme="minorEastAsia" w:hAnsiTheme="minorEastAsia"/>
                <w:b/>
                <w:bCs/>
                <w:color w:val="FF0000"/>
                <w:sz w:val="21"/>
                <w:szCs w:val="21"/>
                <w:lang w:bidi="ar"/>
              </w:rPr>
            </w:pPr>
            <w:r>
              <w:rPr>
                <w:rFonts w:hint="eastAsia" w:cs="仿宋" w:asciiTheme="minorEastAsia" w:hAnsiTheme="minorEastAsia"/>
                <w:b/>
                <w:bCs/>
                <w:color w:val="FF0000"/>
                <w:sz w:val="21"/>
                <w:szCs w:val="21"/>
                <w:lang w:bidi="ar"/>
              </w:rPr>
              <w:t>合理化建议：</w:t>
            </w:r>
          </w:p>
          <w:p w14:paraId="34C9582D">
            <w:pPr>
              <w:widowControl w:val="0"/>
              <w:spacing w:line="320" w:lineRule="exact"/>
              <w:jc w:val="both"/>
              <w:rPr>
                <w:rFonts w:cs="宋体"/>
                <w:b/>
                <w:bCs/>
                <w:color w:val="C00000"/>
                <w:sz w:val="21"/>
                <w:szCs w:val="21"/>
                <w:lang w:bidi="ar"/>
              </w:rPr>
            </w:pPr>
            <w:r>
              <w:rPr>
                <w:rFonts w:hint="eastAsia" w:cs="宋体"/>
                <w:sz w:val="21"/>
                <w:szCs w:val="21"/>
              </w:rPr>
              <w:t>在满足采购内容及要求的基础上，根据项目实际情况提出合理化建议，每提供一项得1分，最高得3分。</w:t>
            </w:r>
          </w:p>
        </w:tc>
        <w:tc>
          <w:tcPr>
            <w:tcW w:w="1418" w:type="dxa"/>
            <w:vMerge w:val="continue"/>
            <w:shd w:val="clear" w:color="auto" w:fill="auto"/>
            <w:vAlign w:val="center"/>
          </w:tcPr>
          <w:p w14:paraId="2B488433">
            <w:pPr>
              <w:spacing w:line="320" w:lineRule="exact"/>
              <w:jc w:val="both"/>
              <w:rPr>
                <w:rFonts w:cs="宋体"/>
                <w:bCs/>
                <w:color w:val="FF0000"/>
                <w:sz w:val="21"/>
                <w:szCs w:val="21"/>
              </w:rPr>
            </w:pPr>
          </w:p>
        </w:tc>
      </w:tr>
      <w:tr w14:paraId="58C982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14" w:hRule="atLeast"/>
          <w:jc w:val="center"/>
        </w:trPr>
        <w:tc>
          <w:tcPr>
            <w:tcW w:w="756" w:type="dxa"/>
            <w:vMerge w:val="continue"/>
            <w:shd w:val="clear" w:color="auto" w:fill="auto"/>
            <w:vAlign w:val="center"/>
          </w:tcPr>
          <w:p w14:paraId="2996BDA6">
            <w:pPr>
              <w:spacing w:line="320" w:lineRule="exact"/>
              <w:jc w:val="both"/>
              <w:rPr>
                <w:rFonts w:cs="宋体"/>
                <w:bCs/>
                <w:sz w:val="21"/>
                <w:szCs w:val="21"/>
              </w:rPr>
            </w:pPr>
          </w:p>
        </w:tc>
        <w:tc>
          <w:tcPr>
            <w:tcW w:w="640" w:type="dxa"/>
            <w:vMerge w:val="continue"/>
            <w:shd w:val="clear" w:color="auto" w:fill="auto"/>
            <w:vAlign w:val="center"/>
          </w:tcPr>
          <w:p w14:paraId="16F652F6">
            <w:pPr>
              <w:spacing w:line="320" w:lineRule="exact"/>
              <w:jc w:val="both"/>
              <w:rPr>
                <w:rFonts w:cs="宋体"/>
                <w:bCs/>
                <w:sz w:val="21"/>
                <w:szCs w:val="21"/>
              </w:rPr>
            </w:pPr>
          </w:p>
        </w:tc>
        <w:tc>
          <w:tcPr>
            <w:tcW w:w="860" w:type="dxa"/>
            <w:shd w:val="clear" w:color="auto" w:fill="auto"/>
            <w:vAlign w:val="center"/>
          </w:tcPr>
          <w:p w14:paraId="02D9700D">
            <w:pPr>
              <w:spacing w:line="320" w:lineRule="exact"/>
              <w:jc w:val="center"/>
              <w:rPr>
                <w:rFonts w:cs="宋体"/>
                <w:bCs/>
                <w:sz w:val="21"/>
                <w:szCs w:val="21"/>
              </w:rPr>
            </w:pPr>
            <w:r>
              <w:rPr>
                <w:rFonts w:hint="eastAsia" w:cs="宋体"/>
                <w:bCs/>
                <w:sz w:val="21"/>
                <w:szCs w:val="21"/>
              </w:rPr>
              <w:t>6</w:t>
            </w:r>
          </w:p>
        </w:tc>
        <w:tc>
          <w:tcPr>
            <w:tcW w:w="5809" w:type="dxa"/>
            <w:shd w:val="clear" w:color="auto" w:fill="auto"/>
            <w:vAlign w:val="center"/>
          </w:tcPr>
          <w:p w14:paraId="27D50D12">
            <w:pPr>
              <w:spacing w:line="320" w:lineRule="exact"/>
              <w:jc w:val="both"/>
              <w:rPr>
                <w:rFonts w:cs="仿宋" w:asciiTheme="minorEastAsia" w:hAnsiTheme="minorEastAsia"/>
                <w:b/>
                <w:bCs/>
                <w:color w:val="FF0000"/>
                <w:sz w:val="21"/>
                <w:szCs w:val="21"/>
                <w:lang w:bidi="ar"/>
              </w:rPr>
            </w:pPr>
            <w:r>
              <w:rPr>
                <w:rFonts w:hint="eastAsia" w:cs="仿宋" w:asciiTheme="minorEastAsia" w:hAnsiTheme="minorEastAsia"/>
                <w:b/>
                <w:bCs/>
                <w:color w:val="FF0000"/>
                <w:sz w:val="21"/>
                <w:szCs w:val="21"/>
                <w:lang w:bidi="ar"/>
              </w:rPr>
              <w:t>增值服务：</w:t>
            </w:r>
          </w:p>
          <w:p w14:paraId="6AAC5D8A">
            <w:pPr>
              <w:widowControl w:val="0"/>
              <w:spacing w:line="320" w:lineRule="exact"/>
              <w:jc w:val="both"/>
              <w:rPr>
                <w:rFonts w:cs="宋体"/>
                <w:b/>
                <w:bCs/>
                <w:color w:val="C00000"/>
                <w:sz w:val="21"/>
                <w:szCs w:val="21"/>
                <w:lang w:bidi="ar"/>
              </w:rPr>
            </w:pPr>
            <w:r>
              <w:rPr>
                <w:rFonts w:cs="宋体"/>
                <w:sz w:val="21"/>
                <w:szCs w:val="21"/>
              </w:rPr>
              <w:t>在满足采购内容及要求的基础上，根据项目实际情况，提供增值服务</w:t>
            </w:r>
            <w:r>
              <w:rPr>
                <w:rFonts w:hint="eastAsia" w:cs="宋体"/>
                <w:sz w:val="21"/>
                <w:szCs w:val="21"/>
              </w:rPr>
              <w:t>（如</w:t>
            </w:r>
            <w:r>
              <w:rPr>
                <w:rFonts w:cs="宋体"/>
                <w:sz w:val="21"/>
                <w:szCs w:val="21"/>
              </w:rPr>
              <w:t>：</w:t>
            </w:r>
            <w:r>
              <w:rPr>
                <w:rFonts w:hint="eastAsia" w:cs="宋体"/>
                <w:sz w:val="21"/>
                <w:szCs w:val="21"/>
              </w:rPr>
              <w:t>扩大保障人员保险范围，增加被保险人家属保障</w:t>
            </w:r>
            <w:r>
              <w:rPr>
                <w:rFonts w:cs="宋体"/>
                <w:sz w:val="21"/>
                <w:szCs w:val="21"/>
              </w:rPr>
              <w:t>等</w:t>
            </w:r>
            <w:r>
              <w:rPr>
                <w:rFonts w:hint="eastAsia" w:cs="宋体"/>
                <w:sz w:val="21"/>
                <w:szCs w:val="21"/>
              </w:rPr>
              <w:t>）</w:t>
            </w:r>
            <w:r>
              <w:rPr>
                <w:rFonts w:cs="宋体"/>
                <w:sz w:val="21"/>
                <w:szCs w:val="21"/>
              </w:rPr>
              <w:t>，每提供一项</w:t>
            </w:r>
            <w:r>
              <w:rPr>
                <w:rFonts w:hint="eastAsia" w:cs="宋体"/>
                <w:sz w:val="21"/>
                <w:szCs w:val="21"/>
              </w:rPr>
              <w:t>计2</w:t>
            </w:r>
            <w:r>
              <w:rPr>
                <w:rFonts w:cs="宋体"/>
                <w:sz w:val="21"/>
                <w:szCs w:val="21"/>
              </w:rPr>
              <w:t>分</w:t>
            </w:r>
            <w:r>
              <w:rPr>
                <w:rFonts w:hint="eastAsia" w:cs="宋体"/>
                <w:sz w:val="21"/>
                <w:szCs w:val="21"/>
              </w:rPr>
              <w:t>，最高得6分。</w:t>
            </w:r>
          </w:p>
        </w:tc>
        <w:tc>
          <w:tcPr>
            <w:tcW w:w="1418" w:type="dxa"/>
            <w:vMerge w:val="continue"/>
            <w:shd w:val="clear" w:color="auto" w:fill="auto"/>
            <w:vAlign w:val="center"/>
          </w:tcPr>
          <w:p w14:paraId="718D6786">
            <w:pPr>
              <w:spacing w:line="320" w:lineRule="exact"/>
              <w:jc w:val="both"/>
              <w:rPr>
                <w:rFonts w:cs="宋体"/>
                <w:bCs/>
                <w:color w:val="FF0000"/>
                <w:sz w:val="21"/>
                <w:szCs w:val="21"/>
              </w:rPr>
            </w:pPr>
          </w:p>
        </w:tc>
      </w:tr>
      <w:tr w14:paraId="6BECB0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0AFF6307">
            <w:pPr>
              <w:spacing w:line="320" w:lineRule="exact"/>
              <w:jc w:val="both"/>
              <w:rPr>
                <w:rFonts w:cs="宋体"/>
                <w:bCs/>
                <w:sz w:val="21"/>
                <w:szCs w:val="21"/>
              </w:rPr>
            </w:pPr>
          </w:p>
        </w:tc>
        <w:tc>
          <w:tcPr>
            <w:tcW w:w="640" w:type="dxa"/>
            <w:vMerge w:val="continue"/>
            <w:shd w:val="clear" w:color="auto" w:fill="auto"/>
            <w:vAlign w:val="center"/>
          </w:tcPr>
          <w:p w14:paraId="0286B513">
            <w:pPr>
              <w:spacing w:line="320" w:lineRule="exact"/>
              <w:jc w:val="both"/>
              <w:rPr>
                <w:rFonts w:cs="宋体"/>
                <w:bCs/>
                <w:sz w:val="21"/>
                <w:szCs w:val="21"/>
              </w:rPr>
            </w:pPr>
          </w:p>
        </w:tc>
        <w:tc>
          <w:tcPr>
            <w:tcW w:w="860" w:type="dxa"/>
            <w:shd w:val="clear" w:color="auto" w:fill="auto"/>
            <w:vAlign w:val="center"/>
          </w:tcPr>
          <w:p w14:paraId="04DD4FDB">
            <w:pPr>
              <w:spacing w:line="320" w:lineRule="exact"/>
              <w:jc w:val="center"/>
              <w:rPr>
                <w:rFonts w:cs="宋体"/>
                <w:bCs/>
                <w:sz w:val="21"/>
                <w:szCs w:val="21"/>
              </w:rPr>
            </w:pPr>
            <w:r>
              <w:rPr>
                <w:rFonts w:cs="宋体"/>
                <w:bCs/>
                <w:sz w:val="21"/>
                <w:szCs w:val="21"/>
              </w:rPr>
              <w:t>10</w:t>
            </w:r>
          </w:p>
        </w:tc>
        <w:tc>
          <w:tcPr>
            <w:tcW w:w="5809" w:type="dxa"/>
            <w:shd w:val="clear" w:color="auto" w:fill="auto"/>
            <w:vAlign w:val="center"/>
          </w:tcPr>
          <w:p w14:paraId="394D2FA5">
            <w:pPr>
              <w:spacing w:line="320" w:lineRule="exact"/>
              <w:jc w:val="both"/>
              <w:rPr>
                <w:rFonts w:cs="仿宋" w:asciiTheme="minorEastAsia" w:hAnsiTheme="minorEastAsia"/>
                <w:b/>
                <w:bCs/>
                <w:color w:val="FF0000"/>
                <w:sz w:val="21"/>
                <w:szCs w:val="21"/>
                <w:lang w:bidi="ar"/>
              </w:rPr>
            </w:pPr>
            <w:r>
              <w:rPr>
                <w:rFonts w:cs="仿宋" w:asciiTheme="minorEastAsia" w:hAnsiTheme="minorEastAsia"/>
                <w:b/>
                <w:bCs/>
                <w:color w:val="FF0000"/>
                <w:sz w:val="21"/>
                <w:szCs w:val="21"/>
                <w:lang w:bidi="ar"/>
              </w:rPr>
              <w:t>业绩：</w:t>
            </w:r>
          </w:p>
          <w:p w14:paraId="02DD8246">
            <w:pPr>
              <w:spacing w:line="320" w:lineRule="exact"/>
              <w:rPr>
                <w:rFonts w:cs="仿宋" w:asciiTheme="minorEastAsia" w:hAnsiTheme="minorEastAsia"/>
                <w:sz w:val="21"/>
                <w:szCs w:val="21"/>
              </w:rPr>
            </w:pPr>
            <w:r>
              <w:rPr>
                <w:rFonts w:hint="eastAsia" w:cs="仿宋" w:asciiTheme="minorEastAsia" w:hAnsiTheme="minorEastAsia"/>
                <w:sz w:val="21"/>
                <w:szCs w:val="21"/>
              </w:rPr>
              <w:t>提供供应商自2022年1月1日以来（以合同签订时间为准）类似项目业绩，评审时以合同扫描件为计分依据，每份业绩得2分，最高得10分。</w:t>
            </w:r>
          </w:p>
          <w:p w14:paraId="162EF979">
            <w:pPr>
              <w:spacing w:line="320" w:lineRule="exact"/>
              <w:jc w:val="both"/>
              <w:rPr>
                <w:rFonts w:cs="宋体"/>
                <w:sz w:val="21"/>
                <w:szCs w:val="21"/>
              </w:rPr>
            </w:pPr>
            <w:r>
              <w:rPr>
                <w:rFonts w:hint="eastAsia" w:cs="仿宋" w:asciiTheme="minorEastAsia" w:hAnsiTheme="minorEastAsia"/>
                <w:sz w:val="21"/>
                <w:szCs w:val="21"/>
              </w:rPr>
              <w:t>注：合同扫描件至少应包含合同首页、合同金额所在页、签字盖章页，否则不予认可。</w:t>
            </w:r>
          </w:p>
        </w:tc>
        <w:tc>
          <w:tcPr>
            <w:tcW w:w="1418" w:type="dxa"/>
            <w:vMerge w:val="continue"/>
            <w:shd w:val="clear" w:color="auto" w:fill="auto"/>
            <w:vAlign w:val="center"/>
          </w:tcPr>
          <w:p w14:paraId="23256050">
            <w:pPr>
              <w:spacing w:line="320" w:lineRule="exact"/>
              <w:jc w:val="both"/>
              <w:rPr>
                <w:rFonts w:cs="宋体"/>
                <w:bCs/>
                <w:color w:val="FF0000"/>
                <w:sz w:val="21"/>
                <w:szCs w:val="21"/>
              </w:rPr>
            </w:pPr>
          </w:p>
        </w:tc>
      </w:tr>
      <w:tr w14:paraId="12EAFC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shd w:val="clear" w:color="auto" w:fill="auto"/>
            <w:vAlign w:val="center"/>
          </w:tcPr>
          <w:p w14:paraId="7231B919">
            <w:pPr>
              <w:spacing w:line="320" w:lineRule="exact"/>
              <w:jc w:val="both"/>
              <w:rPr>
                <w:rFonts w:cs="宋体"/>
                <w:bCs/>
                <w:sz w:val="21"/>
                <w:szCs w:val="21"/>
              </w:rPr>
            </w:pPr>
            <w:r>
              <w:rPr>
                <w:rFonts w:cs="宋体"/>
                <w:bCs/>
                <w:sz w:val="21"/>
                <w:szCs w:val="21"/>
              </w:rPr>
              <w:t>说明</w:t>
            </w:r>
          </w:p>
        </w:tc>
        <w:tc>
          <w:tcPr>
            <w:tcW w:w="8727" w:type="dxa"/>
            <w:gridSpan w:val="4"/>
            <w:shd w:val="clear" w:color="auto" w:fill="auto"/>
            <w:vAlign w:val="center"/>
          </w:tcPr>
          <w:p w14:paraId="6BFA84C6">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1．评标委员会成员必须按照本评审要素据实打分，各类数字计算均按“四舍五入”保留小数点后两位。</w:t>
            </w:r>
          </w:p>
          <w:p w14:paraId="4F914403">
            <w:pPr>
              <w:spacing w:line="320" w:lineRule="exact"/>
              <w:ind w:firstLine="420"/>
              <w:jc w:val="both"/>
              <w:rPr>
                <w:rFonts w:cs="宋体"/>
                <w:bCs/>
                <w:color w:val="FF0000"/>
                <w:sz w:val="21"/>
                <w:szCs w:val="21"/>
              </w:rPr>
            </w:pPr>
            <w:r>
              <w:rPr>
                <w:rFonts w:ascii="Calibri" w:hAnsi="宋体" w:eastAsia="宋体" w:cs="宋体"/>
                <w:bCs/>
                <w:sz w:val="21"/>
                <w:szCs w:val="21"/>
              </w:rPr>
              <w:t>2．价格评审优惠：</w:t>
            </w:r>
            <w:r>
              <w:rPr>
                <w:rFonts w:hint="eastAsia" w:ascii="Calibri" w:hAnsi="宋体" w:eastAsia="宋体" w:cs="宋体"/>
                <w:bCs/>
                <w:sz w:val="21"/>
                <w:szCs w:val="21"/>
              </w:rPr>
              <w:t>对符合政府采购优惠政策的小型和微型企业制造的货物、承接的服务的报价给予</w:t>
            </w:r>
            <w:r>
              <w:rPr>
                <w:rFonts w:hint="eastAsia" w:ascii="Calibri" w:hAnsi="宋体" w:eastAsia="宋体" w:cs="宋体"/>
                <w:bCs/>
                <w:sz w:val="21"/>
                <w:szCs w:val="21"/>
                <w:u w:val="single"/>
              </w:rPr>
              <w:t>10%</w:t>
            </w:r>
            <w:r>
              <w:rPr>
                <w:rFonts w:hint="eastAsia" w:ascii="Calibri" w:hAnsi="宋体" w:eastAsia="宋体" w:cs="宋体"/>
                <w:bCs/>
                <w:sz w:val="21"/>
                <w:szCs w:val="21"/>
              </w:rPr>
              <w:t>的扣除，用扣除后的价格参加评审。未提供中小企业声明函的不享受价格扣除优惠政策；供应商所供货物并非全部由小型或微型企业生产的，不享受价格扣除优惠政策。</w:t>
            </w:r>
          </w:p>
        </w:tc>
      </w:tr>
    </w:tbl>
    <w:p w14:paraId="5E16FD7D">
      <w:pPr>
        <w:pStyle w:val="81"/>
        <w:ind w:firstLine="482"/>
        <w:rPr>
          <w:b/>
        </w:rPr>
      </w:pPr>
      <w:r>
        <w:rPr>
          <w:b/>
        </w:rPr>
        <w:t>5</w:t>
      </w:r>
      <w:r>
        <w:rPr>
          <w:rFonts w:hint="eastAsia"/>
          <w:b/>
          <w:color w:val="auto"/>
        </w:rPr>
        <w:t>．</w:t>
      </w:r>
      <w:r>
        <w:rPr>
          <w:b/>
        </w:rPr>
        <w:t>推荐中标候选人</w:t>
      </w:r>
    </w:p>
    <w:p w14:paraId="33078F8F">
      <w:pPr>
        <w:pStyle w:val="81"/>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14:paraId="441B310C">
      <w:pPr>
        <w:pStyle w:val="81"/>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23579DE">
      <w:pPr>
        <w:pStyle w:val="81"/>
        <w:ind w:firstLine="482"/>
        <w:rPr>
          <w:b/>
        </w:rPr>
      </w:pPr>
      <w:r>
        <w:rPr>
          <w:b/>
        </w:rPr>
        <w:t>6</w:t>
      </w:r>
      <w:r>
        <w:rPr>
          <w:rFonts w:hint="eastAsia"/>
          <w:b/>
          <w:color w:val="auto"/>
        </w:rPr>
        <w:t>．</w:t>
      </w:r>
      <w:r>
        <w:rPr>
          <w:b/>
        </w:rPr>
        <w:t>编写评审报告</w:t>
      </w:r>
    </w:p>
    <w:p w14:paraId="43D27BE5">
      <w:pPr>
        <w:pStyle w:val="81"/>
        <w:ind w:firstLine="480"/>
        <w:rPr>
          <w:rFonts w:hAnsi="华文仿宋"/>
        </w:rPr>
      </w:pPr>
      <w:r>
        <w:rPr>
          <w:rFonts w:hint="eastAsia" w:hAnsi="华文仿宋"/>
        </w:rPr>
        <w:t>评审报告是评标委员会根据全体评标成员签字的原始评标记录和评标结果编写的报告。</w:t>
      </w:r>
    </w:p>
    <w:p w14:paraId="7CE7E351">
      <w:pPr>
        <w:pStyle w:val="81"/>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pPr>
        <w:pStyle w:val="4"/>
        <w:ind w:firstLine="482"/>
      </w:pPr>
      <w:r>
        <w:t>（四）</w:t>
      </w:r>
      <w:r>
        <w:rPr>
          <w:rFonts w:hint="eastAsia"/>
        </w:rPr>
        <w:t>评标争议处理规则</w:t>
      </w:r>
    </w:p>
    <w:p w14:paraId="111494EC">
      <w:pPr>
        <w:pStyle w:val="81"/>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DA1D057">
      <w:pPr>
        <w:pStyle w:val="4"/>
        <w:ind w:firstLine="482"/>
      </w:pPr>
      <w:r>
        <w:t>（五）评审现场人员的保密责任</w:t>
      </w:r>
    </w:p>
    <w:p w14:paraId="23C272B2">
      <w:pPr>
        <w:pStyle w:val="8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pPr>
        <w:pStyle w:val="4"/>
        <w:ind w:firstLine="482"/>
      </w:pPr>
      <w:r>
        <w:t>（六）出现下列情形时，视同供应商串通投标，其投标无效：</w:t>
      </w:r>
    </w:p>
    <w:p w14:paraId="060A387B">
      <w:pPr>
        <w:pStyle w:val="81"/>
        <w:ind w:firstLine="480"/>
      </w:pPr>
      <w:r>
        <w:t>1</w:t>
      </w:r>
      <w:r>
        <w:rPr>
          <w:rFonts w:hint="eastAsia"/>
          <w:color w:val="auto"/>
        </w:rPr>
        <w:t>．</w:t>
      </w:r>
      <w:r>
        <w:t>不同供应商的投标文件由同一单位或者个人编制；</w:t>
      </w:r>
    </w:p>
    <w:p w14:paraId="51256AE0">
      <w:pPr>
        <w:pStyle w:val="81"/>
        <w:ind w:firstLine="480"/>
      </w:pPr>
      <w:r>
        <w:t>2</w:t>
      </w:r>
      <w:r>
        <w:rPr>
          <w:rFonts w:hint="eastAsia"/>
          <w:color w:val="auto"/>
        </w:rPr>
        <w:t>．</w:t>
      </w:r>
      <w:r>
        <w:t>不同供应商委托同一单位或者个人办理投标事宜；</w:t>
      </w:r>
    </w:p>
    <w:p w14:paraId="2381E2F3">
      <w:pPr>
        <w:pStyle w:val="81"/>
        <w:ind w:firstLine="480"/>
      </w:pPr>
      <w:r>
        <w:t>3</w:t>
      </w:r>
      <w:r>
        <w:rPr>
          <w:rFonts w:hint="eastAsia"/>
          <w:color w:val="auto"/>
        </w:rPr>
        <w:t>．</w:t>
      </w:r>
      <w:r>
        <w:t>不同供应商的投标文件载明的项目管理成员或者联系人员为同一人；</w:t>
      </w:r>
    </w:p>
    <w:p w14:paraId="48EC5A5F">
      <w:pPr>
        <w:pStyle w:val="81"/>
        <w:ind w:firstLine="480"/>
        <w:rPr>
          <w:strike/>
        </w:rPr>
      </w:pPr>
      <w:r>
        <w:t>4</w:t>
      </w:r>
      <w:r>
        <w:rPr>
          <w:rFonts w:hint="eastAsia"/>
          <w:color w:val="auto"/>
        </w:rPr>
        <w:t>．</w:t>
      </w:r>
      <w:r>
        <w:t>不同供应商的投标文件异常一致或者投标报价呈规律性差异。</w:t>
      </w:r>
    </w:p>
    <w:p w14:paraId="2E53BD0A">
      <w:pPr>
        <w:pStyle w:val="3"/>
      </w:pPr>
      <w:r>
        <w:t>八、中标</w:t>
      </w:r>
    </w:p>
    <w:p w14:paraId="5D87E9E5">
      <w:pPr>
        <w:pStyle w:val="81"/>
        <w:ind w:firstLine="480"/>
      </w:pPr>
      <w:r>
        <w:rPr>
          <w:rFonts w:hint="eastAsia"/>
        </w:rPr>
        <w:t>1</w:t>
      </w:r>
      <w:r>
        <w:rPr>
          <w:rFonts w:hint="eastAsia"/>
          <w:color w:val="auto"/>
        </w:rPr>
        <w:t>．</w:t>
      </w:r>
      <w:r>
        <w:t>采购代理机构在评标工作结束后2个工作日内将评审报告送采购人。</w:t>
      </w:r>
    </w:p>
    <w:p w14:paraId="4224D80C">
      <w:pPr>
        <w:pStyle w:val="81"/>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8126BE">
      <w:pPr>
        <w:pStyle w:val="81"/>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14:paraId="67B80D74">
      <w:pPr>
        <w:pStyle w:val="81"/>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1AE91174">
      <w:pPr>
        <w:pStyle w:val="8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7A4F61B5">
      <w:pPr>
        <w:pStyle w:val="81"/>
        <w:ind w:firstLine="480"/>
      </w:pPr>
      <w:r>
        <w:rPr>
          <w:rFonts w:hint="eastAsia"/>
        </w:rPr>
        <w:t>6</w:t>
      </w:r>
      <w:r>
        <w:rPr>
          <w:rFonts w:hint="eastAsia"/>
          <w:color w:val="auto"/>
        </w:rPr>
        <w:t>．</w:t>
      </w:r>
      <w:r>
        <w:rPr>
          <w:rFonts w:hint="eastAsia"/>
        </w:rPr>
        <w:t>采购代理机构按照相关规定将评审报告送同级政府采购监管部门备案。</w:t>
      </w:r>
    </w:p>
    <w:p w14:paraId="52646366">
      <w:pPr>
        <w:pStyle w:val="3"/>
      </w:pPr>
      <w:r>
        <w:t>九、合同签订、履行及验收</w:t>
      </w:r>
    </w:p>
    <w:p w14:paraId="704629A0">
      <w:pPr>
        <w:pStyle w:val="81"/>
        <w:ind w:firstLine="480"/>
      </w:pPr>
      <w:r>
        <w:t>招标文件、投标文件、澄清、补充合同等为政府采购合同的组成部分，具有同等法律效力。</w:t>
      </w:r>
    </w:p>
    <w:p w14:paraId="4EB7DCB4">
      <w:pPr>
        <w:pStyle w:val="4"/>
        <w:ind w:firstLine="482"/>
      </w:pPr>
      <w:r>
        <w:t>（一）签订政府采购合同</w:t>
      </w:r>
    </w:p>
    <w:p w14:paraId="7E9ACFB6">
      <w:pPr>
        <w:pStyle w:val="81"/>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14:paraId="141F6FA8">
      <w:pPr>
        <w:pStyle w:val="81"/>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150B414C">
      <w:pPr>
        <w:pStyle w:val="81"/>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BD4BC1A">
      <w:pPr>
        <w:pStyle w:val="81"/>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B4113D3">
      <w:pPr>
        <w:pStyle w:val="4"/>
        <w:ind w:firstLine="482"/>
      </w:pPr>
      <w:r>
        <w:t>（二）合同公示</w:t>
      </w:r>
    </w:p>
    <w:p w14:paraId="6AA27285">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28851CA4">
      <w:pPr>
        <w:pStyle w:val="81"/>
        <w:ind w:firstLine="480"/>
      </w:pPr>
      <w:r>
        <w:rPr>
          <w:rFonts w:hint="eastAsia"/>
        </w:rPr>
        <w:t>1</w:t>
      </w:r>
      <w:r>
        <w:rPr>
          <w:rFonts w:hint="eastAsia"/>
          <w:color w:val="auto"/>
        </w:rPr>
        <w:t>．</w:t>
      </w:r>
      <w:r>
        <w:rPr>
          <w:rFonts w:hint="eastAsia"/>
        </w:rPr>
        <w:t>合同一经签订，双方应严格履行合同规定的义务。</w:t>
      </w:r>
    </w:p>
    <w:p w14:paraId="7846AF21">
      <w:pPr>
        <w:pStyle w:val="81"/>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十、其他</w:t>
      </w:r>
    </w:p>
    <w:p w14:paraId="791FCABD">
      <w:pPr>
        <w:pStyle w:val="81"/>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3B1B2EA">
      <w:pPr>
        <w:pStyle w:val="81"/>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pPr>
        <w:pStyle w:val="81"/>
        <w:ind w:firstLine="480"/>
      </w:pPr>
      <w:r>
        <w:t>3</w:t>
      </w:r>
      <w:r>
        <w:rPr>
          <w:rFonts w:hint="eastAsia"/>
          <w:color w:val="auto"/>
        </w:rPr>
        <w:t>．</w:t>
      </w:r>
      <w:r>
        <w:t>根据《政府采购法》第三十六条规定，在招标采购中，出现下列情形之一的，本项目按废标处理：</w:t>
      </w:r>
    </w:p>
    <w:p w14:paraId="4DA1D61B">
      <w:pPr>
        <w:pStyle w:val="81"/>
        <w:ind w:firstLine="480"/>
      </w:pPr>
      <w:r>
        <w:t>（</w:t>
      </w:r>
      <w:r>
        <w:rPr>
          <w:rFonts w:hint="eastAsia"/>
        </w:rPr>
        <w:t>1</w:t>
      </w:r>
      <w:r>
        <w:t>）出现影响采购公正的违法、违规行为的；</w:t>
      </w:r>
    </w:p>
    <w:p w14:paraId="549FB089">
      <w:pPr>
        <w:pStyle w:val="81"/>
        <w:ind w:firstLine="480"/>
      </w:pPr>
      <w:r>
        <w:t>（</w:t>
      </w:r>
      <w:r>
        <w:rPr>
          <w:rFonts w:hint="eastAsia"/>
        </w:rPr>
        <w:t>2</w:t>
      </w:r>
      <w:r>
        <w:t>）供应商的报价均超过了采购预算，采购人不能支付的；</w:t>
      </w:r>
    </w:p>
    <w:p w14:paraId="0D4452BC">
      <w:pPr>
        <w:pStyle w:val="81"/>
        <w:ind w:firstLine="480"/>
      </w:pPr>
      <w:r>
        <w:t>（</w:t>
      </w:r>
      <w:r>
        <w:rPr>
          <w:rFonts w:hint="eastAsia"/>
        </w:rPr>
        <w:t>3</w:t>
      </w:r>
      <w:r>
        <w:t>）因重大变故，采购任务取消的。</w:t>
      </w:r>
    </w:p>
    <w:p w14:paraId="1126BD68">
      <w:pPr>
        <w:pStyle w:val="81"/>
        <w:ind w:firstLine="480"/>
      </w:pPr>
      <w:r>
        <w:t>废标后，除采购任务取消外，本项目将重新组织招标。</w:t>
      </w:r>
    </w:p>
    <w:p w14:paraId="163D00B9">
      <w:pPr>
        <w:pStyle w:val="81"/>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pPr>
        <w:pStyle w:val="81"/>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81"/>
        <w:ind w:firstLine="480"/>
        <w:sectPr>
          <w:footerReference r:id="rId11" w:type="default"/>
          <w:footerReference r:id="rId12"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14:paraId="3E5C702B">
      <w:pPr>
        <w:pStyle w:val="2"/>
        <w:spacing w:before="230" w:after="230"/>
      </w:pPr>
      <w:bookmarkStart w:id="28" w:name="_Toc100219614"/>
      <w:r>
        <w:rPr>
          <w:rFonts w:hint="eastAsia"/>
        </w:rPr>
        <w:t>第三章　招标内容及要求</w:t>
      </w:r>
      <w:bookmarkEnd w:id="28"/>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ind w:firstLine="480" w:firstLineChars="200"/>
      </w:pPr>
      <w:r>
        <w:rPr>
          <w:rFonts w:hint="eastAsia"/>
        </w:rPr>
        <w:t>为保障国家消防救援人员的人身安全，根据《西安市消防救援人员职业保障和社会优待暂行意见》（市政办发﹝2019﹞41号）“全市消防救援人员依法参加社会保险，并购买人身意外险”的规定，现需为全市2782名消防救援人员购买团体意外伤害保险。</w:t>
      </w:r>
    </w:p>
    <w:p w14:paraId="7307D21B">
      <w:pPr>
        <w:pStyle w:val="3"/>
        <w:jc w:val="both"/>
      </w:pPr>
      <w:r>
        <w:rPr>
          <w:rFonts w:hint="eastAsia"/>
        </w:rPr>
        <w:t>二、招标内容</w:t>
      </w:r>
    </w:p>
    <w:p w14:paraId="0C6CCCBC">
      <w:pPr>
        <w:ind w:firstLine="480" w:firstLineChars="200"/>
        <w:rPr>
          <w:b/>
        </w:rPr>
      </w:pPr>
      <w:r>
        <w:rPr>
          <w:rFonts w:hint="eastAsia"/>
          <w:b/>
        </w:rPr>
        <w:t>（一）参保人数及保险费率</w:t>
      </w:r>
    </w:p>
    <w:p w14:paraId="44F6F6AD">
      <w:pPr>
        <w:ind w:firstLine="480" w:firstLineChars="200"/>
      </w:pPr>
      <w:r>
        <w:rPr>
          <w:rFonts w:hint="eastAsia"/>
        </w:rPr>
        <w:t>对西安市消防救援支队指战员团体共2782人（干部376人，国家队消防员705人，政府专职消防员1478人，消防文员223人）购置团体人身意外伤亡保险，其中干部、国家队消防员和政府专职消防员为需出警人员，共2559人；消防文员为非出警人员，共223人。具体人数及保险费率最高限价见下表：</w:t>
      </w:r>
    </w:p>
    <w:tbl>
      <w:tblPr>
        <w:tblStyle w:val="24"/>
        <w:tblW w:w="479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16"/>
        <w:gridCol w:w="1779"/>
        <w:gridCol w:w="1777"/>
        <w:gridCol w:w="3432"/>
      </w:tblGrid>
      <w:tr w14:paraId="78DD74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75" w:type="pct"/>
            <w:tcBorders>
              <w:top w:val="single" w:color="auto" w:sz="12" w:space="0"/>
              <w:bottom w:val="single" w:color="auto" w:sz="2" w:space="0"/>
            </w:tcBorders>
            <w:shd w:val="clear" w:color="auto" w:fill="F1F1F1"/>
            <w:noWrap/>
            <w:vAlign w:val="center"/>
          </w:tcPr>
          <w:p w14:paraId="51623565">
            <w:pPr>
              <w:jc w:val="center"/>
              <w:rPr>
                <w:rFonts w:asciiTheme="minorEastAsia" w:hAnsiTheme="minorEastAsia"/>
                <w:b/>
                <w:sz w:val="21"/>
              </w:rPr>
            </w:pPr>
            <w:r>
              <w:rPr>
                <w:rFonts w:hint="eastAsia" w:asciiTheme="minorEastAsia" w:hAnsiTheme="minorEastAsia"/>
                <w:b/>
                <w:sz w:val="21"/>
              </w:rPr>
              <w:t>人员类型</w:t>
            </w:r>
          </w:p>
        </w:tc>
        <w:tc>
          <w:tcPr>
            <w:tcW w:w="999" w:type="pct"/>
            <w:tcBorders>
              <w:top w:val="single" w:color="auto" w:sz="12" w:space="0"/>
              <w:bottom w:val="single" w:color="auto" w:sz="2" w:space="0"/>
            </w:tcBorders>
            <w:shd w:val="clear" w:color="auto" w:fill="F1F1F1"/>
            <w:noWrap/>
            <w:vAlign w:val="center"/>
          </w:tcPr>
          <w:p w14:paraId="3FA748C5">
            <w:pPr>
              <w:jc w:val="center"/>
              <w:rPr>
                <w:rFonts w:asciiTheme="minorEastAsia" w:hAnsiTheme="minorEastAsia"/>
                <w:b/>
                <w:sz w:val="21"/>
              </w:rPr>
            </w:pPr>
            <w:r>
              <w:rPr>
                <w:rFonts w:hint="eastAsia" w:asciiTheme="minorEastAsia" w:hAnsiTheme="minorEastAsia"/>
                <w:b/>
                <w:sz w:val="21"/>
              </w:rPr>
              <w:t>人数（人）</w:t>
            </w:r>
          </w:p>
        </w:tc>
        <w:tc>
          <w:tcPr>
            <w:tcW w:w="998" w:type="pct"/>
            <w:tcBorders>
              <w:top w:val="single" w:color="auto" w:sz="12" w:space="0"/>
              <w:bottom w:val="single" w:color="auto" w:sz="2" w:space="0"/>
            </w:tcBorders>
            <w:shd w:val="clear" w:color="auto" w:fill="F1F1F1"/>
            <w:noWrap/>
            <w:vAlign w:val="center"/>
          </w:tcPr>
          <w:p w14:paraId="0F9F88AF">
            <w:pPr>
              <w:jc w:val="center"/>
              <w:rPr>
                <w:rFonts w:asciiTheme="minorEastAsia" w:hAnsiTheme="minorEastAsia"/>
                <w:b/>
                <w:sz w:val="21"/>
              </w:rPr>
            </w:pPr>
            <w:r>
              <w:rPr>
                <w:rFonts w:hint="eastAsia" w:asciiTheme="minorEastAsia" w:hAnsiTheme="minorEastAsia"/>
                <w:b/>
                <w:sz w:val="21"/>
              </w:rPr>
              <w:t>保险费率</w:t>
            </w:r>
          </w:p>
          <w:p w14:paraId="764B5040">
            <w:pPr>
              <w:jc w:val="center"/>
              <w:rPr>
                <w:rFonts w:asciiTheme="minorEastAsia" w:hAnsiTheme="minorEastAsia"/>
                <w:b/>
                <w:sz w:val="21"/>
              </w:rPr>
            </w:pPr>
            <w:r>
              <w:rPr>
                <w:rFonts w:hint="eastAsia" w:asciiTheme="minorEastAsia" w:hAnsiTheme="minorEastAsia"/>
                <w:b/>
                <w:sz w:val="21"/>
              </w:rPr>
              <w:t>（元/人/年）</w:t>
            </w:r>
          </w:p>
        </w:tc>
        <w:tc>
          <w:tcPr>
            <w:tcW w:w="1926" w:type="pct"/>
            <w:tcBorders>
              <w:top w:val="single" w:color="auto" w:sz="12" w:space="0"/>
              <w:bottom w:val="single" w:color="auto" w:sz="2" w:space="0"/>
            </w:tcBorders>
            <w:shd w:val="clear" w:color="auto" w:fill="F1F1F1"/>
            <w:noWrap/>
            <w:vAlign w:val="center"/>
          </w:tcPr>
          <w:p w14:paraId="4252ADAC">
            <w:pPr>
              <w:jc w:val="center"/>
              <w:rPr>
                <w:rFonts w:asciiTheme="minorEastAsia" w:hAnsiTheme="minorEastAsia"/>
                <w:b/>
                <w:sz w:val="21"/>
              </w:rPr>
            </w:pPr>
            <w:r>
              <w:rPr>
                <w:rFonts w:hint="eastAsia" w:asciiTheme="minorEastAsia" w:hAnsiTheme="minorEastAsia"/>
                <w:b/>
                <w:sz w:val="21"/>
              </w:rPr>
              <w:t>预估保险费=人数×保险费率（元）</w:t>
            </w:r>
          </w:p>
        </w:tc>
      </w:tr>
      <w:tr w14:paraId="3C5715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75" w:type="pct"/>
            <w:tcBorders>
              <w:top w:val="single" w:color="auto" w:sz="2" w:space="0"/>
            </w:tcBorders>
            <w:vAlign w:val="center"/>
          </w:tcPr>
          <w:p w14:paraId="62C0BF9E">
            <w:pPr>
              <w:spacing w:line="360" w:lineRule="auto"/>
              <w:jc w:val="center"/>
              <w:rPr>
                <w:rFonts w:ascii="宋体" w:hAnsi="宋体" w:cs="仿宋"/>
                <w:sz w:val="21"/>
                <w:szCs w:val="21"/>
              </w:rPr>
            </w:pPr>
            <w:bookmarkStart w:id="29" w:name="_Hlk211012180"/>
            <w:r>
              <w:rPr>
                <w:rFonts w:hint="eastAsia" w:ascii="宋体" w:hAnsi="宋体" w:cs="仿宋"/>
                <w:sz w:val="21"/>
                <w:szCs w:val="21"/>
                <w:lang w:bidi="ar"/>
              </w:rPr>
              <w:t>出警人员</w:t>
            </w:r>
          </w:p>
        </w:tc>
        <w:tc>
          <w:tcPr>
            <w:tcW w:w="999" w:type="pct"/>
            <w:tcBorders>
              <w:top w:val="single" w:color="auto" w:sz="2" w:space="0"/>
            </w:tcBorders>
            <w:vAlign w:val="center"/>
          </w:tcPr>
          <w:p w14:paraId="1783F5A1">
            <w:pPr>
              <w:spacing w:line="360" w:lineRule="auto"/>
              <w:jc w:val="center"/>
              <w:rPr>
                <w:rFonts w:ascii="宋体" w:hAnsi="宋体" w:cs="仿宋"/>
                <w:sz w:val="21"/>
                <w:szCs w:val="21"/>
              </w:rPr>
            </w:pPr>
            <w:r>
              <w:rPr>
                <w:rFonts w:hint="eastAsia" w:ascii="宋体" w:hAnsi="宋体" w:cs="仿宋"/>
                <w:sz w:val="21"/>
                <w:szCs w:val="21"/>
              </w:rPr>
              <w:t>2559</w:t>
            </w:r>
          </w:p>
        </w:tc>
        <w:tc>
          <w:tcPr>
            <w:tcW w:w="998" w:type="pct"/>
            <w:tcBorders>
              <w:top w:val="single" w:color="auto" w:sz="2" w:space="0"/>
            </w:tcBorders>
            <w:vAlign w:val="center"/>
          </w:tcPr>
          <w:p w14:paraId="3C72E42D">
            <w:pPr>
              <w:spacing w:line="360" w:lineRule="auto"/>
              <w:jc w:val="center"/>
              <w:rPr>
                <w:rFonts w:ascii="宋体" w:hAnsi="宋体" w:cs="仿宋"/>
                <w:sz w:val="21"/>
                <w:szCs w:val="21"/>
              </w:rPr>
            </w:pPr>
            <w:r>
              <w:rPr>
                <w:rFonts w:hint="eastAsia" w:ascii="宋体" w:hAnsi="宋体" w:cs="仿宋"/>
                <w:sz w:val="21"/>
                <w:szCs w:val="21"/>
                <w:lang w:bidi="ar"/>
              </w:rPr>
              <w:t>2550</w:t>
            </w:r>
          </w:p>
        </w:tc>
        <w:tc>
          <w:tcPr>
            <w:tcW w:w="1926" w:type="pct"/>
            <w:tcBorders>
              <w:top w:val="single" w:color="auto" w:sz="2" w:space="0"/>
            </w:tcBorders>
            <w:noWrap/>
            <w:vAlign w:val="center"/>
          </w:tcPr>
          <w:p w14:paraId="1EA85F27">
            <w:pPr>
              <w:spacing w:line="360" w:lineRule="auto"/>
              <w:jc w:val="center"/>
              <w:textAlignment w:val="center"/>
              <w:rPr>
                <w:rFonts w:ascii="宋体" w:hAnsi="宋体" w:cs="仿宋"/>
                <w:sz w:val="21"/>
                <w:szCs w:val="21"/>
              </w:rPr>
            </w:pPr>
            <w:r>
              <w:rPr>
                <w:rFonts w:hint="eastAsia" w:ascii="宋体" w:hAnsi="宋体" w:cs="仿宋"/>
                <w:sz w:val="21"/>
                <w:szCs w:val="21"/>
                <w:lang w:bidi="ar"/>
              </w:rPr>
              <w:t>6525450.00</w:t>
            </w:r>
          </w:p>
        </w:tc>
      </w:tr>
      <w:tr w14:paraId="2B8ED1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75" w:type="pct"/>
            <w:noWrap/>
            <w:vAlign w:val="center"/>
          </w:tcPr>
          <w:p w14:paraId="73E4F595">
            <w:pPr>
              <w:spacing w:line="360" w:lineRule="auto"/>
              <w:jc w:val="center"/>
              <w:rPr>
                <w:rFonts w:ascii="宋体" w:hAnsi="宋体" w:cs="仿宋"/>
                <w:sz w:val="21"/>
                <w:szCs w:val="21"/>
              </w:rPr>
            </w:pPr>
            <w:r>
              <w:rPr>
                <w:rFonts w:hint="eastAsia" w:ascii="宋体" w:hAnsi="宋体" w:cs="仿宋"/>
                <w:sz w:val="21"/>
                <w:szCs w:val="21"/>
              </w:rPr>
              <w:t>非出警人员</w:t>
            </w:r>
          </w:p>
        </w:tc>
        <w:tc>
          <w:tcPr>
            <w:tcW w:w="999" w:type="pct"/>
            <w:vAlign w:val="center"/>
          </w:tcPr>
          <w:p w14:paraId="31AE5542">
            <w:pPr>
              <w:spacing w:line="360" w:lineRule="auto"/>
              <w:jc w:val="center"/>
              <w:rPr>
                <w:rFonts w:ascii="宋体" w:hAnsi="宋体" w:cs="仿宋"/>
                <w:sz w:val="21"/>
                <w:szCs w:val="21"/>
              </w:rPr>
            </w:pPr>
            <w:r>
              <w:rPr>
                <w:rFonts w:hint="eastAsia" w:ascii="宋体" w:hAnsi="宋体" w:cs="仿宋"/>
                <w:sz w:val="21"/>
                <w:szCs w:val="21"/>
              </w:rPr>
              <w:t>223</w:t>
            </w:r>
          </w:p>
        </w:tc>
        <w:tc>
          <w:tcPr>
            <w:tcW w:w="998" w:type="pct"/>
            <w:vAlign w:val="center"/>
          </w:tcPr>
          <w:p w14:paraId="08098FD5">
            <w:pPr>
              <w:spacing w:line="360" w:lineRule="auto"/>
              <w:jc w:val="center"/>
              <w:rPr>
                <w:rFonts w:ascii="宋体" w:hAnsi="宋体" w:cs="仿宋"/>
                <w:sz w:val="21"/>
                <w:szCs w:val="21"/>
              </w:rPr>
            </w:pPr>
            <w:r>
              <w:rPr>
                <w:rFonts w:hint="eastAsia" w:ascii="宋体" w:hAnsi="宋体" w:cs="仿宋"/>
                <w:sz w:val="21"/>
                <w:szCs w:val="21"/>
              </w:rPr>
              <w:t>580</w:t>
            </w:r>
          </w:p>
        </w:tc>
        <w:tc>
          <w:tcPr>
            <w:tcW w:w="1926" w:type="pct"/>
            <w:noWrap/>
            <w:vAlign w:val="center"/>
          </w:tcPr>
          <w:p w14:paraId="71DFA376">
            <w:pPr>
              <w:spacing w:line="360" w:lineRule="auto"/>
              <w:jc w:val="center"/>
              <w:textAlignment w:val="center"/>
              <w:rPr>
                <w:rFonts w:ascii="宋体" w:hAnsi="宋体" w:cs="仿宋"/>
                <w:sz w:val="21"/>
                <w:szCs w:val="21"/>
              </w:rPr>
            </w:pPr>
            <w:r>
              <w:rPr>
                <w:rFonts w:hint="eastAsia" w:ascii="宋体" w:hAnsi="宋体" w:cs="仿宋"/>
                <w:sz w:val="21"/>
                <w:szCs w:val="21"/>
                <w:lang w:bidi="ar"/>
              </w:rPr>
              <w:t>129340.00</w:t>
            </w:r>
          </w:p>
        </w:tc>
      </w:tr>
      <w:bookmarkEnd w:id="29"/>
      <w:tr w14:paraId="3E9E72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75" w:type="pct"/>
            <w:noWrap/>
            <w:vAlign w:val="center"/>
          </w:tcPr>
          <w:p w14:paraId="2114F535">
            <w:pPr>
              <w:spacing w:line="360" w:lineRule="auto"/>
              <w:jc w:val="center"/>
              <w:rPr>
                <w:rFonts w:ascii="宋体" w:hAnsi="宋体" w:cs="仿宋"/>
                <w:bCs/>
                <w:sz w:val="21"/>
                <w:szCs w:val="21"/>
              </w:rPr>
            </w:pPr>
            <w:r>
              <w:rPr>
                <w:rFonts w:hint="eastAsia" w:ascii="宋体" w:hAnsi="宋体" w:cs="仿宋"/>
                <w:bCs/>
                <w:sz w:val="21"/>
                <w:szCs w:val="21"/>
                <w:lang w:bidi="ar"/>
              </w:rPr>
              <w:t>合计</w:t>
            </w:r>
          </w:p>
        </w:tc>
        <w:tc>
          <w:tcPr>
            <w:tcW w:w="999" w:type="pct"/>
            <w:noWrap/>
            <w:vAlign w:val="center"/>
          </w:tcPr>
          <w:p w14:paraId="3C0FAC66">
            <w:pPr>
              <w:spacing w:line="360" w:lineRule="auto"/>
              <w:jc w:val="center"/>
              <w:rPr>
                <w:rFonts w:ascii="宋体" w:hAnsi="宋体" w:cs="仿宋"/>
                <w:bCs/>
                <w:sz w:val="21"/>
                <w:szCs w:val="21"/>
              </w:rPr>
            </w:pPr>
            <w:r>
              <w:rPr>
                <w:rFonts w:hint="eastAsia" w:ascii="宋体" w:hAnsi="宋体" w:cs="仿宋"/>
                <w:bCs/>
                <w:sz w:val="21"/>
                <w:szCs w:val="21"/>
              </w:rPr>
              <w:t>2782</w:t>
            </w:r>
          </w:p>
        </w:tc>
        <w:tc>
          <w:tcPr>
            <w:tcW w:w="998" w:type="pct"/>
            <w:noWrap/>
            <w:vAlign w:val="center"/>
          </w:tcPr>
          <w:p w14:paraId="40559D19">
            <w:pPr>
              <w:spacing w:line="360" w:lineRule="auto"/>
              <w:jc w:val="center"/>
              <w:rPr>
                <w:rFonts w:ascii="宋体" w:hAnsi="宋体" w:cs="仿宋"/>
                <w:bCs/>
                <w:sz w:val="21"/>
                <w:szCs w:val="21"/>
              </w:rPr>
            </w:pPr>
          </w:p>
        </w:tc>
        <w:tc>
          <w:tcPr>
            <w:tcW w:w="1926" w:type="pct"/>
            <w:noWrap/>
            <w:vAlign w:val="center"/>
          </w:tcPr>
          <w:p w14:paraId="2F788BF8">
            <w:pPr>
              <w:spacing w:line="360" w:lineRule="auto"/>
              <w:jc w:val="center"/>
              <w:textAlignment w:val="center"/>
              <w:rPr>
                <w:rFonts w:ascii="宋体" w:hAnsi="宋体" w:cs="仿宋"/>
                <w:sz w:val="21"/>
                <w:szCs w:val="21"/>
              </w:rPr>
            </w:pPr>
            <w:r>
              <w:rPr>
                <w:rFonts w:hint="eastAsia" w:ascii="宋体" w:hAnsi="宋体" w:cs="仿宋"/>
                <w:sz w:val="21"/>
                <w:szCs w:val="21"/>
                <w:lang w:bidi="ar"/>
              </w:rPr>
              <w:t>6654790.00</w:t>
            </w:r>
          </w:p>
        </w:tc>
      </w:tr>
    </w:tbl>
    <w:p w14:paraId="5F93B934">
      <w:pPr>
        <w:ind w:firstLine="480" w:firstLineChars="200"/>
      </w:pPr>
      <w:r>
        <w:rPr>
          <w:rFonts w:hint="eastAsia"/>
        </w:rPr>
        <w:t>注：供应商报价不得高于出警人员、非出警人员保险费率每人每年的单价，若超出单价限价，则按无效投标处理。保险费单价金额不变，最终以合同确定的实际参保人数为准，据实结算。</w:t>
      </w:r>
    </w:p>
    <w:p w14:paraId="4134F9CD">
      <w:pPr>
        <w:ind w:firstLine="480" w:firstLineChars="200"/>
        <w:rPr>
          <w:b/>
        </w:rPr>
      </w:pPr>
      <w:r>
        <w:rPr>
          <w:rFonts w:ascii="Segoe UI Symbol" w:hAnsi="Segoe UI Symbol" w:cs="Segoe UI Symbol"/>
          <w:color w:val="FF0000"/>
        </w:rPr>
        <w:t>★</w:t>
      </w:r>
      <w:r>
        <w:rPr>
          <w:rFonts w:hint="eastAsia"/>
          <w:b/>
        </w:rPr>
        <w:t>（二）保险项目及赔偿限额</w:t>
      </w:r>
    </w:p>
    <w:tbl>
      <w:tblPr>
        <w:tblStyle w:val="24"/>
        <w:tblW w:w="496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74"/>
        <w:gridCol w:w="3645"/>
      </w:tblGrid>
      <w:tr w14:paraId="2306AB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3023" w:type="pct"/>
            <w:tcBorders>
              <w:top w:val="single" w:color="auto" w:sz="12" w:space="0"/>
              <w:bottom w:val="single" w:color="auto" w:sz="2" w:space="0"/>
            </w:tcBorders>
            <w:shd w:val="clear" w:color="auto" w:fill="F1F1F1"/>
            <w:vAlign w:val="center"/>
          </w:tcPr>
          <w:p w14:paraId="285FF541">
            <w:pPr>
              <w:jc w:val="center"/>
              <w:rPr>
                <w:rFonts w:asciiTheme="minorEastAsia" w:hAnsiTheme="minorEastAsia"/>
                <w:b/>
                <w:sz w:val="21"/>
                <w:szCs w:val="21"/>
              </w:rPr>
            </w:pPr>
            <w:r>
              <w:rPr>
                <w:rFonts w:hint="eastAsia" w:asciiTheme="minorEastAsia" w:hAnsiTheme="minorEastAsia"/>
                <w:b/>
                <w:sz w:val="21"/>
                <w:szCs w:val="21"/>
              </w:rPr>
              <w:t>保险项目</w:t>
            </w:r>
          </w:p>
        </w:tc>
        <w:tc>
          <w:tcPr>
            <w:tcW w:w="1977" w:type="pct"/>
            <w:tcBorders>
              <w:top w:val="single" w:color="auto" w:sz="12" w:space="0"/>
              <w:bottom w:val="single" w:color="auto" w:sz="2" w:space="0"/>
            </w:tcBorders>
            <w:shd w:val="clear" w:color="auto" w:fill="F1F1F1"/>
            <w:vAlign w:val="center"/>
          </w:tcPr>
          <w:p w14:paraId="045098E8">
            <w:pPr>
              <w:jc w:val="center"/>
              <w:rPr>
                <w:rFonts w:asciiTheme="minorEastAsia" w:hAnsiTheme="minorEastAsia"/>
                <w:b/>
                <w:sz w:val="21"/>
                <w:szCs w:val="21"/>
              </w:rPr>
            </w:pPr>
            <w:r>
              <w:rPr>
                <w:rFonts w:hint="eastAsia" w:asciiTheme="minorEastAsia" w:hAnsiTheme="minorEastAsia"/>
                <w:b/>
                <w:sz w:val="21"/>
                <w:szCs w:val="21"/>
              </w:rPr>
              <w:t>保险金额/赔偿限额</w:t>
            </w:r>
          </w:p>
        </w:tc>
      </w:tr>
      <w:tr w14:paraId="512BD9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3023" w:type="pct"/>
            <w:tcBorders>
              <w:top w:val="single" w:color="auto" w:sz="2" w:space="0"/>
            </w:tcBorders>
            <w:vAlign w:val="center"/>
          </w:tcPr>
          <w:p w14:paraId="51DC5F4C">
            <w:pPr>
              <w:jc w:val="center"/>
              <w:rPr>
                <w:rFonts w:asciiTheme="minorEastAsia" w:hAnsiTheme="minorEastAsia"/>
                <w:sz w:val="21"/>
                <w:szCs w:val="21"/>
              </w:rPr>
            </w:pPr>
            <w:r>
              <w:rPr>
                <w:rFonts w:hint="eastAsia" w:asciiTheme="minorEastAsia" w:hAnsiTheme="minorEastAsia"/>
                <w:sz w:val="21"/>
                <w:szCs w:val="21"/>
              </w:rPr>
              <w:t>每人意外伤害身故赔偿限额</w:t>
            </w:r>
          </w:p>
          <w:p w14:paraId="0E40B716">
            <w:pPr>
              <w:jc w:val="center"/>
              <w:rPr>
                <w:rFonts w:cs="仿宋" w:asciiTheme="minorEastAsia" w:hAnsiTheme="minorEastAsia"/>
                <w:bCs/>
                <w:sz w:val="21"/>
                <w:szCs w:val="21"/>
                <w:lang w:bidi="ar"/>
              </w:rPr>
            </w:pPr>
            <w:r>
              <w:rPr>
                <w:rFonts w:hint="eastAsia" w:asciiTheme="minorEastAsia" w:hAnsiTheme="minorEastAsia"/>
                <w:sz w:val="21"/>
                <w:szCs w:val="21"/>
              </w:rPr>
              <w:t>（一次性给付）</w:t>
            </w:r>
          </w:p>
        </w:tc>
        <w:tc>
          <w:tcPr>
            <w:tcW w:w="1977" w:type="pct"/>
            <w:tcBorders>
              <w:top w:val="single" w:color="auto" w:sz="2" w:space="0"/>
            </w:tcBorders>
            <w:vAlign w:val="center"/>
          </w:tcPr>
          <w:p w14:paraId="63BC7D9D">
            <w:pPr>
              <w:spacing w:line="360" w:lineRule="auto"/>
              <w:jc w:val="center"/>
              <w:rPr>
                <w:rFonts w:cs="仿宋" w:asciiTheme="minorEastAsia" w:hAnsiTheme="minorEastAsia"/>
                <w:bCs/>
                <w:sz w:val="21"/>
                <w:szCs w:val="21"/>
                <w:lang w:bidi="ar"/>
              </w:rPr>
            </w:pPr>
            <w:r>
              <w:rPr>
                <w:rFonts w:hint="eastAsia" w:cs="仿宋" w:asciiTheme="minorEastAsia" w:hAnsiTheme="minorEastAsia"/>
                <w:bCs/>
                <w:sz w:val="21"/>
                <w:szCs w:val="21"/>
                <w:lang w:bidi="ar"/>
              </w:rPr>
              <w:t>≥150</w:t>
            </w:r>
            <w:r>
              <w:rPr>
                <w:rFonts w:hint="eastAsia" w:asciiTheme="minorEastAsia" w:hAnsiTheme="minorEastAsia"/>
                <w:sz w:val="21"/>
                <w:szCs w:val="21"/>
              </w:rPr>
              <w:t>（万元）</w:t>
            </w:r>
          </w:p>
        </w:tc>
      </w:tr>
      <w:tr w14:paraId="332070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82" w:hRule="atLeast"/>
          <w:jc w:val="center"/>
        </w:trPr>
        <w:tc>
          <w:tcPr>
            <w:tcW w:w="3023" w:type="pct"/>
            <w:vAlign w:val="center"/>
          </w:tcPr>
          <w:p w14:paraId="1A50AC81">
            <w:pPr>
              <w:jc w:val="center"/>
              <w:rPr>
                <w:rFonts w:asciiTheme="minorEastAsia" w:hAnsiTheme="minorEastAsia"/>
                <w:sz w:val="21"/>
                <w:szCs w:val="21"/>
              </w:rPr>
            </w:pPr>
            <w:r>
              <w:rPr>
                <w:rFonts w:hint="eastAsia" w:asciiTheme="minorEastAsia" w:hAnsiTheme="minorEastAsia"/>
                <w:sz w:val="21"/>
                <w:szCs w:val="21"/>
              </w:rPr>
              <w:t>每人意外伤害残疾赔偿限额</w:t>
            </w:r>
          </w:p>
          <w:p w14:paraId="23F68876">
            <w:pPr>
              <w:jc w:val="center"/>
              <w:rPr>
                <w:rFonts w:cs="仿宋" w:asciiTheme="minorEastAsia" w:hAnsiTheme="minorEastAsia"/>
                <w:bCs/>
                <w:sz w:val="21"/>
                <w:szCs w:val="21"/>
                <w:lang w:bidi="ar"/>
              </w:rPr>
            </w:pPr>
            <w:r>
              <w:rPr>
                <w:rFonts w:hint="eastAsia" w:asciiTheme="minorEastAsia" w:hAnsiTheme="minorEastAsia"/>
                <w:sz w:val="21"/>
                <w:szCs w:val="21"/>
              </w:rPr>
              <w:t>（按残疾比例给付）</w:t>
            </w:r>
          </w:p>
        </w:tc>
        <w:tc>
          <w:tcPr>
            <w:tcW w:w="1977" w:type="pct"/>
            <w:vAlign w:val="center"/>
          </w:tcPr>
          <w:p w14:paraId="43DDE82A">
            <w:pPr>
              <w:spacing w:line="360" w:lineRule="auto"/>
              <w:jc w:val="center"/>
              <w:rPr>
                <w:rFonts w:cs="仿宋" w:asciiTheme="minorEastAsia" w:hAnsiTheme="minorEastAsia"/>
                <w:bCs/>
                <w:sz w:val="21"/>
                <w:szCs w:val="21"/>
                <w:lang w:bidi="ar"/>
              </w:rPr>
            </w:pPr>
            <w:r>
              <w:rPr>
                <w:rFonts w:hint="eastAsia" w:cs="仿宋" w:asciiTheme="minorEastAsia" w:hAnsiTheme="minorEastAsia"/>
                <w:bCs/>
                <w:sz w:val="21"/>
                <w:szCs w:val="21"/>
                <w:lang w:bidi="ar"/>
              </w:rPr>
              <w:t>≥150</w:t>
            </w:r>
            <w:r>
              <w:rPr>
                <w:rFonts w:hint="eastAsia" w:asciiTheme="minorEastAsia" w:hAnsiTheme="minorEastAsia"/>
                <w:sz w:val="21"/>
                <w:szCs w:val="21"/>
              </w:rPr>
              <w:t>（万元）</w:t>
            </w:r>
          </w:p>
        </w:tc>
      </w:tr>
      <w:tr w14:paraId="011AAD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3023" w:type="pct"/>
            <w:vAlign w:val="center"/>
          </w:tcPr>
          <w:p w14:paraId="6DC6A129">
            <w:pPr>
              <w:jc w:val="center"/>
              <w:rPr>
                <w:rFonts w:asciiTheme="minorEastAsia" w:hAnsiTheme="minorEastAsia"/>
                <w:sz w:val="21"/>
                <w:szCs w:val="21"/>
              </w:rPr>
            </w:pPr>
            <w:r>
              <w:rPr>
                <w:rFonts w:hint="eastAsia" w:asciiTheme="minorEastAsia" w:hAnsiTheme="minorEastAsia"/>
                <w:sz w:val="21"/>
                <w:szCs w:val="21"/>
              </w:rPr>
              <w:t>每人意外伤害医疗费用赔偿限额</w:t>
            </w:r>
          </w:p>
          <w:p w14:paraId="76C3A004">
            <w:pPr>
              <w:jc w:val="center"/>
              <w:rPr>
                <w:rFonts w:asciiTheme="minorEastAsia" w:hAnsiTheme="minorEastAsia"/>
                <w:sz w:val="21"/>
                <w:szCs w:val="21"/>
              </w:rPr>
            </w:pPr>
            <w:r>
              <w:rPr>
                <w:rFonts w:hint="eastAsia" w:asciiTheme="minorEastAsia" w:hAnsiTheme="minorEastAsia"/>
                <w:sz w:val="21"/>
                <w:szCs w:val="21"/>
              </w:rPr>
              <w:t>（无免赔额度，100%给付，扩展至医保范围外）</w:t>
            </w:r>
          </w:p>
        </w:tc>
        <w:tc>
          <w:tcPr>
            <w:tcW w:w="1977" w:type="pct"/>
            <w:vAlign w:val="center"/>
          </w:tcPr>
          <w:p w14:paraId="49DEBD8D">
            <w:pPr>
              <w:spacing w:line="360" w:lineRule="auto"/>
              <w:jc w:val="center"/>
              <w:rPr>
                <w:rFonts w:cs="仿宋" w:asciiTheme="minorEastAsia" w:hAnsiTheme="minorEastAsia"/>
                <w:bCs/>
                <w:sz w:val="21"/>
                <w:szCs w:val="21"/>
                <w:lang w:bidi="ar"/>
              </w:rPr>
            </w:pPr>
            <w:r>
              <w:rPr>
                <w:rFonts w:hint="eastAsia" w:cs="仿宋" w:asciiTheme="minorEastAsia" w:hAnsiTheme="minorEastAsia"/>
                <w:bCs/>
                <w:sz w:val="21"/>
                <w:szCs w:val="21"/>
                <w:lang w:bidi="ar"/>
              </w:rPr>
              <w:t>≥20</w:t>
            </w:r>
            <w:r>
              <w:rPr>
                <w:rFonts w:hint="eastAsia" w:asciiTheme="minorEastAsia" w:hAnsiTheme="minorEastAsia"/>
                <w:sz w:val="21"/>
                <w:szCs w:val="21"/>
              </w:rPr>
              <w:t>（万元）</w:t>
            </w:r>
          </w:p>
        </w:tc>
      </w:tr>
      <w:tr w14:paraId="66392F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3023" w:type="pct"/>
            <w:vAlign w:val="center"/>
          </w:tcPr>
          <w:p w14:paraId="4DB1530A">
            <w:pPr>
              <w:jc w:val="center"/>
              <w:rPr>
                <w:rFonts w:asciiTheme="minorEastAsia" w:hAnsiTheme="minorEastAsia"/>
                <w:sz w:val="21"/>
                <w:szCs w:val="21"/>
              </w:rPr>
            </w:pPr>
            <w:r>
              <w:rPr>
                <w:rFonts w:hint="eastAsia" w:asciiTheme="minorEastAsia" w:hAnsiTheme="minorEastAsia"/>
                <w:sz w:val="21"/>
                <w:szCs w:val="21"/>
              </w:rPr>
              <w:t>住院津贴</w:t>
            </w:r>
          </w:p>
          <w:p w14:paraId="47D0D051">
            <w:pPr>
              <w:jc w:val="center"/>
              <w:rPr>
                <w:rFonts w:asciiTheme="minorEastAsia" w:hAnsiTheme="minorEastAsia"/>
                <w:sz w:val="21"/>
                <w:szCs w:val="21"/>
              </w:rPr>
            </w:pPr>
            <w:r>
              <w:rPr>
                <w:rFonts w:hint="eastAsia" w:asciiTheme="minorEastAsia" w:hAnsiTheme="minorEastAsia"/>
                <w:sz w:val="21"/>
                <w:szCs w:val="21"/>
              </w:rPr>
              <w:t>（无免赔天数，累计天数365天）</w:t>
            </w:r>
          </w:p>
        </w:tc>
        <w:tc>
          <w:tcPr>
            <w:tcW w:w="1977" w:type="pct"/>
            <w:vAlign w:val="center"/>
          </w:tcPr>
          <w:p w14:paraId="30D493DC">
            <w:pPr>
              <w:spacing w:line="360" w:lineRule="auto"/>
              <w:jc w:val="center"/>
              <w:rPr>
                <w:rFonts w:cs="仿宋" w:asciiTheme="minorEastAsia" w:hAnsiTheme="minorEastAsia"/>
                <w:bCs/>
                <w:sz w:val="21"/>
                <w:szCs w:val="21"/>
                <w:lang w:bidi="ar"/>
              </w:rPr>
            </w:pPr>
            <w:r>
              <w:rPr>
                <w:rFonts w:hint="eastAsia" w:cs="仿宋" w:asciiTheme="minorEastAsia" w:hAnsiTheme="minorEastAsia"/>
                <w:bCs/>
                <w:sz w:val="21"/>
                <w:szCs w:val="21"/>
                <w:lang w:bidi="ar"/>
              </w:rPr>
              <w:t>≥150</w:t>
            </w:r>
            <w:r>
              <w:rPr>
                <w:rFonts w:hint="eastAsia" w:asciiTheme="minorEastAsia" w:hAnsiTheme="minorEastAsia"/>
                <w:sz w:val="21"/>
                <w:szCs w:val="21"/>
              </w:rPr>
              <w:t>（元/人/天）</w:t>
            </w:r>
          </w:p>
        </w:tc>
      </w:tr>
    </w:tbl>
    <w:p w14:paraId="3AF311A5">
      <w:pPr>
        <w:ind w:firstLine="480" w:firstLineChars="200"/>
        <w:rPr>
          <w:b/>
        </w:rPr>
      </w:pPr>
      <w:r>
        <w:rPr>
          <w:rFonts w:hint="eastAsia"/>
          <w:b/>
        </w:rPr>
        <w:t>（三）保险内容及标准要求</w:t>
      </w:r>
    </w:p>
    <w:p w14:paraId="19F8AFC6">
      <w:pPr>
        <w:ind w:firstLine="480" w:firstLineChars="200"/>
      </w:pPr>
      <w:r>
        <w:rPr>
          <w:rFonts w:hint="eastAsia"/>
        </w:rPr>
        <w:t>1.投保方式：实名制投保。</w:t>
      </w:r>
    </w:p>
    <w:p w14:paraId="62093440">
      <w:pPr>
        <w:ind w:firstLine="480" w:firstLineChars="200"/>
      </w:pPr>
      <w:r>
        <w:rPr>
          <w:rFonts w:hint="eastAsia"/>
        </w:rPr>
        <w:t>2.团体意外伤害保险内容及标准：</w:t>
      </w:r>
    </w:p>
    <w:p w14:paraId="1F8AE5BF">
      <w:pPr>
        <w:ind w:firstLine="480" w:firstLineChars="200"/>
      </w:pPr>
      <w:r>
        <w:rPr>
          <w:rFonts w:hint="eastAsia"/>
        </w:rPr>
        <w:t>（1）基本条款：团体人身意外伤害保险条款；</w:t>
      </w:r>
    </w:p>
    <w:p w14:paraId="06D221A2">
      <w:pPr>
        <w:ind w:firstLine="480" w:firstLineChars="200"/>
      </w:pPr>
      <w:r>
        <w:rPr>
          <w:rFonts w:hint="eastAsia"/>
        </w:rPr>
        <w:t>扩展条款：附加意外伤害住院津贴保险条款、附加意外伤害医疗保险版条款。</w:t>
      </w:r>
    </w:p>
    <w:p w14:paraId="4660F0F5">
      <w:pPr>
        <w:ind w:firstLine="480" w:firstLineChars="200"/>
      </w:pPr>
      <w:r>
        <w:rPr>
          <w:rFonts w:hint="eastAsia"/>
        </w:rPr>
        <w:t>（2）免赔额</w:t>
      </w:r>
    </w:p>
    <w:p w14:paraId="1008CE2F">
      <w:pPr>
        <w:ind w:firstLine="480" w:firstLineChars="200"/>
      </w:pPr>
      <w:r>
        <w:rPr>
          <w:rFonts w:hint="eastAsia"/>
        </w:rPr>
        <w:t>①身故、残疾：无免赔额；</w:t>
      </w:r>
    </w:p>
    <w:p w14:paraId="3CDA991F">
      <w:pPr>
        <w:ind w:firstLine="480" w:firstLineChars="200"/>
      </w:pPr>
      <w:r>
        <w:rPr>
          <w:rFonts w:hint="eastAsia"/>
        </w:rPr>
        <w:t>②医疗费用：无免赔额，对被保险人因进行必要治疗所发生的医疗费用按照100%的比例在意外伤害医疗保险金额范围内给付。</w:t>
      </w:r>
    </w:p>
    <w:p w14:paraId="29310F02">
      <w:pPr>
        <w:ind w:firstLine="480" w:firstLineChars="200"/>
      </w:pPr>
      <w:r>
        <w:rPr>
          <w:rFonts w:hint="eastAsia"/>
        </w:rPr>
        <w:t>③住院津贴：无免赔天数，同一被保险人一次或多次累计最高补偿天数365天。</w:t>
      </w:r>
    </w:p>
    <w:p w14:paraId="5A1983E9">
      <w:pPr>
        <w:ind w:firstLine="480" w:firstLineChars="200"/>
      </w:pPr>
      <w:r>
        <w:rPr>
          <w:rFonts w:hint="eastAsia"/>
        </w:rPr>
        <w:t>（3）保险责任</w:t>
      </w:r>
    </w:p>
    <w:p w14:paraId="1FE666BA">
      <w:pPr>
        <w:ind w:firstLine="480" w:firstLineChars="200"/>
      </w:pPr>
      <w:r>
        <w:rPr>
          <w:rFonts w:hint="eastAsia"/>
        </w:rPr>
        <w:t>在保险期间内，被保险人因遭受意外伤害导致身故、伤残，供应商按照下列规定承担保险责任：</w:t>
      </w:r>
    </w:p>
    <w:p w14:paraId="64FFA251">
      <w:pPr>
        <w:ind w:firstLine="480" w:firstLineChars="200"/>
      </w:pPr>
      <w:r>
        <w:rPr>
          <w:rFonts w:hint="eastAsia"/>
        </w:rPr>
        <w:t>①意外身故保险责任</w:t>
      </w:r>
    </w:p>
    <w:p w14:paraId="3E02F8D5">
      <w:pPr>
        <w:ind w:firstLine="480" w:firstLineChars="200"/>
      </w:pPr>
      <w:r>
        <w:t>A.</w:t>
      </w:r>
      <w:r>
        <w:rPr>
          <w:rFonts w:hint="eastAsia"/>
        </w:rPr>
        <w:t>被保险人自遭受意外事故之日起180日内（含第180日），因该次意外伤害为直接原因而身故的，供应商按保险单载明的该被保险人的保险金额给付意外身故保险金，对该被保险人的保险责任终止。</w:t>
      </w:r>
    </w:p>
    <w:p w14:paraId="1310E371">
      <w:pPr>
        <w:ind w:firstLine="480" w:firstLineChars="200"/>
      </w:pPr>
      <w:r>
        <w:rPr>
          <w:rFonts w:hint="eastAsia"/>
        </w:rPr>
        <w:t>B</w:t>
      </w:r>
      <w:r>
        <w:t>.</w:t>
      </w:r>
      <w:r>
        <w:rPr>
          <w:rFonts w:hint="eastAsia"/>
        </w:rPr>
        <w:t>被保险人因遭受意外而下落不明，后经中华人民共和国（不含港、澳、台地区，下同）法院宣告死亡的，供应商应按保险单载明的给付</w:t>
      </w:r>
      <w:r>
        <w:t>内容，</w:t>
      </w:r>
      <w:r>
        <w:rPr>
          <w:rFonts w:hint="eastAsia"/>
        </w:rPr>
        <w:t xml:space="preserve">对被保险人的保险金额给付意外身故保险金，同时本合同约定的对被保险人的保险责任终止；但若被保险人生还，保险金受领人应于知道或者应当知道被保险人生还后30日内退还供应商已给付的意外身故保险金。 </w:t>
      </w:r>
    </w:p>
    <w:p w14:paraId="09F21449">
      <w:pPr>
        <w:ind w:firstLine="480" w:firstLineChars="200"/>
      </w:pPr>
      <w:r>
        <w:rPr>
          <w:rFonts w:hint="eastAsia"/>
        </w:rPr>
        <w:t>被保险人身故前已按照本条第②款领取意外伤残保险金的，意外身故保险金为本合同中对应每人保险金额，扣除已给付意外伤残保险金后的余额。</w:t>
      </w:r>
    </w:p>
    <w:p w14:paraId="2700EAC5">
      <w:pPr>
        <w:ind w:firstLine="480" w:firstLineChars="200"/>
      </w:pPr>
      <w:r>
        <w:rPr>
          <w:rFonts w:hint="eastAsia"/>
        </w:rPr>
        <w:t>②意外残疾保险责任</w:t>
      </w:r>
    </w:p>
    <w:p w14:paraId="693B4E85">
      <w:pPr>
        <w:ind w:firstLine="480" w:firstLineChars="200"/>
      </w:pPr>
      <w:r>
        <w:rPr>
          <w:rFonts w:hint="eastAsia"/>
        </w:rPr>
        <w:t>A</w:t>
      </w:r>
      <w:r>
        <w:t>.</w:t>
      </w:r>
      <w:r>
        <w:rPr>
          <w:rFonts w:hint="eastAsia"/>
        </w:rPr>
        <w:t>被保险人自遭受意外伤害事故之日起180日内（含第180日）因该事故造成《人身保险伤残评定标准及代码》（原保监会发布，保监发[2014]6号，国家金融行业标准编号JR/T0083-2013，以下简称“《伤残评定标准》”）所列伤残之一的，供应商按该《伤残评定标准》所列伤残等级对应的给付比例乘以保险金额给付伤残保险金，伤残程度第一级对应的保险金给付比例为100%，伤残程度第十级对应的保险金给付比例为10%，每级相差10%。如第180日治疗仍未结束的，按当日的身体情况进行伤残鉴定，并据此给付伤残保险金。</w:t>
      </w:r>
    </w:p>
    <w:p w14:paraId="2340450C">
      <w:pPr>
        <w:ind w:firstLine="480" w:firstLineChars="200"/>
      </w:pPr>
      <w:r>
        <w:rPr>
          <w:rFonts w:hint="eastAsia"/>
        </w:rPr>
        <w:t>B</w:t>
      </w:r>
      <w:r>
        <w:t>.</w:t>
      </w:r>
      <w:r>
        <w:rPr>
          <w:rFonts w:hint="eastAsia"/>
        </w:rPr>
        <w:t>当同一保险事故造成两处或两处以上伤残时，应首先对各处伤残程度分别进行评定，如果多处伤残等级不同，以最重的伤残等级作为最终的评定结论；如果两处或两处以上伤残等级相同，伤残等级在原评定基础上晋升一级，最高晋升至第一级。同一部位同一性质的伤残，不应采用《伤残评定标准》条文两条以上或者同一条文两次以上进行评定。</w:t>
      </w:r>
    </w:p>
    <w:p w14:paraId="73A59315">
      <w:pPr>
        <w:ind w:firstLine="480" w:firstLineChars="200"/>
      </w:pPr>
      <w:r>
        <w:rPr>
          <w:rFonts w:hint="eastAsia"/>
        </w:rPr>
        <w:t>C</w:t>
      </w:r>
      <w:r>
        <w:t>.</w:t>
      </w:r>
      <w:r>
        <w:rPr>
          <w:rFonts w:hint="eastAsia"/>
        </w:rPr>
        <w:t>被保险人如在本次意外伤害事故之前已有伤残，供应商按合并后的伤残程度在《伤残评定标准》中所对应的给付比例给付伤残保险金，但应扣除原有伤残程度在《伤残评定标准》所对应的伤残保险金。</w:t>
      </w:r>
    </w:p>
    <w:p w14:paraId="32086F89">
      <w:pPr>
        <w:ind w:firstLine="480" w:firstLineChars="200"/>
      </w:pPr>
      <w:r>
        <w:rPr>
          <w:rFonts w:hint="eastAsia"/>
        </w:rPr>
        <w:t>③意外伤害住院津贴责任</w:t>
      </w:r>
    </w:p>
    <w:p w14:paraId="08ABAB9F">
      <w:pPr>
        <w:ind w:firstLine="480" w:firstLineChars="200"/>
      </w:pPr>
      <w:r>
        <w:rPr>
          <w:rFonts w:hint="eastAsia"/>
        </w:rPr>
        <w:t>被保险人因遭受保险责任范围内的意外伤害事故，并自事故发生之日起180日内（含第180日），因该意外伤害事故为直接原因并经双方认可的医院诊断必须住院治疗的，按照“意外伤害住院每日津贴金额×每次实际住院天数”给付意外住院津贴。</w:t>
      </w:r>
    </w:p>
    <w:p w14:paraId="3CE3A5DD">
      <w:pPr>
        <w:ind w:firstLine="480" w:firstLineChars="200"/>
      </w:pPr>
      <w:r>
        <w:rPr>
          <w:rFonts w:hint="eastAsia"/>
        </w:rPr>
        <w:t>④意外伤害医疗保险责任</w:t>
      </w:r>
    </w:p>
    <w:p w14:paraId="045EE47C">
      <w:pPr>
        <w:ind w:firstLine="480" w:firstLineChars="200"/>
      </w:pPr>
      <w:r>
        <w:rPr>
          <w:rFonts w:hint="eastAsia"/>
        </w:rPr>
        <w:t>A</w:t>
      </w:r>
      <w:r>
        <w:t>.</w:t>
      </w:r>
      <w:r>
        <w:rPr>
          <w:rFonts w:hint="eastAsia"/>
        </w:rPr>
        <w:t>在保险期间内，被保险人因遭受意外伤害事故，并因该意外事故所致伤害而经双方认可的医院进行必要治疗，供应商就其事故发生之日起180日内（含第180日），以实际发生的医疗费用按照100%的比例在意外伤害医疗保险金额范围内给付。</w:t>
      </w:r>
    </w:p>
    <w:p w14:paraId="326A4514">
      <w:pPr>
        <w:ind w:firstLine="480" w:firstLineChars="200"/>
        <w:rPr>
          <w:rFonts w:asciiTheme="minorEastAsia" w:hAnsiTheme="minorEastAsia"/>
        </w:rPr>
      </w:pPr>
      <w:r>
        <w:rPr>
          <w:rFonts w:hint="eastAsia"/>
        </w:rPr>
        <w:t>B</w:t>
      </w:r>
      <w:r>
        <w:t>.</w:t>
      </w:r>
      <w:r>
        <w:rPr>
          <w:rFonts w:hint="eastAsia"/>
        </w:rPr>
        <w:t>因同一意外伤害事故原因，多次接受治疗的视为一次。保险期间届满被保险人治疗仍未结束的，除另有约定外，供应商承担给付保险金的期限，自保险期间届满次日起计算，门诊治疗者以15日为限；</w:t>
      </w:r>
      <w:r>
        <w:rPr>
          <w:rFonts w:hint="eastAsia" w:asciiTheme="minorEastAsia" w:hAnsiTheme="minorEastAsia"/>
        </w:rPr>
        <w:t>住院治疗至被保险人出院之日或自保险期间届满次日起第90日止（以两者中先发生的日期为准）。</w:t>
      </w:r>
    </w:p>
    <w:p w14:paraId="38049253">
      <w:pPr>
        <w:ind w:firstLine="480" w:firstLineChars="200"/>
      </w:pPr>
      <w:r>
        <w:rPr>
          <w:rFonts w:hint="eastAsia"/>
        </w:rPr>
        <w:t>C.供应商给付意外伤害医疗保险金的责任，以约定的“意外伤害医疗保险金额”为上限。若单次或累计给付的保险金达到该金额，该项保险责任即行终止。</w:t>
      </w:r>
    </w:p>
    <w:p w14:paraId="2A69ADE2">
      <w:pPr>
        <w:ind w:firstLine="480" w:firstLineChars="200"/>
      </w:pPr>
      <w:r>
        <w:rPr>
          <w:rFonts w:hint="eastAsia"/>
        </w:rPr>
        <w:t>D.若被保险人在中国境外（含中国香港、澳门、台湾）发生意外伤害事故，其产生的各项医疗费用，均参照投保地医疗机构的同等诊疗标准进行保险金给付。</w:t>
      </w:r>
    </w:p>
    <w:p w14:paraId="26042384">
      <w:pPr>
        <w:pStyle w:val="3"/>
        <w:jc w:val="both"/>
      </w:pPr>
      <w:r>
        <w:t>三、</w:t>
      </w:r>
      <w:r>
        <w:rPr>
          <w:rFonts w:hint="eastAsia"/>
        </w:rPr>
        <w:t>技术（服务）要求</w:t>
      </w:r>
    </w:p>
    <w:p w14:paraId="7F5068E7">
      <w:pPr>
        <w:ind w:firstLine="480" w:firstLineChars="200"/>
      </w:pPr>
      <w:r>
        <w:rPr>
          <w:rFonts w:hint="eastAsia"/>
        </w:rPr>
        <w:t>1、承保方式为独家承保，不接受联合承保。</w:t>
      </w:r>
    </w:p>
    <w:p w14:paraId="4AD55975">
      <w:pPr>
        <w:ind w:firstLine="480" w:firstLineChars="200"/>
      </w:pPr>
      <w:r>
        <w:rPr>
          <w:rFonts w:hint="eastAsia"/>
        </w:rPr>
        <w:t>2、承保的被保险人因意外事故（包含救援、训练）造成身故、伤残及实际发生的医疗费用均属于保险责任范围。</w:t>
      </w:r>
    </w:p>
    <w:p w14:paraId="75D5BAF0">
      <w:pPr>
        <w:ind w:firstLine="480" w:firstLineChars="200"/>
      </w:pPr>
      <w:r>
        <w:rPr>
          <w:rFonts w:hint="eastAsia"/>
        </w:rPr>
        <w:t>3、因同一意外伤害事故原因多次接受治疗的视为一次就诊，多次治疗的医疗费用均在意外医疗责任限额内给付，不受保险期限及保险责任180日期限限制。</w:t>
      </w:r>
    </w:p>
    <w:p w14:paraId="2371766F">
      <w:pPr>
        <w:ind w:firstLine="480" w:firstLineChars="200"/>
      </w:pPr>
      <w:r>
        <w:rPr>
          <w:rFonts w:hint="eastAsia"/>
        </w:rPr>
        <w:t>4、在办理人员更换手续时，供应商根据变更申请需在1个工作日内出具批单。变更人员后，被替换人员的保险责任自出具批单后次日零时无效，新增加人员的保险责任自出具批单后次日零时生效。</w:t>
      </w:r>
    </w:p>
    <w:p w14:paraId="68B4ED16">
      <w:pPr>
        <w:ind w:firstLine="480" w:firstLineChars="200"/>
      </w:pPr>
      <w:r>
        <w:rPr>
          <w:rFonts w:hint="eastAsia"/>
        </w:rPr>
        <w:t>5、根据采购人需求至少组织一次全支队范围培训，并根据各区县大队（共21个）时间安排为每个大队至少组织一次培训。</w:t>
      </w:r>
    </w:p>
    <w:p w14:paraId="1C8888A0">
      <w:pPr>
        <w:pStyle w:val="3"/>
        <w:jc w:val="both"/>
      </w:pPr>
      <w:r>
        <w:rPr>
          <w:rFonts w:hint="eastAsia"/>
        </w:rPr>
        <w:t>四、商务要求</w:t>
      </w:r>
    </w:p>
    <w:p w14:paraId="400BF367">
      <w:pPr>
        <w:ind w:firstLine="480" w:firstLineChars="200"/>
      </w:pPr>
      <w:r>
        <w:rPr>
          <w:rFonts w:hint="eastAsia"/>
        </w:rPr>
        <w:t>保险期限：1年，以双方签订合同时约定的起止时间为准。</w:t>
      </w:r>
    </w:p>
    <w:p w14:paraId="28C5A625">
      <w:pPr>
        <w:jc w:val="both"/>
      </w:pPr>
    </w:p>
    <w:p w14:paraId="220B5AB6">
      <w:pPr>
        <w:pStyle w:val="81"/>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2DA58542">
      <w:pPr>
        <w:pStyle w:val="2"/>
        <w:spacing w:before="230" w:after="230"/>
      </w:pPr>
      <w:bookmarkStart w:id="30" w:name="_Toc148453731"/>
      <w:r>
        <w:rPr>
          <w:rFonts w:hint="eastAsia"/>
        </w:rPr>
        <w:t>第四章　合同</w:t>
      </w:r>
      <w:bookmarkEnd w:id="30"/>
      <w:r>
        <w:rPr>
          <w:rFonts w:hint="eastAsia"/>
        </w:rPr>
        <w:t>文本</w:t>
      </w:r>
    </w:p>
    <w:p w14:paraId="16DA02A7">
      <w:pPr>
        <w:spacing w:before="230" w:beforeLines="50"/>
        <w:ind w:firstLine="480" w:firstLineChars="200"/>
        <w:jc w:val="both"/>
        <w:rPr>
          <w:b/>
        </w:rPr>
      </w:pPr>
      <w:r>
        <w:rPr>
          <w:b/>
        </w:rPr>
        <w:t>甲方（采购人）：</w:t>
      </w:r>
      <w:r>
        <w:rPr>
          <w:rFonts w:hint="eastAsia"/>
          <w:b/>
          <w:color w:val="C00000"/>
          <w:u w:val="single"/>
        </w:rPr>
        <w:t xml:space="preserve"> </w:t>
      </w:r>
      <w:r>
        <w:rPr>
          <w:b/>
          <w:color w:val="C00000"/>
          <w:u w:val="single"/>
        </w:rPr>
        <w:t xml:space="preserve">                    </w:t>
      </w:r>
    </w:p>
    <w:p w14:paraId="44A487A0">
      <w:pPr>
        <w:ind w:firstLine="480" w:firstLineChars="200"/>
        <w:jc w:val="both"/>
        <w:rPr>
          <w:b/>
        </w:rPr>
      </w:pPr>
      <w:r>
        <w:rPr>
          <w:b/>
        </w:rPr>
        <w:t>乙方（中标供应商）：</w:t>
      </w:r>
      <w:r>
        <w:rPr>
          <w:color w:val="C00000"/>
        </w:rPr>
        <w:t>_________________</w:t>
      </w:r>
    </w:p>
    <w:p w14:paraId="76F3DF7C">
      <w:pPr>
        <w:spacing w:before="230" w:beforeLines="50"/>
        <w:jc w:val="both"/>
        <w:rPr>
          <w:rFonts w:cs="Calibri Light"/>
          <w:b/>
        </w:rPr>
      </w:pPr>
      <w:r>
        <w:rPr>
          <w:rFonts w:cs="Calibri Light"/>
          <w:b/>
        </w:rPr>
        <w:t>一、服务条件：</w:t>
      </w:r>
    </w:p>
    <w:p w14:paraId="04D19A80">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14:paraId="7820DD1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（二）服务内容：见本项目招标文件</w:t>
      </w:r>
    </w:p>
    <w:p w14:paraId="1FCF9FB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（三）保险期</w:t>
      </w:r>
      <w:r>
        <w:rPr>
          <w:rFonts w:hint="eastAsia" w:asciiTheme="minorHAnsi" w:hAnsiTheme="minorHAnsi" w:eastAsiaTheme="minorEastAsia"/>
          <w:sz w:val="24"/>
          <w:szCs w:val="24"/>
        </w:rPr>
        <w:t>限</w:t>
      </w:r>
      <w:r>
        <w:rPr>
          <w:rFonts w:asciiTheme="minorHAnsi" w:hAnsiTheme="minorHAnsi" w:eastAsiaTheme="minorEastAsia"/>
          <w:sz w:val="24"/>
          <w:szCs w:val="24"/>
        </w:rPr>
        <w:t>：_______________</w:t>
      </w:r>
    </w:p>
    <w:p w14:paraId="7B2F04D2">
      <w:pPr>
        <w:spacing w:before="230" w:beforeLines="50"/>
        <w:jc w:val="both"/>
        <w:rPr>
          <w:rFonts w:cs="Calibri Light"/>
          <w:b/>
        </w:rPr>
      </w:pPr>
      <w:r>
        <w:rPr>
          <w:rFonts w:cs="Calibri Light"/>
          <w:b/>
        </w:rPr>
        <w:t>二、合同价款</w:t>
      </w:r>
    </w:p>
    <w:p w14:paraId="2723CEDA">
      <w:pPr>
        <w:ind w:firstLine="480" w:firstLineChars="200"/>
      </w:pPr>
      <w:r>
        <w:rPr>
          <w:rFonts w:hint="eastAsia"/>
        </w:rPr>
        <w:t>（一）合同履行期间，合同单价固定不变，不受市场价格变化因素的影响。</w:t>
      </w:r>
    </w:p>
    <w:p w14:paraId="23C3423C">
      <w:pPr>
        <w:ind w:firstLine="480" w:firstLineChars="200"/>
      </w:pPr>
      <w:r>
        <w:rPr>
          <w:rFonts w:hint="eastAsia"/>
        </w:rPr>
        <w:t>（二）实际支付时按照中标单价及实际采购数量据实结算，最终支付的服务总金额不超过本项目采购预算。</w:t>
      </w:r>
    </w:p>
    <w:p w14:paraId="0B050E12">
      <w:pPr>
        <w:spacing w:before="230" w:beforeLines="50"/>
        <w:jc w:val="both"/>
        <w:rPr>
          <w:rFonts w:cs="Calibri Light"/>
          <w:b/>
        </w:rPr>
      </w:pPr>
      <w:r>
        <w:rPr>
          <w:rFonts w:cs="Calibri Light"/>
          <w:b/>
        </w:rPr>
        <w:t>三、款项结算</w:t>
      </w:r>
    </w:p>
    <w:p w14:paraId="3E68EE09">
      <w:pPr>
        <w:ind w:firstLine="480" w:firstLineChars="200"/>
      </w:pPr>
      <w:r>
        <w:rPr>
          <w:rFonts w:hint="eastAsia"/>
        </w:rPr>
        <w:t>（一）中标后，由西安市专职消防员管理中心和西安市消防救援支队分别与供应商签订合同；其中由专职管理中心根据合同约定支付消防文员和政府专职消防队员（约1701人）保费；由西安市消防救援支队及各大队根据合同约定分别支付所属干部和国家队消防员（约1081人）保费。</w:t>
      </w:r>
    </w:p>
    <w:p w14:paraId="71B56585">
      <w:pPr>
        <w:ind w:firstLine="480" w:firstLineChars="200"/>
      </w:pPr>
      <w:r>
        <w:rPr>
          <w:rFonts w:hint="eastAsia"/>
        </w:rPr>
        <w:t>（二）合同签订后，于上年度保险到期前支付相应人员保险费用的80%；出具保单后30个工作日内组织验收，验收合格后30个工作日内支付项目尾款。</w:t>
      </w:r>
    </w:p>
    <w:p w14:paraId="1E5F45B5">
      <w:pPr>
        <w:ind w:firstLine="480" w:firstLineChars="200"/>
      </w:pPr>
      <w:r>
        <w:rPr>
          <w:rFonts w:hint="eastAsia"/>
        </w:rPr>
        <w:t>（三）合同签订后，乙方于甲方完成保费支付后1个工作日内出具正式保单及保险卡；但由于财政预算安排导致延迟支付的，乙方需在上年度保险到期前出具正式保单及保险卡，不得造成人员保险脱保。</w:t>
      </w:r>
    </w:p>
    <w:p w14:paraId="75421F5B">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（四）合同支付款项前，乙方必须先向甲方提供与支付金额相符的有效发票，且收款方、出具发票方均必须与乙方名称一致。否则，甲方有权顺延付款，且不构成违约。</w:t>
      </w:r>
    </w:p>
    <w:p w14:paraId="2B890AA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五</w:t>
      </w:r>
      <w:r>
        <w:rPr>
          <w:rFonts w:asciiTheme="minorHAnsi" w:hAnsiTheme="minorHAnsi" w:eastAsiaTheme="minorEastAsia"/>
          <w:sz w:val="24"/>
          <w:szCs w:val="24"/>
        </w:rPr>
        <w:t>）支付方式：银行转账。</w:t>
      </w:r>
    </w:p>
    <w:p w14:paraId="436A9DB5">
      <w:pPr>
        <w:wordWrap w:val="0"/>
        <w:ind w:firstLine="480" w:firstLineChars="200"/>
        <w:jc w:val="both"/>
      </w:pPr>
      <w:r>
        <w:t>名  称：_____________________</w:t>
      </w:r>
    </w:p>
    <w:p w14:paraId="6C30F7F3">
      <w:pPr>
        <w:wordWrap w:val="0"/>
        <w:ind w:firstLine="480" w:firstLineChars="200"/>
        <w:jc w:val="both"/>
      </w:pPr>
      <w:r>
        <w:t>开户行：_____________________</w:t>
      </w:r>
    </w:p>
    <w:p w14:paraId="2DA52542">
      <w:pPr>
        <w:wordWrap w:val="0"/>
        <w:ind w:firstLine="480" w:firstLineChars="200"/>
        <w:jc w:val="both"/>
      </w:pPr>
      <w:r>
        <w:t>账  号：_____________________</w:t>
      </w:r>
    </w:p>
    <w:p w14:paraId="339311BF">
      <w:pPr>
        <w:wordWrap w:val="0"/>
        <w:ind w:firstLine="480" w:firstLineChars="200"/>
        <w:jc w:val="both"/>
      </w:pPr>
      <w:r>
        <w:t>甲方仅认可上述指定账户并向该账户付款。否则甲方有权拒绝向指定账户之外的任何账户付款，并且由此导致的付款延迟责任由乙方承担。</w:t>
      </w:r>
    </w:p>
    <w:p w14:paraId="6A37C095">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（三）结算方式：乙方持中标通知书、政府采购合同、发票、政府采购项目验收单，与甲方结算。</w:t>
      </w:r>
    </w:p>
    <w:p w14:paraId="5E2B1E65">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乙方要如实开具发票，不得变更开票内容，乙方开具发票出现税务争议时，乙方需承担税款、滞纳金、罚款等赔偿责任以及其他相关责任。</w:t>
      </w:r>
    </w:p>
    <w:p w14:paraId="3739DF02">
      <w:pPr>
        <w:spacing w:before="230" w:beforeLines="50"/>
        <w:jc w:val="both"/>
        <w:rPr>
          <w:rFonts w:cs="Calibri Light"/>
          <w:b/>
        </w:rPr>
      </w:pPr>
      <w:r>
        <w:rPr>
          <w:rFonts w:cs="Calibri Light"/>
          <w:b/>
        </w:rPr>
        <w:t>四、双方的权利和义务</w:t>
      </w:r>
    </w:p>
    <w:p w14:paraId="09813395">
      <w:pPr>
        <w:ind w:firstLine="480" w:firstLineChars="200"/>
      </w:pPr>
      <w:r>
        <w:rPr>
          <w:rFonts w:hint="eastAsia"/>
        </w:rPr>
        <w:t>（一）甲方的权利和义务</w:t>
      </w:r>
    </w:p>
    <w:p w14:paraId="3CA489CF">
      <w:pPr>
        <w:ind w:firstLine="480" w:firstLineChars="200"/>
      </w:pPr>
      <w:r>
        <w:rPr>
          <w:rFonts w:hint="eastAsia"/>
        </w:rPr>
        <w:t>1、如因乙方存在以下行为，甲方应当将供应商违约的情况以及拟采取的措施以书面形式报政府采购监管部门，根据政府采购监管部门的处理意见，甲方依据《民法典》有关条款及合同约定有权终止合同，依法向乙方进行经济索赔。</w:t>
      </w:r>
    </w:p>
    <w:p w14:paraId="0F47AA43">
      <w:pPr>
        <w:ind w:firstLine="480" w:firstLineChars="200"/>
      </w:pPr>
      <w:r>
        <w:rPr>
          <w:rFonts w:hint="eastAsia"/>
        </w:rPr>
        <w:t>（1）存在弄虚作假、传递虚假信息等违法违规行为；</w:t>
      </w:r>
    </w:p>
    <w:p w14:paraId="4B5B7A92">
      <w:pPr>
        <w:ind w:firstLine="480" w:firstLineChars="200"/>
      </w:pPr>
      <w:r>
        <w:rPr>
          <w:rFonts w:hint="eastAsia"/>
        </w:rPr>
        <w:t>（2）未全面履行合同义务或者发生违约；</w:t>
      </w:r>
    </w:p>
    <w:p w14:paraId="0F7A0FA7">
      <w:pPr>
        <w:ind w:firstLine="480" w:firstLineChars="200"/>
      </w:pPr>
      <w:r>
        <w:rPr>
          <w:rFonts w:hint="eastAsia"/>
        </w:rPr>
        <w:t>（3）未及时、足额为甲方及甲方人员办理保险理赔。</w:t>
      </w:r>
    </w:p>
    <w:p w14:paraId="58B740A0">
      <w:pPr>
        <w:ind w:firstLine="480" w:firstLineChars="200"/>
      </w:pPr>
      <w:r>
        <w:rPr>
          <w:rFonts w:hint="eastAsia"/>
        </w:rPr>
        <w:t>（二）乙方的权利和义务</w:t>
      </w:r>
    </w:p>
    <w:p w14:paraId="0937147E">
      <w:pPr>
        <w:ind w:firstLine="480" w:firstLineChars="200"/>
      </w:pPr>
      <w:r>
        <w:rPr>
          <w:rFonts w:hint="eastAsia"/>
        </w:rPr>
        <w:t>1、乙方工作人员在履行职务过程中的疏忽、失职、过错等故意或者过失原因给甲方及甲方人员造成损失或侵害，乙方对此均应承担全部的赔偿责任。</w:t>
      </w:r>
    </w:p>
    <w:p w14:paraId="2019E003">
      <w:pPr>
        <w:ind w:firstLine="480" w:firstLineChars="200"/>
      </w:pPr>
      <w:r>
        <w:rPr>
          <w:rFonts w:hint="eastAsia"/>
        </w:rPr>
        <w:t>2、乙方对文件出现的遗漏或错误负责修改或补充。</w:t>
      </w:r>
    </w:p>
    <w:p w14:paraId="5434B40C">
      <w:pPr>
        <w:spacing w:before="230" w:beforeLines="50"/>
        <w:jc w:val="both"/>
        <w:rPr>
          <w:rFonts w:cs="Calibri Light"/>
          <w:b/>
        </w:rPr>
      </w:pPr>
      <w:r>
        <w:rPr>
          <w:rFonts w:hint="eastAsia" w:cs="Calibri Light"/>
          <w:b/>
        </w:rPr>
        <w:t>五、保密条款</w:t>
      </w:r>
    </w:p>
    <w:p w14:paraId="04EC184A">
      <w:pPr>
        <w:ind w:firstLine="480" w:firstLineChars="200"/>
      </w:pPr>
      <w:r>
        <w:rPr>
          <w:rFonts w:hint="eastAsia"/>
        </w:rPr>
        <w:t>（一）乙方应遵守国家有关保密的法律法规和行业规定，并对甲方提供的资料负有保密义务。未经甲方同意，不得将承接本项目获得的甲方财产、个人等各种信息和资料提供给其他单位和个人。如发生以上情况，甲方有权索赔。</w:t>
      </w:r>
    </w:p>
    <w:p w14:paraId="706C7FE2">
      <w:pPr>
        <w:ind w:firstLine="480" w:firstLineChars="200"/>
      </w:pPr>
      <w:r>
        <w:rPr>
          <w:rFonts w:hint="eastAsia"/>
        </w:rPr>
        <w:t>（二）本条款为独立条款，本合同的无效、变更、解除和终止均不影响本条款的效力。</w:t>
      </w:r>
    </w:p>
    <w:p w14:paraId="0D72F95D">
      <w:pPr>
        <w:ind w:firstLine="480" w:firstLineChars="200"/>
      </w:pPr>
      <w:r>
        <w:rPr>
          <w:rFonts w:hint="eastAsia"/>
        </w:rPr>
        <w:t>（三）保密信息是指一方通过书面文件（含正本、副本、复制品、复印件和翻译件）以及电话、传真、会议、访谈、电子邮件等方式获得的对方的信息资料，包括但不限于商业秘密、电脑程序、设计技术、专有技术、工艺、业务和产品开发计划等。该等信息资料不论以口头、书面或电子形式为载体，亦不论是否标明或说明为保密信息。</w:t>
      </w:r>
    </w:p>
    <w:p w14:paraId="0ED52CCB">
      <w:pPr>
        <w:ind w:firstLine="480" w:firstLineChars="200"/>
      </w:pPr>
      <w:r>
        <w:rPr>
          <w:rFonts w:hint="eastAsia"/>
        </w:rPr>
        <w:t>（四）一方对另一方为履行本合同所提供的保密信息及商业秘密，包括但不限于本合同及任何补充协议所述内容、在合作过程中产生的其他文件资料、一方获取的对方或其关联公司的文件资料、注册会员信息以及财务信息、技术信息、经营信息、客户信息等负有保密的义务，并有义务采取一切合理的措施以使其所接受的资料免于被散发、传播、披露、复制、滥用及被无关人员接触。</w:t>
      </w:r>
    </w:p>
    <w:p w14:paraId="23243094">
      <w:pPr>
        <w:ind w:firstLine="480" w:firstLineChars="200"/>
      </w:pPr>
      <w:r>
        <w:rPr>
          <w:rFonts w:hint="eastAsia"/>
        </w:rPr>
        <w:t>（五）双方承诺在本合同终止之后仍然继续承担在此条款下的保密义务。保密期限长期有效。</w:t>
      </w:r>
    </w:p>
    <w:p w14:paraId="3E686685">
      <w:pPr>
        <w:ind w:firstLine="480" w:firstLineChars="200"/>
      </w:pPr>
      <w:r>
        <w:rPr>
          <w:rFonts w:hint="eastAsia"/>
        </w:rPr>
        <w:t>（六）因对方书面同意以及国家、行政、司法强制行为而披露商业秘密的，披露方不承担责任；该商业秘密已为公众所知悉的，披露方不承担责任。</w:t>
      </w:r>
    </w:p>
    <w:p w14:paraId="4631E477">
      <w:pPr>
        <w:spacing w:before="230" w:beforeLines="50"/>
        <w:jc w:val="both"/>
        <w:rPr>
          <w:rFonts w:cs="Calibri Light"/>
          <w:b/>
        </w:rPr>
      </w:pPr>
      <w:r>
        <w:rPr>
          <w:rFonts w:hint="eastAsia" w:cs="Calibri Light"/>
          <w:b/>
        </w:rPr>
        <w:t>六、验收</w:t>
      </w:r>
    </w:p>
    <w:p w14:paraId="03169582">
      <w:pPr>
        <w:ind w:firstLine="480" w:firstLineChars="200"/>
      </w:pPr>
      <w:r>
        <w:rPr>
          <w:rFonts w:hint="eastAsia"/>
        </w:rPr>
        <w:t>（一）甲方、乙方双方根据合同要求共同进行验收（必要时可邀请有关专家进行系统验收）。</w:t>
      </w:r>
    </w:p>
    <w:p w14:paraId="14723B66">
      <w:pPr>
        <w:ind w:firstLine="480" w:firstLineChars="200"/>
      </w:pPr>
      <w:r>
        <w:rPr>
          <w:rFonts w:hint="eastAsia"/>
        </w:rPr>
        <w:t>（二）验收依据：</w:t>
      </w:r>
    </w:p>
    <w:p w14:paraId="7D5D811C">
      <w:pPr>
        <w:ind w:firstLine="480" w:firstLineChars="200"/>
      </w:pPr>
      <w:r>
        <w:rPr>
          <w:rFonts w:hint="eastAsia"/>
        </w:rPr>
        <w:t>1、招标文件、投标文件及合同文本。</w:t>
      </w:r>
    </w:p>
    <w:p w14:paraId="072F03D7">
      <w:pPr>
        <w:ind w:firstLine="480" w:firstLineChars="200"/>
      </w:pPr>
      <w:r>
        <w:rPr>
          <w:rFonts w:hint="eastAsia"/>
        </w:rPr>
        <w:t>2、国家和行业制定的相应标准和规范。</w:t>
      </w:r>
    </w:p>
    <w:p w14:paraId="31B2FB8A">
      <w:pPr>
        <w:ind w:firstLine="480" w:firstLineChars="200"/>
      </w:pPr>
      <w:r>
        <w:rPr>
          <w:rFonts w:hint="eastAsia"/>
        </w:rPr>
        <w:t>（三）乙方应向甲方提交项目实施过程中的所有资料，以便甲方日后管理和维护。</w:t>
      </w:r>
    </w:p>
    <w:p w14:paraId="3A68ABF5">
      <w:pPr>
        <w:spacing w:before="230" w:beforeLines="50"/>
        <w:jc w:val="both"/>
        <w:rPr>
          <w:rFonts w:cs="Calibri Light"/>
          <w:b/>
        </w:rPr>
      </w:pPr>
      <w:r>
        <w:rPr>
          <w:rFonts w:hint="eastAsia" w:cs="Calibri Light"/>
          <w:b/>
        </w:rPr>
        <w:t>七、违约责任</w:t>
      </w:r>
    </w:p>
    <w:p w14:paraId="5C99B323">
      <w:pPr>
        <w:ind w:firstLine="480" w:firstLineChars="200"/>
      </w:pPr>
      <w:r>
        <w:rPr>
          <w:rFonts w:hint="eastAsia"/>
        </w:rPr>
        <w:t>（一）乙方未按合同约定的内容、期限、方式、地点履行的，甲方可要求乙方支付违约金，违约金按每延迟履行一日的应提供而未提供服务价格的10%，最高限额为本合同总价的20%。</w:t>
      </w:r>
    </w:p>
    <w:p w14:paraId="0F7A3D74">
      <w:pPr>
        <w:ind w:firstLine="480" w:firstLineChars="200"/>
      </w:pPr>
      <w:r>
        <w:rPr>
          <w:rFonts w:hint="eastAsia"/>
        </w:rPr>
        <w:t>（二）乙方未按合同要求提供服务或服务质量不能满足合同要求，甲方应当将供应商违约的情况以及拟采取的措施以书面形式报政府采购监管部门，根据政府采购监管部门的处理意见，甲方有权依据《民法典》有关条款及合同约定终止合同，并要求供应商承担违约责任。同时，政府采购监管部门有权依据《政府采购法》及相关法律法规对供应商的违法行为进行相应的处罚。</w:t>
      </w:r>
    </w:p>
    <w:p w14:paraId="5F9448A8">
      <w:pPr>
        <w:ind w:firstLine="480" w:firstLineChars="200"/>
      </w:pPr>
      <w:r>
        <w:rPr>
          <w:rFonts w:hint="eastAsia"/>
        </w:rPr>
        <w:t>（三）由于乙方的错误，导致甲方财产、人员的损失不能按照本合同约定给付，乙方应及时采取措施予以补救，向甲方及甲方人员给付与参加保险相等的保险理赔赔偿金。</w:t>
      </w:r>
    </w:p>
    <w:p w14:paraId="56B433BD">
      <w:pPr>
        <w:ind w:firstLine="480" w:firstLineChars="200"/>
      </w:pPr>
      <w:r>
        <w:rPr>
          <w:rFonts w:hint="eastAsia"/>
        </w:rPr>
        <w:t>（四）由双方按《民法典》中的相关原则经平等协商后补充。</w:t>
      </w:r>
    </w:p>
    <w:p w14:paraId="5A31CA47">
      <w:pPr>
        <w:spacing w:before="230" w:beforeLines="50"/>
        <w:jc w:val="both"/>
        <w:rPr>
          <w:rFonts w:cs="Calibri Light"/>
          <w:b/>
        </w:rPr>
      </w:pPr>
      <w:r>
        <w:rPr>
          <w:rFonts w:hint="eastAsia" w:cs="Calibri Light"/>
          <w:b/>
        </w:rPr>
        <w:t>八、争议解决</w:t>
      </w:r>
    </w:p>
    <w:p w14:paraId="4329DFDB">
      <w:pPr>
        <w:ind w:firstLine="480" w:firstLineChars="200"/>
      </w:pPr>
      <w:r>
        <w:rPr>
          <w:rFonts w:hint="eastAsia"/>
        </w:rPr>
        <w:t>（一）本合同适用法律为中华人民共和国法律。</w:t>
      </w:r>
    </w:p>
    <w:p w14:paraId="387DBB23">
      <w:pPr>
        <w:ind w:firstLine="480" w:firstLineChars="200"/>
      </w:pPr>
      <w:r>
        <w:rPr>
          <w:rFonts w:hint="eastAsia"/>
        </w:rPr>
        <w:t>（二）凡与本合同有关的一切争议，双方应通过友好协商解决。如经协商后仍不能达成协议时，任何一方都有权向甲方所在地有管辖权的人民法院起诉。</w:t>
      </w:r>
    </w:p>
    <w:p w14:paraId="4A80FABE">
      <w:pPr>
        <w:spacing w:before="230" w:beforeLines="50"/>
        <w:jc w:val="both"/>
        <w:rPr>
          <w:rFonts w:cs="Calibri Light"/>
          <w:b/>
        </w:rPr>
      </w:pPr>
      <w:r>
        <w:rPr>
          <w:rFonts w:hint="eastAsia" w:cs="Calibri Light"/>
          <w:b/>
        </w:rPr>
        <w:t>九、合同生效及其他</w:t>
      </w:r>
    </w:p>
    <w:p w14:paraId="51201A5F">
      <w:pPr>
        <w:ind w:firstLine="480" w:firstLineChars="200"/>
      </w:pPr>
      <w:r>
        <w:rPr>
          <w:rFonts w:hint="eastAsia"/>
        </w:rPr>
        <w:t>（一）本合同自签订之日起生效。</w:t>
      </w:r>
    </w:p>
    <w:p w14:paraId="57A09610">
      <w:pPr>
        <w:ind w:firstLine="480" w:firstLineChars="200"/>
      </w:pPr>
      <w:r>
        <w:rPr>
          <w:rFonts w:hint="eastAsia"/>
        </w:rPr>
        <w:t>（二）合同一式5份，甲方、乙方各执1份；政府采购监管机构备案1份，乙方办理结算2份。</w:t>
      </w:r>
    </w:p>
    <w:p w14:paraId="0FC4A7EB">
      <w:pPr>
        <w:ind w:firstLine="480" w:firstLineChars="200"/>
      </w:pPr>
      <w:r>
        <w:rPr>
          <w:rFonts w:hint="eastAsia"/>
        </w:rPr>
        <w:t>（三）未尽事宜由双方在签订合同时具体明确或签订补充合同。</w:t>
      </w:r>
    </w:p>
    <w:p w14:paraId="25396C31">
      <w:pPr>
        <w:ind w:firstLine="480" w:firstLineChars="200"/>
      </w:pPr>
    </w:p>
    <w:p w14:paraId="31B61F61">
      <w:pPr>
        <w:ind w:firstLine="480" w:firstLineChars="200"/>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066AACEE">
      <w:pPr>
        <w:pStyle w:val="2"/>
        <w:spacing w:before="230" w:after="230"/>
      </w:pPr>
      <w:bookmarkStart w:id="31" w:name="_Toc100219616"/>
      <w:r>
        <w:rPr>
          <w:rFonts w:hint="eastAsia"/>
        </w:rPr>
        <w:t>第五章　投标文件构成及格式</w:t>
      </w:r>
      <w:bookmarkEnd w:id="31"/>
    </w:p>
    <w:p w14:paraId="4578CFAC">
      <w:pPr>
        <w:ind w:firstLine="251" w:firstLineChars="70"/>
        <w:jc w:val="center"/>
        <w:rPr>
          <w:rFonts w:cstheme="minorHAnsi"/>
          <w:sz w:val="36"/>
          <w:szCs w:val="36"/>
        </w:rPr>
      </w:pPr>
    </w:p>
    <w:p w14:paraId="46C3CF94">
      <w:pPr>
        <w:ind w:firstLine="251" w:firstLineChars="70"/>
        <w:jc w:val="center"/>
        <w:rPr>
          <w:rFonts w:cstheme="minorHAnsi"/>
          <w:sz w:val="36"/>
          <w:szCs w:val="36"/>
        </w:rPr>
      </w:pPr>
    </w:p>
    <w:p w14:paraId="60FF2F4A">
      <w:pPr>
        <w:ind w:firstLine="251" w:firstLineChars="70"/>
        <w:jc w:val="center"/>
        <w:rPr>
          <w:rFonts w:cstheme="minorHAnsi"/>
          <w:sz w:val="36"/>
          <w:szCs w:val="36"/>
        </w:rPr>
      </w:pPr>
    </w:p>
    <w:p w14:paraId="16FD3E5D">
      <w:pPr>
        <w:pStyle w:val="36"/>
        <w:widowControl w:val="0"/>
        <w:topLinePunct/>
        <w:spacing w:line="360" w:lineRule="auto"/>
        <w:ind w:left="2640" w:right="1130" w:rightChars="471" w:hanging="1800"/>
        <w:rPr>
          <w:rFonts w:cs="Tahoma" w:asciiTheme="minorHAnsi" w:hAnsiTheme="minorHAnsi"/>
        </w:rPr>
      </w:pPr>
      <w:r>
        <w:rPr>
          <w:rFonts w:hint="eastAsia" w:cs="Tahoma" w:asciiTheme="minorHAnsi" w:hAnsiTheme="minorHAnsi"/>
          <w:color w:val="C00000"/>
        </w:rPr>
        <w:t>陕西省西安市消防</w:t>
      </w:r>
      <w:r>
        <w:rPr>
          <w:rFonts w:cs="Tahoma" w:asciiTheme="minorHAnsi" w:hAnsiTheme="minorHAnsi"/>
          <w:color w:val="C00000"/>
        </w:rPr>
        <w:t>救援支队全市指战员团体意外伤害保险采购项目</w:t>
      </w:r>
    </w:p>
    <w:p w14:paraId="38C61182">
      <w:pPr>
        <w:jc w:val="center"/>
        <w:rPr>
          <w:rFonts w:cstheme="minorHAnsi"/>
          <w:b/>
          <w:color w:val="C00000"/>
          <w:sz w:val="44"/>
          <w:szCs w:val="44"/>
        </w:rPr>
      </w:pP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CZX2025-0147）</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1A53BF79">
      <w:pPr>
        <w:ind w:firstLine="200"/>
        <w:rPr>
          <w:rFonts w:cstheme="minorHAnsi"/>
          <w:sz w:val="36"/>
        </w:rPr>
      </w:pPr>
    </w:p>
    <w:p w14:paraId="63B1F57B">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14:paraId="2C03735F">
      <w:pPr>
        <w:jc w:val="both"/>
        <w:rPr>
          <w:rFonts w:cstheme="minorHAnsi"/>
          <w:color w:val="000000"/>
        </w:rPr>
      </w:pPr>
      <w:r>
        <w:rPr>
          <w:rFonts w:hint="eastAsia"/>
        </w:rPr>
        <w:t>西安市市级单位政府采购中心</w:t>
      </w:r>
      <w:r>
        <w:rPr>
          <w:rFonts w:hint="eastAsia" w:cstheme="minorHAnsi"/>
          <w:color w:val="000000"/>
        </w:rPr>
        <w:t>：</w:t>
      </w:r>
    </w:p>
    <w:p w14:paraId="1B6DBBC9">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14:paraId="5BC9D14E">
      <w:pPr>
        <w:ind w:firstLine="567"/>
        <w:jc w:val="both"/>
        <w:rPr>
          <w:rFonts w:cstheme="minorHAnsi"/>
          <w:color w:val="000000"/>
        </w:rPr>
      </w:pPr>
      <w:r>
        <w:rPr>
          <w:rFonts w:hint="eastAsia" w:cstheme="minorHAnsi"/>
          <w:color w:val="000000"/>
        </w:rPr>
        <w:t>1．我方已详细阅读了招标文件，完全理解并同意招标文件的所有事项及内容。</w:t>
      </w:r>
    </w:p>
    <w:p w14:paraId="686F7B85">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14:paraId="17E28385">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67DC55DD">
      <w:pPr>
        <w:ind w:firstLine="567"/>
        <w:jc w:val="both"/>
        <w:rPr>
          <w:rFonts w:cstheme="minorHAnsi"/>
          <w:color w:val="000000"/>
        </w:rPr>
      </w:pPr>
      <w:r>
        <w:rPr>
          <w:rFonts w:hint="eastAsia" w:cstheme="minorHAnsi"/>
          <w:color w:val="000000"/>
        </w:rPr>
        <w:t>4．我方理解最低价不是中标的唯一条件，并尊重评标委员会的评审结果。</w:t>
      </w:r>
    </w:p>
    <w:p w14:paraId="0AD6E33E">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70D880D6">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3CD37E3D">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14:paraId="189EC49A">
      <w:pPr>
        <w:ind w:firstLine="567"/>
        <w:jc w:val="both"/>
        <w:rPr>
          <w:rFonts w:cstheme="minorHAnsi"/>
          <w:color w:val="000000"/>
        </w:rPr>
      </w:pPr>
      <w:r>
        <w:rPr>
          <w:rFonts w:cstheme="minorHAnsi"/>
          <w:color w:val="000000"/>
        </w:rPr>
        <w:t>8</w:t>
      </w:r>
      <w:r>
        <w:rPr>
          <w:rFonts w:hint="eastAsia" w:cstheme="minorHAnsi"/>
          <w:color w:val="000000"/>
        </w:rPr>
        <w:t>．若我方中标，我方承诺：</w:t>
      </w:r>
    </w:p>
    <w:p w14:paraId="1DE904A4">
      <w:pPr>
        <w:ind w:firstLine="567"/>
        <w:jc w:val="both"/>
        <w:rPr>
          <w:rFonts w:cstheme="minorHAnsi"/>
          <w:color w:val="000000"/>
        </w:rPr>
      </w:pPr>
      <w:r>
        <w:rPr>
          <w:rFonts w:hint="eastAsia" w:cstheme="minorHAnsi"/>
          <w:color w:val="000000"/>
        </w:rPr>
        <w:t>（1）将投标文件有效期延长至合同执行完毕；</w:t>
      </w:r>
    </w:p>
    <w:p w14:paraId="0F63C001">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14:paraId="00C9913A">
      <w:pPr>
        <w:ind w:firstLine="567"/>
        <w:jc w:val="both"/>
        <w:rPr>
          <w:rFonts w:cstheme="minorHAnsi"/>
          <w:color w:val="000000"/>
        </w:rPr>
      </w:pPr>
      <w:r>
        <w:rPr>
          <w:rFonts w:hint="eastAsia" w:cstheme="minorHAnsi"/>
          <w:color w:val="000000"/>
        </w:rPr>
        <w:t>（3）遵照招标文件中的要求，完成本项目的合同责任和义务。</w:t>
      </w:r>
    </w:p>
    <w:p w14:paraId="4FD50DA6">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3B798042">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F3A38F2">
      <w:pPr>
        <w:ind w:firstLine="567"/>
        <w:jc w:val="both"/>
        <w:rPr>
          <w:color w:val="000000"/>
        </w:rPr>
      </w:pPr>
      <w:r>
        <w:rPr>
          <w:rFonts w:hint="eastAsia"/>
          <w:color w:val="000000"/>
        </w:rPr>
        <w:t>（2）联系</w:t>
      </w:r>
      <w:r>
        <w:rPr>
          <w:color w:val="000000"/>
        </w:rPr>
        <w:t>电话：</w:t>
      </w:r>
    </w:p>
    <w:p w14:paraId="37A77501">
      <w:pPr>
        <w:ind w:firstLine="567"/>
        <w:jc w:val="both"/>
        <w:rPr>
          <w:color w:val="000000"/>
        </w:rPr>
      </w:pPr>
      <w:r>
        <w:rPr>
          <w:color w:val="000000"/>
        </w:rPr>
        <w:t>（</w:t>
      </w:r>
      <w:r>
        <w:rPr>
          <w:rFonts w:hint="eastAsia"/>
          <w:color w:val="000000"/>
        </w:rPr>
        <w:t>3</w:t>
      </w:r>
      <w:r>
        <w:rPr>
          <w:color w:val="000000"/>
        </w:rPr>
        <w:t>）通讯地址：</w:t>
      </w:r>
    </w:p>
    <w:p w14:paraId="2E408014">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7B7E5B80">
      <w:pPr>
        <w:ind w:firstLine="567"/>
        <w:jc w:val="both"/>
      </w:pPr>
      <w:r>
        <w:t>（</w:t>
      </w:r>
      <w:r>
        <w:rPr>
          <w:rFonts w:hint="eastAsia"/>
        </w:rPr>
        <w:t>5</w:t>
      </w:r>
      <w:r>
        <w:t>）电子邮箱：</w:t>
      </w:r>
    </w:p>
    <w:p w14:paraId="39892E58">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098E7857">
      <w:pPr>
        <w:ind w:firstLine="567"/>
        <w:jc w:val="both"/>
      </w:pPr>
      <w:r>
        <w:t>日</w:t>
      </w:r>
      <w:r>
        <w:rPr>
          <w:rFonts w:hint="eastAsia"/>
        </w:rPr>
        <w:t>　</w:t>
      </w:r>
      <w:r>
        <w:t>期：　　年　月　日</w:t>
      </w:r>
    </w:p>
    <w:p w14:paraId="39AB650B">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458C1F65">
      <w:pPr>
        <w:jc w:val="center"/>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14:paraId="3004DCD5">
      <w:pPr>
        <w:jc w:val="center"/>
        <w:rPr>
          <w:kern w:val="24"/>
        </w:rPr>
      </w:pPr>
    </w:p>
    <w:tbl>
      <w:tblPr>
        <w:tblStyle w:val="24"/>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911"/>
        <w:gridCol w:w="2912"/>
      </w:tblGrid>
      <w:tr w14:paraId="2790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tl2br w:val="single" w:color="auto" w:sz="2" w:space="0"/>
            </w:tcBorders>
          </w:tcPr>
          <w:p w14:paraId="4FD97023">
            <w:pPr>
              <w:spacing w:line="440" w:lineRule="exact"/>
              <w:ind w:right="280"/>
              <w:jc w:val="right"/>
              <w:rPr>
                <w:rFonts w:cstheme="minorHAnsi"/>
                <w:b/>
                <w:color w:val="000000"/>
              </w:rPr>
            </w:pPr>
            <w:r>
              <w:rPr>
                <w:rFonts w:cstheme="minorHAnsi"/>
                <w:b/>
                <w:color w:val="000000"/>
              </w:rPr>
              <w:t>报价内容</w:t>
            </w:r>
          </w:p>
          <w:p w14:paraId="63AFC94D">
            <w:pPr>
              <w:rPr>
                <w:rFonts w:cstheme="minorHAnsi"/>
                <w:color w:val="000000"/>
              </w:rPr>
            </w:pPr>
          </w:p>
          <w:p w14:paraId="69CA7FF6">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911" w:type="dxa"/>
            <w:tcBorders>
              <w:top w:val="single" w:color="auto" w:sz="2" w:space="0"/>
            </w:tcBorders>
            <w:shd w:val="clear" w:color="auto" w:fill="F1F1F1" w:themeFill="background1" w:themeFillShade="F2"/>
            <w:vAlign w:val="center"/>
          </w:tcPr>
          <w:p w14:paraId="189BFD46">
            <w:pPr>
              <w:jc w:val="center"/>
              <w:rPr>
                <w:rFonts w:cstheme="minorHAnsi"/>
                <w:b/>
              </w:rPr>
            </w:pPr>
            <w:r>
              <w:rPr>
                <w:rFonts w:cstheme="minorHAnsi"/>
                <w:b/>
              </w:rPr>
              <w:t>A</w:t>
            </w:r>
          </w:p>
        </w:tc>
        <w:tc>
          <w:tcPr>
            <w:tcW w:w="2912" w:type="dxa"/>
            <w:tcBorders>
              <w:top w:val="single" w:color="auto" w:sz="2" w:space="0"/>
              <w:right w:val="single" w:color="auto" w:sz="2" w:space="0"/>
            </w:tcBorders>
            <w:shd w:val="clear" w:color="auto" w:fill="F1F1F1" w:themeFill="background1" w:themeFillShade="F2"/>
            <w:vAlign w:val="center"/>
          </w:tcPr>
          <w:p w14:paraId="33503867">
            <w:pPr>
              <w:jc w:val="center"/>
              <w:rPr>
                <w:rFonts w:cstheme="minorHAnsi"/>
                <w:b/>
              </w:rPr>
            </w:pPr>
            <w:r>
              <w:rPr>
                <w:rFonts w:cstheme="minorHAnsi"/>
                <w:b/>
              </w:rPr>
              <w:t>B</w:t>
            </w:r>
          </w:p>
        </w:tc>
      </w:tr>
      <w:tr w14:paraId="4FD1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left w:val="single" w:color="auto" w:sz="2" w:space="0"/>
              <w:tl2br w:val="single" w:color="auto" w:sz="2" w:space="0"/>
            </w:tcBorders>
          </w:tcPr>
          <w:p w14:paraId="70E38587">
            <w:pPr>
              <w:spacing w:line="440" w:lineRule="exact"/>
              <w:ind w:right="280"/>
              <w:jc w:val="right"/>
              <w:rPr>
                <w:rFonts w:cstheme="minorHAnsi"/>
                <w:b/>
                <w:color w:val="000000"/>
              </w:rPr>
            </w:pPr>
          </w:p>
        </w:tc>
        <w:tc>
          <w:tcPr>
            <w:tcW w:w="2911" w:type="dxa"/>
            <w:vAlign w:val="center"/>
          </w:tcPr>
          <w:p w14:paraId="63867FA8">
            <w:pPr>
              <w:spacing w:line="440" w:lineRule="exact"/>
              <w:jc w:val="center"/>
              <w:rPr>
                <w:b/>
              </w:rPr>
            </w:pPr>
            <w:r>
              <w:rPr>
                <w:rFonts w:hint="eastAsia"/>
                <w:b/>
              </w:rPr>
              <w:t>投标报价</w:t>
            </w:r>
            <w:r>
              <w:rPr>
                <w:b/>
              </w:rPr>
              <w:t>（元）</w:t>
            </w:r>
          </w:p>
        </w:tc>
        <w:tc>
          <w:tcPr>
            <w:tcW w:w="2912" w:type="dxa"/>
            <w:tcBorders>
              <w:right w:val="single" w:color="auto" w:sz="2" w:space="0"/>
            </w:tcBorders>
            <w:vAlign w:val="center"/>
          </w:tcPr>
          <w:p w14:paraId="39DC345C">
            <w:pPr>
              <w:jc w:val="center"/>
              <w:rPr>
                <w:b/>
              </w:rPr>
            </w:pPr>
            <w:r>
              <w:rPr>
                <w:rFonts w:hint="eastAsia"/>
                <w:b/>
              </w:rPr>
              <w:t>保险期限</w:t>
            </w:r>
          </w:p>
        </w:tc>
      </w:tr>
      <w:tr w14:paraId="788C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left w:val="single" w:color="auto" w:sz="2" w:space="0"/>
            </w:tcBorders>
            <w:vAlign w:val="center"/>
          </w:tcPr>
          <w:p w14:paraId="357DF8A8">
            <w:pPr>
              <w:spacing w:line="440" w:lineRule="exact"/>
              <w:jc w:val="center"/>
              <w:rPr>
                <w:rFonts w:cstheme="minorHAnsi"/>
                <w:color w:val="C00000"/>
                <w:sz w:val="21"/>
                <w:szCs w:val="21"/>
              </w:rPr>
            </w:pPr>
            <w:r>
              <w:rPr>
                <w:rFonts w:cstheme="minorHAnsi"/>
                <w:color w:val="C00000"/>
                <w:sz w:val="21"/>
                <w:szCs w:val="21"/>
              </w:rPr>
              <w:t>［项目名称］</w:t>
            </w:r>
          </w:p>
          <w:p w14:paraId="3CB92158">
            <w:pPr>
              <w:spacing w:line="440" w:lineRule="exact"/>
              <w:jc w:val="center"/>
              <w:rPr>
                <w:rFonts w:cstheme="minorHAnsi"/>
                <w:color w:val="000000"/>
              </w:rPr>
            </w:pPr>
            <w:r>
              <w:rPr>
                <w:rFonts w:hint="eastAsia" w:cstheme="minorHAnsi"/>
                <w:color w:val="C00000"/>
              </w:rPr>
              <w:t>采购包</w:t>
            </w:r>
            <w:r>
              <w:rPr>
                <w:rFonts w:cstheme="minorHAnsi"/>
                <w:color w:val="C00000"/>
              </w:rPr>
              <w:t>［___］</w:t>
            </w:r>
          </w:p>
        </w:tc>
        <w:tc>
          <w:tcPr>
            <w:tcW w:w="2911" w:type="dxa"/>
            <w:vAlign w:val="center"/>
          </w:tcPr>
          <w:p w14:paraId="2540FE6B">
            <w:pPr>
              <w:spacing w:line="440" w:lineRule="exact"/>
              <w:jc w:val="center"/>
              <w:rPr>
                <w:rFonts w:cstheme="minorHAnsi"/>
                <w:color w:val="000000"/>
              </w:rPr>
            </w:pPr>
          </w:p>
        </w:tc>
        <w:tc>
          <w:tcPr>
            <w:tcW w:w="2912" w:type="dxa"/>
            <w:tcBorders>
              <w:right w:val="single" w:color="auto" w:sz="2" w:space="0"/>
            </w:tcBorders>
            <w:vAlign w:val="center"/>
          </w:tcPr>
          <w:p w14:paraId="496D135B">
            <w:pPr>
              <w:spacing w:line="440" w:lineRule="exact"/>
              <w:jc w:val="center"/>
              <w:rPr>
                <w:rFonts w:cstheme="minorHAnsi"/>
                <w:color w:val="000000"/>
              </w:rPr>
            </w:pPr>
          </w:p>
        </w:tc>
      </w:tr>
    </w:tbl>
    <w:p w14:paraId="3CFDFEEF">
      <w:r>
        <w:rPr>
          <w:rFonts w:cstheme="minorHAnsi"/>
          <w:color w:val="000000"/>
        </w:rPr>
        <w:t>供应商：（</w:t>
      </w:r>
      <w:r>
        <w:rPr>
          <w:rFonts w:cstheme="minorHAnsi"/>
          <w:i/>
          <w:color w:val="7030A0"/>
        </w:rPr>
        <w:t>供应商全称并加盖公章</w:t>
      </w:r>
      <w:r>
        <w:rPr>
          <w:rFonts w:cstheme="minorHAnsi"/>
          <w:color w:val="000000"/>
        </w:rPr>
        <w:t>）</w:t>
      </w:r>
    </w:p>
    <w:p w14:paraId="7729ED5D">
      <w:pPr>
        <w:spacing w:before="230" w:beforeLines="50"/>
        <w:rPr>
          <w:kern w:val="24"/>
        </w:rPr>
      </w:pPr>
    </w:p>
    <w:p w14:paraId="1E84011F">
      <w:pPr>
        <w:jc w:val="both"/>
        <w:rPr>
          <w:kern w:val="24"/>
        </w:rPr>
      </w:pPr>
      <w:r>
        <w:rPr>
          <w:kern w:val="24"/>
        </w:rPr>
        <w:t>〖注〗（一）以下情况按无效投标处理：</w:t>
      </w:r>
    </w:p>
    <w:p w14:paraId="492BD150">
      <w:pPr>
        <w:ind w:firstLine="480" w:firstLineChars="200"/>
        <w:jc w:val="both"/>
        <w:rPr>
          <w:kern w:val="24"/>
        </w:rPr>
      </w:pPr>
      <w:r>
        <w:rPr>
          <w:kern w:val="24"/>
        </w:rPr>
        <w:t>1．A栏未按银行小写金额样式填写，B栏未填写</w:t>
      </w:r>
      <w:r>
        <w:rPr>
          <w:rFonts w:hint="eastAsia"/>
          <w:kern w:val="24"/>
        </w:rPr>
        <w:t>保险期限</w:t>
      </w:r>
      <w:r>
        <w:rPr>
          <w:kern w:val="24"/>
        </w:rPr>
        <w:t>。</w:t>
      </w:r>
    </w:p>
    <w:p w14:paraId="3109B5BE">
      <w:pPr>
        <w:ind w:firstLine="480" w:firstLineChars="200"/>
        <w:jc w:val="both"/>
        <w:rPr>
          <w:kern w:val="24"/>
        </w:rPr>
      </w:pPr>
      <w:r>
        <w:rPr>
          <w:kern w:val="24"/>
        </w:rPr>
        <w:t>2．本表A栏值与</w:t>
      </w:r>
      <w:r>
        <w:rPr>
          <w:rFonts w:hint="eastAsia"/>
          <w:kern w:val="24"/>
        </w:rPr>
        <w:t>分项报价表</w:t>
      </w:r>
      <w:r>
        <w:rPr>
          <w:kern w:val="24"/>
        </w:rPr>
        <w:t>中的“合计”值不一致的。</w:t>
      </w:r>
    </w:p>
    <w:p w14:paraId="5C8DFF08">
      <w:pPr>
        <w:ind w:firstLine="480" w:firstLineChars="200"/>
        <w:jc w:val="both"/>
        <w:rPr>
          <w:kern w:val="24"/>
        </w:rPr>
      </w:pPr>
      <w:r>
        <w:rPr>
          <w:kern w:val="24"/>
        </w:rPr>
        <w:t>3．合计超过本</w:t>
      </w:r>
      <w:r>
        <w:rPr>
          <w:rFonts w:hint="eastAsia"/>
          <w:kern w:val="24"/>
        </w:rPr>
        <w:t>项目</w:t>
      </w:r>
      <w:r>
        <w:rPr>
          <w:kern w:val="24"/>
        </w:rPr>
        <w:t>预算的。</w:t>
      </w:r>
    </w:p>
    <w:p w14:paraId="24730A7A">
      <w:pPr>
        <w:ind w:firstLine="600" w:firstLineChars="250"/>
        <w:jc w:val="both"/>
        <w:rPr>
          <w:kern w:val="24"/>
        </w:rPr>
      </w:pPr>
      <w:r>
        <w:rPr>
          <w:rFonts w:hint="eastAsia"/>
          <w:kern w:val="24"/>
        </w:rPr>
        <w:t>（二）投标报价</w:t>
      </w:r>
      <w:r>
        <w:rPr>
          <w:kern w:val="24"/>
        </w:rPr>
        <w:t>仅为计算价格分的依据，实际结算以供应商所报中标单价和采购数量据实结算。</w:t>
      </w:r>
    </w:p>
    <w:p w14:paraId="15790613">
      <w:pPr>
        <w:tabs>
          <w:tab w:val="left" w:pos="3120"/>
        </w:tabs>
        <w:ind w:firstLine="480" w:firstLineChars="200"/>
        <w:jc w:val="both"/>
        <w:rPr>
          <w:kern w:val="24"/>
        </w:rPr>
      </w:pPr>
    </w:p>
    <w:p w14:paraId="16E7F4C5">
      <w:pPr>
        <w:rPr>
          <w:rFonts w:ascii="Calibri" w:hAnsi="Calibri" w:eastAsia="宋体"/>
          <w:kern w:val="24"/>
        </w:rPr>
      </w:pPr>
      <w:r>
        <w:rPr>
          <w:rFonts w:ascii="Calibri" w:hAnsi="Calibri" w:eastAsia="宋体"/>
          <w:kern w:val="24"/>
        </w:rPr>
        <w:br w:type="page"/>
      </w:r>
    </w:p>
    <w:p w14:paraId="6300E3AD">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分项报价</w:t>
      </w:r>
      <w:r>
        <w:rPr>
          <w:rFonts w:ascii="黑体" w:hAnsi="黑体" w:eastAsia="黑体" w:cs="Calibri Light"/>
          <w:color w:val="1F4E79"/>
          <w:sz w:val="32"/>
          <w:szCs w:val="36"/>
        </w:rPr>
        <w:t>表</w:t>
      </w:r>
    </w:p>
    <w:p w14:paraId="342B404F">
      <w:pPr>
        <w:jc w:val="both"/>
        <w:rPr>
          <w:rFonts w:cs="Calibri Light"/>
          <w:b/>
          <w:color w:val="000000"/>
        </w:rPr>
      </w:pPr>
      <w:r>
        <w:rPr>
          <w:rFonts w:hint="eastAsia" w:cstheme="minorHAnsi"/>
          <w:color w:val="C00000"/>
        </w:rPr>
        <w:t>采购包</w:t>
      </w:r>
      <w:r>
        <w:rPr>
          <w:rFonts w:cstheme="minorHAnsi"/>
          <w:color w:val="C00000"/>
        </w:rPr>
        <w:t>［___］</w:t>
      </w:r>
    </w:p>
    <w:tbl>
      <w:tblPr>
        <w:tblStyle w:val="24"/>
        <w:tblW w:w="880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11"/>
        <w:gridCol w:w="1726"/>
        <w:gridCol w:w="1276"/>
        <w:gridCol w:w="1984"/>
        <w:gridCol w:w="1559"/>
        <w:gridCol w:w="1446"/>
      </w:tblGrid>
      <w:tr w14:paraId="127039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416" w:hRule="atLeast"/>
          <w:jc w:val="center"/>
        </w:trPr>
        <w:tc>
          <w:tcPr>
            <w:tcW w:w="811" w:type="dxa"/>
            <w:tcBorders>
              <w:top w:val="single" w:color="auto" w:sz="12" w:space="0"/>
              <w:bottom w:val="single" w:color="auto" w:sz="2" w:space="0"/>
            </w:tcBorders>
            <w:shd w:val="clear" w:color="auto" w:fill="F1F1F1" w:themeFill="background1" w:themeFillShade="F2"/>
            <w:vAlign w:val="center"/>
          </w:tcPr>
          <w:p w14:paraId="2BD336A0">
            <w:pPr>
              <w:spacing w:line="320" w:lineRule="exact"/>
              <w:jc w:val="center"/>
              <w:rPr>
                <w:rFonts w:ascii="Calibri" w:hAnsi="宋体" w:eastAsia="宋体" w:cstheme="minorHAnsi"/>
                <w:b/>
              </w:rPr>
            </w:pPr>
            <w:r>
              <w:rPr>
                <w:rFonts w:ascii="Calibri" w:hAnsi="宋体" w:eastAsia="宋体" w:cstheme="minorHAnsi"/>
                <w:b/>
              </w:rPr>
              <w:t>序号</w:t>
            </w:r>
          </w:p>
        </w:tc>
        <w:tc>
          <w:tcPr>
            <w:tcW w:w="1726" w:type="dxa"/>
            <w:tcBorders>
              <w:top w:val="single" w:color="auto" w:sz="12" w:space="0"/>
              <w:bottom w:val="single" w:color="auto" w:sz="2" w:space="0"/>
            </w:tcBorders>
            <w:shd w:val="clear" w:color="auto" w:fill="F1F1F1" w:themeFill="background1" w:themeFillShade="F2"/>
            <w:vAlign w:val="center"/>
          </w:tcPr>
          <w:p w14:paraId="60E36D2B">
            <w:pPr>
              <w:spacing w:line="320" w:lineRule="exact"/>
              <w:jc w:val="center"/>
              <w:rPr>
                <w:rFonts w:ascii="Calibri" w:hAnsi="宋体" w:eastAsia="宋体" w:cstheme="minorHAnsi"/>
                <w:b/>
              </w:rPr>
            </w:pPr>
            <w:r>
              <w:rPr>
                <w:rFonts w:hint="eastAsia" w:ascii="Calibri" w:hAnsi="宋体" w:eastAsia="宋体" w:cstheme="minorHAnsi"/>
                <w:b/>
              </w:rPr>
              <w:t>人员</w:t>
            </w:r>
            <w:r>
              <w:rPr>
                <w:rFonts w:ascii="Calibri" w:hAnsi="宋体" w:eastAsia="宋体" w:cstheme="minorHAnsi"/>
                <w:b/>
              </w:rPr>
              <w:t>类型</w:t>
            </w:r>
          </w:p>
        </w:tc>
        <w:tc>
          <w:tcPr>
            <w:tcW w:w="1276" w:type="dxa"/>
            <w:tcBorders>
              <w:top w:val="single" w:color="auto" w:sz="12" w:space="0"/>
              <w:bottom w:val="single" w:color="auto" w:sz="2" w:space="0"/>
            </w:tcBorders>
            <w:shd w:val="clear" w:color="auto" w:fill="F1F1F1" w:themeFill="background1" w:themeFillShade="F2"/>
            <w:vAlign w:val="center"/>
          </w:tcPr>
          <w:p w14:paraId="0FDFEAAF">
            <w:pPr>
              <w:spacing w:line="320" w:lineRule="exact"/>
              <w:jc w:val="center"/>
              <w:rPr>
                <w:rFonts w:ascii="Calibri" w:hAnsi="宋体" w:eastAsia="宋体" w:cstheme="minorHAnsi"/>
                <w:b/>
              </w:rPr>
            </w:pPr>
            <w:r>
              <w:rPr>
                <w:rFonts w:hint="eastAsia" w:ascii="Calibri" w:hAnsi="宋体" w:eastAsia="宋体" w:cstheme="minorHAnsi"/>
                <w:b/>
              </w:rPr>
              <w:t>数量（人）</w:t>
            </w:r>
          </w:p>
        </w:tc>
        <w:tc>
          <w:tcPr>
            <w:tcW w:w="1984" w:type="dxa"/>
            <w:tcBorders>
              <w:top w:val="single" w:color="auto" w:sz="12" w:space="0"/>
              <w:bottom w:val="single" w:color="auto" w:sz="2" w:space="0"/>
            </w:tcBorders>
            <w:shd w:val="clear" w:color="auto" w:fill="F1F1F1" w:themeFill="background1" w:themeFillShade="F2"/>
            <w:vAlign w:val="center"/>
          </w:tcPr>
          <w:p w14:paraId="1C3AE9CF">
            <w:pPr>
              <w:spacing w:line="320" w:lineRule="exact"/>
              <w:jc w:val="center"/>
              <w:rPr>
                <w:rFonts w:ascii="Calibri" w:hAnsi="宋体" w:eastAsia="宋体" w:cstheme="minorHAnsi"/>
                <w:b/>
              </w:rPr>
            </w:pPr>
            <w:r>
              <w:rPr>
                <w:rFonts w:hint="eastAsia" w:ascii="Calibri" w:hAnsi="宋体" w:eastAsia="宋体" w:cstheme="minorHAnsi"/>
                <w:b/>
              </w:rPr>
              <w:t>保险费率</w:t>
            </w:r>
          </w:p>
          <w:p w14:paraId="1B286073">
            <w:pPr>
              <w:jc w:val="center"/>
              <w:textAlignment w:val="center"/>
              <w:rPr>
                <w:rFonts w:ascii="Calibri" w:hAnsi="宋体" w:eastAsia="宋体" w:cstheme="minorHAnsi"/>
                <w:b/>
              </w:rPr>
            </w:pPr>
            <w:r>
              <w:rPr>
                <w:rFonts w:hint="eastAsia" w:ascii="Calibri" w:hAnsi="宋体" w:eastAsia="宋体" w:cstheme="minorHAnsi"/>
                <w:b/>
              </w:rPr>
              <w:t>最高限价</w:t>
            </w:r>
          </w:p>
          <w:p w14:paraId="2AEF20A9">
            <w:pPr>
              <w:jc w:val="center"/>
              <w:textAlignment w:val="center"/>
              <w:rPr>
                <w:rFonts w:ascii="仿宋" w:hAnsi="仿宋" w:eastAsia="仿宋" w:cs="仿宋"/>
                <w:b/>
                <w:bCs/>
                <w:color w:val="000000"/>
              </w:rPr>
            </w:pPr>
            <w:r>
              <w:rPr>
                <w:rFonts w:hint="eastAsia" w:ascii="仿宋" w:hAnsi="仿宋" w:eastAsia="仿宋" w:cs="仿宋"/>
                <w:b/>
                <w:bCs/>
                <w:color w:val="000000"/>
                <w:lang w:bidi="ar"/>
              </w:rPr>
              <w:t>（元/人/年）</w:t>
            </w:r>
          </w:p>
        </w:tc>
        <w:tc>
          <w:tcPr>
            <w:tcW w:w="1559" w:type="dxa"/>
            <w:tcBorders>
              <w:top w:val="single" w:color="auto" w:sz="12" w:space="0"/>
              <w:bottom w:val="single" w:color="auto" w:sz="2" w:space="0"/>
            </w:tcBorders>
            <w:shd w:val="clear" w:color="auto" w:fill="F1F1F1" w:themeFill="background1" w:themeFillShade="F2"/>
            <w:vAlign w:val="center"/>
          </w:tcPr>
          <w:p w14:paraId="20093FF5">
            <w:pPr>
              <w:jc w:val="center"/>
              <w:textAlignment w:val="center"/>
              <w:rPr>
                <w:rFonts w:ascii="Calibri" w:hAnsi="宋体" w:eastAsia="宋体" w:cstheme="minorHAnsi"/>
                <w:b/>
              </w:rPr>
            </w:pPr>
            <w:r>
              <w:rPr>
                <w:rFonts w:hint="eastAsia" w:ascii="Calibri" w:hAnsi="宋体" w:eastAsia="宋体" w:cstheme="minorHAnsi"/>
                <w:b/>
              </w:rPr>
              <w:t>单价</w:t>
            </w:r>
          </w:p>
          <w:p w14:paraId="32C4CFA2">
            <w:pPr>
              <w:jc w:val="center"/>
              <w:textAlignment w:val="center"/>
              <w:rPr>
                <w:rFonts w:ascii="仿宋" w:hAnsi="仿宋" w:eastAsia="仿宋" w:cs="仿宋"/>
                <w:b/>
                <w:bCs/>
                <w:color w:val="000000"/>
              </w:rPr>
            </w:pPr>
            <w:r>
              <w:rPr>
                <w:rFonts w:hint="eastAsia" w:ascii="仿宋" w:hAnsi="仿宋" w:eastAsia="仿宋" w:cs="仿宋"/>
                <w:b/>
                <w:bCs/>
                <w:color w:val="000000"/>
                <w:lang w:bidi="ar"/>
              </w:rPr>
              <w:t>（元/人/年）</w:t>
            </w:r>
          </w:p>
        </w:tc>
        <w:tc>
          <w:tcPr>
            <w:tcW w:w="1446" w:type="dxa"/>
            <w:tcBorders>
              <w:top w:val="single" w:color="auto" w:sz="12" w:space="0"/>
              <w:bottom w:val="single" w:color="auto" w:sz="2" w:space="0"/>
            </w:tcBorders>
            <w:shd w:val="clear" w:color="auto" w:fill="F1F1F1" w:themeFill="background1" w:themeFillShade="F2"/>
            <w:vAlign w:val="center"/>
          </w:tcPr>
          <w:p w14:paraId="435E4455">
            <w:pPr>
              <w:spacing w:line="320" w:lineRule="exact"/>
              <w:jc w:val="center"/>
              <w:rPr>
                <w:rFonts w:ascii="Calibri" w:hAnsi="宋体" w:eastAsia="宋体" w:cstheme="minorHAnsi"/>
                <w:b/>
              </w:rPr>
            </w:pPr>
            <w:r>
              <w:rPr>
                <w:rFonts w:ascii="Calibri" w:hAnsi="宋体" w:eastAsia="宋体" w:cstheme="minorHAnsi"/>
                <w:b/>
              </w:rPr>
              <w:t>总计</w:t>
            </w:r>
          </w:p>
        </w:tc>
      </w:tr>
      <w:tr w14:paraId="720CE1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39" w:hRule="atLeast"/>
          <w:jc w:val="center"/>
        </w:trPr>
        <w:tc>
          <w:tcPr>
            <w:tcW w:w="811" w:type="dxa"/>
            <w:tcBorders>
              <w:top w:val="single" w:color="auto" w:sz="2" w:space="0"/>
            </w:tcBorders>
            <w:shd w:val="clear" w:color="auto" w:fill="auto"/>
            <w:vAlign w:val="center"/>
          </w:tcPr>
          <w:p w14:paraId="765A2442">
            <w:pPr>
              <w:spacing w:line="320" w:lineRule="exact"/>
              <w:jc w:val="center"/>
              <w:rPr>
                <w:rFonts w:eastAsia="宋体" w:cs="华文仿宋"/>
                <w:szCs w:val="28"/>
                <w:lang w:val="zh-CN" w:bidi="zh-CN"/>
              </w:rPr>
            </w:pPr>
            <w:r>
              <w:rPr>
                <w:rFonts w:eastAsia="宋体" w:cs="华文仿宋"/>
                <w:szCs w:val="28"/>
                <w:lang w:val="zh-CN" w:bidi="zh-CN"/>
              </w:rPr>
              <w:t>1</w:t>
            </w:r>
          </w:p>
        </w:tc>
        <w:tc>
          <w:tcPr>
            <w:tcW w:w="1726" w:type="dxa"/>
            <w:tcBorders>
              <w:top w:val="single" w:color="auto" w:sz="2" w:space="0"/>
            </w:tcBorders>
            <w:shd w:val="clear" w:color="auto" w:fill="auto"/>
            <w:vAlign w:val="center"/>
          </w:tcPr>
          <w:p w14:paraId="7B2DEC7D">
            <w:pPr>
              <w:spacing w:line="320" w:lineRule="exact"/>
              <w:jc w:val="center"/>
              <w:rPr>
                <w:rFonts w:ascii="Calibri" w:hAnsi="宋体" w:eastAsia="宋体" w:cs="华文仿宋"/>
                <w:szCs w:val="28"/>
                <w:lang w:val="zh-CN" w:bidi="zh-CN"/>
              </w:rPr>
            </w:pPr>
            <w:r>
              <w:rPr>
                <w:rFonts w:hint="eastAsia" w:ascii="宋体" w:hAnsi="宋体" w:cs="仿宋"/>
                <w:sz w:val="21"/>
                <w:szCs w:val="21"/>
                <w:lang w:bidi="ar"/>
              </w:rPr>
              <w:t>出警人员</w:t>
            </w:r>
          </w:p>
        </w:tc>
        <w:tc>
          <w:tcPr>
            <w:tcW w:w="1276" w:type="dxa"/>
            <w:tcBorders>
              <w:top w:val="single" w:color="auto" w:sz="2" w:space="0"/>
            </w:tcBorders>
            <w:vAlign w:val="center"/>
          </w:tcPr>
          <w:p w14:paraId="2BD662A2">
            <w:pPr>
              <w:spacing w:line="320" w:lineRule="exact"/>
              <w:jc w:val="center"/>
              <w:rPr>
                <w:rFonts w:ascii="Calibri" w:hAnsi="宋体" w:eastAsia="宋体" w:cs="华文仿宋"/>
                <w:szCs w:val="28"/>
                <w:lang w:val="zh-CN" w:bidi="zh-CN"/>
              </w:rPr>
            </w:pPr>
            <w:r>
              <w:rPr>
                <w:rFonts w:hint="eastAsia" w:ascii="宋体" w:hAnsi="宋体" w:cs="仿宋"/>
                <w:sz w:val="21"/>
                <w:szCs w:val="21"/>
              </w:rPr>
              <w:t>2559</w:t>
            </w:r>
          </w:p>
        </w:tc>
        <w:tc>
          <w:tcPr>
            <w:tcW w:w="1984" w:type="dxa"/>
            <w:tcBorders>
              <w:top w:val="single" w:color="auto" w:sz="2" w:space="0"/>
            </w:tcBorders>
            <w:vAlign w:val="center"/>
          </w:tcPr>
          <w:p w14:paraId="5A92B7FE">
            <w:pPr>
              <w:spacing w:line="320" w:lineRule="exact"/>
              <w:jc w:val="center"/>
              <w:rPr>
                <w:rFonts w:ascii="Calibri" w:hAnsi="宋体" w:eastAsia="宋体" w:cs="华文仿宋"/>
                <w:szCs w:val="28"/>
                <w:lang w:val="zh-CN" w:bidi="zh-CN"/>
              </w:rPr>
            </w:pPr>
            <w:r>
              <w:rPr>
                <w:rFonts w:hint="eastAsia" w:ascii="宋体" w:hAnsi="宋体" w:cs="仿宋"/>
                <w:sz w:val="21"/>
                <w:szCs w:val="21"/>
                <w:lang w:bidi="ar"/>
              </w:rPr>
              <w:t>2550</w:t>
            </w:r>
          </w:p>
        </w:tc>
        <w:tc>
          <w:tcPr>
            <w:tcW w:w="1559" w:type="dxa"/>
            <w:tcBorders>
              <w:top w:val="single" w:color="auto" w:sz="2" w:space="0"/>
            </w:tcBorders>
            <w:vAlign w:val="center"/>
          </w:tcPr>
          <w:p w14:paraId="49A96EA1">
            <w:pPr>
              <w:spacing w:line="320" w:lineRule="exact"/>
              <w:rPr>
                <w:rFonts w:ascii="Calibri" w:hAnsi="宋体" w:eastAsia="宋体" w:cs="华文仿宋"/>
                <w:b/>
                <w:szCs w:val="28"/>
                <w:lang w:val="zh-CN" w:eastAsia="en-US" w:bidi="zh-CN"/>
              </w:rPr>
            </w:pPr>
          </w:p>
        </w:tc>
        <w:tc>
          <w:tcPr>
            <w:tcW w:w="1446" w:type="dxa"/>
            <w:tcBorders>
              <w:top w:val="single" w:color="auto" w:sz="2" w:space="0"/>
            </w:tcBorders>
            <w:shd w:val="clear" w:color="auto" w:fill="auto"/>
            <w:vAlign w:val="center"/>
          </w:tcPr>
          <w:p w14:paraId="0405EAC9">
            <w:pPr>
              <w:spacing w:line="320" w:lineRule="exact"/>
              <w:rPr>
                <w:rFonts w:ascii="Calibri" w:hAnsi="宋体" w:eastAsia="宋体" w:cs="华文仿宋"/>
                <w:b/>
                <w:szCs w:val="28"/>
                <w:lang w:val="zh-CN" w:eastAsia="en-US" w:bidi="zh-CN"/>
              </w:rPr>
            </w:pPr>
          </w:p>
        </w:tc>
      </w:tr>
      <w:tr w14:paraId="527B4A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811" w:type="dxa"/>
            <w:shd w:val="clear" w:color="auto" w:fill="auto"/>
            <w:vAlign w:val="center"/>
          </w:tcPr>
          <w:p w14:paraId="733DA6EA">
            <w:pPr>
              <w:spacing w:line="320" w:lineRule="exact"/>
              <w:jc w:val="center"/>
              <w:rPr>
                <w:rFonts w:eastAsia="宋体" w:cs="华文仿宋"/>
                <w:szCs w:val="28"/>
                <w:lang w:val="zh-CN" w:bidi="zh-CN"/>
              </w:rPr>
            </w:pPr>
            <w:r>
              <w:rPr>
                <w:rFonts w:eastAsia="宋体" w:cs="华文仿宋"/>
                <w:szCs w:val="28"/>
                <w:lang w:val="zh-CN" w:bidi="zh-CN"/>
              </w:rPr>
              <w:t>2</w:t>
            </w:r>
          </w:p>
        </w:tc>
        <w:tc>
          <w:tcPr>
            <w:tcW w:w="1726" w:type="dxa"/>
            <w:shd w:val="clear" w:color="auto" w:fill="auto"/>
            <w:vAlign w:val="center"/>
          </w:tcPr>
          <w:p w14:paraId="1F395E50">
            <w:pPr>
              <w:spacing w:line="320" w:lineRule="exact"/>
              <w:jc w:val="center"/>
              <w:rPr>
                <w:rFonts w:ascii="Calibri" w:hAnsi="宋体" w:eastAsia="宋体" w:cs="华文仿宋"/>
                <w:szCs w:val="28"/>
                <w:lang w:val="zh-CN" w:bidi="zh-CN"/>
              </w:rPr>
            </w:pPr>
            <w:r>
              <w:rPr>
                <w:rFonts w:hint="eastAsia" w:ascii="宋体" w:hAnsi="宋体" w:cs="仿宋"/>
                <w:sz w:val="21"/>
                <w:szCs w:val="21"/>
              </w:rPr>
              <w:t>非出警人员</w:t>
            </w:r>
          </w:p>
        </w:tc>
        <w:tc>
          <w:tcPr>
            <w:tcW w:w="1276" w:type="dxa"/>
            <w:vAlign w:val="center"/>
          </w:tcPr>
          <w:p w14:paraId="76E3EDEA">
            <w:pPr>
              <w:spacing w:line="320" w:lineRule="exact"/>
              <w:jc w:val="center"/>
              <w:rPr>
                <w:rFonts w:ascii="Calibri" w:hAnsi="宋体" w:eastAsia="宋体" w:cs="华文仿宋"/>
                <w:szCs w:val="28"/>
                <w:lang w:val="zh-CN" w:bidi="zh-CN"/>
              </w:rPr>
            </w:pPr>
            <w:r>
              <w:rPr>
                <w:rFonts w:hint="eastAsia" w:ascii="宋体" w:hAnsi="宋体" w:cs="仿宋"/>
                <w:sz w:val="21"/>
                <w:szCs w:val="21"/>
              </w:rPr>
              <w:t>223</w:t>
            </w:r>
          </w:p>
        </w:tc>
        <w:tc>
          <w:tcPr>
            <w:tcW w:w="1984" w:type="dxa"/>
            <w:vAlign w:val="center"/>
          </w:tcPr>
          <w:p w14:paraId="212B1575">
            <w:pPr>
              <w:spacing w:line="320" w:lineRule="exact"/>
              <w:jc w:val="center"/>
              <w:rPr>
                <w:rFonts w:ascii="Calibri" w:hAnsi="宋体" w:eastAsia="宋体" w:cs="华文仿宋"/>
                <w:szCs w:val="28"/>
                <w:lang w:val="zh-CN" w:bidi="zh-CN"/>
              </w:rPr>
            </w:pPr>
            <w:r>
              <w:rPr>
                <w:rFonts w:hint="eastAsia" w:ascii="宋体" w:hAnsi="宋体" w:cs="仿宋"/>
                <w:sz w:val="21"/>
                <w:szCs w:val="21"/>
              </w:rPr>
              <w:t>580</w:t>
            </w:r>
          </w:p>
        </w:tc>
        <w:tc>
          <w:tcPr>
            <w:tcW w:w="1559" w:type="dxa"/>
            <w:vAlign w:val="center"/>
          </w:tcPr>
          <w:p w14:paraId="0CE2EF44">
            <w:pPr>
              <w:spacing w:line="320" w:lineRule="exact"/>
              <w:rPr>
                <w:rFonts w:ascii="Calibri" w:hAnsi="宋体" w:eastAsia="宋体" w:cs="华文仿宋"/>
                <w:b/>
                <w:szCs w:val="28"/>
                <w:lang w:val="zh-CN" w:eastAsia="en-US" w:bidi="zh-CN"/>
              </w:rPr>
            </w:pPr>
          </w:p>
        </w:tc>
        <w:tc>
          <w:tcPr>
            <w:tcW w:w="1446" w:type="dxa"/>
            <w:shd w:val="clear" w:color="auto" w:fill="auto"/>
            <w:vAlign w:val="center"/>
          </w:tcPr>
          <w:p w14:paraId="7901BB4C">
            <w:pPr>
              <w:spacing w:line="320" w:lineRule="exact"/>
              <w:rPr>
                <w:rFonts w:ascii="Calibri" w:hAnsi="宋体" w:eastAsia="宋体" w:cs="华文仿宋"/>
                <w:b/>
                <w:szCs w:val="28"/>
                <w:lang w:val="zh-CN" w:eastAsia="en-US" w:bidi="zh-CN"/>
              </w:rPr>
            </w:pPr>
          </w:p>
        </w:tc>
      </w:tr>
      <w:tr w14:paraId="4B579B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43" w:hRule="atLeast"/>
          <w:jc w:val="center"/>
        </w:trPr>
        <w:tc>
          <w:tcPr>
            <w:tcW w:w="7356" w:type="dxa"/>
            <w:gridSpan w:val="5"/>
            <w:shd w:val="clear" w:color="auto" w:fill="auto"/>
            <w:vAlign w:val="center"/>
          </w:tcPr>
          <w:p w14:paraId="477AB135">
            <w:pPr>
              <w:spacing w:line="320" w:lineRule="exact"/>
              <w:jc w:val="center"/>
              <w:rPr>
                <w:rFonts w:ascii="Calibri" w:hAnsi="宋体" w:eastAsia="宋体" w:cs="华文仿宋"/>
                <w:b/>
                <w:szCs w:val="28"/>
                <w:lang w:val="zh-CN" w:bidi="zh-CN"/>
              </w:rPr>
            </w:pPr>
            <w:r>
              <w:rPr>
                <w:rFonts w:hint="eastAsia" w:ascii="Calibri" w:hAnsi="宋体" w:eastAsia="宋体" w:cs="华文仿宋"/>
                <w:b/>
                <w:szCs w:val="28"/>
                <w:lang w:val="zh-CN" w:bidi="zh-CN"/>
              </w:rPr>
              <w:t>合计</w:t>
            </w:r>
          </w:p>
        </w:tc>
        <w:tc>
          <w:tcPr>
            <w:tcW w:w="1446" w:type="dxa"/>
            <w:shd w:val="clear" w:color="auto" w:fill="auto"/>
            <w:vAlign w:val="center"/>
          </w:tcPr>
          <w:p w14:paraId="48ED1BFD">
            <w:pPr>
              <w:spacing w:line="320" w:lineRule="exact"/>
              <w:rPr>
                <w:rFonts w:ascii="Calibri" w:hAnsi="宋体" w:eastAsia="宋体" w:cs="华文仿宋"/>
                <w:b/>
                <w:szCs w:val="28"/>
                <w:lang w:val="zh-CN" w:eastAsia="en-US" w:bidi="zh-CN"/>
              </w:rPr>
            </w:pPr>
          </w:p>
        </w:tc>
      </w:tr>
    </w:tbl>
    <w:p w14:paraId="59F3F1D4">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1C183709">
      <w:pPr>
        <w:rPr>
          <w:rFonts w:ascii="Calibri" w:hAnsi="Calibri" w:eastAsia="宋体"/>
          <w:kern w:val="24"/>
        </w:rPr>
      </w:pPr>
      <w:r>
        <w:rPr>
          <w:rFonts w:hint="eastAsia" w:ascii="Calibri" w:hAnsi="Calibri" w:eastAsia="宋体"/>
          <w:kern w:val="24"/>
        </w:rPr>
        <w:t>说明</w:t>
      </w:r>
      <w:r>
        <w:rPr>
          <w:rFonts w:ascii="Calibri" w:hAnsi="Calibri" w:eastAsia="宋体"/>
          <w:kern w:val="24"/>
        </w:rPr>
        <w:t>：1、</w:t>
      </w:r>
      <w:r>
        <w:rPr>
          <w:rFonts w:hint="eastAsia" w:ascii="Calibri" w:hAnsi="Calibri" w:eastAsia="宋体"/>
          <w:kern w:val="24"/>
        </w:rPr>
        <w:t>本表“合计”值应与开标一览表表中的“合计（元）”值一致。</w:t>
      </w:r>
    </w:p>
    <w:p w14:paraId="6804062B">
      <w:pPr>
        <w:ind w:firstLine="720" w:firstLineChars="300"/>
        <w:rPr>
          <w:rFonts w:ascii="Calibri" w:hAnsi="Calibri" w:eastAsia="宋体"/>
          <w:bCs/>
          <w:kern w:val="24"/>
        </w:rPr>
      </w:pPr>
      <w:r>
        <w:rPr>
          <w:rFonts w:hint="eastAsia" w:ascii="Calibri" w:hAnsi="Calibri" w:eastAsia="宋体"/>
          <w:kern w:val="24"/>
        </w:rPr>
        <w:t>2、单价超过保险费率最高</w:t>
      </w:r>
      <w:r>
        <w:rPr>
          <w:rFonts w:ascii="Calibri" w:hAnsi="Calibri" w:eastAsia="宋体"/>
          <w:kern w:val="24"/>
        </w:rPr>
        <w:t>限价</w:t>
      </w:r>
      <w:r>
        <w:rPr>
          <w:rFonts w:hint="eastAsia" w:ascii="Calibri" w:hAnsi="Calibri" w:eastAsia="宋体"/>
          <w:kern w:val="24"/>
        </w:rPr>
        <w:t>的</w:t>
      </w:r>
      <w:r>
        <w:rPr>
          <w:rFonts w:ascii="Calibri" w:hAnsi="Calibri" w:eastAsia="宋体"/>
          <w:kern w:val="24"/>
        </w:rPr>
        <w:t>，按无效投标处理。</w:t>
      </w:r>
    </w:p>
    <w:p w14:paraId="2D4F2EEF">
      <w:pPr>
        <w:wordWrap w:val="0"/>
        <w:spacing w:line="400" w:lineRule="exact"/>
        <w:jc w:val="both"/>
      </w:pPr>
    </w:p>
    <w:p w14:paraId="7D6D9EC5">
      <w:pPr>
        <w:wordWrap w:val="0"/>
        <w:spacing w:line="400" w:lineRule="exact"/>
        <w:jc w:val="both"/>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5DF5191D">
      <w:pPr>
        <w:ind w:firstLine="480" w:firstLineChars="200"/>
        <w:jc w:val="both"/>
        <w:rPr>
          <w:rFonts w:cstheme="minorHAnsi"/>
          <w:color w:val="000000"/>
          <w:kern w:val="24"/>
        </w:rPr>
      </w:pPr>
      <w:r>
        <w:rPr>
          <w:rFonts w:cstheme="minorHAnsi"/>
          <w:color w:val="000000"/>
          <w:kern w:val="24"/>
        </w:rPr>
        <w:t>特此声明。</w:t>
      </w:r>
    </w:p>
    <w:p w14:paraId="6188D30F">
      <w:pPr>
        <w:ind w:firstLine="480" w:firstLineChars="200"/>
        <w:jc w:val="both"/>
        <w:rPr>
          <w:rFonts w:cstheme="minorHAnsi"/>
          <w:color w:val="000000"/>
          <w:kern w:val="24"/>
        </w:rPr>
      </w:pPr>
    </w:p>
    <w:p w14:paraId="7D9CCC7B">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ind w:firstLine="480" w:firstLineChars="200"/>
        <w:jc w:val="both"/>
        <w:rPr>
          <w:rFonts w:cstheme="minorHAnsi"/>
          <w:color w:val="000000"/>
          <w:kern w:val="24"/>
        </w:rPr>
      </w:pP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67993D79">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14:paraId="7CD83CFF">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14:paraId="0EA8EE03">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w:t>
      </w:r>
      <w:r>
        <w:rPr>
          <w:rFonts w:hint="eastAsia" w:cstheme="minorHAnsi"/>
          <w:color w:val="000000"/>
          <w:kern w:val="24"/>
        </w:rPr>
        <w:t>投标</w:t>
      </w:r>
      <w:r>
        <w:rPr>
          <w:rFonts w:cstheme="minorHAnsi"/>
          <w:color w:val="000000"/>
          <w:kern w:val="24"/>
        </w:rPr>
        <w:t>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w:t>
      </w:r>
      <w:r>
        <w:rPr>
          <w:rFonts w:hint="eastAsia" w:cstheme="minorHAnsi"/>
          <w:color w:val="000000"/>
          <w:kern w:val="24"/>
        </w:rPr>
        <w:t>投标</w:t>
      </w:r>
      <w:r>
        <w:rPr>
          <w:rFonts w:cstheme="minorHAnsi"/>
          <w:color w:val="000000"/>
          <w:kern w:val="24"/>
        </w:rPr>
        <w:t>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68D5994F">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14:paraId="314ADD5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）特定资格条件（如有）</w:t>
      </w:r>
    </w:p>
    <w:p w14:paraId="6E9E3C6B">
      <w:pPr>
        <w:spacing w:line="440" w:lineRule="exact"/>
        <w:ind w:firstLine="480" w:firstLineChars="200"/>
        <w:jc w:val="both"/>
        <w:rPr>
          <w:rFonts w:cstheme="minorHAnsi"/>
          <w:color w:val="000000"/>
        </w:rPr>
      </w:pPr>
    </w:p>
    <w:p w14:paraId="660607BB">
      <w:pPr>
        <w:jc w:val="both"/>
        <w:rPr>
          <w:rFonts w:ascii="Calibri" w:hAnsi="Calibri" w:eastAsia="黑体"/>
          <w:kern w:val="28"/>
          <w:sz w:val="28"/>
        </w:rPr>
      </w:pPr>
    </w:p>
    <w:p w14:paraId="76454DB5">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169A9907">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14:paraId="43ED6B92">
      <w:pPr>
        <w:keepNext/>
        <w:spacing w:before="120" w:after="60"/>
        <w:outlineLvl w:val="2"/>
        <w:rPr>
          <w:rFonts w:ascii="黑体" w:hAnsi="黑体" w:eastAsia="黑体"/>
          <w:kern w:val="28"/>
          <w:sz w:val="28"/>
          <w:szCs w:val="28"/>
        </w:rPr>
      </w:pPr>
      <w:r>
        <w:rPr>
          <w:rFonts w:ascii="黑体" w:hAnsi="黑体" w:eastAsia="黑体"/>
          <w:kern w:val="28"/>
          <w:sz w:val="28"/>
          <w:szCs w:val="28"/>
        </w:rPr>
        <w:t>（一）技术（服务）条款响应（暗标盲评部分）</w:t>
      </w:r>
    </w:p>
    <w:p w14:paraId="0644AB91">
      <w:pPr>
        <w:ind w:firstLine="480" w:firstLineChars="200"/>
        <w:rPr>
          <w:rFonts w:asciiTheme="minorEastAsia" w:hAnsiTheme="minorEastAsia"/>
        </w:rPr>
      </w:pPr>
      <w:r>
        <w:rPr>
          <w:rFonts w:asciiTheme="minorEastAsia" w:hAnsiTheme="minorEastAsia"/>
        </w:rPr>
        <w:t>特别提醒：</w:t>
      </w:r>
    </w:p>
    <w:p w14:paraId="13767FE4">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14:paraId="441519BB">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14:paraId="7888F4D8">
      <w:pPr>
        <w:ind w:firstLine="480" w:firstLineChars="200"/>
        <w:rPr>
          <w:rFonts w:asciiTheme="minorEastAsia" w:hAnsiTheme="minorEastAsia"/>
        </w:rPr>
      </w:pPr>
    </w:p>
    <w:p w14:paraId="39260179">
      <w:pPr>
        <w:jc w:val="center"/>
        <w:rPr>
          <w:rFonts w:asciiTheme="minorEastAsia" w:hAnsiTheme="minorEastAsia"/>
          <w:b/>
        </w:rPr>
      </w:pPr>
      <w:r>
        <w:rPr>
          <w:rFonts w:hint="eastAsia" w:asciiTheme="minorEastAsia" w:hAnsiTheme="minorEastAsia"/>
          <w:b/>
        </w:rPr>
        <w:t>1.</w:t>
      </w:r>
      <w:r>
        <w:rPr>
          <w:rFonts w:asciiTheme="minorEastAsia" w:hAnsiTheme="minorEastAsia"/>
          <w:b/>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3019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0213544E">
            <w:pPr>
              <w:jc w:val="center"/>
              <w:rPr>
                <w:rFonts w:asciiTheme="minorEastAsia" w:hAnsiTheme="minorEastAsia"/>
              </w:rPr>
            </w:pPr>
            <w:r>
              <w:rPr>
                <w:rFonts w:asciiTheme="minorEastAsia" w:hAnsiTheme="minorEastAsia"/>
              </w:rPr>
              <w:t>序号</w:t>
            </w:r>
          </w:p>
        </w:tc>
        <w:tc>
          <w:tcPr>
            <w:tcW w:w="3207" w:type="dxa"/>
            <w:shd w:val="clear" w:color="auto" w:fill="auto"/>
            <w:vAlign w:val="center"/>
          </w:tcPr>
          <w:p w14:paraId="3A95E38B">
            <w:pPr>
              <w:jc w:val="center"/>
              <w:rPr>
                <w:rFonts w:asciiTheme="minorEastAsia" w:hAnsiTheme="minorEastAsia"/>
              </w:rPr>
            </w:pPr>
            <w:r>
              <w:rPr>
                <w:rFonts w:asciiTheme="minorEastAsia" w:hAnsiTheme="minorEastAsia"/>
              </w:rPr>
              <w:t>招标文件</w:t>
            </w:r>
          </w:p>
        </w:tc>
        <w:tc>
          <w:tcPr>
            <w:tcW w:w="3351" w:type="dxa"/>
            <w:shd w:val="clear" w:color="auto" w:fill="auto"/>
            <w:vAlign w:val="center"/>
          </w:tcPr>
          <w:p w14:paraId="23470F9C">
            <w:pPr>
              <w:jc w:val="center"/>
              <w:rPr>
                <w:rFonts w:asciiTheme="minorEastAsia" w:hAnsiTheme="minorEastAsia"/>
              </w:rPr>
            </w:pPr>
            <w:r>
              <w:rPr>
                <w:rFonts w:asciiTheme="minorEastAsia" w:hAnsiTheme="minorEastAsia"/>
              </w:rPr>
              <w:t>投标文件</w:t>
            </w:r>
          </w:p>
        </w:tc>
        <w:tc>
          <w:tcPr>
            <w:tcW w:w="1798" w:type="dxa"/>
            <w:vMerge w:val="restart"/>
            <w:shd w:val="clear" w:color="auto" w:fill="auto"/>
            <w:vAlign w:val="center"/>
          </w:tcPr>
          <w:p w14:paraId="782EA26B">
            <w:pPr>
              <w:jc w:val="center"/>
              <w:rPr>
                <w:rFonts w:asciiTheme="minorEastAsia" w:hAnsiTheme="minorEastAsia"/>
              </w:rPr>
            </w:pPr>
            <w:r>
              <w:rPr>
                <w:rFonts w:asciiTheme="minorEastAsia" w:hAnsiTheme="minorEastAsia"/>
              </w:rPr>
              <w:t>响应说明</w:t>
            </w:r>
          </w:p>
        </w:tc>
      </w:tr>
      <w:tr w14:paraId="203A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6B9C480F">
            <w:pPr>
              <w:rPr>
                <w:rFonts w:asciiTheme="minorEastAsia" w:hAnsiTheme="minorEastAsia"/>
              </w:rPr>
            </w:pPr>
          </w:p>
        </w:tc>
        <w:tc>
          <w:tcPr>
            <w:tcW w:w="3207" w:type="dxa"/>
            <w:shd w:val="clear" w:color="auto" w:fill="auto"/>
            <w:vAlign w:val="center"/>
          </w:tcPr>
          <w:p w14:paraId="658558E4">
            <w:pPr>
              <w:jc w:val="center"/>
              <w:rPr>
                <w:rFonts w:asciiTheme="minorEastAsia" w:hAnsiTheme="minorEastAsia"/>
              </w:rPr>
            </w:pPr>
            <w:r>
              <w:rPr>
                <w:rFonts w:asciiTheme="minorEastAsia" w:hAnsiTheme="minorEastAsia"/>
              </w:rPr>
              <w:t>技术要求非实质性条款</w:t>
            </w:r>
          </w:p>
        </w:tc>
        <w:tc>
          <w:tcPr>
            <w:tcW w:w="3351" w:type="dxa"/>
            <w:shd w:val="clear" w:color="auto" w:fill="auto"/>
            <w:vAlign w:val="center"/>
          </w:tcPr>
          <w:p w14:paraId="47AFFCF7">
            <w:pPr>
              <w:jc w:val="center"/>
              <w:rPr>
                <w:rFonts w:asciiTheme="minorEastAsia" w:hAnsiTheme="minorEastAsia"/>
              </w:rPr>
            </w:pPr>
            <w:r>
              <w:rPr>
                <w:rFonts w:asciiTheme="minorEastAsia" w:hAnsiTheme="minorEastAsia"/>
              </w:rPr>
              <w:t>技术要求响应内容或索引</w:t>
            </w:r>
          </w:p>
        </w:tc>
        <w:tc>
          <w:tcPr>
            <w:tcW w:w="1798" w:type="dxa"/>
            <w:vMerge w:val="continue"/>
            <w:shd w:val="clear" w:color="auto" w:fill="auto"/>
            <w:vAlign w:val="center"/>
          </w:tcPr>
          <w:p w14:paraId="45887D47">
            <w:pPr>
              <w:rPr>
                <w:rFonts w:asciiTheme="minorEastAsia" w:hAnsiTheme="minorEastAsia"/>
              </w:rPr>
            </w:pPr>
          </w:p>
        </w:tc>
      </w:tr>
      <w:tr w14:paraId="6F17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C2503C1">
            <w:pPr>
              <w:jc w:val="center"/>
              <w:rPr>
                <w:rFonts w:asciiTheme="minorEastAsia" w:hAnsiTheme="minorEastAsia"/>
              </w:rPr>
            </w:pPr>
          </w:p>
        </w:tc>
        <w:tc>
          <w:tcPr>
            <w:tcW w:w="3207" w:type="dxa"/>
            <w:shd w:val="clear" w:color="auto" w:fill="auto"/>
            <w:vAlign w:val="center"/>
          </w:tcPr>
          <w:p w14:paraId="030DC0C9">
            <w:pPr>
              <w:rPr>
                <w:rFonts w:asciiTheme="minorEastAsia" w:hAnsiTheme="minorEastAsia"/>
              </w:rPr>
            </w:pPr>
          </w:p>
        </w:tc>
        <w:tc>
          <w:tcPr>
            <w:tcW w:w="3351" w:type="dxa"/>
            <w:shd w:val="clear" w:color="auto" w:fill="auto"/>
            <w:vAlign w:val="center"/>
          </w:tcPr>
          <w:p w14:paraId="41A97EF0">
            <w:pPr>
              <w:rPr>
                <w:rFonts w:asciiTheme="minorEastAsia" w:hAnsiTheme="minorEastAsia"/>
              </w:rPr>
            </w:pPr>
          </w:p>
        </w:tc>
        <w:tc>
          <w:tcPr>
            <w:tcW w:w="1798" w:type="dxa"/>
            <w:shd w:val="clear" w:color="auto" w:fill="auto"/>
            <w:vAlign w:val="center"/>
          </w:tcPr>
          <w:p w14:paraId="1E77A591">
            <w:pPr>
              <w:rPr>
                <w:rFonts w:asciiTheme="minorEastAsia" w:hAnsiTheme="minorEastAsia"/>
              </w:rPr>
            </w:pPr>
          </w:p>
        </w:tc>
      </w:tr>
      <w:tr w14:paraId="702C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72420374">
            <w:pPr>
              <w:jc w:val="center"/>
              <w:rPr>
                <w:rFonts w:asciiTheme="minorEastAsia" w:hAnsiTheme="minorEastAsia"/>
              </w:rPr>
            </w:pPr>
            <w:r>
              <w:rPr>
                <w:rFonts w:asciiTheme="minorEastAsia" w:hAnsiTheme="minorEastAsia"/>
              </w:rPr>
              <w:t>示例</w:t>
            </w:r>
          </w:p>
        </w:tc>
        <w:tc>
          <w:tcPr>
            <w:tcW w:w="3207" w:type="dxa"/>
            <w:shd w:val="clear" w:color="auto" w:fill="auto"/>
            <w:vAlign w:val="center"/>
          </w:tcPr>
          <w:p w14:paraId="698B6AA8">
            <w:pPr>
              <w:rPr>
                <w:rFonts w:asciiTheme="minorEastAsia" w:hAnsiTheme="minorEastAsia"/>
              </w:rPr>
            </w:pPr>
            <w:r>
              <w:rPr>
                <w:rFonts w:asciiTheme="minorEastAsia" w:hAnsiTheme="minorEastAsia"/>
              </w:rPr>
              <w:t>黑色，打印量≥1500页</w:t>
            </w:r>
          </w:p>
        </w:tc>
        <w:tc>
          <w:tcPr>
            <w:tcW w:w="3351" w:type="dxa"/>
            <w:shd w:val="clear" w:color="auto" w:fill="auto"/>
            <w:vAlign w:val="center"/>
          </w:tcPr>
          <w:p w14:paraId="24879011">
            <w:pPr>
              <w:rPr>
                <w:rFonts w:asciiTheme="minorEastAsia" w:hAnsiTheme="minorEastAsia"/>
              </w:rPr>
            </w:pPr>
            <w:r>
              <w:rPr>
                <w:rFonts w:asciiTheme="minorEastAsia" w:hAnsiTheme="minorEastAsia"/>
              </w:rPr>
              <w:t>1、黑色，打印量1500页……</w:t>
            </w:r>
          </w:p>
          <w:p w14:paraId="7FAE9844">
            <w:pPr>
              <w:rPr>
                <w:rFonts w:asciiTheme="minorEastAsia" w:hAnsiTheme="minorEastAsia"/>
              </w:rPr>
            </w:pPr>
            <w:r>
              <w:rPr>
                <w:rFonts w:asciiTheme="minorEastAsia" w:hAnsiTheme="minorEastAsia"/>
              </w:rPr>
              <w:t>2、产品描述、产品优势（若有）</w:t>
            </w:r>
          </w:p>
        </w:tc>
        <w:tc>
          <w:tcPr>
            <w:tcW w:w="1798" w:type="dxa"/>
            <w:shd w:val="clear" w:color="auto" w:fill="auto"/>
            <w:vAlign w:val="center"/>
          </w:tcPr>
          <w:p w14:paraId="68145C77">
            <w:pPr>
              <w:jc w:val="center"/>
              <w:rPr>
                <w:rFonts w:asciiTheme="minorEastAsia" w:hAnsiTheme="minorEastAsia"/>
              </w:rPr>
            </w:pPr>
            <w:r>
              <w:rPr>
                <w:rFonts w:asciiTheme="minorEastAsia" w:hAnsiTheme="minorEastAsia"/>
              </w:rPr>
              <w:t>符合</w:t>
            </w:r>
          </w:p>
        </w:tc>
      </w:tr>
      <w:tr w14:paraId="448D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AC0690C">
            <w:pPr>
              <w:jc w:val="center"/>
              <w:rPr>
                <w:rFonts w:asciiTheme="minorEastAsia" w:hAnsiTheme="minorEastAsia"/>
              </w:rPr>
            </w:pPr>
          </w:p>
        </w:tc>
        <w:tc>
          <w:tcPr>
            <w:tcW w:w="3207" w:type="dxa"/>
            <w:shd w:val="clear" w:color="auto" w:fill="auto"/>
            <w:vAlign w:val="center"/>
          </w:tcPr>
          <w:p w14:paraId="728AF05C">
            <w:pPr>
              <w:rPr>
                <w:rFonts w:asciiTheme="minorEastAsia" w:hAnsiTheme="minorEastAsia"/>
              </w:rPr>
            </w:pPr>
          </w:p>
        </w:tc>
        <w:tc>
          <w:tcPr>
            <w:tcW w:w="3351" w:type="dxa"/>
            <w:shd w:val="clear" w:color="auto" w:fill="auto"/>
            <w:vAlign w:val="center"/>
          </w:tcPr>
          <w:p w14:paraId="5733F50D">
            <w:pPr>
              <w:rPr>
                <w:rFonts w:asciiTheme="minorEastAsia" w:hAnsiTheme="minorEastAsia"/>
              </w:rPr>
            </w:pPr>
          </w:p>
        </w:tc>
        <w:tc>
          <w:tcPr>
            <w:tcW w:w="1798" w:type="dxa"/>
            <w:shd w:val="clear" w:color="auto" w:fill="auto"/>
            <w:vAlign w:val="center"/>
          </w:tcPr>
          <w:p w14:paraId="7F4CE8D5">
            <w:pPr>
              <w:rPr>
                <w:rFonts w:asciiTheme="minorEastAsia" w:hAnsiTheme="minorEastAsia"/>
              </w:rPr>
            </w:pPr>
          </w:p>
        </w:tc>
      </w:tr>
      <w:tr w14:paraId="7877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7773D349">
            <w:pPr>
              <w:jc w:val="center"/>
              <w:rPr>
                <w:rFonts w:asciiTheme="minorEastAsia" w:hAnsiTheme="minorEastAsia"/>
              </w:rPr>
            </w:pPr>
          </w:p>
        </w:tc>
        <w:tc>
          <w:tcPr>
            <w:tcW w:w="3207" w:type="dxa"/>
            <w:shd w:val="clear" w:color="auto" w:fill="auto"/>
            <w:vAlign w:val="center"/>
          </w:tcPr>
          <w:p w14:paraId="317D88F6">
            <w:pPr>
              <w:rPr>
                <w:rFonts w:asciiTheme="minorEastAsia" w:hAnsiTheme="minorEastAsia"/>
              </w:rPr>
            </w:pPr>
          </w:p>
        </w:tc>
        <w:tc>
          <w:tcPr>
            <w:tcW w:w="3351" w:type="dxa"/>
            <w:shd w:val="clear" w:color="auto" w:fill="auto"/>
            <w:vAlign w:val="center"/>
          </w:tcPr>
          <w:p w14:paraId="37FC1F82">
            <w:pPr>
              <w:rPr>
                <w:rFonts w:asciiTheme="minorEastAsia" w:hAnsiTheme="minorEastAsia"/>
              </w:rPr>
            </w:pPr>
          </w:p>
        </w:tc>
        <w:tc>
          <w:tcPr>
            <w:tcW w:w="1798" w:type="dxa"/>
            <w:shd w:val="clear" w:color="auto" w:fill="auto"/>
            <w:vAlign w:val="center"/>
          </w:tcPr>
          <w:p w14:paraId="5E518568">
            <w:pPr>
              <w:rPr>
                <w:rFonts w:asciiTheme="minorEastAsia" w:hAnsiTheme="minorEastAsia"/>
              </w:rPr>
            </w:pPr>
          </w:p>
        </w:tc>
      </w:tr>
      <w:tr w14:paraId="02FE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85B8073">
            <w:pPr>
              <w:jc w:val="center"/>
              <w:rPr>
                <w:rFonts w:asciiTheme="minorEastAsia" w:hAnsiTheme="minorEastAsia"/>
              </w:rPr>
            </w:pPr>
          </w:p>
        </w:tc>
        <w:tc>
          <w:tcPr>
            <w:tcW w:w="3207" w:type="dxa"/>
            <w:shd w:val="clear" w:color="auto" w:fill="auto"/>
            <w:vAlign w:val="center"/>
          </w:tcPr>
          <w:p w14:paraId="595B7971">
            <w:pPr>
              <w:rPr>
                <w:rFonts w:asciiTheme="minorEastAsia" w:hAnsiTheme="minorEastAsia"/>
              </w:rPr>
            </w:pPr>
          </w:p>
        </w:tc>
        <w:tc>
          <w:tcPr>
            <w:tcW w:w="3351" w:type="dxa"/>
            <w:shd w:val="clear" w:color="auto" w:fill="auto"/>
            <w:vAlign w:val="center"/>
          </w:tcPr>
          <w:p w14:paraId="254ED0B3">
            <w:pPr>
              <w:rPr>
                <w:rFonts w:asciiTheme="minorEastAsia" w:hAnsiTheme="minorEastAsia"/>
              </w:rPr>
            </w:pPr>
          </w:p>
        </w:tc>
        <w:tc>
          <w:tcPr>
            <w:tcW w:w="1798" w:type="dxa"/>
            <w:shd w:val="clear" w:color="auto" w:fill="auto"/>
            <w:vAlign w:val="center"/>
          </w:tcPr>
          <w:p w14:paraId="5BA9250A">
            <w:pPr>
              <w:rPr>
                <w:rFonts w:asciiTheme="minorEastAsia" w:hAnsiTheme="minorEastAsia"/>
              </w:rPr>
            </w:pPr>
          </w:p>
        </w:tc>
      </w:tr>
      <w:tr w14:paraId="7504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3CFB3F4">
            <w:pPr>
              <w:jc w:val="center"/>
              <w:rPr>
                <w:rFonts w:asciiTheme="minorEastAsia" w:hAnsiTheme="minorEastAsia"/>
              </w:rPr>
            </w:pPr>
          </w:p>
        </w:tc>
        <w:tc>
          <w:tcPr>
            <w:tcW w:w="3207" w:type="dxa"/>
            <w:shd w:val="clear" w:color="auto" w:fill="auto"/>
            <w:vAlign w:val="center"/>
          </w:tcPr>
          <w:p w14:paraId="52373B75">
            <w:pPr>
              <w:rPr>
                <w:rFonts w:asciiTheme="minorEastAsia" w:hAnsiTheme="minorEastAsia"/>
              </w:rPr>
            </w:pPr>
          </w:p>
        </w:tc>
        <w:tc>
          <w:tcPr>
            <w:tcW w:w="3351" w:type="dxa"/>
            <w:shd w:val="clear" w:color="auto" w:fill="auto"/>
            <w:vAlign w:val="center"/>
          </w:tcPr>
          <w:p w14:paraId="2BF0E198">
            <w:pPr>
              <w:rPr>
                <w:rFonts w:asciiTheme="minorEastAsia" w:hAnsiTheme="minorEastAsia"/>
              </w:rPr>
            </w:pPr>
          </w:p>
        </w:tc>
        <w:tc>
          <w:tcPr>
            <w:tcW w:w="1798" w:type="dxa"/>
            <w:shd w:val="clear" w:color="auto" w:fill="auto"/>
            <w:vAlign w:val="center"/>
          </w:tcPr>
          <w:p w14:paraId="530B5690">
            <w:pPr>
              <w:rPr>
                <w:rFonts w:asciiTheme="minorEastAsia" w:hAnsiTheme="minorEastAsia"/>
              </w:rPr>
            </w:pPr>
          </w:p>
        </w:tc>
      </w:tr>
      <w:tr w14:paraId="4557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2E21C96">
            <w:pPr>
              <w:jc w:val="center"/>
              <w:rPr>
                <w:rFonts w:asciiTheme="minorEastAsia" w:hAnsiTheme="minorEastAsia"/>
              </w:rPr>
            </w:pPr>
          </w:p>
        </w:tc>
        <w:tc>
          <w:tcPr>
            <w:tcW w:w="3207" w:type="dxa"/>
            <w:shd w:val="clear" w:color="auto" w:fill="auto"/>
            <w:vAlign w:val="center"/>
          </w:tcPr>
          <w:p w14:paraId="476F75B1">
            <w:pPr>
              <w:rPr>
                <w:rFonts w:asciiTheme="minorEastAsia" w:hAnsiTheme="minorEastAsia"/>
              </w:rPr>
            </w:pPr>
          </w:p>
        </w:tc>
        <w:tc>
          <w:tcPr>
            <w:tcW w:w="3351" w:type="dxa"/>
            <w:shd w:val="clear" w:color="auto" w:fill="auto"/>
            <w:vAlign w:val="center"/>
          </w:tcPr>
          <w:p w14:paraId="1A02E0EB">
            <w:pPr>
              <w:rPr>
                <w:rFonts w:asciiTheme="minorEastAsia" w:hAnsiTheme="minorEastAsia"/>
              </w:rPr>
            </w:pPr>
          </w:p>
        </w:tc>
        <w:tc>
          <w:tcPr>
            <w:tcW w:w="1798" w:type="dxa"/>
            <w:shd w:val="clear" w:color="auto" w:fill="auto"/>
            <w:vAlign w:val="center"/>
          </w:tcPr>
          <w:p w14:paraId="7B7B5422">
            <w:pPr>
              <w:rPr>
                <w:rFonts w:asciiTheme="minorEastAsia" w:hAnsiTheme="minorEastAsia"/>
              </w:rPr>
            </w:pPr>
          </w:p>
        </w:tc>
      </w:tr>
      <w:tr w14:paraId="210A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EE6D0D8">
            <w:pPr>
              <w:rPr>
                <w:rFonts w:asciiTheme="minorEastAsia" w:hAnsiTheme="minorEastAsia"/>
              </w:rPr>
            </w:pPr>
            <w:r>
              <w:rPr>
                <w:rFonts w:asciiTheme="minorEastAsia" w:hAnsiTheme="minorEastAsia"/>
              </w:rPr>
              <w:t>备注</w:t>
            </w:r>
          </w:p>
        </w:tc>
        <w:tc>
          <w:tcPr>
            <w:tcW w:w="8356" w:type="dxa"/>
            <w:gridSpan w:val="3"/>
            <w:shd w:val="clear" w:color="auto" w:fill="auto"/>
            <w:vAlign w:val="center"/>
          </w:tcPr>
          <w:p w14:paraId="07E6D2BA">
            <w:pPr>
              <w:jc w:val="both"/>
              <w:rPr>
                <w:rFonts w:asciiTheme="minorEastAsia" w:hAnsiTheme="minorEastAsia"/>
              </w:rPr>
            </w:pPr>
            <w:r>
              <w:rPr>
                <w:rFonts w:asciiTheme="minorEastAsia" w:hAnsiTheme="minorEastAsia"/>
              </w:rPr>
              <w:t>① 只需对</w:t>
            </w:r>
            <w:r>
              <w:rPr>
                <w:rFonts w:hint="eastAsia" w:asciiTheme="minorEastAsia" w:hAnsiTheme="minorEastAsia"/>
              </w:rPr>
              <w:t>第三章</w:t>
            </w:r>
            <w:r>
              <w:rPr>
                <w:rFonts w:asciiTheme="minorEastAsia" w:hAnsiTheme="minorEastAsia"/>
              </w:rPr>
              <w:t>技术（服务）要求中的非实质性条款（未标注</w:t>
            </w:r>
            <w:r>
              <w:rPr>
                <w:rFonts w:cs="Segoe UI Symbol" w:asciiTheme="minorEastAsia" w:hAnsiTheme="minorEastAsia"/>
              </w:rPr>
              <w:t>★</w:t>
            </w:r>
            <w:r>
              <w:rPr>
                <w:rFonts w:asciiTheme="minorEastAsia" w:hAnsiTheme="minorEastAsia"/>
              </w:rPr>
              <w:t>的）作出响应。表格行数不够时，请自行扩展。</w:t>
            </w:r>
          </w:p>
          <w:p w14:paraId="3D2EDE65">
            <w:pPr>
              <w:jc w:val="both"/>
              <w:rPr>
                <w:rFonts w:asciiTheme="minorEastAsia" w:hAnsiTheme="minorEastAsia"/>
              </w:rPr>
            </w:pPr>
            <w:r>
              <w:rPr>
                <w:rFonts w:asciiTheme="minorEastAsia" w:hAnsiTheme="minorEastAsia"/>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4A16A4B4">
            <w:pPr>
              <w:jc w:val="both"/>
              <w:rPr>
                <w:rFonts w:asciiTheme="minorEastAsia" w:hAnsiTheme="minorEastAsia"/>
              </w:rPr>
            </w:pPr>
            <w:r>
              <w:rPr>
                <w:rFonts w:asciiTheme="minorEastAsia" w:hAnsiTheme="minorEastAsia"/>
              </w:rPr>
              <w:t>③ “响应说明”应根据实际响应程度填写“优于”、“符合”、“负偏离”。</w:t>
            </w:r>
          </w:p>
          <w:p w14:paraId="61B96953">
            <w:pPr>
              <w:jc w:val="both"/>
              <w:rPr>
                <w:rFonts w:asciiTheme="minorEastAsia" w:hAnsiTheme="minorEastAsia"/>
              </w:rPr>
            </w:pPr>
            <w:r>
              <w:rPr>
                <w:rFonts w:asciiTheme="minorEastAsia" w:hAnsiTheme="minorEastAsia"/>
              </w:rPr>
              <w:t>④ 表格中“示例”部分仅供参考，供应商在响应时请自行清除。</w:t>
            </w:r>
          </w:p>
        </w:tc>
      </w:tr>
    </w:tbl>
    <w:p w14:paraId="2D55BE23">
      <w:pPr>
        <w:rPr>
          <w:rFonts w:asciiTheme="minorEastAsia" w:hAnsiTheme="minorEastAsia"/>
        </w:rPr>
      </w:pPr>
    </w:p>
    <w:p w14:paraId="4D6C1D6E">
      <w:pPr>
        <w:jc w:val="center"/>
        <w:rPr>
          <w:rFonts w:cstheme="minorHAnsi"/>
          <w:b/>
        </w:rPr>
      </w:pPr>
      <w:r>
        <w:rPr>
          <w:rFonts w:cstheme="minorHAnsi"/>
          <w:b/>
        </w:rPr>
        <w:t>2</w:t>
      </w:r>
      <w:r>
        <w:rPr>
          <w:rFonts w:hint="eastAsia" w:cstheme="minorHAnsi"/>
          <w:b/>
        </w:rPr>
        <w:t>.</w:t>
      </w:r>
      <w:r>
        <w:rPr>
          <w:rFonts w:hint="eastAsia" w:cstheme="minorHAnsi"/>
          <w:b/>
          <w:i/>
        </w:rPr>
        <w:t>技术（服务）响应方案</w:t>
      </w:r>
    </w:p>
    <w:p w14:paraId="47B1E133">
      <w:pPr>
        <w:rPr>
          <w:i/>
          <w:color w:val="C00000"/>
        </w:rPr>
      </w:pPr>
      <w:r>
        <w:rPr>
          <w:rFonts w:hint="eastAsia"/>
          <w:i/>
          <w:color w:val="C00000"/>
        </w:rPr>
        <w:t>供应商结合第三章《招标内容及要求》相关要求及第二章《评审要素及分值一览表》暗标部分中各评审要素逐项编写方案。</w:t>
      </w:r>
    </w:p>
    <w:p w14:paraId="0E192C02">
      <w:pPr>
        <w:rPr>
          <w:i/>
          <w:color w:val="C00000"/>
        </w:rPr>
      </w:pPr>
    </w:p>
    <w:p w14:paraId="76BA1154">
      <w:pPr>
        <w:rPr>
          <w:i/>
          <w:color w:val="C00000"/>
        </w:rPr>
      </w:pPr>
      <w:r>
        <w:rPr>
          <w:rFonts w:hint="eastAsia"/>
          <w:i/>
          <w:color w:val="C00000"/>
        </w:rPr>
        <w:t>示例：</w:t>
      </w:r>
    </w:p>
    <w:p w14:paraId="5B37C417">
      <w:pPr>
        <w:rPr>
          <w:rFonts w:asciiTheme="minorEastAsia" w:hAnsiTheme="minorEastAsia"/>
        </w:rPr>
      </w:pPr>
      <w:r>
        <w:rPr>
          <w:rFonts w:hint="eastAsia" w:asciiTheme="minorEastAsia" w:hAnsiTheme="minorEastAsia"/>
        </w:rPr>
        <w:t>1．总体实施方案</w:t>
      </w:r>
    </w:p>
    <w:p w14:paraId="056A9ADF">
      <w:pPr>
        <w:rPr>
          <w:rFonts w:asciiTheme="minorEastAsia" w:hAnsiTheme="minorEastAsia"/>
        </w:rPr>
      </w:pPr>
    </w:p>
    <w:p w14:paraId="65C421CB">
      <w:pPr>
        <w:rPr>
          <w:rFonts w:asciiTheme="minorEastAsia" w:hAnsiTheme="minorEastAsia"/>
        </w:rPr>
      </w:pPr>
      <w:r>
        <w:rPr>
          <w:rFonts w:asciiTheme="minorEastAsia" w:hAnsiTheme="minorEastAsia"/>
        </w:rPr>
        <w:t>2</w:t>
      </w:r>
      <w:r>
        <w:rPr>
          <w:rFonts w:hint="eastAsia" w:asciiTheme="minorEastAsia" w:hAnsiTheme="minorEastAsia"/>
        </w:rPr>
        <w:t>．人员信息</w:t>
      </w:r>
      <w:r>
        <w:rPr>
          <w:rFonts w:asciiTheme="minorEastAsia" w:hAnsiTheme="minorEastAsia"/>
        </w:rPr>
        <w:t>保密</w:t>
      </w:r>
      <w:r>
        <w:rPr>
          <w:rFonts w:hint="eastAsia" w:asciiTheme="minorEastAsia" w:hAnsiTheme="minorEastAsia"/>
        </w:rPr>
        <w:t>方案</w:t>
      </w:r>
    </w:p>
    <w:p w14:paraId="08044D05">
      <w:pPr>
        <w:rPr>
          <w:rFonts w:asciiTheme="minorEastAsia" w:hAnsiTheme="minorEastAsia"/>
        </w:rPr>
      </w:pPr>
    </w:p>
    <w:p w14:paraId="280B6613">
      <w:pPr>
        <w:rPr>
          <w:rFonts w:asciiTheme="minorEastAsia" w:hAnsiTheme="minorEastAsia"/>
        </w:rPr>
      </w:pPr>
      <w:r>
        <w:rPr>
          <w:rFonts w:asciiTheme="minorEastAsia" w:hAnsiTheme="minorEastAsia"/>
        </w:rPr>
        <w:t>……</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color w:val="000000"/>
          <w:kern w:val="24"/>
        </w:rPr>
      </w:pPr>
      <w:r>
        <w:rPr>
          <w:rFonts w:hint="eastAsia" w:ascii="Calibri" w:hAnsi="Calibri" w:eastAsia="宋体" w:cstheme="minorHAnsi"/>
          <w:color w:val="000000"/>
          <w:kern w:val="24"/>
        </w:rPr>
        <w:t>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14:paraId="75A1598A">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32EFF2EE">
      <w:pPr>
        <w:rPr>
          <w:rFonts w:asciiTheme="minorEastAsia" w:hAnsiTheme="minorEastAsia" w:cstheme="minorHAnsi"/>
          <w:b/>
          <w:color w:val="000000"/>
          <w:kern w:val="24"/>
        </w:rPr>
      </w:pPr>
    </w:p>
    <w:p w14:paraId="7C88BFE9">
      <w:pPr>
        <w:jc w:val="center"/>
        <w:rPr>
          <w:rFonts w:cstheme="minorHAnsi"/>
          <w:b/>
        </w:rPr>
      </w:pPr>
      <w:r>
        <w:rPr>
          <w:rFonts w:cstheme="minorHAnsi"/>
          <w:b/>
        </w:rPr>
        <w:t>2</w:t>
      </w:r>
      <w:r>
        <w:rPr>
          <w:rFonts w:hint="eastAsia" w:cstheme="minorHAnsi"/>
          <w:b/>
        </w:rPr>
        <w:t>.商务评审部分响应方案</w:t>
      </w:r>
    </w:p>
    <w:p w14:paraId="25373708">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6D235065">
      <w:pPr>
        <w:tabs>
          <w:tab w:val="center" w:pos="4395"/>
        </w:tabs>
        <w:rPr>
          <w:i/>
          <w:color w:val="C00000"/>
        </w:rPr>
      </w:pPr>
    </w:p>
    <w:p w14:paraId="3A475221">
      <w:pPr>
        <w:rPr>
          <w:i/>
          <w:color w:val="C00000"/>
        </w:rPr>
      </w:pPr>
      <w:r>
        <w:rPr>
          <w:rFonts w:hint="eastAsia"/>
          <w:i/>
          <w:color w:val="C00000"/>
        </w:rPr>
        <w:t>示例：</w:t>
      </w:r>
    </w:p>
    <w:p w14:paraId="6F53AD8B">
      <w:pPr>
        <w:rPr>
          <w:rFonts w:asciiTheme="minorEastAsia" w:hAnsiTheme="minorEastAsia"/>
        </w:rPr>
      </w:pPr>
      <w:r>
        <w:rPr>
          <w:rFonts w:asciiTheme="minorEastAsia" w:hAnsiTheme="minorEastAsia"/>
        </w:rPr>
        <w:t>1</w:t>
      </w:r>
      <w:r>
        <w:rPr>
          <w:rFonts w:hint="eastAsia" w:asciiTheme="minorEastAsia" w:hAnsiTheme="minorEastAsia"/>
        </w:rPr>
        <w:t>．承保及理赔部门人员配备表</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134"/>
        <w:gridCol w:w="709"/>
        <w:gridCol w:w="709"/>
        <w:gridCol w:w="1701"/>
        <w:gridCol w:w="1417"/>
        <w:gridCol w:w="2242"/>
      </w:tblGrid>
      <w:tr w14:paraId="2071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0B4CD97F">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134" w:type="dxa"/>
            <w:tcBorders>
              <w:top w:val="single" w:color="auto" w:sz="2" w:space="0"/>
              <w:left w:val="single" w:color="auto" w:sz="6" w:space="0"/>
              <w:bottom w:val="single" w:color="auto" w:sz="2" w:space="0"/>
            </w:tcBorders>
            <w:shd w:val="clear" w:color="auto" w:fill="F1F1F1" w:themeFill="background1" w:themeFillShade="F2"/>
            <w:vAlign w:val="center"/>
          </w:tcPr>
          <w:p w14:paraId="1E4090EA">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2E042831">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7086A8B4">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7902F779">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12A42E0E">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4FE1B1DF">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6E0C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6" w:space="0"/>
            </w:tcBorders>
            <w:shd w:val="clear" w:color="auto" w:fill="auto"/>
            <w:vAlign w:val="center"/>
          </w:tcPr>
          <w:p w14:paraId="3F822F0A">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134" w:type="dxa"/>
            <w:tcBorders>
              <w:top w:val="single" w:color="auto" w:sz="2" w:space="0"/>
              <w:left w:val="single" w:color="auto" w:sz="6" w:space="0"/>
              <w:bottom w:val="single" w:color="auto" w:sz="2" w:space="0"/>
            </w:tcBorders>
            <w:shd w:val="clear" w:color="auto" w:fill="auto"/>
            <w:vAlign w:val="center"/>
          </w:tcPr>
          <w:p w14:paraId="0053776A">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D18DCC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DD970EA">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9CDADF3">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2974786">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09FD072">
            <w:pPr>
              <w:jc w:val="center"/>
              <w:rPr>
                <w:rFonts w:asciiTheme="minorEastAsia" w:hAnsiTheme="minorEastAsia" w:cstheme="minorHAnsi"/>
                <w:color w:val="000000"/>
                <w:sz w:val="21"/>
                <w:szCs w:val="21"/>
              </w:rPr>
            </w:pPr>
          </w:p>
        </w:tc>
      </w:tr>
      <w:tr w14:paraId="05DC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6" w:space="0"/>
            </w:tcBorders>
            <w:shd w:val="clear" w:color="auto" w:fill="auto"/>
            <w:vAlign w:val="center"/>
          </w:tcPr>
          <w:p w14:paraId="4A977E85">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日常服务</w:t>
            </w:r>
          </w:p>
          <w:p w14:paraId="0EC3D6ED">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人员</w:t>
            </w:r>
          </w:p>
        </w:tc>
        <w:tc>
          <w:tcPr>
            <w:tcW w:w="1134" w:type="dxa"/>
            <w:tcBorders>
              <w:top w:val="single" w:color="auto" w:sz="2" w:space="0"/>
              <w:left w:val="single" w:color="auto" w:sz="6" w:space="0"/>
              <w:bottom w:val="single" w:color="auto" w:sz="2" w:space="0"/>
            </w:tcBorders>
            <w:shd w:val="clear" w:color="auto" w:fill="auto"/>
            <w:vAlign w:val="center"/>
          </w:tcPr>
          <w:p w14:paraId="0A1903D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CB4018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0AA7B85">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7516612">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18C5A8B1">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1E55435">
            <w:pPr>
              <w:jc w:val="center"/>
              <w:rPr>
                <w:rFonts w:asciiTheme="minorEastAsia" w:hAnsiTheme="minorEastAsia" w:cstheme="minorHAnsi"/>
                <w:color w:val="000000"/>
                <w:sz w:val="21"/>
                <w:szCs w:val="21"/>
              </w:rPr>
            </w:pPr>
          </w:p>
        </w:tc>
      </w:tr>
      <w:tr w14:paraId="212A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6" w:space="0"/>
            </w:tcBorders>
            <w:shd w:val="clear" w:color="auto" w:fill="auto"/>
            <w:vAlign w:val="center"/>
          </w:tcPr>
          <w:p w14:paraId="4077F120">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报案</w:t>
            </w:r>
          </w:p>
          <w:p w14:paraId="408F027C">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联系人</w:t>
            </w:r>
          </w:p>
        </w:tc>
        <w:tc>
          <w:tcPr>
            <w:tcW w:w="1134" w:type="dxa"/>
            <w:tcBorders>
              <w:top w:val="single" w:color="auto" w:sz="2" w:space="0"/>
              <w:left w:val="single" w:color="auto" w:sz="6" w:space="0"/>
              <w:bottom w:val="single" w:color="auto" w:sz="2" w:space="0"/>
            </w:tcBorders>
            <w:shd w:val="clear" w:color="auto" w:fill="auto"/>
            <w:vAlign w:val="center"/>
          </w:tcPr>
          <w:p w14:paraId="495F1BD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0BC34A3">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F3C4521">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634DCC1">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2505A2D2">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444096F">
            <w:pPr>
              <w:jc w:val="center"/>
              <w:rPr>
                <w:rFonts w:asciiTheme="minorEastAsia" w:hAnsiTheme="minorEastAsia" w:cstheme="minorHAnsi"/>
                <w:color w:val="000000"/>
                <w:sz w:val="21"/>
                <w:szCs w:val="21"/>
              </w:rPr>
            </w:pPr>
          </w:p>
        </w:tc>
      </w:tr>
      <w:tr w14:paraId="7B87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73" w:type="dxa"/>
            <w:tcBorders>
              <w:top w:val="single" w:color="auto" w:sz="2" w:space="0"/>
              <w:left w:val="single" w:color="auto" w:sz="2" w:space="0"/>
              <w:bottom w:val="single" w:color="auto" w:sz="2" w:space="0"/>
              <w:right w:val="single" w:color="auto" w:sz="6" w:space="0"/>
            </w:tcBorders>
            <w:shd w:val="clear" w:color="auto" w:fill="auto"/>
            <w:vAlign w:val="center"/>
          </w:tcPr>
          <w:p w14:paraId="02D0D164">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理赔</w:t>
            </w:r>
            <w:r>
              <w:rPr>
                <w:rFonts w:asciiTheme="minorEastAsia" w:hAnsiTheme="minorEastAsia" w:cstheme="minorHAnsi"/>
                <w:color w:val="000000"/>
                <w:sz w:val="21"/>
                <w:szCs w:val="21"/>
              </w:rPr>
              <w:t>联系人</w:t>
            </w:r>
          </w:p>
        </w:tc>
        <w:tc>
          <w:tcPr>
            <w:tcW w:w="1134" w:type="dxa"/>
            <w:tcBorders>
              <w:top w:val="single" w:color="auto" w:sz="2" w:space="0"/>
              <w:left w:val="single" w:color="auto" w:sz="6" w:space="0"/>
              <w:bottom w:val="single" w:color="auto" w:sz="2" w:space="0"/>
            </w:tcBorders>
            <w:shd w:val="clear" w:color="auto" w:fill="auto"/>
            <w:vAlign w:val="center"/>
          </w:tcPr>
          <w:p w14:paraId="1FFDAE0B">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20A95C2">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B202DC2">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C88561A">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55BE922">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320B6DFB">
            <w:pPr>
              <w:jc w:val="center"/>
              <w:rPr>
                <w:rFonts w:asciiTheme="minorEastAsia" w:hAnsiTheme="minorEastAsia" w:cstheme="minorHAnsi"/>
                <w:color w:val="000000"/>
                <w:sz w:val="21"/>
                <w:szCs w:val="21"/>
              </w:rPr>
            </w:pPr>
          </w:p>
        </w:tc>
      </w:tr>
      <w:tr w14:paraId="7A35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6" w:space="0"/>
            </w:tcBorders>
            <w:shd w:val="clear" w:color="auto" w:fill="auto"/>
            <w:vAlign w:val="center"/>
          </w:tcPr>
          <w:p w14:paraId="7299F9D7">
            <w:pPr>
              <w:jc w:val="center"/>
              <w:rPr>
                <w:rFonts w:asciiTheme="minorEastAsia" w:hAnsiTheme="minorEastAsia" w:cstheme="minorHAnsi"/>
                <w:color w:val="000000"/>
                <w:sz w:val="21"/>
                <w:szCs w:val="21"/>
              </w:rPr>
            </w:pPr>
          </w:p>
        </w:tc>
        <w:tc>
          <w:tcPr>
            <w:tcW w:w="1134" w:type="dxa"/>
            <w:tcBorders>
              <w:top w:val="single" w:color="auto" w:sz="2" w:space="0"/>
              <w:left w:val="single" w:color="auto" w:sz="6" w:space="0"/>
              <w:bottom w:val="single" w:color="auto" w:sz="2" w:space="0"/>
            </w:tcBorders>
            <w:shd w:val="clear" w:color="auto" w:fill="auto"/>
            <w:vAlign w:val="center"/>
          </w:tcPr>
          <w:p w14:paraId="1812A152">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DC3962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363A443">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0A19F97">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3744A6E">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F585159">
            <w:pPr>
              <w:jc w:val="center"/>
              <w:rPr>
                <w:rFonts w:asciiTheme="minorEastAsia" w:hAnsiTheme="minorEastAsia" w:cstheme="minorHAnsi"/>
                <w:color w:val="000000"/>
                <w:sz w:val="21"/>
                <w:szCs w:val="21"/>
              </w:rPr>
            </w:pPr>
          </w:p>
        </w:tc>
      </w:tr>
      <w:tr w14:paraId="1069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6" w:space="0"/>
            </w:tcBorders>
            <w:shd w:val="clear" w:color="auto" w:fill="auto"/>
            <w:vAlign w:val="center"/>
          </w:tcPr>
          <w:p w14:paraId="50088E3E">
            <w:pPr>
              <w:jc w:val="center"/>
              <w:rPr>
                <w:rFonts w:asciiTheme="minorEastAsia" w:hAnsiTheme="minorEastAsia" w:cstheme="minorHAnsi"/>
                <w:color w:val="000000"/>
                <w:sz w:val="21"/>
                <w:szCs w:val="21"/>
              </w:rPr>
            </w:pPr>
          </w:p>
        </w:tc>
        <w:tc>
          <w:tcPr>
            <w:tcW w:w="1134" w:type="dxa"/>
            <w:tcBorders>
              <w:top w:val="single" w:color="auto" w:sz="2" w:space="0"/>
              <w:left w:val="single" w:color="auto" w:sz="6" w:space="0"/>
              <w:bottom w:val="single" w:color="auto" w:sz="2" w:space="0"/>
            </w:tcBorders>
            <w:shd w:val="clear" w:color="auto" w:fill="auto"/>
            <w:vAlign w:val="center"/>
          </w:tcPr>
          <w:p w14:paraId="7345B677">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475DA2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84006BB">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B4EFC9D">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03DF439">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3CED25F">
            <w:pPr>
              <w:jc w:val="center"/>
              <w:rPr>
                <w:rFonts w:asciiTheme="minorEastAsia" w:hAnsiTheme="minorEastAsia" w:cstheme="minorHAnsi"/>
                <w:color w:val="000000"/>
                <w:sz w:val="21"/>
                <w:szCs w:val="21"/>
              </w:rPr>
            </w:pPr>
          </w:p>
        </w:tc>
      </w:tr>
      <w:tr w14:paraId="371C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6" w:space="0"/>
            </w:tcBorders>
            <w:shd w:val="clear" w:color="auto" w:fill="auto"/>
            <w:vAlign w:val="center"/>
          </w:tcPr>
          <w:p w14:paraId="70428622">
            <w:pPr>
              <w:jc w:val="center"/>
              <w:rPr>
                <w:rFonts w:asciiTheme="minorEastAsia" w:hAnsiTheme="minorEastAsia" w:cstheme="minorHAnsi"/>
                <w:color w:val="000000"/>
                <w:sz w:val="21"/>
                <w:szCs w:val="21"/>
              </w:rPr>
            </w:pPr>
          </w:p>
        </w:tc>
        <w:tc>
          <w:tcPr>
            <w:tcW w:w="1134" w:type="dxa"/>
            <w:tcBorders>
              <w:top w:val="single" w:color="auto" w:sz="2" w:space="0"/>
              <w:left w:val="single" w:color="auto" w:sz="6" w:space="0"/>
              <w:bottom w:val="single" w:color="auto" w:sz="2" w:space="0"/>
            </w:tcBorders>
            <w:shd w:val="clear" w:color="auto" w:fill="auto"/>
            <w:vAlign w:val="center"/>
          </w:tcPr>
          <w:p w14:paraId="4320C89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BBBA3EA">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88C3328">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59355A1">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048E1FF">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4712CBAD">
            <w:pPr>
              <w:jc w:val="center"/>
              <w:rPr>
                <w:rFonts w:asciiTheme="minorEastAsia" w:hAnsiTheme="minorEastAsia" w:cstheme="minorHAnsi"/>
                <w:color w:val="000000"/>
                <w:sz w:val="21"/>
                <w:szCs w:val="21"/>
              </w:rPr>
            </w:pPr>
          </w:p>
        </w:tc>
      </w:tr>
      <w:tr w14:paraId="4ADB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6" w:space="0"/>
            </w:tcBorders>
            <w:shd w:val="clear" w:color="auto" w:fill="auto"/>
            <w:vAlign w:val="center"/>
          </w:tcPr>
          <w:p w14:paraId="79246C86">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7912"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05643C6E">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716F033A">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14:paraId="3CD1E5E1">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14:paraId="5571EA0C">
      <w:pPr>
        <w:rPr>
          <w:rFonts w:asciiTheme="minorEastAsia" w:hAnsiTheme="minorEastAsia" w:cstheme="minorHAnsi"/>
          <w:b/>
          <w:color w:val="000000"/>
          <w:kern w:val="24"/>
        </w:rPr>
      </w:pPr>
    </w:p>
    <w:p w14:paraId="158D2DDA">
      <w:pPr>
        <w:rPr>
          <w:rFonts w:asciiTheme="minorEastAsia" w:hAnsiTheme="minorEastAsia"/>
        </w:rPr>
      </w:pPr>
      <w:r>
        <w:rPr>
          <w:rFonts w:asciiTheme="minorEastAsia" w:hAnsiTheme="minorEastAsia"/>
        </w:rPr>
        <w:t>2.</w:t>
      </w:r>
      <w:r>
        <w:rPr>
          <w:rFonts w:hint="eastAsia" w:asciiTheme="minorEastAsia" w:hAnsiTheme="minorEastAsia"/>
        </w:rPr>
        <w:t>服务</w:t>
      </w:r>
      <w:r>
        <w:rPr>
          <w:rFonts w:asciiTheme="minorEastAsia" w:hAnsiTheme="minorEastAsia"/>
        </w:rPr>
        <w:t>承诺</w:t>
      </w:r>
    </w:p>
    <w:p w14:paraId="6DED9562">
      <w:pPr>
        <w:rPr>
          <w:rFonts w:asciiTheme="minorEastAsia" w:hAnsiTheme="minorEastAsia"/>
        </w:rPr>
      </w:pPr>
    </w:p>
    <w:p w14:paraId="599DCBE2">
      <w:pPr>
        <w:rPr>
          <w:rFonts w:asciiTheme="minorEastAsia" w:hAnsiTheme="minorEastAsia"/>
        </w:rPr>
      </w:pPr>
      <w:r>
        <w:rPr>
          <w:rFonts w:hint="eastAsia" w:asciiTheme="minorEastAsia" w:hAnsiTheme="minorEastAsia"/>
        </w:rPr>
        <w:t>3.偿付</w:t>
      </w:r>
      <w:r>
        <w:rPr>
          <w:rFonts w:asciiTheme="minorEastAsia" w:hAnsiTheme="minorEastAsia"/>
        </w:rPr>
        <w:t>能力</w:t>
      </w:r>
    </w:p>
    <w:p w14:paraId="15A37EE3">
      <w:pPr>
        <w:rPr>
          <w:rFonts w:asciiTheme="minorEastAsia" w:hAnsiTheme="minorEastAsia" w:cstheme="minorHAnsi"/>
          <w:b/>
          <w:color w:val="000000"/>
          <w:kern w:val="24"/>
        </w:rPr>
      </w:pPr>
      <w:r>
        <w:rPr>
          <w:rFonts w:asciiTheme="minorEastAsia" w:hAnsiTheme="minorEastAsia" w:cstheme="minorHAnsi"/>
          <w:b/>
          <w:color w:val="000000"/>
          <w:kern w:val="24"/>
        </w:rPr>
        <w:t>……</w:t>
      </w:r>
    </w:p>
    <w:p w14:paraId="1C782DD1">
      <w:pPr>
        <w:rPr>
          <w:rFonts w:asciiTheme="minorEastAsia" w:hAnsiTheme="minorEastAsia" w:cstheme="minorHAnsi"/>
          <w:b/>
        </w:rPr>
      </w:pP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未签署下列承诺书的，将被视为无效投标，其责任由供应商自行承担。</w:t>
      </w:r>
    </w:p>
    <w:p w14:paraId="05D1ED37">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6186186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7062A41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133F136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7EF745B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3597CA6C">
      <w:pPr>
        <w:ind w:firstLine="480" w:firstLineChars="200"/>
        <w:jc w:val="both"/>
        <w:rPr>
          <w:rFonts w:ascii="Calibri" w:hAnsi="Calibri" w:eastAsia="宋体" w:cstheme="minorHAnsi"/>
          <w:color w:val="000000"/>
          <w:kern w:val="24"/>
        </w:rPr>
      </w:pPr>
    </w:p>
    <w:p w14:paraId="1B3D52CD">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1A9E337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667F1DB1">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48D38801">
      <w:pPr>
        <w:rPr>
          <w:rFonts w:ascii="Calibri Light" w:hAnsi="Calibri Light" w:eastAsia="华文仿宋" w:cs="Calibri Light"/>
          <w:color w:val="000000"/>
          <w:sz w:val="28"/>
          <w:szCs w:val="28"/>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14:paraId="78DA254E">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）享受</w:t>
      </w:r>
      <w:r>
        <w:rPr>
          <w:rFonts w:hint="eastAsia" w:ascii="Calibri" w:hAnsi="Calibri" w:eastAsia="黑体"/>
          <w:kern w:val="28"/>
          <w:sz w:val="28"/>
        </w:rPr>
        <w:t>政府采购优惠政策需要提供的资料</w:t>
      </w:r>
    </w:p>
    <w:p w14:paraId="7065C8D6">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14:paraId="36499E24">
      <w:pPr>
        <w:ind w:firstLine="480" w:firstLineChars="200"/>
        <w:jc w:val="both"/>
      </w:pPr>
      <w:r>
        <w:rPr>
          <w:rFonts w:hint="eastAsia"/>
        </w:rPr>
        <w:t>中标供应商享受了政府采购优惠政策的，将随中标结果公开其声明函\证明函，接受社会监督。</w:t>
      </w:r>
    </w:p>
    <w:p w14:paraId="63D620A3">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14:paraId="78BD3DE4">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43F2C4E8">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77005AC0">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6420DDCD">
      <w:pPr>
        <w:tabs>
          <w:tab w:val="left" w:pos="5670"/>
        </w:tabs>
        <w:jc w:val="center"/>
        <w:rPr>
          <w:rFonts w:cs="Calibri Light"/>
          <w:b/>
          <w:color w:val="1F4E79"/>
          <w:sz w:val="28"/>
          <w:szCs w:val="36"/>
        </w:rPr>
      </w:pPr>
      <w:r>
        <w:rPr>
          <w:rFonts w:cs="Calibri Light"/>
          <w:b/>
          <w:color w:val="1F4E79"/>
          <w:sz w:val="28"/>
          <w:szCs w:val="36"/>
        </w:rPr>
        <w:t>『中小企业声明函』（服务类格式）</w:t>
      </w:r>
    </w:p>
    <w:p w14:paraId="5BE9E4C0">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36F98D71">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1EB3ECEA">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77947DB5">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16A78B82">
      <w:pPr>
        <w:ind w:firstLine="480" w:firstLineChars="200"/>
        <w:jc w:val="both"/>
      </w:pPr>
      <w:r>
        <w:t>以上企业，不属于大企业的分支机构，不存在控股股东为大企业的情形，也不存在与大企业的负责人为同一人的情形。</w:t>
      </w:r>
    </w:p>
    <w:p w14:paraId="349FAC5B">
      <w:pPr>
        <w:ind w:firstLine="480" w:firstLineChars="200"/>
        <w:jc w:val="both"/>
      </w:pPr>
      <w:r>
        <w:t>本企业对上述声明内容的真实性负责。如有虚假，将依法承担相应责任。</w:t>
      </w:r>
    </w:p>
    <w:p w14:paraId="6CA3E663">
      <w:pPr>
        <w:ind w:firstLine="480" w:firstLineChars="200"/>
        <w:jc w:val="both"/>
      </w:pPr>
    </w:p>
    <w:p w14:paraId="66CA612B">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7CFE9C8A">
      <w:pPr>
        <w:tabs>
          <w:tab w:val="left" w:pos="5670"/>
        </w:tabs>
        <w:ind w:firstLine="480" w:firstLineChars="200"/>
        <w:jc w:val="both"/>
        <w:rPr>
          <w:rFonts w:cs="Calibri Light"/>
          <w:color w:val="000000"/>
        </w:rPr>
      </w:pPr>
      <w:r>
        <w:rPr>
          <w:rFonts w:cs="Calibri Light"/>
          <w:color w:val="000000"/>
        </w:rPr>
        <w:t>日　期：　　年　月　日</w:t>
      </w:r>
    </w:p>
    <w:p w14:paraId="4EC845E1">
      <w:pPr>
        <w:tabs>
          <w:tab w:val="left" w:pos="5670"/>
        </w:tabs>
        <w:ind w:firstLine="480" w:firstLineChars="200"/>
        <w:jc w:val="both"/>
        <w:rPr>
          <w:rFonts w:cs="Calibri Light"/>
          <w:color w:val="000000"/>
        </w:rPr>
      </w:pPr>
    </w:p>
    <w:p w14:paraId="023BA8A3">
      <w:pPr>
        <w:tabs>
          <w:tab w:val="left" w:pos="5670"/>
        </w:tabs>
        <w:ind w:firstLine="480" w:firstLineChars="200"/>
        <w:jc w:val="both"/>
        <w:rPr>
          <w:rFonts w:cs="Calibri Light"/>
          <w:color w:val="000000"/>
        </w:rPr>
      </w:pPr>
    </w:p>
    <w:p w14:paraId="6EF6D66A">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1DFD68B6">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5136CF1D">
      <w:pPr>
        <w:jc w:val="center"/>
        <w:rPr>
          <w:rFonts w:cs="Calibri Light"/>
          <w:b/>
          <w:color w:val="1F4E79"/>
          <w:sz w:val="28"/>
          <w:szCs w:val="36"/>
        </w:rPr>
      </w:pPr>
      <w:r>
        <w:rPr>
          <w:rFonts w:cs="Calibri Light"/>
          <w:b/>
          <w:color w:val="1F4E79"/>
          <w:sz w:val="28"/>
          <w:szCs w:val="36"/>
        </w:rPr>
        <w:t>『残疾人福利性单位声明函』（格式）</w:t>
      </w:r>
    </w:p>
    <w:p w14:paraId="3EB47A5B">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CC6C156">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FF3D6A2">
      <w:pPr>
        <w:ind w:firstLine="480" w:firstLineChars="200"/>
        <w:jc w:val="both"/>
        <w:rPr>
          <w:rFonts w:cstheme="minorHAnsi"/>
          <w:color w:val="000000"/>
        </w:rPr>
      </w:pPr>
    </w:p>
    <w:p w14:paraId="287DEF40">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0328D65">
      <w:pPr>
        <w:tabs>
          <w:tab w:val="left" w:pos="5670"/>
        </w:tabs>
        <w:ind w:firstLine="480" w:firstLineChars="200"/>
        <w:jc w:val="both"/>
        <w:rPr>
          <w:rFonts w:cstheme="minorHAnsi"/>
          <w:color w:val="000000"/>
        </w:rPr>
      </w:pPr>
      <w:r>
        <w:rPr>
          <w:rFonts w:cstheme="minorHAnsi"/>
          <w:color w:val="000000"/>
        </w:rPr>
        <w:t>日　期：　　年　月　日</w:t>
      </w:r>
    </w:p>
    <w:p w14:paraId="4E6717EF">
      <w:pPr>
        <w:tabs>
          <w:tab w:val="left" w:pos="5670"/>
        </w:tabs>
        <w:jc w:val="both"/>
        <w:rPr>
          <w:rFonts w:cstheme="minorHAnsi"/>
          <w:color w:val="000000"/>
        </w:rPr>
      </w:pPr>
    </w:p>
    <w:p w14:paraId="0E8C8EF5">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34351D54">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685BC729">
      <w:pPr>
        <w:jc w:val="center"/>
        <w:rPr>
          <w:rFonts w:cs="Calibri Light"/>
          <w:b/>
          <w:color w:val="1F4E79"/>
          <w:sz w:val="28"/>
          <w:szCs w:val="36"/>
        </w:rPr>
      </w:pPr>
      <w:r>
        <w:rPr>
          <w:rFonts w:cs="Calibri Light"/>
          <w:b/>
          <w:color w:val="1F4E79"/>
          <w:sz w:val="28"/>
          <w:szCs w:val="36"/>
        </w:rPr>
        <w:t>『监狱企业证明函』</w:t>
      </w:r>
    </w:p>
    <w:p w14:paraId="23F46BFA">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sectPr>
      <w:footerReference r:id="rId31" w:type="default"/>
      <w:footerReference r:id="rId32"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49E70">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FFC71">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737A5">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CD7C">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6BDC">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F99C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20D5C">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B5B7">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81F7A">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7AC2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3BDF">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BABEE">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ED1B1">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69AE2">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FE6D2">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D83D">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FC2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DEDF">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C1747">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CE32F">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39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AE03">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38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50F8">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陕西省西安市消防救援支队全市指战员团体意外伤害保险采购项目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陕西省西安市消防救援支队全市指战员团体意外伤害保险采购项目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陕西省西安市消防救援支队全市指战员团体意外伤害保险采购项目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常巧利">
    <w15:presenceInfo w15:providerId="WPS Office" w15:userId="3158323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trackRevisions w:val="1"/>
  <w:documentProtection w:edit="trackedChanges" w:enforcement="1" w:cryptProviderType="rsaAES" w:cryptAlgorithmClass="hash" w:cryptAlgorithmType="typeAny" w:cryptAlgorithmSid="14" w:cryptSpinCount="100000" w:hash="YRa49EDPUiObx3vDnzUwQ/Y5JZL0vCAjS77yq4oT4h3YIFDqdtklg7/ueiyGpal9bJkFcGDqJespbY6IcpTqyA==" w:salt="Ro/j86a0u+KOcnAbRvwwuw=="/>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9CA"/>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1C8"/>
    <w:rsid w:val="000434BD"/>
    <w:rsid w:val="00043830"/>
    <w:rsid w:val="000440AF"/>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C6D"/>
    <w:rsid w:val="00062D84"/>
    <w:rsid w:val="00063EEF"/>
    <w:rsid w:val="00064071"/>
    <w:rsid w:val="00064386"/>
    <w:rsid w:val="00067A39"/>
    <w:rsid w:val="00067C32"/>
    <w:rsid w:val="00067D44"/>
    <w:rsid w:val="0007053B"/>
    <w:rsid w:val="00070AA6"/>
    <w:rsid w:val="00072084"/>
    <w:rsid w:val="00073A16"/>
    <w:rsid w:val="00074562"/>
    <w:rsid w:val="0007534F"/>
    <w:rsid w:val="000770B7"/>
    <w:rsid w:val="00077B80"/>
    <w:rsid w:val="000815B4"/>
    <w:rsid w:val="00084264"/>
    <w:rsid w:val="00084335"/>
    <w:rsid w:val="0008519C"/>
    <w:rsid w:val="000857F2"/>
    <w:rsid w:val="00085999"/>
    <w:rsid w:val="0008603F"/>
    <w:rsid w:val="00086D2C"/>
    <w:rsid w:val="00090002"/>
    <w:rsid w:val="00090278"/>
    <w:rsid w:val="000906B5"/>
    <w:rsid w:val="000911CC"/>
    <w:rsid w:val="00092417"/>
    <w:rsid w:val="00093AD5"/>
    <w:rsid w:val="00093FF9"/>
    <w:rsid w:val="000951C6"/>
    <w:rsid w:val="000952F2"/>
    <w:rsid w:val="00095A8D"/>
    <w:rsid w:val="00096428"/>
    <w:rsid w:val="00096A52"/>
    <w:rsid w:val="00097CDB"/>
    <w:rsid w:val="000A0237"/>
    <w:rsid w:val="000A0EFD"/>
    <w:rsid w:val="000A159C"/>
    <w:rsid w:val="000A1B38"/>
    <w:rsid w:val="000A1F6A"/>
    <w:rsid w:val="000A2583"/>
    <w:rsid w:val="000A2AAB"/>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D4A"/>
    <w:rsid w:val="0013712F"/>
    <w:rsid w:val="00137CC2"/>
    <w:rsid w:val="00137CD5"/>
    <w:rsid w:val="00137E7B"/>
    <w:rsid w:val="00140177"/>
    <w:rsid w:val="00142244"/>
    <w:rsid w:val="00143658"/>
    <w:rsid w:val="001454AD"/>
    <w:rsid w:val="001455F6"/>
    <w:rsid w:val="001456C7"/>
    <w:rsid w:val="00145DA0"/>
    <w:rsid w:val="00152476"/>
    <w:rsid w:val="001534EC"/>
    <w:rsid w:val="0015361E"/>
    <w:rsid w:val="00156ED5"/>
    <w:rsid w:val="00157539"/>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382"/>
    <w:rsid w:val="001765D5"/>
    <w:rsid w:val="00176CF3"/>
    <w:rsid w:val="00176F0E"/>
    <w:rsid w:val="00182728"/>
    <w:rsid w:val="00182C33"/>
    <w:rsid w:val="00182CA5"/>
    <w:rsid w:val="0018316D"/>
    <w:rsid w:val="0018493A"/>
    <w:rsid w:val="00184A1D"/>
    <w:rsid w:val="00184DE0"/>
    <w:rsid w:val="00184F72"/>
    <w:rsid w:val="00187440"/>
    <w:rsid w:val="00187846"/>
    <w:rsid w:val="00190CD7"/>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127F"/>
    <w:rsid w:val="001A2103"/>
    <w:rsid w:val="001A5309"/>
    <w:rsid w:val="001A5764"/>
    <w:rsid w:val="001B0699"/>
    <w:rsid w:val="001B0C7B"/>
    <w:rsid w:val="001B15EA"/>
    <w:rsid w:val="001B2019"/>
    <w:rsid w:val="001B4790"/>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5B35"/>
    <w:rsid w:val="002174B0"/>
    <w:rsid w:val="00217669"/>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61E2"/>
    <w:rsid w:val="00296372"/>
    <w:rsid w:val="00297462"/>
    <w:rsid w:val="00297703"/>
    <w:rsid w:val="00297866"/>
    <w:rsid w:val="002A02FB"/>
    <w:rsid w:val="002A26D5"/>
    <w:rsid w:val="002A3B25"/>
    <w:rsid w:val="002A4387"/>
    <w:rsid w:val="002A62BF"/>
    <w:rsid w:val="002A6815"/>
    <w:rsid w:val="002A6BFB"/>
    <w:rsid w:val="002A703D"/>
    <w:rsid w:val="002A7B39"/>
    <w:rsid w:val="002A7BB1"/>
    <w:rsid w:val="002A7FF7"/>
    <w:rsid w:val="002B009B"/>
    <w:rsid w:val="002B0F05"/>
    <w:rsid w:val="002B12E1"/>
    <w:rsid w:val="002B2517"/>
    <w:rsid w:val="002B35C4"/>
    <w:rsid w:val="002B36C2"/>
    <w:rsid w:val="002B59BE"/>
    <w:rsid w:val="002B5B32"/>
    <w:rsid w:val="002B60BE"/>
    <w:rsid w:val="002B65AB"/>
    <w:rsid w:val="002B696D"/>
    <w:rsid w:val="002B69BA"/>
    <w:rsid w:val="002B7A75"/>
    <w:rsid w:val="002C03FE"/>
    <w:rsid w:val="002C05A3"/>
    <w:rsid w:val="002C3006"/>
    <w:rsid w:val="002C4511"/>
    <w:rsid w:val="002C45C3"/>
    <w:rsid w:val="002C4DAE"/>
    <w:rsid w:val="002C6405"/>
    <w:rsid w:val="002C6442"/>
    <w:rsid w:val="002C6F4A"/>
    <w:rsid w:val="002D2B5F"/>
    <w:rsid w:val="002D327B"/>
    <w:rsid w:val="002D41DD"/>
    <w:rsid w:val="002D4772"/>
    <w:rsid w:val="002D5205"/>
    <w:rsid w:val="002D65D4"/>
    <w:rsid w:val="002D7418"/>
    <w:rsid w:val="002E1283"/>
    <w:rsid w:val="002E1660"/>
    <w:rsid w:val="002E1D18"/>
    <w:rsid w:val="002E379C"/>
    <w:rsid w:val="002E43F6"/>
    <w:rsid w:val="002E44F8"/>
    <w:rsid w:val="002E4813"/>
    <w:rsid w:val="002E4D7B"/>
    <w:rsid w:val="002E7C3E"/>
    <w:rsid w:val="002E7EA6"/>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4ADF"/>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1877"/>
    <w:rsid w:val="00373554"/>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369"/>
    <w:rsid w:val="00387AFC"/>
    <w:rsid w:val="00390290"/>
    <w:rsid w:val="0039061D"/>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A4A5E"/>
    <w:rsid w:val="003B086A"/>
    <w:rsid w:val="003B0D75"/>
    <w:rsid w:val="003B1140"/>
    <w:rsid w:val="003B25DE"/>
    <w:rsid w:val="003B2AF6"/>
    <w:rsid w:val="003B2DC3"/>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118F"/>
    <w:rsid w:val="00421AE2"/>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842"/>
    <w:rsid w:val="00437A71"/>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F40"/>
    <w:rsid w:val="00456353"/>
    <w:rsid w:val="004574A4"/>
    <w:rsid w:val="00460611"/>
    <w:rsid w:val="00460822"/>
    <w:rsid w:val="00463236"/>
    <w:rsid w:val="00463834"/>
    <w:rsid w:val="00463FD9"/>
    <w:rsid w:val="004657D3"/>
    <w:rsid w:val="0046690A"/>
    <w:rsid w:val="0046782F"/>
    <w:rsid w:val="00471E1E"/>
    <w:rsid w:val="0047278F"/>
    <w:rsid w:val="00473CE1"/>
    <w:rsid w:val="0047566E"/>
    <w:rsid w:val="0047590B"/>
    <w:rsid w:val="0047799A"/>
    <w:rsid w:val="00480CD4"/>
    <w:rsid w:val="0048300E"/>
    <w:rsid w:val="004846F1"/>
    <w:rsid w:val="00487FE6"/>
    <w:rsid w:val="00490F98"/>
    <w:rsid w:val="00491349"/>
    <w:rsid w:val="00492F9F"/>
    <w:rsid w:val="00493684"/>
    <w:rsid w:val="00493DFE"/>
    <w:rsid w:val="00493E48"/>
    <w:rsid w:val="004966D8"/>
    <w:rsid w:val="004968C7"/>
    <w:rsid w:val="00496ACE"/>
    <w:rsid w:val="00497411"/>
    <w:rsid w:val="00497530"/>
    <w:rsid w:val="00497A11"/>
    <w:rsid w:val="004A00FD"/>
    <w:rsid w:val="004A0307"/>
    <w:rsid w:val="004A0801"/>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6D7E"/>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14C1"/>
    <w:rsid w:val="005215D1"/>
    <w:rsid w:val="005220F8"/>
    <w:rsid w:val="00522932"/>
    <w:rsid w:val="005232C9"/>
    <w:rsid w:val="0052539A"/>
    <w:rsid w:val="005309DD"/>
    <w:rsid w:val="005330CB"/>
    <w:rsid w:val="0053320F"/>
    <w:rsid w:val="005340C0"/>
    <w:rsid w:val="00534E45"/>
    <w:rsid w:val="00534E48"/>
    <w:rsid w:val="00535F18"/>
    <w:rsid w:val="0053651B"/>
    <w:rsid w:val="00537136"/>
    <w:rsid w:val="005406B5"/>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529"/>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0DA"/>
    <w:rsid w:val="005B314D"/>
    <w:rsid w:val="005B353B"/>
    <w:rsid w:val="005B3CE3"/>
    <w:rsid w:val="005B4718"/>
    <w:rsid w:val="005B51A3"/>
    <w:rsid w:val="005B547C"/>
    <w:rsid w:val="005B556C"/>
    <w:rsid w:val="005B65A5"/>
    <w:rsid w:val="005B67BE"/>
    <w:rsid w:val="005B6F3F"/>
    <w:rsid w:val="005B7116"/>
    <w:rsid w:val="005C03AE"/>
    <w:rsid w:val="005C0CD5"/>
    <w:rsid w:val="005C1784"/>
    <w:rsid w:val="005C3D94"/>
    <w:rsid w:val="005C50A4"/>
    <w:rsid w:val="005C50D1"/>
    <w:rsid w:val="005C5E56"/>
    <w:rsid w:val="005C6C4F"/>
    <w:rsid w:val="005C7435"/>
    <w:rsid w:val="005D000E"/>
    <w:rsid w:val="005D035F"/>
    <w:rsid w:val="005D2A79"/>
    <w:rsid w:val="005D3C04"/>
    <w:rsid w:val="005D5E30"/>
    <w:rsid w:val="005D62E5"/>
    <w:rsid w:val="005D7216"/>
    <w:rsid w:val="005E032C"/>
    <w:rsid w:val="005E12F7"/>
    <w:rsid w:val="005E18A8"/>
    <w:rsid w:val="005E37E1"/>
    <w:rsid w:val="005E51CD"/>
    <w:rsid w:val="005E548A"/>
    <w:rsid w:val="005E5BCC"/>
    <w:rsid w:val="005E5CCE"/>
    <w:rsid w:val="005E6CCC"/>
    <w:rsid w:val="005E6DFD"/>
    <w:rsid w:val="005F1247"/>
    <w:rsid w:val="005F19BB"/>
    <w:rsid w:val="005F3B5B"/>
    <w:rsid w:val="005F67A9"/>
    <w:rsid w:val="005F6909"/>
    <w:rsid w:val="005F6C88"/>
    <w:rsid w:val="0060005D"/>
    <w:rsid w:val="00602222"/>
    <w:rsid w:val="006022C0"/>
    <w:rsid w:val="00602E42"/>
    <w:rsid w:val="00603657"/>
    <w:rsid w:val="00603BB4"/>
    <w:rsid w:val="00603D2B"/>
    <w:rsid w:val="00604448"/>
    <w:rsid w:val="0060479B"/>
    <w:rsid w:val="00606A55"/>
    <w:rsid w:val="00611427"/>
    <w:rsid w:val="00611AC2"/>
    <w:rsid w:val="00611FFE"/>
    <w:rsid w:val="00612626"/>
    <w:rsid w:val="00613BB6"/>
    <w:rsid w:val="0061572C"/>
    <w:rsid w:val="00615E79"/>
    <w:rsid w:val="00616D0D"/>
    <w:rsid w:val="0061777B"/>
    <w:rsid w:val="00623A3D"/>
    <w:rsid w:val="00624066"/>
    <w:rsid w:val="0062454A"/>
    <w:rsid w:val="00624620"/>
    <w:rsid w:val="006247E0"/>
    <w:rsid w:val="00624946"/>
    <w:rsid w:val="00624E60"/>
    <w:rsid w:val="00625173"/>
    <w:rsid w:val="00630BFB"/>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4641"/>
    <w:rsid w:val="00674B54"/>
    <w:rsid w:val="00675065"/>
    <w:rsid w:val="00675563"/>
    <w:rsid w:val="00675DAD"/>
    <w:rsid w:val="006777F8"/>
    <w:rsid w:val="00682389"/>
    <w:rsid w:val="00682CBA"/>
    <w:rsid w:val="00682FD8"/>
    <w:rsid w:val="006834DA"/>
    <w:rsid w:val="00683A85"/>
    <w:rsid w:val="0068482C"/>
    <w:rsid w:val="0068525B"/>
    <w:rsid w:val="00685346"/>
    <w:rsid w:val="00685B24"/>
    <w:rsid w:val="00685E27"/>
    <w:rsid w:val="0068677F"/>
    <w:rsid w:val="006870E8"/>
    <w:rsid w:val="006879AE"/>
    <w:rsid w:val="00690BC5"/>
    <w:rsid w:val="00690C8E"/>
    <w:rsid w:val="00691341"/>
    <w:rsid w:val="00691D24"/>
    <w:rsid w:val="00692358"/>
    <w:rsid w:val="006933DD"/>
    <w:rsid w:val="0069378C"/>
    <w:rsid w:val="006938D4"/>
    <w:rsid w:val="0069471D"/>
    <w:rsid w:val="0069553A"/>
    <w:rsid w:val="00695670"/>
    <w:rsid w:val="00695B4C"/>
    <w:rsid w:val="00695E20"/>
    <w:rsid w:val="00696D41"/>
    <w:rsid w:val="00696F5B"/>
    <w:rsid w:val="00697CAC"/>
    <w:rsid w:val="00697F99"/>
    <w:rsid w:val="006A2221"/>
    <w:rsid w:val="006A2505"/>
    <w:rsid w:val="006A2D90"/>
    <w:rsid w:val="006A3763"/>
    <w:rsid w:val="006A3BA0"/>
    <w:rsid w:val="006A4EC6"/>
    <w:rsid w:val="006A6B87"/>
    <w:rsid w:val="006A6DF3"/>
    <w:rsid w:val="006A7769"/>
    <w:rsid w:val="006B14B7"/>
    <w:rsid w:val="006B20D5"/>
    <w:rsid w:val="006B34F6"/>
    <w:rsid w:val="006B4952"/>
    <w:rsid w:val="006B56BE"/>
    <w:rsid w:val="006B59AB"/>
    <w:rsid w:val="006B5EA1"/>
    <w:rsid w:val="006B62C2"/>
    <w:rsid w:val="006B6316"/>
    <w:rsid w:val="006B6C2F"/>
    <w:rsid w:val="006B7F10"/>
    <w:rsid w:val="006C042B"/>
    <w:rsid w:val="006C1307"/>
    <w:rsid w:val="006C2543"/>
    <w:rsid w:val="006C2A45"/>
    <w:rsid w:val="006C4042"/>
    <w:rsid w:val="006C56D9"/>
    <w:rsid w:val="006C5AB4"/>
    <w:rsid w:val="006C68D9"/>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3F7A"/>
    <w:rsid w:val="00704218"/>
    <w:rsid w:val="0070472C"/>
    <w:rsid w:val="00706102"/>
    <w:rsid w:val="00706B38"/>
    <w:rsid w:val="00711356"/>
    <w:rsid w:val="007139A9"/>
    <w:rsid w:val="00713D33"/>
    <w:rsid w:val="00716375"/>
    <w:rsid w:val="007170E9"/>
    <w:rsid w:val="00717B21"/>
    <w:rsid w:val="00717B56"/>
    <w:rsid w:val="00717C81"/>
    <w:rsid w:val="00721876"/>
    <w:rsid w:val="00723928"/>
    <w:rsid w:val="007240F9"/>
    <w:rsid w:val="0072438A"/>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42A0"/>
    <w:rsid w:val="0074622A"/>
    <w:rsid w:val="00746DAD"/>
    <w:rsid w:val="00747EE2"/>
    <w:rsid w:val="007552A7"/>
    <w:rsid w:val="007566E2"/>
    <w:rsid w:val="00757324"/>
    <w:rsid w:val="00757FC1"/>
    <w:rsid w:val="00760265"/>
    <w:rsid w:val="00761357"/>
    <w:rsid w:val="00761C27"/>
    <w:rsid w:val="00763522"/>
    <w:rsid w:val="00763B46"/>
    <w:rsid w:val="00764A6D"/>
    <w:rsid w:val="0076550E"/>
    <w:rsid w:val="00766E1C"/>
    <w:rsid w:val="00767121"/>
    <w:rsid w:val="007677EE"/>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2C54"/>
    <w:rsid w:val="007930BE"/>
    <w:rsid w:val="0079398D"/>
    <w:rsid w:val="00796382"/>
    <w:rsid w:val="00797959"/>
    <w:rsid w:val="007A0298"/>
    <w:rsid w:val="007A04B5"/>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A7AFF"/>
    <w:rsid w:val="007B0FCA"/>
    <w:rsid w:val="007B1707"/>
    <w:rsid w:val="007B1F48"/>
    <w:rsid w:val="007B2234"/>
    <w:rsid w:val="007B29C8"/>
    <w:rsid w:val="007B3AF9"/>
    <w:rsid w:val="007B4190"/>
    <w:rsid w:val="007B5A22"/>
    <w:rsid w:val="007B6123"/>
    <w:rsid w:val="007B7795"/>
    <w:rsid w:val="007C1E2E"/>
    <w:rsid w:val="007C2A5B"/>
    <w:rsid w:val="007C2F2F"/>
    <w:rsid w:val="007C32E6"/>
    <w:rsid w:val="007C4071"/>
    <w:rsid w:val="007C551E"/>
    <w:rsid w:val="007C6103"/>
    <w:rsid w:val="007C7079"/>
    <w:rsid w:val="007C745E"/>
    <w:rsid w:val="007C7E4A"/>
    <w:rsid w:val="007D1359"/>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47EE"/>
    <w:rsid w:val="007F5493"/>
    <w:rsid w:val="007F575C"/>
    <w:rsid w:val="007F599D"/>
    <w:rsid w:val="007F5B53"/>
    <w:rsid w:val="007F60D5"/>
    <w:rsid w:val="007F6DC7"/>
    <w:rsid w:val="0080075E"/>
    <w:rsid w:val="00802948"/>
    <w:rsid w:val="00802AAC"/>
    <w:rsid w:val="00806FED"/>
    <w:rsid w:val="008103CB"/>
    <w:rsid w:val="00811115"/>
    <w:rsid w:val="008122DE"/>
    <w:rsid w:val="008134C7"/>
    <w:rsid w:val="008139EB"/>
    <w:rsid w:val="00813D5F"/>
    <w:rsid w:val="00814CAE"/>
    <w:rsid w:val="008150A6"/>
    <w:rsid w:val="008151E2"/>
    <w:rsid w:val="00815B8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0C48"/>
    <w:rsid w:val="00861CE7"/>
    <w:rsid w:val="00862E46"/>
    <w:rsid w:val="00863FDF"/>
    <w:rsid w:val="00864D01"/>
    <w:rsid w:val="00865BFC"/>
    <w:rsid w:val="00870585"/>
    <w:rsid w:val="0087254B"/>
    <w:rsid w:val="00872837"/>
    <w:rsid w:val="0087394A"/>
    <w:rsid w:val="00873EAC"/>
    <w:rsid w:val="00874D32"/>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97759"/>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402"/>
    <w:rsid w:val="008C0552"/>
    <w:rsid w:val="008C0974"/>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D7B07"/>
    <w:rsid w:val="008E0809"/>
    <w:rsid w:val="008E1018"/>
    <w:rsid w:val="008E1C91"/>
    <w:rsid w:val="008E2EFF"/>
    <w:rsid w:val="008E3B9E"/>
    <w:rsid w:val="008E4AFF"/>
    <w:rsid w:val="008E4B8A"/>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213C"/>
    <w:rsid w:val="00903937"/>
    <w:rsid w:val="0090408F"/>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B0"/>
    <w:rsid w:val="009249C8"/>
    <w:rsid w:val="00925816"/>
    <w:rsid w:val="00930302"/>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70F6"/>
    <w:rsid w:val="00961028"/>
    <w:rsid w:val="009632D2"/>
    <w:rsid w:val="0096484B"/>
    <w:rsid w:val="00965C09"/>
    <w:rsid w:val="00966B06"/>
    <w:rsid w:val="00966B6A"/>
    <w:rsid w:val="00967EB3"/>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2D05"/>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659"/>
    <w:rsid w:val="00A36E1D"/>
    <w:rsid w:val="00A37E7E"/>
    <w:rsid w:val="00A4093C"/>
    <w:rsid w:val="00A4098F"/>
    <w:rsid w:val="00A4193A"/>
    <w:rsid w:val="00A41E41"/>
    <w:rsid w:val="00A42D4A"/>
    <w:rsid w:val="00A42E81"/>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A751A"/>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4CAE"/>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5532"/>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34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0B70"/>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60"/>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644"/>
    <w:rsid w:val="00BC0AB7"/>
    <w:rsid w:val="00BC0D92"/>
    <w:rsid w:val="00BC11D7"/>
    <w:rsid w:val="00BC1B9C"/>
    <w:rsid w:val="00BC2C14"/>
    <w:rsid w:val="00BC31EE"/>
    <w:rsid w:val="00BC3C19"/>
    <w:rsid w:val="00BC4501"/>
    <w:rsid w:val="00BC4B27"/>
    <w:rsid w:val="00BC4BC8"/>
    <w:rsid w:val="00BC5C23"/>
    <w:rsid w:val="00BC71FD"/>
    <w:rsid w:val="00BD15BE"/>
    <w:rsid w:val="00BD1E0F"/>
    <w:rsid w:val="00BD2E19"/>
    <w:rsid w:val="00BD3BF3"/>
    <w:rsid w:val="00BD4795"/>
    <w:rsid w:val="00BD5316"/>
    <w:rsid w:val="00BD6613"/>
    <w:rsid w:val="00BD6787"/>
    <w:rsid w:val="00BD7A29"/>
    <w:rsid w:val="00BE1F49"/>
    <w:rsid w:val="00BE41BE"/>
    <w:rsid w:val="00BE4EBB"/>
    <w:rsid w:val="00BE6F8C"/>
    <w:rsid w:val="00BE735F"/>
    <w:rsid w:val="00BF078B"/>
    <w:rsid w:val="00BF07A3"/>
    <w:rsid w:val="00BF0B0F"/>
    <w:rsid w:val="00BF150A"/>
    <w:rsid w:val="00BF30A5"/>
    <w:rsid w:val="00BF3210"/>
    <w:rsid w:val="00BF3B09"/>
    <w:rsid w:val="00BF449C"/>
    <w:rsid w:val="00BF47BB"/>
    <w:rsid w:val="00BF4A06"/>
    <w:rsid w:val="00BF4B27"/>
    <w:rsid w:val="00BF641C"/>
    <w:rsid w:val="00BF6721"/>
    <w:rsid w:val="00BF79FE"/>
    <w:rsid w:val="00C02DA8"/>
    <w:rsid w:val="00C03270"/>
    <w:rsid w:val="00C03937"/>
    <w:rsid w:val="00C03D8E"/>
    <w:rsid w:val="00C044EA"/>
    <w:rsid w:val="00C048FB"/>
    <w:rsid w:val="00C04CFA"/>
    <w:rsid w:val="00C0514C"/>
    <w:rsid w:val="00C07250"/>
    <w:rsid w:val="00C074A8"/>
    <w:rsid w:val="00C076EF"/>
    <w:rsid w:val="00C07F2A"/>
    <w:rsid w:val="00C1262A"/>
    <w:rsid w:val="00C12DBE"/>
    <w:rsid w:val="00C14137"/>
    <w:rsid w:val="00C1444A"/>
    <w:rsid w:val="00C144BA"/>
    <w:rsid w:val="00C14E12"/>
    <w:rsid w:val="00C15E59"/>
    <w:rsid w:val="00C15E84"/>
    <w:rsid w:val="00C16C84"/>
    <w:rsid w:val="00C17537"/>
    <w:rsid w:val="00C20D1A"/>
    <w:rsid w:val="00C21DB4"/>
    <w:rsid w:val="00C224CD"/>
    <w:rsid w:val="00C22AEC"/>
    <w:rsid w:val="00C25539"/>
    <w:rsid w:val="00C25B4A"/>
    <w:rsid w:val="00C25C2B"/>
    <w:rsid w:val="00C2744F"/>
    <w:rsid w:val="00C33D5F"/>
    <w:rsid w:val="00C34648"/>
    <w:rsid w:val="00C34717"/>
    <w:rsid w:val="00C34D95"/>
    <w:rsid w:val="00C34F84"/>
    <w:rsid w:val="00C35598"/>
    <w:rsid w:val="00C357EB"/>
    <w:rsid w:val="00C359C0"/>
    <w:rsid w:val="00C363FF"/>
    <w:rsid w:val="00C37015"/>
    <w:rsid w:val="00C3742D"/>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464D"/>
    <w:rsid w:val="00C6491B"/>
    <w:rsid w:val="00C64FE6"/>
    <w:rsid w:val="00C66713"/>
    <w:rsid w:val="00C66C37"/>
    <w:rsid w:val="00C67BE9"/>
    <w:rsid w:val="00C70E74"/>
    <w:rsid w:val="00C71217"/>
    <w:rsid w:val="00C72672"/>
    <w:rsid w:val="00C72DBC"/>
    <w:rsid w:val="00C74041"/>
    <w:rsid w:val="00C75F5C"/>
    <w:rsid w:val="00C76B39"/>
    <w:rsid w:val="00C76F57"/>
    <w:rsid w:val="00C77891"/>
    <w:rsid w:val="00C8081E"/>
    <w:rsid w:val="00C809E1"/>
    <w:rsid w:val="00C8194B"/>
    <w:rsid w:val="00C831A1"/>
    <w:rsid w:val="00C84ACF"/>
    <w:rsid w:val="00C8510F"/>
    <w:rsid w:val="00C856C4"/>
    <w:rsid w:val="00C8634C"/>
    <w:rsid w:val="00C86F92"/>
    <w:rsid w:val="00C87FD1"/>
    <w:rsid w:val="00C90072"/>
    <w:rsid w:val="00C91B57"/>
    <w:rsid w:val="00C9533B"/>
    <w:rsid w:val="00C95A92"/>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0E8"/>
    <w:rsid w:val="00CB51F6"/>
    <w:rsid w:val="00CB5BD0"/>
    <w:rsid w:val="00CB63F6"/>
    <w:rsid w:val="00CB6CF9"/>
    <w:rsid w:val="00CB7937"/>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2B7E"/>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2B6E"/>
    <w:rsid w:val="00D13802"/>
    <w:rsid w:val="00D1422B"/>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B93"/>
    <w:rsid w:val="00D41D8D"/>
    <w:rsid w:val="00D42370"/>
    <w:rsid w:val="00D42755"/>
    <w:rsid w:val="00D46FE0"/>
    <w:rsid w:val="00D47734"/>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69BD"/>
    <w:rsid w:val="00D76D08"/>
    <w:rsid w:val="00D7704E"/>
    <w:rsid w:val="00D77785"/>
    <w:rsid w:val="00D80DD2"/>
    <w:rsid w:val="00D83BAA"/>
    <w:rsid w:val="00D8461E"/>
    <w:rsid w:val="00D848AF"/>
    <w:rsid w:val="00D84D41"/>
    <w:rsid w:val="00D85867"/>
    <w:rsid w:val="00D90438"/>
    <w:rsid w:val="00D90F7C"/>
    <w:rsid w:val="00D91BBB"/>
    <w:rsid w:val="00D937AB"/>
    <w:rsid w:val="00D93BBB"/>
    <w:rsid w:val="00D9483F"/>
    <w:rsid w:val="00D957E5"/>
    <w:rsid w:val="00D9612C"/>
    <w:rsid w:val="00D963A4"/>
    <w:rsid w:val="00D96B41"/>
    <w:rsid w:val="00DA02CE"/>
    <w:rsid w:val="00DA0A9B"/>
    <w:rsid w:val="00DA0DFD"/>
    <w:rsid w:val="00DA26D1"/>
    <w:rsid w:val="00DA7EC9"/>
    <w:rsid w:val="00DB0E68"/>
    <w:rsid w:val="00DB18FC"/>
    <w:rsid w:val="00DB1DFA"/>
    <w:rsid w:val="00DB240D"/>
    <w:rsid w:val="00DB2769"/>
    <w:rsid w:val="00DB33D3"/>
    <w:rsid w:val="00DB4762"/>
    <w:rsid w:val="00DB4E58"/>
    <w:rsid w:val="00DB51D0"/>
    <w:rsid w:val="00DB630A"/>
    <w:rsid w:val="00DB6473"/>
    <w:rsid w:val="00DB6F6B"/>
    <w:rsid w:val="00DB7B6F"/>
    <w:rsid w:val="00DC1FC6"/>
    <w:rsid w:val="00DC3ED2"/>
    <w:rsid w:val="00DC4AE1"/>
    <w:rsid w:val="00DC5939"/>
    <w:rsid w:val="00DC6B38"/>
    <w:rsid w:val="00DC767D"/>
    <w:rsid w:val="00DC7A15"/>
    <w:rsid w:val="00DD0CDD"/>
    <w:rsid w:val="00DD25BA"/>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72E"/>
    <w:rsid w:val="00E23903"/>
    <w:rsid w:val="00E2465F"/>
    <w:rsid w:val="00E2575E"/>
    <w:rsid w:val="00E25D2D"/>
    <w:rsid w:val="00E25E0D"/>
    <w:rsid w:val="00E2723D"/>
    <w:rsid w:val="00E27DAA"/>
    <w:rsid w:val="00E27FDC"/>
    <w:rsid w:val="00E303C9"/>
    <w:rsid w:val="00E30627"/>
    <w:rsid w:val="00E30E7D"/>
    <w:rsid w:val="00E31BA9"/>
    <w:rsid w:val="00E33085"/>
    <w:rsid w:val="00E332F8"/>
    <w:rsid w:val="00E33659"/>
    <w:rsid w:val="00E40872"/>
    <w:rsid w:val="00E41594"/>
    <w:rsid w:val="00E41F00"/>
    <w:rsid w:val="00E423C2"/>
    <w:rsid w:val="00E4296F"/>
    <w:rsid w:val="00E44D88"/>
    <w:rsid w:val="00E46034"/>
    <w:rsid w:val="00E46A08"/>
    <w:rsid w:val="00E47BE1"/>
    <w:rsid w:val="00E518FB"/>
    <w:rsid w:val="00E51911"/>
    <w:rsid w:val="00E560EE"/>
    <w:rsid w:val="00E56FE8"/>
    <w:rsid w:val="00E57C5E"/>
    <w:rsid w:val="00E57FE6"/>
    <w:rsid w:val="00E600FB"/>
    <w:rsid w:val="00E6057C"/>
    <w:rsid w:val="00E607A7"/>
    <w:rsid w:val="00E60C5E"/>
    <w:rsid w:val="00E637C3"/>
    <w:rsid w:val="00E63BD1"/>
    <w:rsid w:val="00E6435C"/>
    <w:rsid w:val="00E6467D"/>
    <w:rsid w:val="00E65AC4"/>
    <w:rsid w:val="00E66BCF"/>
    <w:rsid w:val="00E674D7"/>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498"/>
    <w:rsid w:val="00E8555A"/>
    <w:rsid w:val="00E85DAF"/>
    <w:rsid w:val="00E86A39"/>
    <w:rsid w:val="00E86E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32ED"/>
    <w:rsid w:val="00EA6401"/>
    <w:rsid w:val="00EA68DB"/>
    <w:rsid w:val="00EA6B0B"/>
    <w:rsid w:val="00EA71D4"/>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D7FB2"/>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0E9"/>
    <w:rsid w:val="00F078C6"/>
    <w:rsid w:val="00F1070F"/>
    <w:rsid w:val="00F12A2D"/>
    <w:rsid w:val="00F13BB5"/>
    <w:rsid w:val="00F14992"/>
    <w:rsid w:val="00F15079"/>
    <w:rsid w:val="00F16A50"/>
    <w:rsid w:val="00F20B3C"/>
    <w:rsid w:val="00F21456"/>
    <w:rsid w:val="00F21D20"/>
    <w:rsid w:val="00F22674"/>
    <w:rsid w:val="00F22B78"/>
    <w:rsid w:val="00F244F9"/>
    <w:rsid w:val="00F25220"/>
    <w:rsid w:val="00F25309"/>
    <w:rsid w:val="00F25320"/>
    <w:rsid w:val="00F25EA1"/>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37B4D"/>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2F7"/>
    <w:rsid w:val="00F53CC6"/>
    <w:rsid w:val="00F564CD"/>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4C4E"/>
    <w:rsid w:val="00F75E36"/>
    <w:rsid w:val="00F75F28"/>
    <w:rsid w:val="00F76771"/>
    <w:rsid w:val="00F76A72"/>
    <w:rsid w:val="00F77340"/>
    <w:rsid w:val="00F8042D"/>
    <w:rsid w:val="00F85256"/>
    <w:rsid w:val="00F8751C"/>
    <w:rsid w:val="00F87572"/>
    <w:rsid w:val="00F87CA2"/>
    <w:rsid w:val="00F87FF7"/>
    <w:rsid w:val="00F911A7"/>
    <w:rsid w:val="00F91976"/>
    <w:rsid w:val="00F92C8D"/>
    <w:rsid w:val="00F92D86"/>
    <w:rsid w:val="00F931AD"/>
    <w:rsid w:val="00F941D5"/>
    <w:rsid w:val="00F95FE5"/>
    <w:rsid w:val="00F96E61"/>
    <w:rsid w:val="00F9721C"/>
    <w:rsid w:val="00F9741A"/>
    <w:rsid w:val="00FA013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37B5"/>
    <w:rsid w:val="00FD4568"/>
    <w:rsid w:val="00FD5B5E"/>
    <w:rsid w:val="00FD613E"/>
    <w:rsid w:val="00FD659A"/>
    <w:rsid w:val="00FD6F4D"/>
    <w:rsid w:val="00FD728F"/>
    <w:rsid w:val="00FE0559"/>
    <w:rsid w:val="00FE05A0"/>
    <w:rsid w:val="00FE12FC"/>
    <w:rsid w:val="00FE3884"/>
    <w:rsid w:val="00FE3FCF"/>
    <w:rsid w:val="00FE4338"/>
    <w:rsid w:val="00FF025A"/>
    <w:rsid w:val="00FF161C"/>
    <w:rsid w:val="00FF2C7E"/>
    <w:rsid w:val="00FF2E19"/>
    <w:rsid w:val="00FF445C"/>
    <w:rsid w:val="00FF568F"/>
    <w:rsid w:val="00FF756F"/>
    <w:rsid w:val="041078B8"/>
    <w:rsid w:val="062A04D2"/>
    <w:rsid w:val="06AF3A3C"/>
    <w:rsid w:val="072B62A2"/>
    <w:rsid w:val="09874B3C"/>
    <w:rsid w:val="0A564AD3"/>
    <w:rsid w:val="0C7A3C79"/>
    <w:rsid w:val="10DD4A09"/>
    <w:rsid w:val="13ED13E4"/>
    <w:rsid w:val="16951EAA"/>
    <w:rsid w:val="1A031D94"/>
    <w:rsid w:val="202534E6"/>
    <w:rsid w:val="23D5257E"/>
    <w:rsid w:val="245A4AC6"/>
    <w:rsid w:val="2A5F2BA2"/>
    <w:rsid w:val="2B1B0A40"/>
    <w:rsid w:val="31C1358A"/>
    <w:rsid w:val="353F2671"/>
    <w:rsid w:val="35917C0B"/>
    <w:rsid w:val="3BB80888"/>
    <w:rsid w:val="3E8B79E4"/>
    <w:rsid w:val="5966544B"/>
    <w:rsid w:val="603210EC"/>
    <w:rsid w:val="60D334BE"/>
    <w:rsid w:val="62EE2739"/>
    <w:rsid w:val="6BC87C70"/>
    <w:rsid w:val="6E0B4C83"/>
    <w:rsid w:val="723B701D"/>
    <w:rsid w:val="74167809"/>
    <w:rsid w:val="7A47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0"/>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明显强调1"/>
    <w:basedOn w:val="26"/>
    <w:qFormat/>
    <w:uiPriority w:val="21"/>
    <w:rPr>
      <w:b/>
      <w:i/>
      <w:sz w:val="24"/>
      <w:szCs w:val="24"/>
      <w:u w:val="single"/>
    </w:rPr>
  </w:style>
  <w:style w:type="character" w:customStyle="1" w:styleId="75">
    <w:name w:val="不明显参考1"/>
    <w:basedOn w:val="26"/>
    <w:qFormat/>
    <w:uiPriority w:val="31"/>
    <w:rPr>
      <w:sz w:val="24"/>
      <w:szCs w:val="24"/>
      <w:u w:val="single"/>
    </w:rPr>
  </w:style>
  <w:style w:type="character" w:customStyle="1" w:styleId="76">
    <w:name w:val="明显参考1"/>
    <w:basedOn w:val="26"/>
    <w:qFormat/>
    <w:uiPriority w:val="32"/>
    <w:rPr>
      <w:b/>
      <w:sz w:val="24"/>
      <w:u w:val="single"/>
    </w:rPr>
  </w:style>
  <w:style w:type="character" w:customStyle="1" w:styleId="77">
    <w:name w:val="书籍标题1"/>
    <w:basedOn w:val="26"/>
    <w:qFormat/>
    <w:uiPriority w:val="33"/>
    <w:rPr>
      <w:rFonts w:asciiTheme="majorHAnsi" w:hAnsiTheme="majorHAnsi" w:eastAsiaTheme="majorEastAsia"/>
      <w:b/>
      <w:i/>
      <w:sz w:val="24"/>
      <w:szCs w:val="24"/>
    </w:rPr>
  </w:style>
  <w:style w:type="paragraph" w:customStyle="1" w:styleId="78">
    <w:name w:val="TOC 标题1"/>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1"/>
    <w:basedOn w:val="26"/>
    <w:qFormat/>
    <w:uiPriority w:val="21"/>
    <w:rPr>
      <w:b/>
      <w:i/>
      <w:sz w:val="24"/>
      <w:szCs w:val="24"/>
      <w:u w:val="single"/>
    </w:rPr>
  </w:style>
  <w:style w:type="character" w:customStyle="1" w:styleId="95">
    <w:name w:val="不明显参考11"/>
    <w:basedOn w:val="26"/>
    <w:qFormat/>
    <w:uiPriority w:val="31"/>
    <w:rPr>
      <w:sz w:val="24"/>
      <w:szCs w:val="24"/>
      <w:u w:val="single"/>
    </w:rPr>
  </w:style>
  <w:style w:type="character" w:customStyle="1" w:styleId="96">
    <w:name w:val="明显参考11"/>
    <w:basedOn w:val="26"/>
    <w:qFormat/>
    <w:uiPriority w:val="32"/>
    <w:rPr>
      <w:b/>
      <w:sz w:val="24"/>
      <w:u w:val="single"/>
    </w:rPr>
  </w:style>
  <w:style w:type="character" w:customStyle="1" w:styleId="97">
    <w:name w:val="书籍标题11"/>
    <w:basedOn w:val="26"/>
    <w:qFormat/>
    <w:uiPriority w:val="33"/>
    <w:rPr>
      <w:rFonts w:asciiTheme="majorHAnsi" w:hAnsiTheme="majorHAnsi" w:eastAsiaTheme="majorEastAsia"/>
      <w:b/>
      <w:i/>
      <w:sz w:val="24"/>
      <w:szCs w:val="24"/>
    </w:rPr>
  </w:style>
  <w:style w:type="paragraph" w:customStyle="1" w:styleId="98">
    <w:name w:val="TOC 标题11"/>
    <w:basedOn w:val="2"/>
    <w:next w:val="1"/>
    <w:semiHidden/>
    <w:unhideWhenUsed/>
    <w:qFormat/>
    <w:uiPriority w:val="39"/>
    <w:pPr>
      <w:numPr>
        <w:numId w:val="2"/>
      </w:numPr>
      <w:outlineLvl w:val="9"/>
    </w:pPr>
  </w:style>
  <w:style w:type="paragraph" w:customStyle="1" w:styleId="99">
    <w:name w:val="样式"/>
    <w:link w:val="10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0">
    <w:name w:val="样式 Char Char"/>
    <w:link w:val="99"/>
    <w:qFormat/>
    <w:locked/>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glossaryDocument" Target="glossary/document.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14:paraId="26155DC6">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A1576"/>
    <w:rsid w:val="000C53F4"/>
    <w:rsid w:val="00117AA1"/>
    <w:rsid w:val="0016149B"/>
    <w:rsid w:val="00173537"/>
    <w:rsid w:val="00193516"/>
    <w:rsid w:val="001C56D8"/>
    <w:rsid w:val="001E1C14"/>
    <w:rsid w:val="00203DA1"/>
    <w:rsid w:val="00206ACB"/>
    <w:rsid w:val="00211A06"/>
    <w:rsid w:val="00232564"/>
    <w:rsid w:val="002F1C6E"/>
    <w:rsid w:val="003326D5"/>
    <w:rsid w:val="003C1A67"/>
    <w:rsid w:val="003C3F85"/>
    <w:rsid w:val="003C7EB3"/>
    <w:rsid w:val="003F2692"/>
    <w:rsid w:val="00432A4B"/>
    <w:rsid w:val="00454061"/>
    <w:rsid w:val="004F02CE"/>
    <w:rsid w:val="00506232"/>
    <w:rsid w:val="0051592F"/>
    <w:rsid w:val="00580B99"/>
    <w:rsid w:val="005E51DE"/>
    <w:rsid w:val="0061457B"/>
    <w:rsid w:val="00616529"/>
    <w:rsid w:val="00624278"/>
    <w:rsid w:val="00626103"/>
    <w:rsid w:val="00636120"/>
    <w:rsid w:val="00653AFD"/>
    <w:rsid w:val="006767D6"/>
    <w:rsid w:val="006C3E83"/>
    <w:rsid w:val="006D613E"/>
    <w:rsid w:val="006E3B44"/>
    <w:rsid w:val="006E4CF7"/>
    <w:rsid w:val="006F4890"/>
    <w:rsid w:val="0072520E"/>
    <w:rsid w:val="007269F0"/>
    <w:rsid w:val="00756673"/>
    <w:rsid w:val="00792F70"/>
    <w:rsid w:val="007A0A06"/>
    <w:rsid w:val="007B6484"/>
    <w:rsid w:val="00804CEF"/>
    <w:rsid w:val="00832326"/>
    <w:rsid w:val="008C0F26"/>
    <w:rsid w:val="008C25B5"/>
    <w:rsid w:val="008E12FD"/>
    <w:rsid w:val="008F0507"/>
    <w:rsid w:val="00900DF2"/>
    <w:rsid w:val="009052A2"/>
    <w:rsid w:val="0090705F"/>
    <w:rsid w:val="0091562D"/>
    <w:rsid w:val="00920D6F"/>
    <w:rsid w:val="00921D95"/>
    <w:rsid w:val="00946FAF"/>
    <w:rsid w:val="00987DAC"/>
    <w:rsid w:val="009913AD"/>
    <w:rsid w:val="00992D87"/>
    <w:rsid w:val="009A1BF6"/>
    <w:rsid w:val="009C0A4E"/>
    <w:rsid w:val="009D73E7"/>
    <w:rsid w:val="009E1D2C"/>
    <w:rsid w:val="009F2A1D"/>
    <w:rsid w:val="009F6A20"/>
    <w:rsid w:val="00A2013D"/>
    <w:rsid w:val="00A36E62"/>
    <w:rsid w:val="00A96CE4"/>
    <w:rsid w:val="00AD148E"/>
    <w:rsid w:val="00B22452"/>
    <w:rsid w:val="00B34217"/>
    <w:rsid w:val="00BB518A"/>
    <w:rsid w:val="00BD6ED3"/>
    <w:rsid w:val="00BF29FE"/>
    <w:rsid w:val="00C04372"/>
    <w:rsid w:val="00C66A35"/>
    <w:rsid w:val="00C768EE"/>
    <w:rsid w:val="00CB0283"/>
    <w:rsid w:val="00CE439C"/>
    <w:rsid w:val="00CF08BA"/>
    <w:rsid w:val="00CF72C0"/>
    <w:rsid w:val="00D031D8"/>
    <w:rsid w:val="00D938D8"/>
    <w:rsid w:val="00D93CA3"/>
    <w:rsid w:val="00DD1067"/>
    <w:rsid w:val="00DD6CE7"/>
    <w:rsid w:val="00DE5ECF"/>
    <w:rsid w:val="00E2523A"/>
    <w:rsid w:val="00E36288"/>
    <w:rsid w:val="00E9317C"/>
    <w:rsid w:val="00EF03E4"/>
    <w:rsid w:val="00F000CF"/>
    <w:rsid w:val="00F049F8"/>
    <w:rsid w:val="00F72CFE"/>
    <w:rsid w:val="00F95D89"/>
    <w:rsid w:val="00FB7D15"/>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qFormat/>
    <w:uiPriority w:val="0"/>
    <w:rPr>
      <w:rFonts w:cs="Times New Roman" w:asciiTheme="minorHAnsi" w:hAnsiTheme="minorHAnsi" w:eastAsiaTheme="minorEastAsia"/>
      <w:sz w:val="24"/>
      <w:szCs w:val="24"/>
      <w:lang w:val="en-US" w:eastAsia="zh-CN" w:bidi="ar-SA"/>
    </w:rPr>
  </w:style>
  <w:style w:type="paragraph" w:customStyle="1" w:styleId="7">
    <w:name w:val="CF80FDE9826E4517B8C173999F8F68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38995-3A8F-4FCE-BDFA-2F5080343FA7}">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67</Pages>
  <Words>71</Words>
  <Characters>95</Characters>
  <Lines>1130</Lines>
  <Paragraphs>1251</Paragraphs>
  <TotalTime>125</TotalTime>
  <ScaleCrop>false</ScaleCrop>
  <LinksUpToDate>false</LinksUpToDate>
  <CharactersWithSpaces>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2023-05-10T02:09:00Z</dcterms:created>
  <dc:creator>admin</dc:creator>
  <cp:lastModifiedBy>常巧利</cp:lastModifiedBy>
  <cp:lastPrinted>2025-10-11T01:04:00Z</cp:lastPrinted>
  <dcterms:modified xsi:type="dcterms:W3CDTF">2025-11-10T03:08:03Z</dcterms:modified>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eyJoZGlkIjoiYTk0YzVlMzk2M2IzYjA5YjI0OThkYmMxMTI4M2IzMjIifQ==</vt:lpwstr>
  </property>
  <property fmtid="{D5CDD505-2E9C-101B-9397-08002B2CF9AE}" pid="3" name="KSOProductBuildVer">
    <vt:lpwstr>2052-12.1.0.23542</vt:lpwstr>
  </property>
  <property fmtid="{D5CDD505-2E9C-101B-9397-08002B2CF9AE}" pid="4" name="ICV">
    <vt:lpwstr>86D3E703D8E245638642FFA3212A8133_13</vt:lpwstr>
  </property>
</Properties>
</file>